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1039495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94615</wp:posOffset>
            </wp:positionV>
            <wp:extent cx="21151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99060</wp:posOffset>
            </wp:positionV>
            <wp:extent cx="2115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69" w:lineRule="exact"/>
        <w:rPr>
          <w:sz w:val="24"/>
          <w:szCs w:val="24"/>
          <w:color w:val="auto"/>
        </w:rPr>
      </w:pPr>
    </w:p>
    <w:p>
      <w:pPr>
        <w:ind w:left="4000" w:right="2540" w:hanging="3979"/>
        <w:spacing w:after="0" w:line="476" w:lineRule="auto"/>
        <w:tabs>
          <w:tab w:leader="none" w:pos="48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268" w:lineRule="exact"/>
        <w:rPr>
          <w:sz w:val="24"/>
          <w:szCs w:val="24"/>
          <w:color w:val="auto"/>
        </w:rPr>
      </w:pPr>
    </w:p>
    <w:p>
      <w:pPr>
        <w:ind w:left="3580" w:right="2520" w:hanging="3559"/>
        <w:spacing w:after="0" w:line="430" w:lineRule="auto"/>
        <w:tabs>
          <w:tab w:leader="none" w:pos="47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___________to___________.</w:t>
      </w:r>
    </w:p>
    <w:p>
      <w:pPr>
        <w:spacing w:after="0" w:line="1" w:lineRule="exact"/>
        <w:rPr>
          <w:rFonts w:ascii="MS PGothic" w:cs="MS PGothic" w:eastAsia="MS PGothic" w:hAnsi="MS PGothic"/>
          <w:sz w:val="16"/>
          <w:szCs w:val="16"/>
          <w:color w:val="auto"/>
          <w:highlight w:val="black"/>
        </w:rPr>
      </w:pP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115570</wp:posOffset>
            </wp:positionV>
            <wp:extent cx="2115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60"/>
        </w:trPr>
        <w:tc>
          <w:tcPr>
            <w:tcW w:w="3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ASSEMBLY BIOSCIENCES, INC.</w:t>
            </w: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7380" w:type="dxa"/>
            <w:vAlign w:val="bottom"/>
            <w:gridSpan w:val="6"/>
          </w:tcPr>
          <w:p>
            <w:pPr>
              <w:jc w:val="center"/>
              <w:ind w:right="378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97"/>
        </w:trPr>
        <w:tc>
          <w:tcPr>
            <w:tcW w:w="3860" w:type="dxa"/>
            <w:vAlign w:val="bottom"/>
          </w:tcPr>
          <w:p>
            <w:pPr>
              <w:jc w:val="center"/>
              <w:ind w:left="17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gridSpan w:val="2"/>
          </w:tcPr>
          <w:p>
            <w:pPr>
              <w:jc w:val="right"/>
              <w:ind w:right="2342"/>
              <w:spacing w:after="0"/>
              <w:rPr>
                <w:sz w:val="20"/>
                <w:szCs w:val="20"/>
                <w:color w:val="auto"/>
              </w:rPr>
            </w:pPr>
            <w:r>
              <w:rPr>
                <w:rFonts w:ascii="Times New Roman" w:cs="Times New Roman" w:eastAsia="Times New Roman" w:hAnsi="Times New Roman"/>
                <w:sz w:val="16"/>
                <w:szCs w:val="16"/>
                <w:b w:val="1"/>
                <w:bCs w:val="1"/>
                <w:color w:val="auto"/>
              </w:rPr>
              <w:t>20-8729264</w:t>
            </w:r>
          </w:p>
        </w:tc>
        <w:tc>
          <w:tcPr>
            <w:tcW w:w="0" w:type="dxa"/>
            <w:vAlign w:val="bottom"/>
          </w:tcPr>
          <w:p>
            <w:pPr>
              <w:spacing w:after="0"/>
              <w:rPr>
                <w:sz w:val="1"/>
                <w:szCs w:val="1"/>
                <w:color w:val="auto"/>
              </w:rPr>
            </w:pPr>
          </w:p>
        </w:tc>
      </w:tr>
      <w:tr>
        <w:trPr>
          <w:trHeight w:val="229"/>
        </w:trPr>
        <w:tc>
          <w:tcPr>
            <w:tcW w:w="3860" w:type="dxa"/>
            <w:vAlign w:val="bottom"/>
          </w:tcPr>
          <w:p>
            <w:pPr>
              <w:jc w:val="cente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80" w:type="dxa"/>
            <w:vAlign w:val="bottom"/>
            <w:gridSpan w:val="2"/>
          </w:tcPr>
          <w:p>
            <w:pPr>
              <w:jc w:val="center"/>
              <w:ind w:right="1542"/>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29"/>
        </w:trPr>
        <w:tc>
          <w:tcPr>
            <w:tcW w:w="3860" w:type="dxa"/>
            <w:vAlign w:val="bottom"/>
          </w:tcPr>
          <w:p>
            <w:pPr>
              <w:jc w:val="center"/>
              <w:ind w:left="170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860" w:type="dxa"/>
            <w:vAlign w:val="bottom"/>
          </w:tcPr>
          <w:p>
            <w:pPr>
              <w:jc w:val="center"/>
              <w:ind w:left="1680"/>
              <w:spacing w:after="0"/>
              <w:rPr>
                <w:sz w:val="20"/>
                <w:szCs w:val="20"/>
                <w:color w:val="auto"/>
              </w:rPr>
            </w:pPr>
            <w:r>
              <w:rPr>
                <w:rFonts w:ascii="Times New Roman" w:cs="Times New Roman" w:eastAsia="Times New Roman" w:hAnsi="Times New Roman"/>
                <w:sz w:val="16"/>
                <w:szCs w:val="16"/>
                <w:b w:val="1"/>
                <w:bCs w:val="1"/>
                <w:color w:val="auto"/>
                <w:w w:val="99"/>
              </w:rPr>
              <w:t>Two Tower Place, 7th Floor</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gridSpan w:val="5"/>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3980" w:type="dxa"/>
            <w:vAlign w:val="bottom"/>
            <w:gridSpan w:val="2"/>
          </w:tcPr>
          <w:p>
            <w:pPr>
              <w:jc w:val="right"/>
              <w:ind w:right="2522"/>
              <w:spacing w:after="0"/>
              <w:rPr>
                <w:sz w:val="20"/>
                <w:szCs w:val="20"/>
                <w:color w:val="auto"/>
              </w:rPr>
            </w:pPr>
            <w:r>
              <w:rPr>
                <w:rFonts w:ascii="Times New Roman" w:cs="Times New Roman" w:eastAsia="Times New Roman" w:hAnsi="Times New Roman"/>
                <w:sz w:val="16"/>
                <w:szCs w:val="16"/>
                <w:b w:val="1"/>
                <w:bCs w:val="1"/>
                <w:color w:val="auto"/>
              </w:rPr>
              <w:t>94080</w:t>
            </w:r>
          </w:p>
        </w:tc>
        <w:tc>
          <w:tcPr>
            <w:tcW w:w="0" w:type="dxa"/>
            <w:vAlign w:val="bottom"/>
          </w:tcPr>
          <w:p>
            <w:pPr>
              <w:spacing w:after="0"/>
              <w:rPr>
                <w:sz w:val="1"/>
                <w:szCs w:val="1"/>
                <w:color w:val="auto"/>
              </w:rPr>
            </w:pPr>
          </w:p>
        </w:tc>
      </w:tr>
      <w:tr>
        <w:trPr>
          <w:trHeight w:val="229"/>
        </w:trPr>
        <w:tc>
          <w:tcPr>
            <w:tcW w:w="7260" w:type="dxa"/>
            <w:vAlign w:val="bottom"/>
            <w:gridSpan w:val="5"/>
          </w:tcPr>
          <w:p>
            <w:pPr>
              <w:jc w:val="center"/>
              <w:ind w:right="16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0" w:type="dxa"/>
            <w:vAlign w:val="bottom"/>
          </w:tcPr>
          <w:p>
            <w:pPr>
              <w:spacing w:after="0"/>
              <w:rPr>
                <w:sz w:val="19"/>
                <w:szCs w:val="19"/>
                <w:color w:val="auto"/>
              </w:rPr>
            </w:pPr>
          </w:p>
        </w:tc>
        <w:tc>
          <w:tcPr>
            <w:tcW w:w="3960" w:type="dxa"/>
            <w:vAlign w:val="bottom"/>
          </w:tcPr>
          <w:p>
            <w:pPr>
              <w:jc w:val="center"/>
              <w:ind w:right="1582"/>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89"/>
        </w:trPr>
        <w:tc>
          <w:tcPr>
            <w:tcW w:w="3860" w:type="dxa"/>
            <w:vAlign w:val="bottom"/>
          </w:tcPr>
          <w:p>
            <w:pPr>
              <w:spacing w:after="0"/>
              <w:rPr>
                <w:sz w:val="24"/>
                <w:szCs w:val="24"/>
                <w:color w:val="auto"/>
              </w:rPr>
            </w:pPr>
          </w:p>
        </w:tc>
        <w:tc>
          <w:tcPr>
            <w:tcW w:w="29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(833) 509-4583</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7380" w:type="dxa"/>
            <w:vAlign w:val="bottom"/>
            <w:gridSpan w:val="6"/>
          </w:tcPr>
          <w:p>
            <w:pPr>
              <w:jc w:val="center"/>
              <w:ind w:right="37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141"/>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4"/>
                <w:szCs w:val="14"/>
                <w:color w:val="auto"/>
              </w:rPr>
              <w:t>Title of each class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jc w:val="center"/>
              <w:ind w:right="46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260"/>
        </w:trPr>
        <w:tc>
          <w:tcPr>
            <w:tcW w:w="3860" w:type="dxa"/>
            <w:vAlign w:val="bottom"/>
            <w:tcBorders>
              <w:left w:val="single" w:sz="8" w:color="auto"/>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ASMB</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jc w:val="center"/>
              <w:ind w:right="482"/>
              <w:spacing w:after="0"/>
              <w:rPr>
                <w:sz w:val="20"/>
                <w:szCs w:val="20"/>
                <w:color w:val="auto"/>
              </w:rPr>
            </w:pPr>
            <w:r>
              <w:rPr>
                <w:rFonts w:ascii="Times New Roman" w:cs="Times New Roman" w:eastAsia="Times New Roman" w:hAnsi="Times New Roman"/>
                <w:sz w:val="16"/>
                <w:szCs w:val="16"/>
                <w:color w:val="auto"/>
              </w:rPr>
              <w:t>The Nasdaq Global Select Market5</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line="60"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82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3, 2024, there were 5,513,308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1096010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2024 (unaudited)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2024 and</w:t>
            </w:r>
          </w:p>
        </w:tc>
        <w:tc>
          <w:tcPr>
            <w:tcW w:w="7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4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2023 (unaudited)</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2024 and 2023</w:t>
            </w:r>
          </w:p>
        </w:tc>
        <w:tc>
          <w:tcPr>
            <w:tcW w:w="7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34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(unaudited)</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1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6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2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659"/>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References to Assembly Biosciences, Inc.</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28, 2024 (2023 Annual Report) and Part II, Item 1A of this Quarterly Report on Form 10-Q under the heading “Risk Factors,” that could cause actual results to materially differ. Such risks and uncertainties include, among other things:</w:t>
      </w:r>
    </w:p>
    <w:p>
      <w:pPr>
        <w:spacing w:after="0" w:line="74" w:lineRule="exact"/>
        <w:rPr>
          <w:sz w:val="20"/>
          <w:szCs w:val="20"/>
          <w:color w:val="auto"/>
        </w:rPr>
      </w:pPr>
    </w:p>
    <w:p>
      <w:pPr>
        <w:ind w:left="640" w:hanging="377"/>
        <w:spacing w:after="0" w:line="28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of our collaboration with Gilead Sciences, Inc. (Gilead), including all financial aspects of the collaboration and equity investments;</w:t>
      </w:r>
    </w:p>
    <w:p>
      <w:pPr>
        <w:spacing w:after="0" w:line="54" w:lineRule="exact"/>
        <w:rPr>
          <w:rFonts w:ascii="Times New Roman" w:cs="Times New Roman" w:eastAsia="Times New Roman" w:hAnsi="Times New Roman"/>
          <w:sz w:val="18"/>
          <w:szCs w:val="18"/>
          <w:color w:val="auto"/>
        </w:rPr>
      </w:pPr>
    </w:p>
    <w:p>
      <w:pPr>
        <w:ind w:left="640" w:hanging="377"/>
        <w:spacing w:after="0" w:line="28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clinical studies involving our therapeutic product candidates, including studies contemplated by our collaboration with Gilead, in the currently anticipated timeframes or at all;</w:t>
      </w:r>
    </w:p>
    <w:p>
      <w:pPr>
        <w:spacing w:after="0" w:line="54"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from clinical or nonclinical studies may not warrant further development of our product candidates;</w:t>
      </w:r>
    </w:p>
    <w:p>
      <w:pPr>
        <w:spacing w:after="0" w:line="116"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data presented at conferences may not differentiate our product candidates from other companies’ candidates; and</w:t>
      </w:r>
    </w:p>
    <w:p>
      <w:pPr>
        <w:spacing w:after="0" w:line="116" w:lineRule="exact"/>
        <w:rPr>
          <w:rFonts w:ascii="Times New Roman" w:cs="Times New Roman" w:eastAsia="Times New Roman" w:hAnsi="Times New Roman"/>
          <w:sz w:val="18"/>
          <w:szCs w:val="18"/>
          <w:color w:val="auto"/>
        </w:rPr>
      </w:pPr>
    </w:p>
    <w:p>
      <w:pPr>
        <w:ind w:left="640" w:hanging="377"/>
        <w:spacing w:after="0" w:line="28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may not be representative of disease behavior in a clinical setting and may not be predictive of the outcomes of clinical studies.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 and par value)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2"/>
        </w:trPr>
        <w:tc>
          <w:tcPr>
            <w:tcW w:w="7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18,749</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19,841</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94,227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110,406</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4,149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3,497</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117,168</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133,787</w:t>
            </w:r>
          </w:p>
        </w:tc>
      </w:tr>
      <w:tr>
        <w:trPr>
          <w:trHeight w:val="240"/>
        </w:trPr>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2,339</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119,883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136,823</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727</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2,051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5,744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from a related party - short-term</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32,771</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30,915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1,220</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38,753</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39,225</w:t>
            </w:r>
          </w:p>
        </w:tc>
      </w:tr>
      <w:tr>
        <w:trPr>
          <w:trHeight w:val="240"/>
        </w:trPr>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from a related party - long-term</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47,738</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55,379</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1,122</w:t>
            </w: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87,282</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95,726</w:t>
            </w:r>
          </w:p>
        </w:tc>
      </w:tr>
      <w:tr>
        <w:trPr>
          <w:trHeight w:val="238"/>
        </w:trPr>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150,000,000 shares authorized as of March 31, 2024 and December</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2023; 5,482,752 shares issued and outstanding as of March 31, 2024 and December 31,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827,660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826,921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(794,825 )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(785,748 )</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32,601</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41,097</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119,883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136,823</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-4725670</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-4100830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-2516505</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-1883410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-187960</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40" w:type="dxa"/>
            <w:vAlign w:val="bottom"/>
          </w:tcPr>
          <w:p>
            <w:pPr>
              <w:spacing w:after="0"/>
              <w:rPr>
                <w:sz w:val="21"/>
                <w:szCs w:val="21"/>
                <w:color w:val="auto"/>
              </w:rPr>
            </w:pPr>
          </w:p>
        </w:tc>
        <w:tc>
          <w:tcPr>
            <w:tcW w:w="38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40"/>
        </w:trPr>
        <w:tc>
          <w:tcPr>
            <w:tcW w:w="63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8"/>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revenue from a related party</w:t>
            </w:r>
          </w:p>
        </w:tc>
        <w:tc>
          <w:tcPr>
            <w:tcW w:w="136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5,785</w:t>
            </w:r>
          </w:p>
        </w:tc>
        <w:tc>
          <w:tcPr>
            <w:tcW w:w="150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38"/>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11,879</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14,547</w:t>
            </w:r>
          </w:p>
        </w:tc>
        <w:tc>
          <w:tcPr>
            <w:tcW w:w="180" w:type="dxa"/>
            <w:vAlign w:val="bottom"/>
          </w:tcPr>
          <w:p>
            <w:pPr>
              <w:spacing w:after="0"/>
              <w:rPr>
                <w:sz w:val="20"/>
                <w:szCs w:val="20"/>
                <w:color w:val="auto"/>
              </w:rPr>
            </w:pPr>
          </w:p>
        </w:tc>
      </w:tr>
      <w:tr>
        <w:trPr>
          <w:trHeight w:val="247"/>
        </w:trPr>
        <w:tc>
          <w:tcPr>
            <w:tcW w:w="6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4,635</w:t>
            </w: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5,012</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16,514</w:t>
            </w:r>
          </w:p>
        </w:tc>
        <w:tc>
          <w:tcPr>
            <w:tcW w:w="1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19,559</w:t>
            </w:r>
          </w:p>
        </w:tc>
        <w:tc>
          <w:tcPr>
            <w:tcW w:w="180" w:type="dxa"/>
            <w:vAlign w:val="bottom"/>
          </w:tcPr>
          <w:p>
            <w:pPr>
              <w:spacing w:after="0"/>
              <w:rPr>
                <w:sz w:val="20"/>
                <w:szCs w:val="20"/>
                <w:color w:val="auto"/>
              </w:rPr>
            </w:pPr>
          </w:p>
        </w:tc>
      </w:tr>
      <w:tr>
        <w:trPr>
          <w:trHeight w:val="236"/>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(10,729 )</w:t>
            </w:r>
          </w:p>
        </w:tc>
        <w:tc>
          <w:tcPr>
            <w:tcW w:w="1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(19,559 )</w:t>
            </w:r>
          </w:p>
        </w:tc>
        <w:tc>
          <w:tcPr>
            <w:tcW w:w="180" w:type="dxa"/>
            <w:vAlign w:val="bottom"/>
            <w:tcBorders>
              <w:bottom w:val="single" w:sz="8" w:color="CFF0FC"/>
            </w:tcBorders>
            <w:shd w:val="clear" w:color="auto" w:fill="CFF0FC"/>
          </w:tcPr>
          <w:p>
            <w:pPr>
              <w:spacing w:after="0"/>
              <w:rPr>
                <w:sz w:val="20"/>
                <w:szCs w:val="20"/>
                <w:color w:val="auto"/>
              </w:rPr>
            </w:pPr>
          </w:p>
        </w:tc>
      </w:tr>
      <w:tr>
        <w:trPr>
          <w:trHeight w:val="236"/>
        </w:trPr>
        <w:tc>
          <w:tcPr>
            <w:tcW w:w="6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1,652</w:t>
            </w:r>
          </w:p>
        </w:tc>
        <w:tc>
          <w:tcPr>
            <w:tcW w:w="18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Pr>
          <w:p>
            <w:pPr>
              <w:spacing w:after="0"/>
              <w:rPr>
                <w:sz w:val="21"/>
                <w:szCs w:val="21"/>
                <w:color w:val="auto"/>
              </w:rPr>
            </w:pPr>
          </w:p>
        </w:tc>
      </w:tr>
      <w:tr>
        <w:trPr>
          <w:trHeight w:val="236"/>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3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1,652</w:t>
            </w:r>
          </w:p>
        </w:tc>
        <w:tc>
          <w:tcPr>
            <w:tcW w:w="1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Borders>
              <w:bottom w:val="single" w:sz="8" w:color="CFF0FC"/>
            </w:tcBorders>
            <w:shd w:val="clear" w:color="auto" w:fill="CFF0FC"/>
          </w:tcPr>
          <w:p>
            <w:pPr>
              <w:spacing w:after="0"/>
              <w:rPr>
                <w:sz w:val="20"/>
                <w:szCs w:val="20"/>
                <w:color w:val="auto"/>
              </w:rPr>
            </w:pP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(9,077 )</w:t>
            </w:r>
          </w:p>
        </w:tc>
        <w:tc>
          <w:tcPr>
            <w:tcW w:w="15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(18,950 )</w:t>
            </w:r>
          </w:p>
        </w:tc>
        <w:tc>
          <w:tcPr>
            <w:tcW w:w="18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6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4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5"/>
        </w:trPr>
        <w:tc>
          <w:tcPr>
            <w:tcW w:w="6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13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(9,235 )</w:t>
            </w:r>
          </w:p>
        </w:tc>
        <w:tc>
          <w:tcPr>
            <w:tcW w:w="15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(18,660 )</w:t>
            </w:r>
          </w:p>
        </w:tc>
        <w:tc>
          <w:tcPr>
            <w:tcW w:w="18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6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50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80" w:type="dxa"/>
            <w:vAlign w:val="bottom"/>
          </w:tcPr>
          <w:p>
            <w:pPr>
              <w:spacing w:after="0"/>
              <w:rPr>
                <w:sz w:val="21"/>
                <w:szCs w:val="21"/>
                <w:color w:val="auto"/>
              </w:rPr>
            </w:pPr>
          </w:p>
        </w:tc>
      </w:tr>
      <w:tr>
        <w:trPr>
          <w:trHeight w:val="20"/>
        </w:trPr>
        <w:tc>
          <w:tcPr>
            <w:tcW w:w="6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3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5,483,313</w:t>
            </w:r>
          </w:p>
        </w:tc>
        <w:tc>
          <w:tcPr>
            <w:tcW w:w="1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4,251,037</w:t>
            </w:r>
          </w:p>
        </w:tc>
        <w:tc>
          <w:tcPr>
            <w:tcW w:w="1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-2311400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-2311400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-1985645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-1985645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-1351915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-1351915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-701675</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-701675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-24765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-24765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-7620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92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8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5,482,752</w:t>
            </w:r>
          </w:p>
        </w:tc>
        <w:tc>
          <w:tcPr>
            <w:tcW w:w="840" w:type="dxa"/>
            <w:vAlign w:val="bottom"/>
            <w:gridSpan w:val="2"/>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826,921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(81 )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(785,748 )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41,097</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0" w:type="dxa"/>
            <w:vAlign w:val="bottom"/>
          </w:tcPr>
          <w:p>
            <w:pPr>
              <w:spacing w:after="0"/>
              <w:rPr>
                <w:sz w:val="1"/>
                <w:szCs w:val="1"/>
                <w:color w:val="auto"/>
              </w:rPr>
            </w:pPr>
          </w:p>
        </w:tc>
      </w:tr>
      <w:tr>
        <w:trPr>
          <w:trHeight w:val="23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739</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(9,077 )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(9,077 )</w:t>
            </w:r>
          </w:p>
        </w:tc>
        <w:tc>
          <w:tcPr>
            <w:tcW w:w="0" w:type="dxa"/>
            <w:vAlign w:val="bottom"/>
          </w:tcPr>
          <w:p>
            <w:pPr>
              <w:spacing w:after="0"/>
              <w:rPr>
                <w:sz w:val="1"/>
                <w:szCs w:val="1"/>
                <w:color w:val="auto"/>
              </w:rPr>
            </w:pPr>
          </w:p>
        </w:tc>
      </w:tr>
      <w:tr>
        <w:trPr>
          <w:trHeight w:val="265"/>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March 31, 2024</w:t>
            </w: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5,482,752</w:t>
            </w:r>
          </w:p>
        </w:tc>
        <w:tc>
          <w:tcPr>
            <w:tcW w:w="14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827,660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(239 )</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(794,825 )</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32,601</w:t>
            </w:r>
          </w:p>
        </w:tc>
        <w:tc>
          <w:tcPr>
            <w:tcW w:w="0" w:type="dxa"/>
            <w:vAlign w:val="bottom"/>
          </w:tcPr>
          <w:p>
            <w:pPr>
              <w:spacing w:after="0"/>
              <w:rPr>
                <w:sz w:val="1"/>
                <w:szCs w:val="1"/>
                <w:color w:val="auto"/>
              </w:rPr>
            </w:pPr>
          </w:p>
        </w:tc>
      </w:tr>
      <w:tr>
        <w:trPr>
          <w:trHeight w:val="240"/>
        </w:trPr>
        <w:tc>
          <w:tcPr>
            <w:tcW w:w="3760" w:type="dxa"/>
            <w:vAlign w:val="bottom"/>
          </w:tcPr>
          <w:p>
            <w:pPr>
              <w:spacing w:after="0"/>
              <w:rPr>
                <w:sz w:val="20"/>
                <w:szCs w:val="20"/>
                <w:color w:val="auto"/>
              </w:rPr>
            </w:pPr>
          </w:p>
        </w:tc>
        <w:tc>
          <w:tcPr>
            <w:tcW w:w="192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9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108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2022</w:t>
            </w: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4,074,552</w:t>
            </w:r>
          </w:p>
        </w:tc>
        <w:tc>
          <w:tcPr>
            <w:tcW w:w="840" w:type="dxa"/>
            <w:vAlign w:val="bottom"/>
            <w:gridSpan w:val="2"/>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807,983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(803 )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(724,520 )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82,664</w:t>
            </w:r>
          </w:p>
        </w:tc>
        <w:tc>
          <w:tcPr>
            <w:tcW w:w="0" w:type="dxa"/>
            <w:vAlign w:val="bottom"/>
          </w:tcPr>
          <w:p>
            <w:pPr>
              <w:spacing w:after="0"/>
              <w:rPr>
                <w:sz w:val="1"/>
                <w:szCs w:val="1"/>
                <w:color w:val="auto"/>
              </w:rPr>
            </w:pPr>
          </w:p>
        </w:tc>
      </w:tr>
      <w:tr>
        <w:trPr>
          <w:trHeight w:val="194"/>
        </w:trPr>
        <w:tc>
          <w:tcPr>
            <w:tcW w:w="37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stock under at-the-market</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(ATM) equity offering program, net of issuance</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254,203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4,492</w:t>
            </w:r>
          </w:p>
        </w:tc>
        <w:tc>
          <w:tcPr>
            <w:tcW w:w="0" w:type="dxa"/>
            <w:vAlign w:val="bottom"/>
          </w:tcPr>
          <w:p>
            <w:pPr>
              <w:spacing w:after="0"/>
              <w:rPr>
                <w:sz w:val="1"/>
                <w:szCs w:val="1"/>
                <w:color w:val="auto"/>
              </w:rPr>
            </w:pPr>
          </w:p>
        </w:tc>
      </w:tr>
      <w:tr>
        <w:trPr>
          <w:trHeight w:val="202"/>
        </w:trPr>
        <w:tc>
          <w:tcPr>
            <w:tcW w:w="3760" w:type="dxa"/>
            <w:vAlign w:val="bottom"/>
            <w:shd w:val="clear" w:color="auto" w:fill="CEF1FE"/>
          </w:tcPr>
          <w:p>
            <w:pPr>
              <w:ind w:left="20"/>
              <w:spacing w:after="0"/>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700" w:type="dxa"/>
            <w:vAlign w:val="bottom"/>
            <w:shd w:val="clear" w:color="auto" w:fill="CEF1FE"/>
          </w:tcPr>
          <w:p>
            <w:pPr>
              <w:spacing w:after="0"/>
              <w:rPr>
                <w:sz w:val="17"/>
                <w:szCs w:val="17"/>
                <w:color w:val="auto"/>
              </w:rPr>
            </w:pPr>
          </w:p>
        </w:tc>
        <w:tc>
          <w:tcPr>
            <w:tcW w:w="30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920" w:type="dxa"/>
            <w:vAlign w:val="bottom"/>
            <w:shd w:val="clear" w:color="auto" w:fill="CEF1FE"/>
          </w:tcPr>
          <w:p>
            <w:pPr>
              <w:spacing w:after="0"/>
              <w:rPr>
                <w:sz w:val="17"/>
                <w:szCs w:val="17"/>
                <w:color w:val="auto"/>
              </w:rPr>
            </w:pPr>
          </w:p>
        </w:tc>
        <w:tc>
          <w:tcPr>
            <w:tcW w:w="10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240" w:type="dxa"/>
            <w:vAlign w:val="bottom"/>
            <w:shd w:val="clear" w:color="auto" w:fill="CEF1FE"/>
          </w:tcPr>
          <w:p>
            <w:pPr>
              <w:spacing w:after="0"/>
              <w:rPr>
                <w:sz w:val="17"/>
                <w:szCs w:val="17"/>
                <w:color w:val="auto"/>
              </w:rPr>
            </w:pPr>
          </w:p>
        </w:tc>
        <w:tc>
          <w:tcPr>
            <w:tcW w:w="10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060" w:type="dxa"/>
            <w:vAlign w:val="bottom"/>
            <w:shd w:val="clear" w:color="auto" w:fill="CEF1FE"/>
          </w:tcPr>
          <w:p>
            <w:pPr>
              <w:spacing w:after="0"/>
              <w:rPr>
                <w:sz w:val="17"/>
                <w:szCs w:val="17"/>
                <w:color w:val="auto"/>
              </w:rPr>
            </w:pPr>
          </w:p>
        </w:tc>
        <w:tc>
          <w:tcPr>
            <w:tcW w:w="10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120" w:type="dxa"/>
            <w:vAlign w:val="bottom"/>
            <w:shd w:val="clear" w:color="auto" w:fill="CEF1F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60" w:type="dxa"/>
            <w:vAlign w:val="bottom"/>
            <w:shd w:val="clear" w:color="auto" w:fill="CEF1FE"/>
          </w:tcPr>
          <w:p>
            <w:pPr>
              <w:ind w:left="20"/>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1080" w:type="dxa"/>
            <w:vAlign w:val="bottom"/>
            <w:shd w:val="clear" w:color="auto" w:fill="CEF1FE"/>
          </w:tcPr>
          <w:p>
            <w:pPr>
              <w:jc w:val="right"/>
              <w:ind w:right="38"/>
              <w:spacing w:after="0"/>
              <w:rPr>
                <w:sz w:val="20"/>
                <w:szCs w:val="20"/>
                <w:color w:val="auto"/>
              </w:rPr>
            </w:pPr>
            <w:r>
              <w:rPr>
                <w:rFonts w:ascii="Times New Roman" w:cs="Times New Roman" w:eastAsia="Times New Roman" w:hAnsi="Times New Roman"/>
                <w:sz w:val="17"/>
                <w:szCs w:val="17"/>
                <w:color w:val="auto"/>
              </w:rPr>
              <w:t>5,820</w:t>
            </w:r>
          </w:p>
        </w:tc>
        <w:tc>
          <w:tcPr>
            <w:tcW w:w="140" w:type="dxa"/>
            <w:vAlign w:val="bottom"/>
            <w:shd w:val="clear" w:color="auto" w:fill="CEF1FE"/>
          </w:tcPr>
          <w:p>
            <w:pPr>
              <w:spacing w:after="0"/>
              <w:rPr>
                <w:sz w:val="20"/>
                <w:szCs w:val="20"/>
                <w:color w:val="auto"/>
              </w:rPr>
            </w:pPr>
          </w:p>
        </w:tc>
        <w:tc>
          <w:tcPr>
            <w:tcW w:w="700" w:type="dxa"/>
            <w:vAlign w:val="bottom"/>
            <w:shd w:val="clear" w:color="auto" w:fill="CEF1FE"/>
          </w:tcPr>
          <w:p>
            <w:pPr>
              <w:spacing w:after="0"/>
              <w:rPr>
                <w:sz w:val="20"/>
                <w:szCs w:val="20"/>
                <w:color w:val="auto"/>
              </w:rPr>
            </w:pPr>
          </w:p>
        </w:tc>
        <w:tc>
          <w:tcPr>
            <w:tcW w:w="300" w:type="dxa"/>
            <w:vAlign w:val="bottom"/>
            <w:shd w:val="clear" w:color="auto" w:fill="CEF1FE"/>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92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240" w:type="dxa"/>
            <w:vAlign w:val="bottom"/>
            <w:shd w:val="clear" w:color="auto" w:fill="CEF1FE"/>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060" w:type="dxa"/>
            <w:vAlign w:val="bottom"/>
            <w:shd w:val="clear" w:color="auto" w:fill="CEF1FE"/>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12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gain on marketable debt securities</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33"/>
        </w:trPr>
        <w:tc>
          <w:tcPr>
            <w:tcW w:w="3760" w:type="dxa"/>
            <w:vAlign w:val="bottom"/>
            <w:shd w:val="clear" w:color="auto" w:fill="CEF1FE"/>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shd w:val="clear" w:color="auto" w:fill="CEF1FE"/>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EF1FE"/>
          </w:tcPr>
          <w:p>
            <w:pPr>
              <w:spacing w:after="0"/>
              <w:rPr>
                <w:sz w:val="20"/>
                <w:szCs w:val="20"/>
                <w:color w:val="auto"/>
              </w:rPr>
            </w:pPr>
          </w:p>
        </w:tc>
        <w:tc>
          <w:tcPr>
            <w:tcW w:w="700" w:type="dxa"/>
            <w:vAlign w:val="bottom"/>
            <w:shd w:val="clear" w:color="auto" w:fill="CEF1FE"/>
          </w:tcPr>
          <w:p>
            <w:pPr>
              <w:spacing w:after="0"/>
              <w:rPr>
                <w:sz w:val="20"/>
                <w:szCs w:val="20"/>
                <w:color w:val="auto"/>
              </w:rPr>
            </w:pPr>
          </w:p>
        </w:tc>
        <w:tc>
          <w:tcPr>
            <w:tcW w:w="300" w:type="dxa"/>
            <w:vAlign w:val="bottom"/>
            <w:shd w:val="clear" w:color="auto" w:fill="CEF1FE"/>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92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240" w:type="dxa"/>
            <w:vAlign w:val="bottom"/>
            <w:shd w:val="clear" w:color="auto" w:fill="CEF1FE"/>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060" w:type="dxa"/>
            <w:vAlign w:val="bottom"/>
            <w:shd w:val="clear" w:color="auto" w:fill="CEF1FE"/>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12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1,837</w:t>
            </w:r>
          </w:p>
        </w:tc>
        <w:tc>
          <w:tcPr>
            <w:tcW w:w="0" w:type="dxa"/>
            <w:vAlign w:val="bottom"/>
          </w:tcPr>
          <w:p>
            <w:pPr>
              <w:spacing w:after="0"/>
              <w:rPr>
                <w:sz w:val="1"/>
                <w:szCs w:val="1"/>
                <w:color w:val="auto"/>
              </w:rPr>
            </w:pP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(18,950 )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(18,950 )</w:t>
            </w:r>
          </w:p>
        </w:tc>
        <w:tc>
          <w:tcPr>
            <w:tcW w:w="0" w:type="dxa"/>
            <w:vAlign w:val="bottom"/>
          </w:tcPr>
          <w:p>
            <w:pPr>
              <w:spacing w:after="0"/>
              <w:rPr>
                <w:sz w:val="1"/>
                <w:szCs w:val="1"/>
                <w:color w:val="auto"/>
              </w:rPr>
            </w:pPr>
          </w:p>
        </w:tc>
      </w:tr>
      <w:tr>
        <w:trPr>
          <w:trHeight w:val="265"/>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March 31, 2023</w:t>
            </w: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4,334,575</w:t>
            </w:r>
          </w:p>
        </w:tc>
        <w:tc>
          <w:tcPr>
            <w:tcW w:w="14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814,312</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(513 )</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(743,470 )</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70,333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-1960245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-1943100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-1960245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-1943100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-1960245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-1943100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-1960245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-1943100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-1960245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-1943100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3"/>
        </w:trPr>
        <w:tc>
          <w:tcPr>
            <w:tcW w:w="8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(18,950 )</w:t>
            </w:r>
          </w:p>
        </w:tc>
      </w:tr>
      <w:tr>
        <w:trPr>
          <w:trHeight w:val="247"/>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r>
      <w:tr>
        <w:trPr>
          <w:trHeight w:val="247"/>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1,835</w:t>
            </w:r>
          </w:p>
        </w:tc>
      </w:tr>
      <w:tr>
        <w:trPr>
          <w:trHeight w:val="238"/>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accretion of investments in marketable debt securities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7"/>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rent expense</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855</w:t>
            </w:r>
          </w:p>
        </w:tc>
      </w:tr>
      <w:tr>
        <w:trPr>
          <w:trHeight w:val="238"/>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(1,598 )</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(1,269 )</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(4,161 )</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 from a related party</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(918 )</w:t>
            </w: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(18,364 )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(23,428 )</w:t>
            </w:r>
          </w:p>
        </w:tc>
      </w:tr>
      <w:tr>
        <w:trPr>
          <w:trHeight w:val="243"/>
        </w:trPr>
        <w:tc>
          <w:tcPr>
            <w:tcW w:w="8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r>
      <w:tr>
        <w:trPr>
          <w:trHeight w:val="247"/>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2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(3,714 )</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17,272</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8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8"/>
        </w:trPr>
        <w:tc>
          <w:tcPr>
            <w:tcW w:w="82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common stock under ATM equity offering program, net of issuance costs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4,492</w:t>
            </w: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4,492</w:t>
            </w:r>
          </w:p>
        </w:tc>
      </w:tr>
      <w:tr>
        <w:trPr>
          <w:trHeight w:val="243"/>
        </w:trPr>
        <w:tc>
          <w:tcPr>
            <w:tcW w:w="8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(8,936 )</w:t>
            </w: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19,841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52,418</w:t>
            </w:r>
          </w:p>
        </w:tc>
      </w:tr>
      <w:tr>
        <w:trPr>
          <w:trHeight w:val="278"/>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18,749</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-1437640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-812800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Assembly Biosciences, Inc. (together with its subsidiaries, Assembly or the Company), incorporated in Delaware in October 2005, is a biotechnology company developing innovative therapeutics. The Company's pipeline includes two helicase-primase inhibitors (HPI) targeting recurrent genital herpes, an orally bioavailable hepatitis delta virus (HDV) entry inhibitor, a clinical stage capsid assembly modulator candidate designed to disrupt the replication cycle of hepatitis B virus (HBV) and research programs focused on a non-nucleoside polymerase inhibitor (NNPI) targeting transplant-related herpesviruses and a small molecule interferon-α (IFN-α) receptor (IFNAR) agonist targeting HBV and HDV. The Company operates in one segment and is headquartered in South San Francisco, California.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2023, which are contained in the 2023 Annual Report. The results for the three months ended March 31, 2024 are not necessarily indicative of results to be expected for the entire year ending December 31, 2024 or future operating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Significant estimates inherent in the preparation of the accompanying unaudited condensed consolidated financial statements include estimates for revenue recognition and costs incurred but not yet invoiced for research and development accruals.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U.S. and global financial markets have experienced volatility and disruption due to macroeconomic and geopolitical events such as rising inflation, rising interest rates to combat inflation, the risk of a recession, the war between Russia and Ukraine and the Israel-Hamas war. The Company cannot predict at this time to what extent, if at all, it and its employees, CROs, vendors and/or collaborators could potentially be negatively impacted by these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the Company received a letter from the Listing Qualifications Department of the Nasdaq Stock Market notifying the Company, as the bid price for its common stock had closed below $1.00 per share for the last 30 consecutive business days, it was not in compliance with Nasdaq Listing Rule 5450(a)(1), which is the minimum bid price requirement for continued listing on the Nasdaq Global Select Market. In accordance with Nasdaq Listing Rule 5810(c)(3)(A), the Company was provided a 180-calendar day period, or until March 25, 2024, to regain compliance with the minimum bid price requirement. The continued listing standard would be met once the closing bid price of the Company’s common stock was at least $1.00 per share for a minimum of ten consecutive business days during the 180-calendar day period. In January 2024, the Company's stockholders approved a reverse stock split of its common stock at a range of ratios between 1-for-7 to 1-for-17, and the Company's board of directors approved the implementation of the reverse stock split at a ratio of 1-for-12 (the Reverse Stock Split). The Reverse Stock Split was effective as of February 9, 2024 and the Company regained compliance with the minimum bid price requirement in February 2024.</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effective time of the Reverse Stock Split, every 12 issued and outstanding shares of the Company’s common stock was automatically reclassified into one issued and outstanding share of the Company’s common stock. This reduced the number of shares outstanding from 65.8 million shares to 5.5 million shares. The Reverse Stock Split did not affect the number of authorized shares of common stock or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prior period share and per share amounts of the Company's common stock presented have been retroactively adjusted to reflect the 1-for-12 Reverse Stock Split, including reclassifying an amount equal to the reduction in par value of common stock to additional paid-in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spacing w:after="0" w:line="1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net loss per common share computations is as follows (in thousands, except for share and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9"/>
        </w:trPr>
        <w:tc>
          <w:tcPr>
            <w:tcW w:w="5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(9,077 )</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(18,950 )</w:t>
            </w:r>
          </w:p>
        </w:tc>
      </w:tr>
      <w:tr>
        <w:trPr>
          <w:trHeight w:val="20"/>
        </w:trPr>
        <w:tc>
          <w:tcPr>
            <w:tcW w:w="5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0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5,483,313</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4,251,037</w:t>
            </w:r>
          </w:p>
        </w:tc>
      </w:tr>
      <w:tr>
        <w:trPr>
          <w:trHeight w:val="20"/>
        </w:trPr>
        <w:tc>
          <w:tcPr>
            <w:tcW w:w="5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(4.46 )</w:t>
            </w:r>
          </w:p>
        </w:tc>
      </w:tr>
      <w:tr>
        <w:trPr>
          <w:trHeight w:val="863"/>
        </w:trPr>
        <w:tc>
          <w:tcPr>
            <w:tcW w:w="5240" w:type="dxa"/>
            <w:vAlign w:val="bottom"/>
          </w:tcPr>
          <w:p>
            <w:pPr>
              <w:spacing w:after="0"/>
              <w:rPr>
                <w:sz w:val="24"/>
                <w:szCs w:val="24"/>
                <w:color w:val="auto"/>
              </w:rPr>
            </w:pPr>
          </w:p>
        </w:tc>
        <w:tc>
          <w:tcPr>
            <w:tcW w:w="20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2"/>
        </w:trPr>
        <w:tc>
          <w:tcPr>
            <w:tcW w:w="52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excluded from the computation of diluted net loss per share because including them would have been antidilutive are as follows:</w:t>
      </w:r>
    </w:p>
    <w:p>
      <w:pPr>
        <w:spacing w:after="0" w:line="17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16510</wp:posOffset>
            </wp:positionV>
            <wp:extent cx="2568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7"/>
              </w:rPr>
              <w:t>1,026,696</w:t>
            </w:r>
          </w:p>
        </w:tc>
        <w:tc>
          <w:tcPr>
            <w:tcW w:w="2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876,272</w:t>
            </w:r>
          </w:p>
        </w:tc>
      </w:tr>
      <w:tr>
        <w:trPr>
          <w:trHeight w:val="23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subject to purchase under Employee Stock Purchase Plan</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7,545</w:t>
            </w:r>
          </w:p>
        </w:tc>
        <w:tc>
          <w:tcPr>
            <w:tcW w:w="21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7,740</w:t>
            </w:r>
          </w:p>
        </w:tc>
      </w:tr>
      <w:tr>
        <w:trPr>
          <w:trHeight w:val="247"/>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0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103,752</w:t>
            </w:r>
          </w:p>
        </w:tc>
        <w:tc>
          <w:tcPr>
            <w:tcW w:w="26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143,110</w:t>
            </w:r>
          </w:p>
        </w:tc>
      </w:tr>
      <w:tr>
        <w:trPr>
          <w:trHeight w:val="23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1,137,993</w:t>
            </w:r>
          </w:p>
        </w:tc>
        <w:tc>
          <w:tcPr>
            <w:tcW w:w="21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1,027,122</w:t>
            </w:r>
          </w:p>
        </w:tc>
      </w:tr>
      <w:tr>
        <w:trPr>
          <w:trHeight w:val="20"/>
        </w:trPr>
        <w:tc>
          <w:tcPr>
            <w:tcW w:w="7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-187960</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the Company entered into an Option, License and Collaboration agreement (the Gilead Collaboration Agreement), and a Common Stock Purchase Agreement and an Investor Rights Agreement (collectively, the Gilead Equity Agreements) under which it received total proceeds of $100.0 million from Gilead Sciences, Inc. (Gilead). During the three months ended March 31, 2024, the Company recognized $5.8 million of collaboration revenue under the Gilead Collaboration Agreement (see Note 8). As of March 31, 2024, Gilead held 19.9% of the Company's outstanding voting common stock. Additionally, Gilead may, at the Company’s or Gilead's option, subject to certain conditions, purchase additional shares to increase its holdings up to a maximum of 29.9% of the Company's then-outstanding voting common stock. Under the Investor Rights Agreement, Gilead has the right to designate two directors to the Company's board of directors. The Company appointed each of Gilead's designees to its board of directors in December 2023 and February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and Investments in Marketable Securities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uses the following three-level hierarchy that maximizes the use of observable inputs and minimizes the use of unobservable inputs to value its financial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unadjusted quoted prices in active markets for identical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Quoted prices for similar instruments that are directly or indirectly observable in the marketplace.</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18,110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18,110</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18,110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18,110</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17,764</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17,776</w:t>
            </w: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60,471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60,485</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15,958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15,966</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94,193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94,227</w:t>
            </w:r>
          </w:p>
        </w:tc>
        <w:tc>
          <w:tcPr>
            <w:tcW w:w="0" w:type="dxa"/>
            <w:vAlign w:val="bottom"/>
          </w:tcPr>
          <w:p>
            <w:pPr>
              <w:spacing w:after="0"/>
              <w:rPr>
                <w:sz w:val="1"/>
                <w:szCs w:val="1"/>
                <w:color w:val="auto"/>
              </w:rPr>
            </w:pPr>
          </w:p>
        </w:tc>
      </w:tr>
      <w:tr>
        <w:trPr>
          <w:trHeight w:val="27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112,303</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112,337</w:t>
            </w:r>
          </w:p>
        </w:tc>
        <w:tc>
          <w:tcPr>
            <w:tcW w:w="0" w:type="dxa"/>
            <w:vAlign w:val="bottom"/>
          </w:tcPr>
          <w:p>
            <w:pPr>
              <w:spacing w:after="0"/>
              <w:rPr>
                <w:sz w:val="1"/>
                <w:szCs w:val="1"/>
                <w:color w:val="auto"/>
              </w:rPr>
            </w:pPr>
          </w:p>
        </w:tc>
      </w:tr>
      <w:tr>
        <w:trPr>
          <w:trHeight w:val="848"/>
        </w:trPr>
        <w:tc>
          <w:tcPr>
            <w:tcW w:w="53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105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-2019935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-2019935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-2019935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-1395095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-1395095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-1395095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-1069975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-1052830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-1069975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-1052830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-1069975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-1052830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18,982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17,595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17,633</w:t>
            </w: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76,891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77,018</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15,755</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110,214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110,406</w:t>
            </w:r>
          </w:p>
        </w:tc>
        <w:tc>
          <w:tcPr>
            <w:tcW w:w="0" w:type="dxa"/>
            <w:vAlign w:val="bottom"/>
          </w:tcPr>
          <w:p>
            <w:pPr>
              <w:spacing w:after="0"/>
              <w:rPr>
                <w:sz w:val="1"/>
                <w:szCs w:val="1"/>
                <w:color w:val="auto"/>
              </w:rPr>
            </w:pP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129,196</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-975360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-975360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-350520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-350520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-350520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realized gains and losses for the three months ended March 31, 2024 and 2023. As of March 31, 2024 and 2023,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condensed consolidated balance sheets during the three months ended March 31, 2024 and 2023.</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Accrued interest receivable was $0.3 million as of March 31, 2024 and December 31, 2023 and was recorded in prepaid expenses and other current assets on the condensed consolidated balance sheets. The Company did not write off any accrued interest receivable during the three months ended March 31, 2024 and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measured at fair value on a recurring basis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18,110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18,110</w:t>
            </w: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18,110</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18,110</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17,776</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17,776</w:t>
            </w: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60,485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60,485</w:t>
            </w: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15,966</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15,966</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94,227</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94,227</w:t>
            </w: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18,110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94,227</w:t>
            </w:r>
          </w:p>
        </w:tc>
        <w:tc>
          <w:tcPr>
            <w:tcW w:w="1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112,337</w:t>
            </w:r>
          </w:p>
        </w:tc>
      </w:tr>
      <w:tr>
        <w:trPr>
          <w:trHeight w:val="376"/>
        </w:trPr>
        <w:tc>
          <w:tcPr>
            <w:tcW w:w="5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69"/>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18,982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18,982</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corporate debt securities</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17,633</w:t>
            </w: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77,018</w:t>
            </w: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and foreign commercial paper</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15,755</w:t>
            </w: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110,406</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110,406</w:t>
            </w:r>
          </w:p>
        </w:tc>
      </w:tr>
      <w:tr>
        <w:trPr>
          <w:trHeight w:val="27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110,406</w:t>
            </w:r>
          </w:p>
        </w:tc>
        <w:tc>
          <w:tcPr>
            <w:tcW w:w="1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-2799080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-2799080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-2799080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-2174240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-2174240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-2174240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-1849120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-1831975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-1849120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-1831975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-1849120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-1831975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-975360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-975360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-975360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-350520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-350520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-350520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11" w:name="page12"/>
    <w:bookmarkEnd w:id="11"/>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investments during the periods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Accrued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20" w:type="dxa"/>
            <w:vAlign w:val="bottom"/>
          </w:tcPr>
          <w:p>
            <w:pPr>
              <w:spacing w:after="0"/>
              <w:rPr>
                <w:sz w:val="16"/>
                <w:szCs w:val="16"/>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3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30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5,484</w:t>
            </w: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13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260</w:t>
            </w:r>
          </w:p>
        </w:tc>
      </w:tr>
      <w:tr>
        <w:trPr>
          <w:trHeight w:val="24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30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5,744</w:t>
            </w:r>
          </w:p>
        </w:tc>
      </w:tr>
      <w:tr>
        <w:trPr>
          <w:trHeight w:val="20"/>
        </w:trPr>
        <w:tc>
          <w:tcPr>
            <w:tcW w:w="7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-187960</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Sale of Common Stock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Company entered into a sales agreement under which the Company may offer and sell shares of its common stock having an aggregate offering price of up to $100.0 million through “at-the-market” offerings (2020 ATM), pursuant to its shelf registration statement on Form S-3 on file with the SEC. The Company did not sell any shares of common stock under the 2020 ATM during the three months ended March 31, 2024. During the three months ended March 31, 2023, the Company sold 254,203 shares of common stock under the 2020 ATM, for which the Company received net proceeds of $4.5 million, after deducting commissions, fees and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components of total stock-based compensation expense included in the condensed consolidated statements of operations and comprehensive loss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60" w:type="dxa"/>
            <w:vAlign w:val="bottom"/>
            <w:tcBorders>
              <w:bottom w:val="single" w:sz="8" w:color="auto"/>
            </w:tcBorders>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354</w:t>
            </w:r>
          </w:p>
        </w:tc>
        <w:tc>
          <w:tcPr>
            <w:tcW w:w="112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910</w:t>
            </w:r>
          </w:p>
        </w:tc>
      </w:tr>
      <w:tr>
        <w:trPr>
          <w:trHeight w:val="23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925</w:t>
            </w:r>
          </w:p>
        </w:tc>
      </w:tr>
      <w:tr>
        <w:trPr>
          <w:trHeight w:val="276"/>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-24765</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1543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March 31, 2024, there was $4.2 million of total unrecognized stock-based compensation related to outstanding equity awards, which is expected to be recognized over a weighted average remaining amortization period of 1.9 years.</w:t>
      </w:r>
    </w:p>
    <w:p>
      <w:pPr>
        <w:spacing w:after="0" w:line="13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fair value of stock options granted during the periods indicated was estimated using the Black-Scholes option pricing model, based on the following assumptions: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74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Borders>
              <w:bottom w:val="single" w:sz="8" w:color="auto"/>
            </w:tcBorders>
          </w:tcPr>
          <w:p>
            <w:pPr>
              <w:spacing w:after="0"/>
              <w:rPr>
                <w:sz w:val="16"/>
                <w:szCs w:val="16"/>
                <w:color w:val="auto"/>
              </w:rPr>
            </w:pPr>
          </w:p>
        </w:tc>
      </w:tr>
      <w:tr>
        <w:trPr>
          <w:trHeight w:val="169"/>
        </w:trPr>
        <w:tc>
          <w:tcPr>
            <w:tcW w:w="3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4"/>
                <w:szCs w:val="14"/>
                <w:color w:val="auto"/>
              </w:rPr>
            </w:pPr>
          </w:p>
        </w:tc>
        <w:tc>
          <w:tcPr>
            <w:tcW w:w="234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980" w:type="dxa"/>
            <w:vAlign w:val="bottom"/>
            <w:gridSpan w:val="2"/>
            <w:shd w:val="clear" w:color="auto" w:fill="CFF0FC"/>
          </w:tcPr>
          <w:p>
            <w:pPr>
              <w:jc w:val="center"/>
              <w:ind w:left="2530"/>
              <w:spacing w:after="0"/>
              <w:rPr>
                <w:sz w:val="20"/>
                <w:szCs w:val="20"/>
                <w:color w:val="auto"/>
              </w:rPr>
            </w:pPr>
            <w:r>
              <w:rPr>
                <w:rFonts w:ascii="Times New Roman" w:cs="Times New Roman" w:eastAsia="Times New Roman" w:hAnsi="Times New Roman"/>
                <w:sz w:val="18"/>
                <w:szCs w:val="18"/>
                <w:color w:val="auto"/>
                <w:w w:val="96"/>
              </w:rPr>
              <w:t>$13.30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$18.36</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98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color w:val="auto"/>
                <w:w w:val="99"/>
              </w:rPr>
              <w:t>80.4% - 86.9%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- 82.8%</w:t>
            </w: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980" w:type="dxa"/>
            <w:vAlign w:val="bottom"/>
            <w:gridSpan w:val="2"/>
            <w:shd w:val="clear" w:color="auto" w:fill="CFF0FC"/>
          </w:tcPr>
          <w:p>
            <w:pPr>
              <w:jc w:val="center"/>
              <w:ind w:left="2530"/>
              <w:spacing w:after="0"/>
              <w:rPr>
                <w:sz w:val="20"/>
                <w:szCs w:val="20"/>
                <w:color w:val="auto"/>
              </w:rPr>
            </w:pPr>
            <w:r>
              <w:rPr>
                <w:rFonts w:ascii="Times New Roman" w:cs="Times New Roman" w:eastAsia="Times New Roman" w:hAnsi="Times New Roman"/>
                <w:sz w:val="18"/>
                <w:szCs w:val="18"/>
                <w:color w:val="auto"/>
              </w:rPr>
              <w:t>4.16%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- 4.00%</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98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color w:val="auto"/>
                <w:w w:val="99"/>
              </w:rPr>
              <w:t>5.5 - 7.0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980" w:type="dxa"/>
            <w:vAlign w:val="bottom"/>
            <w:gridSpan w:val="2"/>
            <w:shd w:val="clear" w:color="auto" w:fill="CFF0FC"/>
          </w:tcPr>
          <w:p>
            <w:pPr>
              <w:jc w:val="center"/>
              <w:ind w:left="2530"/>
              <w:spacing w:after="0"/>
              <w:rPr>
                <w:sz w:val="20"/>
                <w:szCs w:val="20"/>
                <w:color w:val="auto"/>
              </w:rPr>
            </w:pPr>
            <w:r>
              <w:rPr>
                <w:rFonts w:ascii="Times New Roman" w:cs="Times New Roman" w:eastAsia="Times New Roman" w:hAnsi="Times New Roman"/>
                <w:sz w:val="18"/>
                <w:szCs w:val="18"/>
                <w:color w:val="auto"/>
                <w:w w:val="99"/>
              </w:rPr>
              <w:t>0%</w:t>
            </w:r>
          </w:p>
        </w:tc>
        <w:tc>
          <w:tcPr>
            <w:tcW w:w="2600" w:type="dxa"/>
            <w:vAlign w:val="bottom"/>
            <w:gridSpan w:val="3"/>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0%</w:t>
            </w:r>
          </w:p>
        </w:tc>
      </w:tr>
      <w:tr>
        <w:trPr>
          <w:trHeight w:val="863"/>
        </w:trPr>
        <w:tc>
          <w:tcPr>
            <w:tcW w:w="3660" w:type="dxa"/>
            <w:vAlign w:val="bottom"/>
          </w:tcPr>
          <w:p>
            <w:pPr>
              <w:spacing w:after="0"/>
              <w:rPr>
                <w:sz w:val="24"/>
                <w:szCs w:val="24"/>
                <w:color w:val="auto"/>
              </w:rPr>
            </w:pPr>
          </w:p>
        </w:tc>
        <w:tc>
          <w:tcPr>
            <w:tcW w:w="2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w:t>
            </w: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62"/>
        </w:trPr>
        <w:tc>
          <w:tcPr>
            <w:tcW w:w="36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Collaboration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Gilead Agreement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have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the Company’s programs,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concluded Gilead is a customer and accordingly, the Gilead Collaboration Agreement is within the scope of the revenue from contracts with customers guidance. The Company identified a single combined performance obligation for the discovery, research and development services during the collaboration term (the R&amp;D Services). As of March 31, 2024, the total transaction price of the Gilead Collaboration Agreement was determined to be $90.7 million. The Company will reevaluate the transaction price in each reporting period as uncertain events are resolved or other changes in circumstances occur.</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transaction price is reflected as collaboration revenue when realized in the Company’s condensed consolidated statements of operations. The Company will recognize revenue over time using a cost-based input method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recognized collaboration revenue of $5.8 million during the three months ended March 31, 2024. The transaction price for future collaborative activities was recorded as deferred revenue on the condensed consolidated balance sheet as of March 31, 2024, of which $32.8 million was short-term and $47.7 million was long-term. During the three months ended March 31, 2024, the Company incurred $0.2 million in reimbursable expenses due to Gilead.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86,294</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(5,785 )</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80,509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7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Collaboration revenue recognized in the period from</w:t>
            </w: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5,785</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Arbutus Biopharma Agreement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vebicorvir (VBR), AB-729 and a nucleos(t)ide analog reverse transcriptase inhibitor (NrtI) compared to the double combinations of VBR with a NrtI and AB-729 with a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Biopharma reimbursing Assembly its share of expenses. In February 2023, Assembly and Arbutus Biopharma decided to terminate the Phase 2 clinical trial early, at the end of the 48-week on-treatment period, and are in the process of completing the final reconciliation of costs.</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Reimbursements and cost-sharing portions from Arbutus Biopharma are reflected as a reduction of research and development expense when realized in the Company’s condensed consolidated statements of operations. There were no costs incurred under the Arbutus Biopharma Agreement during the three months ended March 31, 2024. During the three months ended March 31, 2023, the Company recognized a reduction of research and development expenses of $0.6 million under the Arbutus Biopharma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Milestones and Research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HBV Research Agreement with Indiana University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September 2013, the Company was party to an exclusive License Agreement dated September 3, 2013 with Indiana University Research and Technology Corporation (IURTC) from whom it licensed aspects of the Company’s HBV program held by IURTC. The license agreement required the Company to make milestone payments based upon the successful accomplishment of clinical and regulatory milestones. The aggregate amount of all performance milestone payments under the IURTC license agreement, if all milestones through development were met, was $0.8 million, with a portion having been paid. The Company was obligated to pay IURTC royalty payments based on net sales of the licensed technology as well as a portion of any sublicensing revenue Assembly received. The Company was also required to pay diligence maintenance fees each year to the extent that the royalty, sublicensing, and milestone payments to IURTC were less than such fees for that year. In February 2024, following its decision to discontinue further development or partnering for ABI-H3733, the Company terminated the IURTC license agreement, which became effective April 2024. The Company paid IURTC $0.1 million in diligence maintenance fees during both the three months ended March 31, 2024 and 2023.</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2023 and the related Management’s Discussion and Analysis of Financial Condition and Results of Operations, both of which are contained in our Annual Report on Form 10-K for the fiscal year ended December 31, 2023 filed with the U.S. Securities and Exchange Commission on March 28, 2024 (2023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2023 Annual Report and “Part II. Item 1A. Risk Factors”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biotechnology company developing innovative therapeutics targeting serious viral diseases with the potential to improve the lives of patients worldwide. Our pipeline includes two helicase-primase inhibitors (HPI) targeting recurrent genital herpes, an orally bioavailable hepatitis delta virus (HDV) entry inhibitor, a clinical stage capsid assembly modulator (CAM) designed to disrupt the replication cycle of hepatitis B virus (HBV) and research programs focused on a non-nucleoside polymerase inhibitor (NNPI) targeting transplant-related herpesviruses and a small molecule interferon-α (IFN-α) receptor (IFNAR) agonist targeting HBV and HDV.</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 and CTA-Enabling Programs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four of our programs to initiate clinical studies in 2024. By mid-year, we expect to initiate the Phase 1a portion of a Phase 1a/1b study of ABI-5366 (5366), a long-acting HPI for recurrent genital herpes and a Phase 1b study of ABI-4334 (4334), a highly potent, next-generation CAM for chronic HBV infection. By the end of the year, we expect to initiate: the Phase 1b portion of the Phase 1a/1b study of 5366; a Phase 1a study of ABI-6250 (6250), an orally bioavailable HDV entry inhibitor; and a Phase 1a study of ABI-1179 (1179), a long-acting HPI for recurrent genital herpes contributed by Gilead Sciences, Inc. (Gilead) through the Gilead Collaboration (as defined below).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Recurrent Genital Herpes/HSV-1 and HSV-2</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patient’s life and periodically reactivate, with the virus spreading and replicating in epithelial tissues. Initial infection can be asymptomatic or can be marked by symptoms, including localized pain and painful lesions. Genital herpes recurrence is common and can cause painful genital lesions that can lead to increased transmission and debilitate patients, and symptoms may become more serious with additional episodes. Additional complications include increased risk of HIV infection, as well as associated psychological stress and isolationary thoughts, depression and suicidal ideation. Immunocompromised patients may experience more severe and prolonged symptoms due to increased recurrence rates. While genital herpes can be caused by either HSV-1 or HSV-2, recurrences are more likely to be experienced by patients infected by HSV-2.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HPIs are antiviral agents in development for HSV-1 and HSV-2, with a clinically-validated mechanism of action. HPIs inhibit the HSV helicase-primase complex, which is a unique viral enzyme complex without a human homolog, consisting of helicase, primase and cofactor subunits. Both of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50% of individuals with initial symptomatic genital herpes infection have three or more recurrences per year, including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 w:name="page16"/>
    <w:bookmarkEnd w:id="15"/>
    <w:p>
      <w:pPr>
        <w:spacing w:after="0" w:line="15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recurrent genital herpes patients with six or more recurrences per year are able to make it through a year of treatment without a recurrence. There are still high titer (greater than 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HSV-2 DNA copies/mL) shedding episodes under this current standard of care for recurrent genital herpes, which can lead to recurrent episodes and transmission of genital herpes.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limitations of current therapies, we see a path to advancing the treatment paradigm for patients suffering from recurrent genital herpes. To reach that goal, we identified an opportunity to develop a potent, long-acting HPI for recurrent genital herpes, 5366, which has demonstrated a strong nonclinical profile, with low nanomolar potency in vitro against both HSV-1 and HSV-2 clinical isolates, exceptionally low plasma clearance rates in multiple nonclinical models and a projected human half-life of more than seven days. This nonclinical profile has led us to target 5366 for development as a long-acting treatment with the potential to be administered orally or as an injectable.</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 date, 5366 has demonstrated a favorable nonclinical safety profile in Good Laboratory Practice (GLP) toxicology studies, with high safety margins and minimal potential for off-target effects. During the first quarter of 2024, we filed a CTA to support initiation of Phase 1a/1b clinical studies, which was approved in April 2024. We expect to initiate a Phase 1a/1b clinical study by mid-2024. Interim Phase 1a data is expected in the third quarter of 2024 and interim Phase 1b data is expected in the first half of 2025.</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we are also advancing 1179, a structurally-differentiated HPI with single digit nM potency against HSV-1 and HSV-2 and a nonclinical pharmacokinetics (PK) profile strongly supporting a potential long-acting treatment by oral and injectable administration. GLP toxicology studies are underway and clinical studies are expected to begin by the end of 2024. We acquired rights to 1179, Gilead’s HPI program, as part of the Gilead Collaboration in October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HBV and HDV</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of the 254 million people living with chronic HBV infection, only approximately 33 million, or 13%, were aware of their infection, and only approximately 7 million, or 3% receiving treatment. HBV is a highly prevalent disease that infects almost three times the number of people infected with hepatitis C virus and HIV infections combined, according to the WHO.</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HDV is a “satellite virus,”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the European Union (EU). HDV is known to accelerate disease progression and increase the incidence of liver cirrhosis and liver cancer, which results in higher morbidity and mortality rates than HBV alone.</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current standard of care treatment for HDV is off-label pegylated IFN-α injected weekly or, in some regions, a large, complex molecule that requires daily injections. There are no approved HDV treatments in the United States, and there is only one approved HDV treatment in the EU. We believe a safe and effective oral small molecule entry inhibitor would be a significant innovation for patients living with HDV, which face a significant and immediate disease burden.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HDV Entry Inhibitor Program</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inhibition of HBV and HDV infection by molecules that bind NTCP has been demonstrated in vitro, in animal models and clinically. Notably, bulevirtide, a peptide blocker of NTCP, is the only approved therapy for HDV (approved in the EU).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a safe and effective oral small molecule entry inhibitor would be a significant innovation for patients living with HDV and could significantly improve treatment uptake and diagnosis rates, especially when compared with currently available injectable products.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September 2023, we nominated 6250, a novel, orally bioavailable small molecule approach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w:t>
      </w:r>
    </w:p>
    <w:p>
      <w:pPr>
        <w:spacing w:after="0" w:line="14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At the European Association for the Study of the Liver's International Liver Congress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June 2023 and the International HBV Meeting in September 2023, we presented nonclinical characterization of the potencies and properties of our novel class of highly potent, small molecule, orally-bioavailable entry inhibitors. We expect to initiate Phase 1a clinical studies of 6250 by the end of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 Assembly Modulator Program</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which makes molecules that can modulate cccDNA generation or disrupt its function highly sought after in the HBV field. As a result, we have worked to discover and develop compounds targeting the core protein, a viral protein involved in numerous aspects of the HBV replication cycle, including the generation of HBV cccDNA.</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next-generation CAM, 4334 has been optimized to potently disrupt viral replication (MOA #1) and prevent the establishment and replenishment of new cccDNA (MOA #2). In contrast, while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 Phase 1a study demonstrated that 4334 was well tolerated when administered orally as single or multiple doses. In addition, the PK data supports 4334 as a once daily oral therapy and predicts best in class activity against both MOA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#1 and MOA #2. During the first quarter of 2024, we filed a CTA to support initiation of a Phase 1b clinical study, which was approved in April 2024, and we expect to initiate the Phase 1b clinical study of 4334 by mid-2024.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Transplant-Associated Herpesviruses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2022, in connection with our announcement of our HPI program, we also introduced our NNPI research program, targeting transplant-associated herpesviruses. In a transplant setting, when people are experiencing immunosuppression, they are at high risk of uncontrolled viral replication and severe disease brought on by one or more herpesviruses, including cytomegalovirus (CMV), HSV-1, HSV-2 and varicella zoster virus (VZV). Each of these herpesviruses are highly prevalent, as approximately (1) 60% of people receiving transplants are CMV-positive; (2) 60% of people receiving transplants are HSV-positive; and (3) 80% of people receiving transplants are VZV-positive. These viruses establish lifelong latent infections and frequently reactivate in people receiving transplants due to the use of immunosuppressive drugs following the transplant. These uncontrolled viral infections increase the risk of severe disease and serious complications, including organ rejection, graft loss and death, and impacted approximately 60,000 people receiving transplants in 2018 in the United States and EU4/UK.</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there are approved antivirals that are administered in a transplant setting, currently approved antivirals are not broad spectrum and pose the risk of potentially serious side effects and drug-drug interactions. As a result of these limitations, we identified an opportunity to develop a potent oral pan-herpes NNPI for these transplant-associated herpesvirus infections, which could greatly advance treatment. Our research team has discovered multiple chemical series of potent, broad-spectrum herpesvirus polymerase inhibitors. In addition, Gilead exclusively licensed us its NNPI program, and we believe the combined effort will accelerate candidate nomination and enhance our chance of clinical success.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IFNAR Agonist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we introduced our new research program advancing a novel, small molecule IFNAR agonist designed to selectively activate the IFN-α pathway within the liver and offer the convenience of oral dosing. IFN-α is a subcutaneous injectable immune modulatory therapy approved for HBV that has demonstrated functional cure in some HBV infected people,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By focusing exposure on the liver, our investigational IFNAR agonist program aims to engage IFN-α’s validated antiviral and immune modulatory mechanisms, retaining the efficacy of IFN-α while reducing systemic exposure to improve tolerability. Lead optimization of multiple IFNAR agonists is in progress.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Gilead Collaboration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15,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our programs,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will be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Gilead also entered into a Common Stock Purchase Agreement and an Investor Rights Agreement (together, the Gilead Equity Agreements), pursuant to which Gilead made an upfront equity investment of $15.2 million by purchasing from us 1,089,472 shares of our common stock at a purchase price of $13.92 per share. If we complete an equity financing (or series of financings) by July 15, 2024 that results in at least $30 million of proceeds to us, then, subject to approval by our stockholders (which was obtained on January 31, 2024), we may require Gilead to purchase additional shares of common stock from us in an amount that results in Gilead owning 29.9% of our then-outstanding voting capital stock. If we do not complete the equity financing or do not require Gilead to purchase the additional shares, Gilead may elect to purchase additional shares of common stock from us in an amount that results in Gilead owning 29.9% of our then-outstanding voting capital stock. The purchase price per share for additional shares purchased by Gilead will be equal to the lesser of (1) a 35% premium to the 30-day volume weighted average price immediately prior to the date of purchase or (2) a 35% premium to the 30-day volume weighted average price immediately prior to delivery by Gilead of notice of the anticipated closing date.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corporate and administrative offices and research laboratory space in South San Francisco, California.</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generated significant losses to date, and we expect to continue to generate losses as we develop our product candidates. As of March 31, 2024, we had an accumulated deficit of $794.8 million. Because we do not generate revenue from any of our product candidates, our losses will continue as we further develop and seek regulatory approval for, and commercialize, our product candidates. Additionally, we expect our research and development expenses to increase over the next few years due to the Gilead Collaboration Agreement.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2023 Annual Report. Our critical accounting policies and significant estimates have not changed from those previously disclosed in our 2023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5,785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5,785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Collaboration revenue for the three months ended March 31, 2024 includes the recognition of $5.8 million for services performed under the Gilead Collaboration Agreement entered into in October 2023. There was no revenue for the three months ended March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fees paid to contract research organizations and contract manufacturing organizations,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6"/>
        </w:trPr>
        <w:tc>
          <w:tcPr>
            <w:tcW w:w="3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236"/>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90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90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420" w:type="dxa"/>
            <w:vAlign w:val="bottom"/>
            <w:tcBorders>
              <w:top w:val="single" w:sz="8" w:color="auto"/>
            </w:tcBorders>
            <w:shd w:val="clear" w:color="auto" w:fill="CCECFF"/>
          </w:tcPr>
          <w:p>
            <w:pPr>
              <w:spacing w:after="0"/>
              <w:rPr>
                <w:sz w:val="20"/>
                <w:szCs w:val="20"/>
                <w:color w:val="auto"/>
              </w:rPr>
            </w:pPr>
          </w:p>
        </w:tc>
        <w:tc>
          <w:tcPr>
            <w:tcW w:w="198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520" w:type="dxa"/>
            <w:vAlign w:val="bottom"/>
            <w:tcBorders>
              <w:top w:val="single" w:sz="8" w:color="auto"/>
            </w:tcBorders>
            <w:shd w:val="clear" w:color="auto" w:fill="CCECFF"/>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discovery</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2,379</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2,767</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1179</w:t>
            </w:r>
          </w:p>
        </w:tc>
        <w:tc>
          <w:tcPr>
            <w:tcW w:w="9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1,040</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6250</w:t>
            </w: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1,027</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4334</w:t>
            </w: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5366</w:t>
            </w: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ABI-H3733 (3733)</w:t>
            </w: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1,834</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Vebicorvir (VBR)</w:t>
            </w: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858</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ABI-H2158</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8"/>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external expenses</w:t>
            </w:r>
          </w:p>
        </w:tc>
        <w:tc>
          <w:tcPr>
            <w:tcW w:w="90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5,376</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6,350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9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5,775</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1,190</w:t>
            </w:r>
          </w:p>
        </w:tc>
        <w:tc>
          <w:tcPr>
            <w:tcW w:w="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11,879</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14,547</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3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-1737360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 xml:space="preserve">Research and development expenses were $11.9 million for the three months ended March 31, 2024 compared to $14.5 million for the same period in 2023. The $2.7 million decrease in research and development expenses was driven by decreases </w:t>
      </w:r>
      <w:r>
        <w:rPr>
          <w:rFonts w:ascii="Times New Roman" w:cs="Times New Roman" w:eastAsia="Times New Roman" w:hAnsi="Times New Roman"/>
          <w:sz w:val="18"/>
          <w:szCs w:val="18"/>
          <w:color w:val="242424"/>
        </w:rPr>
        <w:t>in external expenses during the three months ended 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2024 compared to the same period in 2023 due to our discontinuation of the 3733 and VBR programs. The overall decrease in external expenses was partially offset by increases in expenses related to 1179, which was licensed from Gilead pursuant to the Gilead Collaboration Agreement in October 2023, and the nomination of 6250</w:t>
      </w:r>
      <w:r>
        <w:rPr>
          <w:rFonts w:ascii="Times New Roman" w:cs="Times New Roman" w:eastAsia="Times New Roman" w:hAnsi="Times New Roman"/>
          <w:sz w:val="18"/>
          <w:szCs w:val="18"/>
          <w:color w:val="000000"/>
        </w:rPr>
        <w:t>. We also experienced a decrease of $1.2 million in employee and contractor-related expenses primarily due to a decrease in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stock-based compensation expense because of lower grant date fair value of our awards vesting, as well as reductions in the number of third-party contractors used. </w:t>
      </w:r>
      <w:r>
        <w:rPr>
          <w:rFonts w:ascii="Times New Roman" w:cs="Times New Roman" w:eastAsia="Times New Roman" w:hAnsi="Times New Roman"/>
          <w:sz w:val="18"/>
          <w:szCs w:val="18"/>
          <w:color w:val="242424"/>
        </w:rPr>
        <w:t>Facility and other expenses decreased by $0.5 million due to cost savings in rent and related expenses attributable to our new corporate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headquarters sublease, which commenced in November 2023.</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0" w:name="page21"/>
    <w:bookmarkEnd w:id="2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consulting fees and other related costs, professional fees for legal services, accounting and tax services, insurance and travel expenses, as well as stock-based compensation expense associated with equity awards to our employees and directors.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2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Pr>
          <w:p>
            <w:pPr>
              <w:spacing w:after="0"/>
              <w:rPr>
                <w:sz w:val="14"/>
                <w:szCs w:val="14"/>
                <w:color w:val="auto"/>
              </w:rPr>
            </w:pPr>
          </w:p>
        </w:tc>
      </w:tr>
      <w:tr>
        <w:trPr>
          <w:trHeight w:val="22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4,635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5,012</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were $4.6 million for the three months ended March 31, 2024 compared to $5.0 million for the same period in 2023. The decrease of $0.4 million in general and administrative expenses was primarily due to a decrease in stock-based compensation expense because of lower grant date fair value of our awards vesting and a decrease in the number of employees.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86"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and available-for-sale securities. The following table summarizes the period-over-period changes in our interest and other income, net (in thousands, except for percentages):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3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Pr>
          <w:p>
            <w:pPr>
              <w:spacing w:after="0"/>
              <w:rPr>
                <w:sz w:val="14"/>
                <w:szCs w:val="14"/>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1,652</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609</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1,043</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Interest and other income, net was $1.7 million for three months ended March 31, 2024, compared to $0.6 million for the same period in 2023. The increase of $1.0 million was primarily due to more interest income earned on marketable securities caused by a larger portfolio balance after the receipt of $100.0 million upon entering into the Gilead Collaboration in October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2024 principally through equity financings, raising an aggregate of $618.8 million in net proceeds, and strategic collaborations, raising an aggregate of $185.7 million through upfront payments.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tcBorders>
              <w:bottom w:val="single" w:sz="8" w:color="auto"/>
            </w:tcBorders>
          </w:tcPr>
          <w:p>
            <w:pPr>
              <w:spacing w:after="0"/>
              <w:rPr>
                <w:sz w:val="16"/>
                <w:szCs w:val="16"/>
                <w:color w:val="auto"/>
              </w:rPr>
            </w:pPr>
          </w:p>
        </w:tc>
      </w:tr>
      <w:tr>
        <w:trPr>
          <w:trHeight w:val="223"/>
        </w:trPr>
        <w:tc>
          <w:tcPr>
            <w:tcW w:w="5880" w:type="dxa"/>
            <w:vAlign w:val="bottom"/>
          </w:tcPr>
          <w:p>
            <w:pPr>
              <w:spacing w:after="0"/>
              <w:rPr>
                <w:sz w:val="19"/>
                <w:szCs w:val="19"/>
                <w:color w:val="auto"/>
              </w:rPr>
            </w:pP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480" w:type="dxa"/>
            <w:vAlign w:val="bottom"/>
            <w:shd w:val="clear" w:color="auto" w:fill="CCEC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(18,364 )</w:t>
            </w:r>
          </w:p>
        </w:tc>
        <w:tc>
          <w:tcPr>
            <w:tcW w:w="1300" w:type="dxa"/>
            <w:vAlign w:val="bottom"/>
            <w:gridSpan w:val="2"/>
            <w:shd w:val="clear" w:color="auto" w:fill="CCEC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(23,428 )</w:t>
            </w: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4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17,272</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r>
      <w:tr>
        <w:trPr>
          <w:trHeight w:val="247"/>
        </w:trPr>
        <w:tc>
          <w:tcPr>
            <w:tcW w:w="5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480" w:type="dxa"/>
            <w:vAlign w:val="bottom"/>
            <w:tcBorders>
              <w:bottom w:val="single" w:sz="8" w:color="auto"/>
            </w:tcBorders>
            <w:shd w:val="clear" w:color="auto" w:fill="CCECFF"/>
          </w:tcPr>
          <w:p>
            <w:pPr>
              <w:spacing w:after="0"/>
              <w:rPr>
                <w:sz w:val="21"/>
                <w:szCs w:val="21"/>
                <w:color w:val="auto"/>
              </w:rPr>
            </w:pPr>
          </w:p>
        </w:tc>
        <w:tc>
          <w:tcPr>
            <w:tcW w:w="100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auto"/>
            </w:tcBorders>
            <w:shd w:val="clear" w:color="auto" w:fill="CCECFF"/>
          </w:tcPr>
          <w:p>
            <w:pPr>
              <w:spacing w:after="0"/>
              <w:rPr>
                <w:sz w:val="21"/>
                <w:szCs w:val="21"/>
                <w:color w:val="auto"/>
              </w:rPr>
            </w:pPr>
          </w:p>
        </w:tc>
        <w:tc>
          <w:tcPr>
            <w:tcW w:w="15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4,492</w:t>
            </w:r>
          </w:p>
        </w:tc>
      </w:tr>
      <w:tr>
        <w:trPr>
          <w:trHeight w:val="232"/>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80" w:type="dxa"/>
            <w:vAlign w:val="bottom"/>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(1,092 )</w:t>
            </w: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(8,936 )</w:t>
            </w:r>
          </w:p>
        </w:tc>
      </w:tr>
      <w:tr>
        <w:trPr>
          <w:trHeight w:val="20"/>
        </w:trPr>
        <w:tc>
          <w:tcPr>
            <w:tcW w:w="58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-187960</wp:posOffset>
            </wp:positionV>
            <wp:extent cx="2736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was $18.4 million for the three months ended March 31, 2024. This was primarily due to our $9.1 million net loss, including the recognition of $5.8 million deferred revenue under the Gilead Collaboration Agreement. We also experienced a decrease in other accrued expenses of $3.7 million due to payment of our 2023 annual bonuses in 2024.</w:t>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1" w:name="page22"/>
    <w:bookmarkEnd w:id="21"/>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was $23.4 million for the three months ended March 31, 2023. This was primarily due to our $19.0 million net loss and a decrease in other accrued expenses of $4.2 million due to payment of our 2022 annual bonuses in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$17.3 million due to proceeds from maturities of our marketable securities, partially offset by purchases of marketable securities.</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2023 was $10.0 million due to proceeds from maturities of our marketable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generate any cash flows from financing activities for the three months ended March 31, 2024.</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was $4.5 million due to proceeds from the sale of 254,203 shares of our common stock under the 2020 ATM.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expect our future operating expenses to increase substantially over the coming years as we continue to advance our candidates into the clinic. We expect our existing cash, cash equivalents and marketable securities will enable us to fund our operating expenses and capital expenditure requirements into the second half of 2025.</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despite macroeconomic and geopolitical events impacting financial markets, such as rising inflation, market volatility and risk of recession;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future potential benefits pursuant to the Gilead Collaboration and maintain the collaboration;</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to contract with third parties to manufacture, adequate supplies of our product candidates for our clinical studies and any eventual commercialization;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in the United States and abroad, maintaining and enforcing our intellectual property rights and defending intellectual property-related claims.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 To the extent that we raise additional capital through the sale of equity,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 debt, making capital expenditures or declaring dividends. If we are unable to raise additional funds when needed, we may be required to reduce staff, delay, scale back or discontinue our product development and clinical studies or grant rights to develop and market product candidates that we would otherwise prefer to develop and market ourselves.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and President concluded that our disclosure controls and procedures as of the end of the period covered by this report were effective at the reasonable assurance level.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quarter ended March 31, 2024 that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are not a party to any material legal proceedings. In the future, we may from time to time become involved in litigation relating to claims arising from our ordinary course of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All of our product candidates are in clinical development or in varying stages of nonclinical development. Data supporting our drug discovery and nonclinical and clinical development programs are derived from nonclinical studies and Phase 1 clinical studies. It may be years before the larger, pivotal studies necessary to support regulatory approval of our current product candidates are completed, if ever.</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Elevated worldwide inflation rates that began in mid-2021 and continue to persist may also exacerbate the substantial operating and capital expenditures that we face to advance our current and future product candidates.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successful in raising any necessary additional capital on terms that are acceptable to us, or at all, particularly due to the well-documented, ongoing sector-wide weakness in the biotech markets that began in early 2021. If we are unable to develop and commercialize any product candidates and generate sufficient revenue or raise capital, we could be forced to reduce staff,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5" w:name="page26"/>
    <w:bookmarkEnd w:id="25"/>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our collaboration with Gilead to be a critical part of the development, manufacture and commercialization of our product candidates. If this collaboration is unsuccessful, our business could be adversely affected.</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we entered into the Gilead Collaboration Agreement with Gilead, whereby Gilead exclusively licensed to us its HPI program and NNPI program, while retaining opt-in rights to these programs, and will have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Our agreements and relationship with Gilead pose a number of risks, including, but not limited to, the following:</w:t>
      </w:r>
    </w:p>
    <w:p>
      <w:pPr>
        <w:spacing w:after="0" w:line="74" w:lineRule="exact"/>
        <w:rPr>
          <w:sz w:val="20"/>
          <w:szCs w:val="20"/>
          <w:color w:val="auto"/>
        </w:rPr>
      </w:pPr>
    </w:p>
    <w:p>
      <w:pPr>
        <w:jc w:val="both"/>
        <w:ind w:left="1020" w:hanging="504"/>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spacing w:after="0" w:line="73"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our development of our investigational products could be delayed and we may need additional resources to develop our investigational products.</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heavily dependent on Gilead for further development and commercialization of the investigational products from the programs that it opts into.</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right to designate two directors for appointment to our board of directors pursuant to the terms of the investor rights agreement and owns approximately 19.9% of our outstanding common stock. Gilead also has the right to acquire additional shares from us, and in the open market, up to an amount resulting in Gilead owning a total of 35% of our outstanding common stock. As a result, Gilead may be able to exert significant influence over us.</w:t>
      </w:r>
    </w:p>
    <w:p>
      <w:pPr>
        <w:spacing w:after="0" w:line="73"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Gilead has an option to all of our current, and future, pipeline programs during the collaboration term, it may be difficult for us to enter into new collaborations.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Conducting nonclinical and clinical studies is a lengthy, time consuming and expensive process. The length of time varies substantially according to the type, complexity, novelty, and intended use of the product candidate, and often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can be several years or more. In addition, failure or delays can occur at any time during the nonclinical and clinical study process, resulting in additional operating expenses or harm to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rate of completion of clinical studies might be delayed by many factors, including, for example:</w:t>
      </w:r>
    </w:p>
    <w:p>
      <w:pPr>
        <w:spacing w:after="0" w:line="117"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regulatory authorities on study design;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study sites;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or the emergence of unforeseen safety issues;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completing participation in a study or return for post-treatment follow-up for any reason, including, product side effects or disease progression;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clinical study protocols;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 or termination of clinical studies by the institutional review board or ethics committee responsible for overseeing the study at a particular study site;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for our product candidates, any of which could materially harm our business, prospects, financial condition and results of operations.</w:t>
      </w:r>
    </w:p>
    <w:p>
      <w:pPr>
        <w:spacing w:after="0" w:line="19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55" w:lineRule="exact"/>
        <w:rPr>
          <w:sz w:val="20"/>
          <w:szCs w:val="20"/>
          <w:color w:val="auto"/>
        </w:rPr>
      </w:pPr>
    </w:p>
    <w:p>
      <w:pPr>
        <w:ind w:left="10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the war between Russia and Ukraine, the Israel-Hamas war, as well as tariffs, other wars, acts of terrorism, natural disasters or outbreaks of disease;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or increased scrutiny on CROs located in foreign countries, including China;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 for which our product candidates are being developed;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United States Foreign Corrupt Practices Act (the FCPA) and other anti-corruption and anti-bribery laws;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 and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or preliminary data may not accurately reflect the final results of a particular study.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top-line or preliminary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following risks with respect to the manufacture of our product candidates:</w:t>
      </w:r>
    </w:p>
    <w:p>
      <w:pPr>
        <w:spacing w:after="0" w:line="117" w:lineRule="exact"/>
        <w:rPr>
          <w:sz w:val="20"/>
          <w:szCs w:val="20"/>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formulate and manufacture our product candidates in the volume and quality required to meet our nonclinical, clinical and, if approved, commercial needs in a timely manner.</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not perform as agreed or might not remain in the contract manufacturing business for the time required to supply our products.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any third-party manufacturers with whom we contract could be foreign, which increases the risk of shipping delays and adds the risk of import restrictions.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share our trade secrets and know-how with third parties, increasing risk of misappropriation or disclosure of our intellectual property by or to third parties.</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and cannot recruit and retain similarly qualified replacements, our business may materially suffer.</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partners might delay, prevent or undermine the success of our product candidates.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spacing w:after="0" w:line="1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which could adversely affect our ability to develop certain of our product candidates.</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that has not been independently verified and could prove to be false, misleading, or incomplete.</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including cybersecurity incidents, could materially and adversely affect our business, results of operations and financial condition.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cybersecurity incidents or cyber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intrusions over the Internet, attachments to emails, persons inside our organization, or persons with access to systems inside our organization.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 (EU) General Data Protection Regulation (EU GDPR). We would also be exposed to a risk of loss or litigation and potential liability, which could materially adversely affect our business, results of operations and financial condition.</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might render our product candidates or technologies obsolete or non-competitive.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indication or field we might pursue, and successfully commercialize those treatments, our business and prospects could be materially harmed.</w:t>
      </w:r>
    </w:p>
    <w:p>
      <w:pPr>
        <w:spacing w:after="0" w:line="1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Negative data from clinical studies using a competitor’s product candidates with the same or similar mechanisms of action as ours could adversely impact the perception of the therapeutic use of our product candidates and our ability to enroll individuals in clinical studies.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credit carryforwards and certain other tax attributes may be limited.</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net operating loss carryforwards due to prior period losses generated before January 1, 2024, which if not utilized, will begin to expire in 2027 for net operating loss carryforwards prior to 2018. If we are unable to generate sufficient taxable income to utilize our net operating loss carryforwards, pre-2018 carryforwards could expire unused and be unavailable to offset future income tax liabilities.</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and recent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Regulators globally are imposing greater monetary fines for privacy violations. The EU GDPR applies to any company established in the EU as well as to those outside the EU if they collect and use personal data in connection with the offering of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put in place additional mechanisms to ensure compliance with the EU GDPR, including as implemented by individual countries. Compliance with the EU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California Consumer Privacy Act (CCPA) also created new individual privacy rights for California consumers (as defined in the law) and places increased privacy and security obligations on entities handling personal data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2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might not be able to obtain insurance.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exposed to liability claims associated with the use of hazardous materials and chemicals.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including failure to:</w:t>
      </w:r>
    </w:p>
    <w:p>
      <w:pPr>
        <w:spacing w:after="0" w:line="11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regulations of, and provide accurate information to, the FDA or comparable foreign regulatory authorities;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the U.K. Bribery Act 2010, the PRC Criminal Law, the PRC Anti-unfair Competition Law and other anti-bribery and trade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4"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and data accurately; 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protecting our intellectual property.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and other intellectual property rights.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5" w:lineRule="exact"/>
        <w:rPr>
          <w:sz w:val="20"/>
          <w:szCs w:val="20"/>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might fluctuate significantly, and you could lose all or part of your investment.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or furnished, as applicable, as part of this quarterly report on Form 10-Q:</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500" w:type="dxa"/>
            <w:vAlign w:val="bottom"/>
            <w:gridSpan w:val="7"/>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5500" w:type="dxa"/>
            <w:vAlign w:val="bottom"/>
            <w:tcBorders>
              <w:bottom w:val="single" w:sz="8" w:color="auto"/>
            </w:tcBorders>
            <w:gridSpan w:val="7"/>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2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Certificate of Amendment to Sixth Amended and Restated Certificate of</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02/13/2024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5"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Incorporation, dated February 9, 2024.</w:t>
              </w:r>
            </w:hyperlink>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40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Assembly Biosciences, Inc. 2024 Corporate Bonus Plan.</w:t>
              </w:r>
            </w:hyperlink>
          </w:p>
        </w:tc>
        <w:tc>
          <w:tcPr>
            <w:tcW w:w="20" w:type="dxa"/>
            <w:vAlign w:val="bottom"/>
            <w:tcBorders>
              <w:bottom w:val="single" w:sz="8" w:color="0000EE"/>
            </w:tcBorders>
          </w:tcPr>
          <w:p>
            <w:pPr>
              <w:spacing w:after="0"/>
              <w:rPr>
                <w:sz w:val="24"/>
                <w:szCs w:val="24"/>
                <w:color w:val="auto"/>
              </w:rPr>
            </w:pPr>
          </w:p>
        </w:tc>
        <w:tc>
          <w:tcPr>
            <w:tcW w:w="14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03/15/2024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3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c>
          <w:tcPr>
            <w:tcW w:w="3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5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3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management contracts or compensatory plans or arrangements.</w:t>
      </w:r>
    </w:p>
    <w:p>
      <w:pPr>
        <w:spacing w:after="0" w:line="27" w:lineRule="exact"/>
        <w:rPr>
          <w:sz w:val="20"/>
          <w:szCs w:val="20"/>
          <w:color w:val="auto"/>
        </w:rPr>
      </w:pPr>
    </w:p>
    <w:p>
      <w:pPr>
        <w:jc w:val="both"/>
        <w:ind w:firstLine="8"/>
        <w:spacing w:after="0" w:line="253" w:lineRule="auto"/>
        <w:tabs>
          <w:tab w:leader="none" w:pos="2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0" w:name="page41"/>
    <w:bookmarkEnd w:id="40"/>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accordance with the requirements of the Securities Exchange Act of 1934, the registrant caused this report to be signed on its behalf by the undersigned, thereunto duly authorized.</w:t>
      </w:r>
    </w:p>
    <w:p>
      <w:pPr>
        <w:spacing w:after="0" w:line="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282" w:lineRule="exact"/>
        <w:rPr>
          <w:sz w:val="20"/>
          <w:szCs w:val="20"/>
          <w:color w:val="auto"/>
        </w:rPr>
      </w:pPr>
    </w:p>
    <w:p>
      <w:pPr>
        <w:ind w:left="20"/>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A. Okazaki</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Okazaki, certify that:</w:t>
      </w:r>
    </w:p>
    <w:p>
      <w:pPr>
        <w:spacing w:after="0" w:line="76" w:lineRule="exact"/>
        <w:rPr>
          <w:sz w:val="20"/>
          <w:szCs w:val="20"/>
          <w:color w:val="auto"/>
        </w:rPr>
      </w:pPr>
    </w:p>
    <w:p>
      <w:pPr>
        <w:ind w:left="520" w:hanging="512"/>
        <w:spacing w:after="0" w:line="207" w:lineRule="exact"/>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157"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hanging="512"/>
        <w:spacing w:after="0" w:line="226" w:lineRule="exact"/>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spacing w:after="0" w:line="1" w:lineRule="exact"/>
        <w:rPr>
          <w:rFonts w:ascii="Times New Roman" w:cs="Times New Roman" w:eastAsia="Times New Roman" w:hAnsi="Times New Roman"/>
          <w:sz w:val="18"/>
          <w:szCs w:val="18"/>
          <w:color w:val="auto"/>
        </w:rPr>
      </w:pP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6"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78"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26035</wp:posOffset>
            </wp:positionV>
            <wp:extent cx="3133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133725" cy="8255"/>
                    </a:xfrm>
                    <a:prstGeom prst="rect">
                      <a:avLst/>
                    </a:prstGeom>
                    <a:noFill/>
                  </pic:spPr>
                </pic:pic>
              </a:graphicData>
            </a:graphic>
          </wp:anchor>
        </w:drawing>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Jason A. Okazaki</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2" w:name="page43"/>
    <w:bookmarkEnd w:id="42"/>
    <w:p>
      <w:pPr>
        <w:ind w:left="100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2"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March 31, 2024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w:t>
      </w:r>
    </w:p>
    <w:p>
      <w:pPr>
        <w:spacing w:after="0" w:line="186"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Jason A. Okazaki</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59" Type="http://schemas.openxmlformats.org/officeDocument/2006/relationships/hyperlink" Target="https://www.sec.gov/Archives/edgar/data/1426800/000095017024014534/asmb-ex3_1.htm" TargetMode="External"/><Relationship Id="rId160" Type="http://schemas.openxmlformats.org/officeDocument/2006/relationships/hyperlink" Target="https://www.sec.gov/Archives/edgar/data/1426800/000095017024032162/asm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2024-05-08T15:59:33Z</dcterms:created>
  <dcterms:modified xsi:type="dcterms:W3CDTF">2024-05-08T15:59:33Z</dcterms:modified>
</cp:coreProperties>
</file>