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94615</wp:posOffset>
            </wp:positionV>
            <wp:extent cx="1337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96520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54" w:lineRule="exact"/>
        <w:rPr>
          <w:sz w:val="24"/>
          <w:szCs w:val="24"/>
          <w:color w:val="auto"/>
        </w:rPr>
      </w:pPr>
    </w:p>
    <w:p>
      <w:pPr>
        <w:ind w:left="4000" w:right="2540" w:hanging="3992"/>
        <w:spacing w:after="0" w:line="457" w:lineRule="auto"/>
        <w:tabs>
          <w:tab w:leader="none" w:pos="475"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-420370</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51" w:lineRule="exact"/>
        <w:rPr>
          <w:sz w:val="24"/>
          <w:szCs w:val="24"/>
          <w:color w:val="auto"/>
        </w:rPr>
      </w:pPr>
    </w:p>
    <w:p>
      <w:pPr>
        <w:ind w:left="3580" w:right="2520" w:hanging="3572"/>
        <w:spacing w:after="0" w:line="422" w:lineRule="auto"/>
        <w:tabs>
          <w:tab w:leader="none" w:pos="46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114935</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-503555</wp:posOffset>
            </wp:positionV>
            <wp:extent cx="78105" cy="79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3840" w:type="dxa"/>
            <w:vAlign w:val="bottom"/>
          </w:tcPr>
          <w:p>
            <w:pPr>
              <w:spacing w:after="0"/>
              <w:rPr>
                <w:sz w:val="22"/>
                <w:szCs w:val="22"/>
                <w:color w:val="auto"/>
              </w:rPr>
            </w:pPr>
          </w:p>
        </w:tc>
        <w:tc>
          <w:tcPr>
            <w:tcW w:w="3420" w:type="dxa"/>
            <w:vAlign w:val="bottom"/>
            <w:gridSpan w:val="5"/>
          </w:tcPr>
          <w:p>
            <w:pPr>
              <w:jc w:val="center"/>
              <w:ind w:left="72"/>
              <w:spacing w:after="0"/>
              <w:rPr>
                <w:sz w:val="20"/>
                <w:szCs w:val="20"/>
                <w:color w:val="auto"/>
              </w:rPr>
            </w:pPr>
            <w:r>
              <w:rPr>
                <w:rFonts w:ascii="Arial" w:cs="Arial" w:eastAsia="Arial" w:hAnsi="Arial"/>
                <w:sz w:val="22"/>
                <w:szCs w:val="22"/>
                <w:b w:val="1"/>
                <w:bCs w:val="1"/>
                <w:color w:val="auto"/>
                <w:w w:val="96"/>
              </w:rPr>
              <w:t>ASSEMBLY BIOSCIENCES, INC.</w:t>
            </w:r>
          </w:p>
        </w:tc>
        <w:tc>
          <w:tcPr>
            <w:tcW w:w="3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(Exact name of Registrant as specified in its charter)</w:t>
            </w:r>
          </w:p>
        </w:tc>
        <w:tc>
          <w:tcPr>
            <w:tcW w:w="0" w:type="dxa"/>
            <w:vAlign w:val="bottom"/>
          </w:tcPr>
          <w:p>
            <w:pPr>
              <w:spacing w:after="0"/>
              <w:rPr>
                <w:sz w:val="1"/>
                <w:szCs w:val="1"/>
                <w:color w:val="auto"/>
              </w:rPr>
            </w:pPr>
          </w:p>
        </w:tc>
      </w:tr>
      <w:tr>
        <w:trPr>
          <w:trHeight w:val="280"/>
        </w:trPr>
        <w:tc>
          <w:tcPr>
            <w:tcW w:w="3840" w:type="dxa"/>
            <w:vAlign w:val="bottom"/>
          </w:tcPr>
          <w:p>
            <w:pPr>
              <w:jc w:val="center"/>
              <w:ind w:left="1700"/>
              <w:spacing w:after="0"/>
              <w:rPr>
                <w:sz w:val="20"/>
                <w:szCs w:val="20"/>
                <w:color w:val="auto"/>
              </w:rPr>
            </w:pPr>
            <w:r>
              <w:rPr>
                <w:rFonts w:ascii="Arial" w:cs="Arial" w:eastAsia="Arial" w:hAnsi="Arial"/>
                <w:sz w:val="16"/>
                <w:szCs w:val="16"/>
                <w:b w:val="1"/>
                <w:bCs w:val="1"/>
                <w:color w:val="auto"/>
                <w:w w:val="93"/>
              </w:rPr>
              <w:t>Delaware</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jc w:val="right"/>
              <w:ind w:right="2341"/>
              <w:spacing w:after="0"/>
              <w:rPr>
                <w:sz w:val="20"/>
                <w:szCs w:val="20"/>
                <w:color w:val="auto"/>
              </w:rPr>
            </w:pPr>
            <w:r>
              <w:rPr>
                <w:rFonts w:ascii="Arial" w:cs="Arial" w:eastAsia="Arial" w:hAnsi="Arial"/>
                <w:sz w:val="16"/>
                <w:szCs w:val="16"/>
                <w:b w:val="1"/>
                <w:bCs w:val="1"/>
                <w:color w:val="auto"/>
              </w:rPr>
              <w:t>20-8729264</w:t>
            </w:r>
          </w:p>
        </w:tc>
        <w:tc>
          <w:tcPr>
            <w:tcW w:w="0" w:type="dxa"/>
            <w:vAlign w:val="bottom"/>
          </w:tcPr>
          <w:p>
            <w:pPr>
              <w:spacing w:after="0"/>
              <w:rPr>
                <w:sz w:val="1"/>
                <w:szCs w:val="1"/>
                <w:color w:val="auto"/>
              </w:rPr>
            </w:pPr>
          </w:p>
        </w:tc>
      </w:tr>
      <w:tr>
        <w:trPr>
          <w:trHeight w:val="203"/>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3"/>
              </w:rPr>
              <w:t>(State or other jurisdiction of</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4"/>
              </w:rPr>
              <w:t>(I.R.S. Employer Identification No.)</w:t>
            </w:r>
          </w:p>
        </w:tc>
        <w:tc>
          <w:tcPr>
            <w:tcW w:w="0" w:type="dxa"/>
            <w:vAlign w:val="bottom"/>
          </w:tcPr>
          <w:p>
            <w:pPr>
              <w:spacing w:after="0"/>
              <w:rPr>
                <w:sz w:val="1"/>
                <w:szCs w:val="1"/>
                <w:color w:val="auto"/>
              </w:rPr>
            </w:pPr>
          </w:p>
        </w:tc>
      </w:tr>
      <w:tr>
        <w:trPr>
          <w:trHeight w:val="206"/>
        </w:trPr>
        <w:tc>
          <w:tcPr>
            <w:tcW w:w="3840" w:type="dxa"/>
            <w:vAlign w:val="bottom"/>
          </w:tcPr>
          <w:p>
            <w:pPr>
              <w:jc w:val="center"/>
              <w:ind w:left="1720"/>
              <w:spacing w:after="0"/>
              <w:rPr>
                <w:sz w:val="20"/>
                <w:szCs w:val="20"/>
                <w:color w:val="auto"/>
              </w:rPr>
            </w:pPr>
            <w:r>
              <w:rPr>
                <w:rFonts w:ascii="Arial" w:cs="Arial" w:eastAsia="Arial" w:hAnsi="Arial"/>
                <w:sz w:val="16"/>
                <w:szCs w:val="16"/>
                <w:color w:val="auto"/>
                <w:w w:val="94"/>
              </w:rPr>
              <w:t>incorporation or organization)</w:t>
            </w: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b w:val="1"/>
                <w:bCs w:val="1"/>
                <w:color w:val="auto"/>
                <w:w w:val="93"/>
              </w:rPr>
              <w:t>331 Oyster Point Blvd., Fourth Floor</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7260" w:type="dxa"/>
            <w:vAlign w:val="bottom"/>
            <w:gridSpan w:val="6"/>
          </w:tcPr>
          <w:p>
            <w:pPr>
              <w:jc w:val="center"/>
              <w:ind w:right="1640"/>
              <w:spacing w:after="0"/>
              <w:rPr>
                <w:sz w:val="20"/>
                <w:szCs w:val="20"/>
                <w:color w:val="auto"/>
              </w:rPr>
            </w:pPr>
            <w:r>
              <w:rPr>
                <w:rFonts w:ascii="Arial" w:cs="Arial" w:eastAsia="Arial" w:hAnsi="Arial"/>
                <w:sz w:val="16"/>
                <w:szCs w:val="16"/>
                <w:b w:val="1"/>
                <w:bCs w:val="1"/>
                <w:color w:val="auto"/>
                <w:w w:val="91"/>
              </w:rPr>
              <w:t>South San Francisco, California</w:t>
            </w:r>
          </w:p>
        </w:tc>
        <w:tc>
          <w:tcPr>
            <w:tcW w:w="3980" w:type="dxa"/>
            <w:vAlign w:val="bottom"/>
          </w:tcPr>
          <w:p>
            <w:pPr>
              <w:jc w:val="right"/>
              <w:ind w:right="2521"/>
              <w:spacing w:after="0"/>
              <w:rPr>
                <w:sz w:val="20"/>
                <w:szCs w:val="20"/>
                <w:color w:val="auto"/>
              </w:rPr>
            </w:pPr>
            <w:r>
              <w:rPr>
                <w:rFonts w:ascii="Arial" w:cs="Arial" w:eastAsia="Arial" w:hAnsi="Arial"/>
                <w:sz w:val="16"/>
                <w:szCs w:val="16"/>
                <w:b w:val="1"/>
                <w:bCs w:val="1"/>
                <w:color w:val="auto"/>
              </w:rPr>
              <w:t>94080</w:t>
            </w:r>
          </w:p>
        </w:tc>
        <w:tc>
          <w:tcPr>
            <w:tcW w:w="0" w:type="dxa"/>
            <w:vAlign w:val="bottom"/>
          </w:tcPr>
          <w:p>
            <w:pPr>
              <w:spacing w:after="0"/>
              <w:rPr>
                <w:sz w:val="1"/>
                <w:szCs w:val="1"/>
                <w:color w:val="auto"/>
              </w:rPr>
            </w:pPr>
          </w:p>
        </w:tc>
      </w:tr>
      <w:tr>
        <w:trPr>
          <w:trHeight w:val="206"/>
        </w:trPr>
        <w:tc>
          <w:tcPr>
            <w:tcW w:w="7260" w:type="dxa"/>
            <w:vAlign w:val="bottom"/>
            <w:gridSpan w:val="6"/>
          </w:tcPr>
          <w:p>
            <w:pPr>
              <w:jc w:val="center"/>
              <w:ind w:right="1620"/>
              <w:spacing w:after="0"/>
              <w:rPr>
                <w:sz w:val="20"/>
                <w:szCs w:val="20"/>
                <w:color w:val="auto"/>
              </w:rPr>
            </w:pPr>
            <w:r>
              <w:rPr>
                <w:rFonts w:ascii="Arial" w:cs="Arial" w:eastAsia="Arial" w:hAnsi="Arial"/>
                <w:sz w:val="16"/>
                <w:szCs w:val="16"/>
                <w:color w:val="auto"/>
                <w:w w:val="93"/>
              </w:rPr>
              <w:t>(Address of principal executive offices)</w:t>
            </w:r>
          </w:p>
        </w:tc>
        <w:tc>
          <w:tcPr>
            <w:tcW w:w="3980" w:type="dxa"/>
            <w:vAlign w:val="bottom"/>
          </w:tcPr>
          <w:p>
            <w:pPr>
              <w:jc w:val="center"/>
              <w:ind w:right="1561"/>
              <w:spacing w:after="0"/>
              <w:rPr>
                <w:sz w:val="20"/>
                <w:szCs w:val="20"/>
                <w:color w:val="auto"/>
              </w:rPr>
            </w:pPr>
            <w:r>
              <w:rPr>
                <w:rFonts w:ascii="Arial" w:cs="Arial" w:eastAsia="Arial" w:hAnsi="Arial"/>
                <w:sz w:val="16"/>
                <w:szCs w:val="16"/>
                <w:color w:val="auto"/>
                <w:w w:val="93"/>
              </w:rPr>
              <w:t>(zip code)</w:t>
            </w:r>
          </w:p>
        </w:tc>
        <w:tc>
          <w:tcPr>
            <w:tcW w:w="0" w:type="dxa"/>
            <w:vAlign w:val="bottom"/>
          </w:tcPr>
          <w:p>
            <w:pPr>
              <w:spacing w:after="0"/>
              <w:rPr>
                <w:sz w:val="1"/>
                <w:szCs w:val="1"/>
                <w:color w:val="auto"/>
              </w:rPr>
            </w:pPr>
          </w:p>
        </w:tc>
      </w:tr>
      <w:tr>
        <w:trPr>
          <w:trHeight w:val="280"/>
        </w:trPr>
        <w:tc>
          <w:tcPr>
            <w:tcW w:w="3840" w:type="dxa"/>
            <w:vAlign w:val="bottom"/>
          </w:tcPr>
          <w:p>
            <w:pPr>
              <w:spacing w:after="0"/>
              <w:rPr>
                <w:sz w:val="24"/>
                <w:szCs w:val="24"/>
                <w:color w:val="auto"/>
              </w:rPr>
            </w:pPr>
          </w:p>
        </w:tc>
        <w:tc>
          <w:tcPr>
            <w:tcW w:w="2840" w:type="dxa"/>
            <w:vAlign w:val="bottom"/>
            <w:gridSpan w:val="3"/>
          </w:tcPr>
          <w:p>
            <w:pPr>
              <w:jc w:val="center"/>
              <w:ind w:left="652"/>
              <w:spacing w:after="0"/>
              <w:rPr>
                <w:sz w:val="20"/>
                <w:szCs w:val="20"/>
                <w:color w:val="auto"/>
              </w:rPr>
            </w:pPr>
            <w:r>
              <w:rPr>
                <w:rFonts w:ascii="Arial" w:cs="Arial" w:eastAsia="Arial" w:hAnsi="Arial"/>
                <w:sz w:val="16"/>
                <w:szCs w:val="16"/>
                <w:b w:val="1"/>
                <w:bCs w:val="1"/>
                <w:color w:val="auto"/>
                <w:w w:val="93"/>
              </w:rPr>
              <w:t>(833) 509-4583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40" w:type="dxa"/>
            <w:vAlign w:val="bottom"/>
          </w:tcPr>
          <w:p>
            <w:pPr>
              <w:spacing w:after="0"/>
              <w:rPr>
                <w:sz w:val="17"/>
                <w:szCs w:val="17"/>
                <w:color w:val="auto"/>
              </w:rPr>
            </w:pPr>
          </w:p>
        </w:tc>
        <w:tc>
          <w:tcPr>
            <w:tcW w:w="7400" w:type="dxa"/>
            <w:vAlign w:val="bottom"/>
            <w:gridSpan w:val="6"/>
          </w:tcPr>
          <w:p>
            <w:pPr>
              <w:jc w:val="center"/>
              <w:ind w:right="3761"/>
              <w:spacing w:after="0"/>
              <w:rPr>
                <w:sz w:val="20"/>
                <w:szCs w:val="20"/>
                <w:color w:val="auto"/>
              </w:rPr>
            </w:pPr>
            <w:r>
              <w:rPr>
                <w:rFonts w:ascii="Arial" w:cs="Arial" w:eastAsia="Arial" w:hAnsi="Arial"/>
                <w:sz w:val="16"/>
                <w:szCs w:val="16"/>
                <w:color w:val="auto"/>
                <w:w w:val="91"/>
              </w:rPr>
              <w:t>(Registrant’s telephone number, including area code)</w:t>
            </w:r>
          </w:p>
        </w:tc>
        <w:tc>
          <w:tcPr>
            <w:tcW w:w="0" w:type="dxa"/>
            <w:vAlign w:val="bottom"/>
          </w:tcPr>
          <w:p>
            <w:pPr>
              <w:spacing w:after="0"/>
              <w:rPr>
                <w:sz w:val="1"/>
                <w:szCs w:val="1"/>
                <w:color w:val="auto"/>
              </w:rPr>
            </w:pPr>
          </w:p>
        </w:tc>
      </w:tr>
      <w:tr>
        <w:trPr>
          <w:trHeight w:val="141"/>
        </w:trPr>
        <w:tc>
          <w:tcPr>
            <w:tcW w:w="3840" w:type="dxa"/>
            <w:vAlign w:val="bottom"/>
            <w:vMerge w:val="restart"/>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38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840" w:type="dxa"/>
            <w:vAlign w:val="bottom"/>
            <w:tcBorders>
              <w:left w:val="single" w:sz="8" w:color="auto"/>
              <w:bottom w:val="single" w:sz="8" w:color="auto"/>
            </w:tcBorders>
          </w:tcPr>
          <w:p>
            <w:pPr>
              <w:jc w:val="center"/>
              <w:ind w:left="600"/>
              <w:spacing w:after="0"/>
              <w:rPr>
                <w:sz w:val="20"/>
                <w:szCs w:val="20"/>
                <w:color w:val="auto"/>
              </w:rPr>
            </w:pPr>
            <w:r>
              <w:rPr>
                <w:rFonts w:ascii="Arial" w:cs="Arial" w:eastAsia="Arial" w:hAnsi="Arial"/>
                <w:sz w:val="14"/>
                <w:szCs w:val="14"/>
                <w:color w:val="auto"/>
                <w:w w:val="92"/>
              </w:rPr>
              <w:t>Title of each class</w:t>
            </w:r>
          </w:p>
        </w:tc>
        <w:tc>
          <w:tcPr>
            <w:tcW w:w="6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6"/>
              </w:rPr>
              <w:t>Trading Symbol(s)</w:t>
            </w:r>
          </w:p>
        </w:tc>
        <w:tc>
          <w:tcPr>
            <w:tcW w:w="50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441"/>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233"/>
        </w:trPr>
        <w:tc>
          <w:tcPr>
            <w:tcW w:w="3840" w:type="dxa"/>
            <w:vAlign w:val="bottom"/>
            <w:tcBorders>
              <w:left w:val="single" w:sz="8" w:color="auto"/>
              <w:bottom w:val="single" w:sz="8" w:color="auto"/>
            </w:tcBorders>
          </w:tcPr>
          <w:p>
            <w:pPr>
              <w:jc w:val="center"/>
              <w:ind w:left="620"/>
              <w:spacing w:after="0"/>
              <w:rPr>
                <w:sz w:val="20"/>
                <w:szCs w:val="20"/>
                <w:color w:val="auto"/>
              </w:rPr>
            </w:pPr>
            <w:r>
              <w:rPr>
                <w:rFonts w:ascii="Arial" w:cs="Arial" w:eastAsia="Arial" w:hAnsi="Arial"/>
                <w:sz w:val="16"/>
                <w:szCs w:val="16"/>
                <w:color w:val="auto"/>
                <w:w w:val="91"/>
              </w:rPr>
              <w:t>Common Stock, par value $0.001</w:t>
            </w:r>
          </w:p>
        </w:tc>
        <w:tc>
          <w:tcPr>
            <w:tcW w:w="68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2"/>
          </w:tcPr>
          <w:p>
            <w:pPr>
              <w:jc w:val="center"/>
              <w:ind w:right="80"/>
              <w:spacing w:after="0"/>
              <w:rPr>
                <w:sz w:val="20"/>
                <w:szCs w:val="20"/>
                <w:color w:val="auto"/>
              </w:rPr>
            </w:pPr>
            <w:r>
              <w:rPr>
                <w:rFonts w:ascii="Arial" w:cs="Arial" w:eastAsia="Arial" w:hAnsi="Arial"/>
                <w:sz w:val="16"/>
                <w:szCs w:val="16"/>
                <w:color w:val="auto"/>
              </w:rPr>
              <w:t>ASMB</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ind w:right="421"/>
              <w:spacing w:after="0"/>
              <w:rPr>
                <w:sz w:val="20"/>
                <w:szCs w:val="20"/>
                <w:color w:val="auto"/>
              </w:rPr>
            </w:pPr>
            <w:r>
              <w:rPr>
                <w:rFonts w:ascii="Arial" w:cs="Arial" w:eastAsia="Arial" w:hAnsi="Arial"/>
                <w:sz w:val="16"/>
                <w:szCs w:val="16"/>
                <w:color w:val="auto"/>
                <w:w w:val="91"/>
              </w:rPr>
              <w:t>The 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jc w:val="both"/>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73"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940"/>
        <w:spacing w:after="0" w:line="260" w:lineRule="exact"/>
        <w:rPr>
          <w:sz w:val="20"/>
          <w:szCs w:val="20"/>
          <w:color w:val="auto"/>
        </w:rPr>
      </w:pPr>
      <w:r>
        <w:rPr>
          <w:rFonts w:ascii="Arial" w:cs="Arial" w:eastAsia="Arial" w:hAnsi="Arial"/>
          <w:sz w:val="16"/>
          <w:szCs w:val="16"/>
          <w:color w:val="auto"/>
        </w:rPr>
        <w:t xml:space="preserve">Indicate by check mark whether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2020, there were 32,722,365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Page</w:t>
            </w:r>
          </w:p>
        </w:tc>
      </w:tr>
      <w:tr>
        <w:trPr>
          <w:trHeight w:val="171"/>
        </w:trPr>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PART I:</w:t>
            </w:r>
          </w:p>
        </w:tc>
        <w:tc>
          <w:tcPr>
            <w:tcW w:w="954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March 31, 2020 (unaudited) and December 31,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Months Ended March 31, 2020 and 2019</w:t>
              </w:r>
            </w:hyperlink>
          </w:p>
        </w:tc>
        <w:tc>
          <w:tcPr>
            <w:tcW w:w="68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95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Condensed Consolidated Statements of Cash Flows for the Three Months Ended March 31, 2020 and 2019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7"/>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Changes in Stockholders’ Equity for the Three Months Ended March 31, 2020 and 2019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020" w:type="dxa"/>
            <w:vAlign w:val="bottom"/>
          </w:tcPr>
          <w:p>
            <w:pPr>
              <w:spacing w:after="0"/>
              <w:rPr>
                <w:sz w:val="17"/>
                <w:szCs w:val="17"/>
                <w:color w:val="auto"/>
              </w:rPr>
            </w:pPr>
          </w:p>
        </w:tc>
        <w:tc>
          <w:tcPr>
            <w:tcW w:w="92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954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Condensed Consolidated 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4"/>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4"/>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4"/>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PART II:</w:t>
            </w:r>
          </w:p>
        </w:tc>
        <w:tc>
          <w:tcPr>
            <w:tcW w:w="954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4"/>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Unregistered Sales of Equity Securities and Use of Proceeds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Defaults Upon Senior Securities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Mine Safety Disclosures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38"/>
        </w:trPr>
        <w:tc>
          <w:tcPr>
            <w:tcW w:w="10560" w:type="dxa"/>
            <w:vAlign w:val="bottom"/>
            <w:gridSpan w:val="5"/>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763"/>
        </w:trPr>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 and par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272"/>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156"/>
        </w:trPr>
        <w:tc>
          <w:tcPr>
            <w:tcW w:w="7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center"/>
              <w:ind w:right="272"/>
              <w:spacing w:after="0" w:line="155"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42,326</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46,732</w:t>
            </w: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206,803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227,311</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from collaboration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3,055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3,374</w:t>
            </w:r>
          </w:p>
        </w:tc>
      </w:tr>
      <w:tr>
        <w:trPr>
          <w:trHeight w:val="229"/>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4,568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5,363</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256,752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282,780</w:t>
            </w:r>
          </w:p>
        </w:tc>
      </w:tr>
      <w:tr>
        <w:trPr>
          <w:trHeight w:val="223"/>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1,780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1,830</w:t>
            </w: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right-of-use (ROU) assets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11,479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11,975</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1,661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1,684</w:t>
            </w: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Indefinite-lived intangible asset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29,000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29,000</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12,638</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12,638</w:t>
            </w:r>
          </w:p>
        </w:tc>
      </w:tr>
      <w:tr>
        <w:trPr>
          <w:trHeight w:val="26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313,310</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339,907</w:t>
            </w:r>
          </w:p>
        </w:tc>
      </w:tr>
      <w:tr>
        <w:trPr>
          <w:trHeight w:val="210"/>
        </w:trPr>
        <w:tc>
          <w:tcPr>
            <w:tcW w:w="7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2,104</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1,731</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clinical expenses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4,633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4,826</w:t>
            </w: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Other accrued expenses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4,430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8,286</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short-term</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6,715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6,411</w:t>
            </w:r>
          </w:p>
        </w:tc>
      </w:tr>
      <w:tr>
        <w:trPr>
          <w:trHeight w:val="230"/>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 - short-term</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3,264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3,186</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21,146</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24,440</w:t>
            </w:r>
          </w:p>
        </w:tc>
      </w:tr>
      <w:tr>
        <w:trPr>
          <w:trHeight w:val="223"/>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liabilities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2,531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2,531</w:t>
            </w: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Deferred revenue - long-term</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29,326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30,637</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 long-term</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8,539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9,082</w:t>
            </w: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61,542</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66,690</w:t>
            </w:r>
          </w:p>
        </w:tc>
      </w:tr>
      <w:tr>
        <w:trPr>
          <w:trHeight w:val="223"/>
        </w:trPr>
        <w:tc>
          <w:tcPr>
            <w:tcW w:w="7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Preferred stock, $0.001 par value; 5,000,000 shares authorized; no shares issued or outstanding</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rPr>
              <w:t>Common stock, $0.001 par value; 100,000,000 shares authorized as of March 31, 2020 and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00" w:type="dxa"/>
            <w:vAlign w:val="bottom"/>
          </w:tcPr>
          <w:p>
            <w:pPr>
              <w:ind w:left="260"/>
              <w:spacing w:after="0"/>
              <w:rPr>
                <w:sz w:val="20"/>
                <w:szCs w:val="20"/>
                <w:color w:val="auto"/>
              </w:rPr>
            </w:pPr>
            <w:r>
              <w:rPr>
                <w:rFonts w:ascii="Arial" w:cs="Arial" w:eastAsia="Arial" w:hAnsi="Arial"/>
                <w:sz w:val="18"/>
                <w:szCs w:val="18"/>
                <w:color w:val="auto"/>
                <w:w w:val="90"/>
              </w:rPr>
              <w:t>December 31, 2019; 32,624,725 and 32,558,307 shares issued and outstanding as of March 31, 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and December 31, 2019, respectively</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32</w:t>
            </w: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717,898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712,807</w:t>
            </w: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(466,076)</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(439,421)</w:t>
            </w:r>
          </w:p>
        </w:tc>
      </w:tr>
      <w:tr>
        <w:trPr>
          <w:trHeight w:val="223"/>
        </w:trPr>
        <w:tc>
          <w:tcPr>
            <w:tcW w:w="7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251,768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273,217</w:t>
            </w: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313,310</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339,907</w:t>
            </w: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4,081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23,046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22,704</w:t>
            </w: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8,729</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9,517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31,775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32,221</w:t>
            </w: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(27,694)</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(28,336)</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and other income, net</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1,039</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Loss before income taxes</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(27,059)</w:t>
            </w: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benefit</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5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(26,655)</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(27,052)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Unrealized gain on marketable securities, net of tax</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5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(26,540)</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(26,944)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9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5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35,079,756</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25,668,798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(26,655)</w:t>
            </w:r>
          </w:p>
        </w:tc>
        <w:tc>
          <w:tcPr>
            <w:tcW w:w="160" w:type="dxa"/>
            <w:vAlign w:val="bottom"/>
          </w:tcPr>
          <w:p>
            <w:pPr>
              <w:spacing w:after="0"/>
              <w:rPr>
                <w:sz w:val="19"/>
                <w:szCs w:val="19"/>
                <w:color w:val="auto"/>
              </w:rPr>
            </w:pP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(27,052)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4,924</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Net accretion and amortization of investments in marketable securities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rent expense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1,151</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fixed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 from collaboration</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clinical expenses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accrued expenses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(1,007)</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liabilities</w:t>
            </w: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(25,218)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(23,939)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(44,242)</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(49,030)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maturities of marketable securities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55,000</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61,453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sale of marketable securities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20,693</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(12,364)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46,732</w:t>
            </w:r>
          </w:p>
        </w:tc>
        <w:tc>
          <w:tcPr>
            <w:tcW w:w="1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41,471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42,326</w:t>
            </w: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29,107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non-cash investing and financing activities</w:t>
            </w: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13,933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9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32,558,307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712,807</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(439,421)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273,217</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3"/>
              </w:rPr>
              <w:t>Issuance of shares of common stock for settlement of restricted</w:t>
            </w: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 units (RSUs)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49,584</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Unrealized gain on marketable securities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(26,655)</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March 31, 2020</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32,624,725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717,898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(466,076)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251,768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60" w:type="dxa"/>
            <w:vAlign w:val="bottom"/>
          </w:tcPr>
          <w:p>
            <w:pPr>
              <w:spacing w:after="0"/>
              <w:rPr>
                <w:sz w:val="24"/>
                <w:szCs w:val="24"/>
                <w:color w:val="auto"/>
              </w:rPr>
            </w:pPr>
          </w:p>
        </w:tc>
        <w:tc>
          <w:tcPr>
            <w:tcW w:w="2100" w:type="dxa"/>
            <w:vAlign w:val="bottom"/>
            <w:gridSpan w:val="4"/>
            <w:vMerge w:val="restart"/>
          </w:tcPr>
          <w:p>
            <w:pPr>
              <w:jc w:val="right"/>
              <w:ind w:right="552"/>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4"/>
                <w:szCs w:val="14"/>
                <w:color w:val="auto"/>
              </w:rPr>
            </w:pPr>
          </w:p>
        </w:tc>
        <w:tc>
          <w:tcPr>
            <w:tcW w:w="21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10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8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98"/>
              </w:rPr>
              <w:t>Paid-in</w:t>
            </w:r>
          </w:p>
        </w:tc>
        <w:tc>
          <w:tcPr>
            <w:tcW w:w="1280" w:type="dxa"/>
            <w:vAlign w:val="bottom"/>
            <w:gridSpan w:val="4"/>
          </w:tcPr>
          <w:p>
            <w:pPr>
              <w:ind w:left="100"/>
              <w:spacing w:after="0" w:line="133" w:lineRule="exact"/>
              <w:rPr>
                <w:sz w:val="20"/>
                <w:szCs w:val="20"/>
                <w:color w:val="auto"/>
              </w:rPr>
            </w:pPr>
            <w:r>
              <w:rPr>
                <w:rFonts w:ascii="Arial" w:cs="Arial" w:eastAsia="Arial" w:hAnsi="Arial"/>
                <w:sz w:val="14"/>
                <w:szCs w:val="14"/>
                <w:b w:val="1"/>
                <w:bCs w:val="1"/>
                <w:color w:val="auto"/>
              </w:rPr>
              <w:t>Comprehensive</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9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4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w w:val="99"/>
              </w:rPr>
              <w:t>25,495,425</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552,762</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(341,787)</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210,653</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Issuance of common stock upon exercise of stock options</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9"/>
              </w:rPr>
              <w:t>Issuance of shares of common stock for settlement of RSUs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33,332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color w:val="auto"/>
              </w:rPr>
              <w:t>Settlement of RSUs for cash</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securities, net of tax</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6,556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(27,052)</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25,549,757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559,453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(368,839)</w:t>
            </w:r>
          </w:p>
        </w:tc>
        <w:tc>
          <w:tcPr>
            <w:tcW w:w="120" w:type="dxa"/>
            <w:vAlign w:val="bottom"/>
            <w:gridSpan w:val="2"/>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190,401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Assembly Biosciences, Inc., together with its subsidiaries (Assembly or the Company), incorporated in Delaware in October 2005, is a clinical-stage biotechnology company advancing two innovative programs: a novel class of oral therapeutic candidates targeting chronic hepatitis B virus (HBV) infection and a novel class of oral live microbial biotherapeutic candidates, which are designed to treat disorders associated with the microbiome. The Company operates in one segment and is headquartered in South San Francisco, California, with operations in South San Francisco, California and Groton, Connecticut. Prior to January 1, 2020, the Company was headquartered in Carmel, Indiana, and the Company expects to continue maintaining this office for a period of time.</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HBV Cure program is pursuing multiple drug candidates that inhibit the HBV lifecycle and block the generation of covalently closed circular DNA (cccDNA), with the aim of increasing the current low cure rates for patients with chronic HBV infection. Assembly has discovered several novel core inhibitors, which are small molecules that directly target and allosterically modify the HBV core protein.</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Microbiome program is centered on a fully integrated platform that includes a biological function-based strain isolation, identification, characterization and selection process, methods for strain purification and growth under conditions compliant with current Good Manufacturing Practice (cGMP) requirements. That platform is complemented by a licensed patented delivery system that the Company calls GEMICEL®, which is designed to allow for targeted oral delivery of live biologic and conventional therapies to the lower gastrointestinal (GI) tract. Using the Company’s microbiome platform, the Company is exploring product candidates for multiple disease indications, including ulcerative colitis (UC), Crohn’s disease and irritable bowel syndrome (IBS) with Allergan Pharmaceuticals International Limited (Allergan) in connection with its Research, Development, Collaboration and License Agreement (the Collaboration Agreement). Assembly is also exploring the microbiome in connection with immune-mediated and metabolic disorders and oncology, which indications the Company will either pursue internally or in collaboration with other parties.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proceeds from the exercise of warrants and stock options, issuance of debt and an upfront payment related to the Collaboration Agreement.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12 months following the date that these unaudited condensed consolidated interim financial statements are issued. If the Company cannot generate significant cash from its operations, it intends to obtain any additional funding it requires through strategic relationships, public or private equity or debt financings, grants or other arrangements (see Note 6 for recent sales of common stock). The Company cannot assure such funding will be available on reasonable terms, if at all. Market volatility resulting from the COVID-19 pandemic or other factors could also adversely impact the Company’s ability to access capital when and as needed.</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generate sufficient revenue from the Collaboration Agreement, secure additional sources of funding or receive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subsidiaries. All intercompany balances and transactions have been eliminated in consolidation.</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In management’s opinion, the unaudited interim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2019, which are contained in the Company’s Annual Report on Form 10-K as filed with the SEC on March 4, 2020. The results for the three months ended March 31, 2020 are not necessarily indicative of results to be expected for the entire year ending December 31, 2020 or future operating periods.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Significant estimates inherent in the preparation of the accompanying unaudited condensed consolidated financial statements include revenue recognition, clinical trial accruals, recoverability and useful lives (indefinite or finite) of intangible assets, assessment of impairment of goodwill, provisions for income taxes, amounts receivable and recognized as revenue under the Collaboration Agreement, measurement of operating lease liabilities, and the fair value of stock options, stock appreciation rights, and restricted stock units (RSUs) granted to employees, directors and consultants.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and Uncertainties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global novel coronavirus disease (COVID-19) outbreak a pandemic. To date, the Company’s operations have not been significantly impacted by the COVID-19 outbreak. However, the Company cannot at this time predict the specific extent, duration, or full impact that the COVID-19 outbreak will have on its condensed consolidated financial condition and operations. The impact of the COVID-19 coronavirus outbreak on the financial performance of the Company will depend on future developments, including the duration and spread of the outbreak and related governmental advisories and restrictions. These developments and the impact of COVID-19 on the financial markets and the overall economy are highly uncertain. If the financial markets and/or the overall economy are impacted for an extended period, the Company’s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18, 2020, the Families First Coronavirus Response Act (“FFCR Act”), and on March 27, 2020,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FFCR Act and CARES Act did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have a material impact on the Company’s condensed consolidated financial statements as of March 31, 2020; however, the Company continues to examine the impacts the FFCR Act and CARES Act may have on its business, results of operations, financial condition and liquidity.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8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Company sold 6,287,878 shares of common stock as well as pre-funded warrants to purchase up to 2,424,242 shares of common stock (see Note 6). The pre-funded warrants are exercisable for shares of common stock at a price of $0.001 per share. The shares of common stock into which the pre-funded warrants may be exercised are considered outstanding for the purposes of computing earnings per share because the shares may be issued for little or no consideration, they are fully vested, and are exercisable after the original issuance date.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the numerators and the denominators of the basic and diluted net loss per common share computations is as follows (in thousands, except per share amounts):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94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59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69"/>
        </w:trPr>
        <w:tc>
          <w:tcPr>
            <w:tcW w:w="6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(26,655)</w:t>
            </w:r>
          </w:p>
        </w:tc>
        <w:tc>
          <w:tcPr>
            <w:tcW w:w="160" w:type="dxa"/>
            <w:vAlign w:val="bottom"/>
            <w:tcBorders>
              <w:bottom w:val="single" w:sz="8" w:color="CFF0FC"/>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(27,052)</w:t>
            </w: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70"/>
        </w:trPr>
        <w:tc>
          <w:tcPr>
            <w:tcW w:w="6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w w:val="97"/>
              </w:rPr>
              <w:t>Weighted average common shares outstanding for diluted net (loss) income per share</w:t>
            </w:r>
          </w:p>
        </w:tc>
        <w:tc>
          <w:tcPr>
            <w:tcW w:w="15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35,079,756</w:t>
            </w:r>
          </w:p>
        </w:tc>
        <w:tc>
          <w:tcPr>
            <w:tcW w:w="160" w:type="dxa"/>
            <w:vAlign w:val="bottom"/>
            <w:tcBorders>
              <w:bottom w:val="single" w:sz="8" w:color="CFF0FC"/>
            </w:tcBorders>
          </w:tcPr>
          <w:p>
            <w:pPr>
              <w:spacing w:after="0"/>
              <w:rPr>
                <w:sz w:val="23"/>
                <w:szCs w:val="23"/>
                <w:color w:val="auto"/>
              </w:rPr>
            </w:pPr>
          </w:p>
        </w:tc>
        <w:tc>
          <w:tcPr>
            <w:tcW w:w="15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25,668,798</w:t>
            </w:r>
          </w:p>
        </w:tc>
      </w:tr>
      <w:tr>
        <w:trPr>
          <w:trHeight w:val="21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w:t>
            </w:r>
          </w:p>
        </w:tc>
        <w:tc>
          <w:tcPr>
            <w:tcW w:w="1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Basic</w:t>
            </w:r>
          </w:p>
        </w:tc>
        <w:tc>
          <w:tcPr>
            <w:tcW w:w="1500" w:type="dxa"/>
            <w:vAlign w:val="bottom"/>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that could potentially dilute loss per share in the future that were not included in the computation of diluted loss per share because including them would have been antidilutive are as follows: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6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94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50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15,296</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15,296</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6,370,396</w:t>
            </w:r>
          </w:p>
        </w:tc>
        <w:tc>
          <w:tcPr>
            <w:tcW w:w="160" w:type="dxa"/>
            <w:vAlign w:val="bottom"/>
          </w:tcPr>
          <w:p>
            <w:pPr>
              <w:spacing w:after="0"/>
              <w:rPr>
                <w:sz w:val="19"/>
                <w:szCs w:val="19"/>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5,111,590</w:t>
            </w: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Common stock subject to purchase under our ESPP</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32,940</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22,432</w:t>
            </w: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RSUs</w:t>
            </w: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999,926</w:t>
            </w:r>
          </w:p>
        </w:tc>
        <w:tc>
          <w:tcPr>
            <w:tcW w:w="16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607,656</w:t>
            </w: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7,418,558</w:t>
            </w:r>
          </w:p>
        </w:tc>
        <w:tc>
          <w:tcPr>
            <w:tcW w:w="16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5,756,974</w:t>
            </w:r>
          </w:p>
        </w:tc>
      </w:tr>
      <w:tr>
        <w:trPr>
          <w:trHeight w:val="20"/>
        </w:trPr>
        <w:tc>
          <w:tcPr>
            <w:tcW w:w="69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(ASU 2017-04), which simplifies how an entity is required to test goodwill for impairment by eliminating Step 2 from the goodwill impairment test. Step 2 measures a goodwill impairment loss by comparing the implied fair value of a reporting unit's goodwill with the carrying amount of that goodwill. Under the amendments in ASU 2017-04, an entity should recognize an impairment charge for the amount by which the carrying amount of a reporting unit exceeds its fair value; however, the loss recognized should not exceed the total amount of goodwill allocated to that reporting unit. The updated guidance requires a prospective adoption. In November 2019, the FASB issued ASU 2019-10, </w:t>
      </w:r>
      <w:r>
        <w:rPr>
          <w:rFonts w:ascii="Arial" w:cs="Arial" w:eastAsia="Arial" w:hAnsi="Arial"/>
          <w:sz w:val="17"/>
          <w:szCs w:val="17"/>
          <w:i w:val="1"/>
          <w:iCs w:val="1"/>
          <w:color w:val="auto"/>
        </w:rPr>
        <w:t>Financial Instruments – Credit Losses (Topic 326),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815), and Leases (Topic 842): Effective Dates </w:t>
      </w:r>
      <w:r>
        <w:rPr>
          <w:rFonts w:ascii="Arial" w:cs="Arial" w:eastAsia="Arial" w:hAnsi="Arial"/>
          <w:sz w:val="17"/>
          <w:szCs w:val="17"/>
          <w:color w:val="auto"/>
        </w:rPr>
        <w:t>(ASU 2019-10), which deferred the effective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date of this standard for all entities except SEC filers that are not smaller reporting companies to fiscal years beginning after December 15, 2022, including interim periods within those fiscal years. Early adoption is permitted for goodwill impairment tests performed on testing dates after January 1, 2017. The Company early adopted ASU 2017-04 effective January 1, 2020. The adoption of this standard had no impact on the Company’s condensed consolidated financial statements.</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January 1, 2020, the Company adopted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makes a number of changes meant to add, modify or remove certain disclosure requirements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movement amongst or hierarchy associated with Level 1, Level 2 and Level 3 fair value measurements. The adoption of this standard had no impact on the Company’s condensed consolidated financial statements and related disclosures.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January 1, 2020, the Company adopted ASU 2018-18, </w:t>
      </w:r>
      <w:r>
        <w:rPr>
          <w:rFonts w:ascii="Arial" w:cs="Arial" w:eastAsia="Arial" w:hAnsi="Arial"/>
          <w:sz w:val="17"/>
          <w:szCs w:val="17"/>
          <w:i w:val="1"/>
          <w:iCs w:val="1"/>
          <w:color w:val="auto"/>
        </w:rPr>
        <w:t>Collaborative Arrangements (Topic 808): Clarifying the Interaction between Topic 808 and</w:t>
      </w:r>
      <w:r>
        <w:rPr>
          <w:rFonts w:ascii="Arial" w:cs="Arial" w:eastAsia="Arial" w:hAnsi="Arial"/>
          <w:sz w:val="17"/>
          <w:szCs w:val="17"/>
          <w:color w:val="auto"/>
        </w:rPr>
        <w:t xml:space="preserve"> </w:t>
      </w:r>
      <w:r>
        <w:rPr>
          <w:rFonts w:ascii="Arial" w:cs="Arial" w:eastAsia="Arial" w:hAnsi="Arial"/>
          <w:sz w:val="17"/>
          <w:szCs w:val="17"/>
          <w:i w:val="1"/>
          <w:iCs w:val="1"/>
          <w:color w:val="auto"/>
        </w:rPr>
        <w:t>Topic 606</w:t>
      </w:r>
      <w:r>
        <w:rPr>
          <w:rFonts w:ascii="Arial" w:cs="Arial" w:eastAsia="Arial" w:hAnsi="Arial"/>
          <w:sz w:val="17"/>
          <w:szCs w:val="17"/>
          <w:color w:val="auto"/>
        </w:rPr>
        <w:t>, which clarifies that certain transactions between collaborative arrangement participants should be accounted for as revenue under Topic 606</w:t>
      </w:r>
      <w:r>
        <w:rPr>
          <w:rFonts w:ascii="Arial" w:cs="Arial" w:eastAsia="Arial" w:hAnsi="Arial"/>
          <w:sz w:val="17"/>
          <w:szCs w:val="17"/>
          <w:i w:val="1"/>
          <w:iCs w:val="1"/>
          <w:color w:val="auto"/>
        </w:rPr>
        <w:t xml:space="preserve"> </w:t>
      </w:r>
      <w:r>
        <w:rPr>
          <w:rFonts w:ascii="Arial" w:cs="Arial" w:eastAsia="Arial" w:hAnsi="Arial"/>
          <w:sz w:val="17"/>
          <w:szCs w:val="17"/>
          <w:color w:val="auto"/>
        </w:rPr>
        <w:t>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Amendments in the standard should be applied retrospectively to the date of initial application of Topic 606, but entities may elect to apply the amendments in Topic 808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adoption of this standard had no impact on the Company’s condensed consolidated financial statements and related disclosures.</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Simplifying the Accounting for Income Taxes</w:t>
      </w:r>
      <w:r>
        <w:rPr>
          <w:rFonts w:ascii="Arial" w:cs="Arial" w:eastAsia="Arial" w:hAnsi="Arial"/>
          <w:sz w:val="16"/>
          <w:szCs w:val="16"/>
          <w:color w:val="auto"/>
        </w:rPr>
        <w:t xml:space="preserve"> (ASU 2019-12). The ASU eliminates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standard is effective for fiscal years beginning after December 15, 2020, and interim periods within those fiscal years. Early adoption is permitted in an interim or annual period. Entities that elect to early adopt the amendments in an interim period should reflect any adjustments as of the beginning of the annual period that includes that interim period. Additionally, entities that elect early adoption must adopt all the amendments in the same period. Entities will apply the guidance prospectively, except for certain amendments. The Company early adopted ASU 2019-12 effective January 1, 2020. The adoption of this standard did not have a material impact on the Company’s condensed consolidated financial statements and related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(ASU 2016-13),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In April, May and November 2019, the FASB issued additional amendments to the new guidance related to transition and clarification. In November 2019, the FASB issued ASU 2019-10, which deferred the effective date of this standard for all entities except SEC filers that are not smaller reporting companies to fiscal years beginning after December 15, 2022, including interim periods within those fiscal years. Early adoption is permitted. The Company is currently evaluating this new accounting standard but currently does not expect the adoption of this standard to have a material impact on its condensed consolidated financial statements and related disclosures.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Investments in Marketable Securities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accrued expenses, lease liability-short term and deferred revenue-short term.</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uses the following three-level hierarchy that maximizes the use of observable inputs and minimizes the use of unobservable inputs to value its financial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Level 1: Observable inputs such as unadjusted quoted prices in active markets for identical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39,010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39,010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39,010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39,010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63,354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63,243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34,893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34,858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44,637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45,005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63,697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63,697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206,581</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387</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206,803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245,591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245,813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270"/>
              <w:spacing w:after="0"/>
              <w:rPr>
                <w:sz w:val="20"/>
                <w:szCs w:val="20"/>
                <w:color w:val="auto"/>
              </w:rPr>
            </w:pPr>
            <w:r>
              <w:rPr>
                <w:rFonts w:ascii="Arial" w:cs="Arial" w:eastAsia="Arial" w:hAnsi="Arial"/>
                <w:sz w:val="18"/>
                <w:szCs w:val="18"/>
                <w:color w:val="auto"/>
                <w:w w:val="90"/>
              </w:rPr>
              <w:t>(1)</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Gross unrealized gain (loss) is pre-tax.</w:t>
            </w: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vMerge w:val="continue"/>
          </w:tcPr>
          <w:p>
            <w:pPr>
              <w:spacing w:after="0"/>
              <w:rPr>
                <w:sz w:val="24"/>
                <w:szCs w:val="24"/>
                <w:color w:val="auto"/>
              </w:rPr>
            </w:pPr>
          </w:p>
        </w:tc>
        <w:tc>
          <w:tcPr>
            <w:tcW w:w="41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 xml:space="preserve">Gain </w:t>
            </w:r>
            <w:r>
              <w:rPr>
                <w:rFonts w:ascii="Arial" w:cs="Arial" w:eastAsia="Arial" w:hAnsi="Arial"/>
                <w:sz w:val="12"/>
                <w:szCs w:val="12"/>
                <w:b w:val="1"/>
                <w:bCs w:val="1"/>
                <w:color w:val="auto"/>
                <w:w w:val="96"/>
              </w:rPr>
              <w:t>(1)</w:t>
            </w:r>
          </w:p>
        </w:tc>
        <w:tc>
          <w:tcPr>
            <w:tcW w:w="1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 xml:space="preserve">Loss </w:t>
            </w:r>
            <w:r>
              <w:rPr>
                <w:rFonts w:ascii="Arial" w:cs="Arial" w:eastAsia="Arial" w:hAnsi="Arial"/>
                <w:sz w:val="12"/>
                <w:szCs w:val="12"/>
                <w:b w:val="1"/>
                <w:bCs w:val="1"/>
                <w:color w:val="auto"/>
                <w:w w:val="89"/>
              </w:rPr>
              <w:t>(1)</w:t>
            </w: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33,095</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42,579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42,578</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72,452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72,486</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34,008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ind w:left="7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34,025</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44,692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44,714</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2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76,086</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227,238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227,311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cash equivalents and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269,817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269,889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unrealized gain (loss) is pre-tax.</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contractual term to maturity of short-term marketable securities held by the Company as of March 31, 2020 is less than one year. There were no long-term marketable securities held by the Company as of March 31, 2020.</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Realized gains and losses for the three months ended March 31, 2020 and 2019 were not significant. None of the Company’s investments have been in a continuous unrealized loss position for more than 12 months as of March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the Company’s financial assets measured at fair value on a recurring basis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Fair Value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39,010</w:t>
            </w:r>
          </w:p>
        </w:tc>
        <w:tc>
          <w:tcPr>
            <w:tcW w:w="1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62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39,010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39,010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39,010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63,243</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63,243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34,858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34,858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45,005</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45,005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63,697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63,697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206,803</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206,803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39,010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206,803</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245,813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Money market fund</w:t>
            </w:r>
          </w:p>
        </w:tc>
        <w:tc>
          <w:tcPr>
            <w:tcW w:w="1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33,095</w:t>
            </w: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4,999</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4,484</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9,483</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42,578</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and foreign corporate debt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72,486</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72,486</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34,025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34,025</w:t>
            </w: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44,714</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44,714</w:t>
            </w: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U.S. and foreign commercial paper</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76,086</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76,086</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227,311</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227,311</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236,794</w:t>
            </w:r>
          </w:p>
        </w:tc>
        <w:tc>
          <w:tcPr>
            <w:tcW w:w="120" w:type="dxa"/>
            <w:vAlign w:val="bottom"/>
          </w:tcPr>
          <w:p>
            <w:pPr>
              <w:spacing w:after="0"/>
              <w:rPr>
                <w:sz w:val="19"/>
                <w:szCs w:val="19"/>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269,889</w:t>
            </w: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estimates the fair value of its U.S. and foreign corporate debt securities, asset-backed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during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Useful life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34"/>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Lab equipment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 to 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247</w:t>
            </w: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Office equipment</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699</w:t>
            </w: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Leasehold improvement</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 to 5</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2,084</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2,084</w:t>
            </w: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3,030</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Construction in progress</w:t>
            </w:r>
          </w:p>
        </w:tc>
        <w:tc>
          <w:tcPr>
            <w:tcW w:w="11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1,830</w:t>
            </w:r>
          </w:p>
        </w:tc>
      </w:tr>
      <w:tr>
        <w:trPr>
          <w:trHeight w:val="20"/>
        </w:trPr>
        <w:tc>
          <w:tcPr>
            <w:tcW w:w="5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expense was $0.1 million for both the three months ended March 31, 2020 and 2019 and was recorded in both research and development expense and general and administrative expense in the unaudited condensed consolidated statements of operations and comprehensive loss. Primarily all of property and equipment of the Company is located in the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Accrued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56"/>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4100" w:type="dxa"/>
            <w:vAlign w:val="bottom"/>
            <w:tcBorders>
              <w:bottom w:val="single" w:sz="8" w:color="CFF0FC"/>
            </w:tcBorders>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410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5,312</w:t>
            </w:r>
          </w:p>
        </w:tc>
      </w:tr>
      <w:tr>
        <w:trPr>
          <w:trHeight w:val="230"/>
        </w:trPr>
        <w:tc>
          <w:tcPr>
            <w:tcW w:w="4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restructuring charges</w:t>
            </w: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2,094</w:t>
            </w:r>
          </w:p>
        </w:tc>
      </w:tr>
      <w:tr>
        <w:trPr>
          <w:trHeight w:val="229"/>
        </w:trPr>
        <w:tc>
          <w:tcPr>
            <w:tcW w:w="4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Accrued professional fees and other</w:t>
            </w:r>
          </w:p>
        </w:tc>
        <w:tc>
          <w:tcPr>
            <w:tcW w:w="1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880</w:t>
            </w:r>
          </w:p>
        </w:tc>
      </w:tr>
      <w:tr>
        <w:trPr>
          <w:trHeight w:val="223"/>
        </w:trPr>
        <w:tc>
          <w:tcPr>
            <w:tcW w:w="4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8,286</w:t>
            </w: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Accrued restructuring charges relate to the Company’s decision to relocate its headquarters and key personnel to South San Francisco, California as approved by the Board of Directors in November 2019 and effective January 1, 2020. The Company accrued restructuring charges of $2.1 million in 2019 related to one-time severance payments and other employee-related costs associated with the relocation plan. This represents the total amount expected to be incurred in connection with the relocation and is expected to be fully paid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is authorized to issue 5,000,000 shares of preferred stock as of March 31, 2020 and December 31, 2019, respectively. As of March 31, 2020 and December 31, 2019, no shares of preferred stock were issued and outstanding. The Company is authorized to issue 100,000,000 shares of common stock as of March 31, 2020 and December 31, 2019,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 and Pre-Funded Warrants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2017, the Company filed a registration statement on Form S-3 with the SEC using a “shelf” registration statement, file No. 333-222366, which became effective January 10, 2018 (the Registration Statement). Under this shelf registration process, the Company may from time to time sell any combination of the securities described in the Registration Statement in one or more offerings up to an aggregate offering price of $250.0 million. In connection with the filing of this Registration Statement, the Company entered into a sales agreement under which the Company may offer and sell shares of its common stock having an aggregate offering price of up to $75.0 million through “at the market offerings” (ATM). As of March 31, 2020, no shares have been sold under the ATM program and $21.4 million remains available for sale under this Registration Statement.</w:t>
      </w:r>
    </w:p>
    <w:p>
      <w:pPr>
        <w:spacing w:after="0" w:line="1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December 2019, the Company sold to various investors an aggregate of 6,287,878 shares of common stock at a public offering price of $16.50 per share, which included the exercise in full by the underwriters of their option to purchase 1,136,363 additional shares of common stock, and pre-funded warrants to purchase 2,424,242 shares of common stock at a public offering price of $16.499 per warrant. The Company received aggregate net proceeds of $134.7 million from the offering and the option exercise, after deducting underwriting discounts and commissions and offering expenses payable by the Company. The pre-funded warrants are exercisable immediately upon issuance at an exercise price of $0.001 per share. Per their terms, the outstanding pre-funded warrants to purchase shares of the Company’s common stock generally may not be exercised if the holder’s ownership of the Company’s common stock would exceed 19.99% following such exercise. The exercise price and number of shares of common stock issuable upon the exercise of the pre-funded warrants (Warrant Shares) are subject to adjustment in the event of any stock dividends and splits, reverse stock split, recapitalization, reorganization or similar transaction, as described in the pre-funded warrant agreements. Under certain circumstances, the pre-funded warrants may be exercisable on a “cashless” basis. Both the pre-funded warrants and the Warrant Shares are registered securities.</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pre-funded warrants were classified as a component of permanent stockholders’ equity within additional paid-in-capital and were recorded at the issuance date using a relative fair value allocation method. The pre-funded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pre-funded warrants do not provide any guarantee of value or return. The Company valued the pre-funded warrants at issuance, concluding their sales price approximated their fair value, and allocated net proceeds from the sale proportionately to the common stock and pre-funded warrants of which $37.5 million was allocated to the pre-funded warrants and recorded as a component of additional paid-in-capital.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and December 31, 2019 the following warrants to purchase shares of the Company’s common stock were issued and outstanding: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280" w:type="dxa"/>
            <w:vAlign w:val="bottom"/>
          </w:tcPr>
          <w:p>
            <w:pPr>
              <w:jc w:val="center"/>
              <w:ind w:right="39"/>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960" w:type="dxa"/>
            <w:vAlign w:val="bottom"/>
            <w:gridSpan w:val="2"/>
            <w:vMerge w:val="restart"/>
          </w:tcPr>
          <w:p>
            <w:pPr>
              <w:ind w:left="2600"/>
              <w:spacing w:after="0"/>
              <w:rPr>
                <w:sz w:val="20"/>
                <w:szCs w:val="20"/>
                <w:color w:val="auto"/>
              </w:rPr>
            </w:pPr>
            <w:r>
              <w:rPr>
                <w:rFonts w:ascii="Arial" w:cs="Arial" w:eastAsia="Arial" w:hAnsi="Arial"/>
                <w:sz w:val="14"/>
                <w:szCs w:val="14"/>
                <w:b w:val="1"/>
                <w:bCs w:val="1"/>
                <w:color w:val="auto"/>
              </w:rPr>
              <w:t>Issue date</w:t>
            </w: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warrants</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5960" w:type="dxa"/>
            <w:vAlign w:val="bottom"/>
            <w:gridSpan w:val="2"/>
            <w:vMerge w:val="continue"/>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date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per Share</w:t>
            </w:r>
          </w:p>
        </w:tc>
        <w:tc>
          <w:tcPr>
            <w:tcW w:w="12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outstanding</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September 10, 2010</w:t>
            </w: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September 10,</w:t>
            </w: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58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2020</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15,296</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96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December 16, 2019</w:t>
            </w:r>
          </w:p>
        </w:tc>
        <w:tc>
          <w:tcPr>
            <w:tcW w:w="1280" w:type="dxa"/>
            <w:vAlign w:val="bottom"/>
            <w:tcBorders>
              <w:bottom w:val="single" w:sz="8" w:color="CCECFF"/>
            </w:tcBorders>
          </w:tcPr>
          <w:p>
            <w:pPr>
              <w:jc w:val="center"/>
              <w:spacing w:after="0"/>
              <w:rPr>
                <w:sz w:val="20"/>
                <w:szCs w:val="20"/>
                <w:color w:val="auto"/>
              </w:rPr>
            </w:pPr>
            <w:r>
              <w:rPr>
                <w:rFonts w:ascii="Arial" w:cs="Arial" w:eastAsia="Arial" w:hAnsi="Arial"/>
                <w:sz w:val="18"/>
                <w:szCs w:val="18"/>
                <w:color w:val="auto"/>
                <w:w w:val="92"/>
              </w:rPr>
              <w:t>None</w:t>
            </w:r>
          </w:p>
        </w:tc>
        <w:tc>
          <w:tcPr>
            <w:tcW w:w="260" w:type="dxa"/>
            <w:vAlign w:val="bottom"/>
            <w:tcBorders>
              <w:bottom w:val="single" w:sz="8" w:color="CCEC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CFF"/>
            </w:tcBorders>
          </w:tcPr>
          <w:p>
            <w:pPr>
              <w:jc w:val="right"/>
              <w:ind w:right="39"/>
              <w:spacing w:after="0"/>
              <w:rPr>
                <w:sz w:val="20"/>
                <w:szCs w:val="20"/>
                <w:color w:val="auto"/>
              </w:rPr>
            </w:pPr>
            <w:r>
              <w:rPr>
                <w:rFonts w:ascii="Arial" w:cs="Arial" w:eastAsia="Arial" w:hAnsi="Arial"/>
                <w:sz w:val="18"/>
                <w:szCs w:val="18"/>
                <w:color w:val="auto"/>
              </w:rPr>
              <w:t>0.001</w:t>
            </w:r>
          </w:p>
        </w:tc>
        <w:tc>
          <w:tcPr>
            <w:tcW w:w="140" w:type="dxa"/>
            <w:vAlign w:val="bottom"/>
            <w:tcBorders>
              <w:bottom w:val="single" w:sz="8" w:color="CCECFF"/>
            </w:tcBorders>
          </w:tcPr>
          <w:p>
            <w:pPr>
              <w:spacing w:after="0"/>
              <w:rPr>
                <w:sz w:val="19"/>
                <w:szCs w:val="19"/>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2,424,242</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2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120" w:type="dxa"/>
            <w:vAlign w:val="bottom"/>
            <w:tcBorders>
              <w:bottom w:val="single" w:sz="8" w:color="CCECFF"/>
            </w:tcBorders>
            <w:shd w:val="clear" w:color="auto" w:fill="CCECFF"/>
          </w:tcPr>
          <w:p>
            <w:pPr>
              <w:spacing w:after="0"/>
              <w:rPr>
                <w:sz w:val="19"/>
                <w:szCs w:val="19"/>
                <w:color w:val="auto"/>
              </w:rPr>
            </w:pPr>
          </w:p>
        </w:tc>
        <w:tc>
          <w:tcPr>
            <w:tcW w:w="118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CCECFF"/>
            </w:tcBorders>
            <w:shd w:val="clear" w:color="auto" w:fill="CCECFF"/>
          </w:tcPr>
          <w:p>
            <w:pPr>
              <w:spacing w:after="0"/>
              <w:rPr>
                <w:sz w:val="19"/>
                <w:szCs w:val="19"/>
                <w:color w:val="auto"/>
              </w:rPr>
            </w:pPr>
          </w:p>
        </w:tc>
        <w:tc>
          <w:tcPr>
            <w:tcW w:w="1280" w:type="dxa"/>
            <w:vAlign w:val="bottom"/>
            <w:tcBorders>
              <w:bottom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2,439,538</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w w:val="90"/>
              </w:rPr>
              <w:t>There were no warrants exercised during the three months ended March 31, 2020 or 2019.</w:t>
            </w: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40" w:type="dxa"/>
            <w:vAlign w:val="bottom"/>
            <w:gridSpan w:val="3"/>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 Plans and Stock-Based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2018, the Company’s stockholders approved (1) the Assembly Biosciences, Inc. 2018 Stock Incentive Plan (the 2018 Plan) pursuant to which the Company reserved 1,900,000 shares of its common stock for issuance in connection with equity incentive awards and (2) the Assembly Biosciences Inc. Employee Stock Purchase Plan (the 2018 ESPP) pursuant to which the Company reserved 400,000 shares of its common stock for issuance in connection with purchases by employees pursuant to this plan.</w:t>
      </w:r>
    </w:p>
    <w:p>
      <w:pPr>
        <w:spacing w:after="0" w:line="160"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In May 2019, the Company’s stockholders approved an amendment to the 2018 Plan that increased the aggregate shares of common stock reserved under the 2018 Plan to 3,000,000.</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the Company had awards outstanding under the following shareholder-approved plans: 2010 Equity Incentive Plan (the 2010 Plan),</w:t>
      </w:r>
    </w:p>
    <w:p>
      <w:pPr>
        <w:spacing w:after="0" w:line="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which has been frozen; the Amended and Restated 2014 Stock Incentive Plan (the 2014 Plan); and the 2018 Plan. Shares of common stock underlying awards that are forfeited under the 2010 Plan on or after June 2, 2016 will become available for issuance under the 2014 Plan. As of March 31, 2020, the Company also had awards outstanding under the Assembly Biosciences, Inc. 2017 Inducement Award Plan (the 2017 Plan), the Assembly Biosciences, Inc. 2019 Inducement Award Plan (the 2019 Plan) and the Assembly Biosciences, Inc. 2020 Inducement Award Plan (the 2020 Plan).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issues new shares of common stock to settle options exercised and vested RSUs. The Company also issues new shares of common stock in connection with purchases of shares of common stock by eligible employees under the Company’s 2018 ESPP.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Activity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for the three months ended March 31, 2020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Term</w:t>
            </w:r>
          </w:p>
        </w:tc>
        <w:tc>
          <w:tcPr>
            <w:tcW w:w="140" w:type="dxa"/>
            <w:vAlign w:val="bottom"/>
          </w:tcPr>
          <w:p>
            <w:pPr>
              <w:spacing w:after="0"/>
              <w:rPr>
                <w:sz w:val="12"/>
                <w:szCs w:val="12"/>
                <w:color w:val="auto"/>
              </w:rPr>
            </w:pPr>
          </w:p>
        </w:tc>
        <w:tc>
          <w:tcPr>
            <w:tcW w:w="10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Per Share</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5,613,353</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15.90</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833,140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(59,263)</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March 31, 2020</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6,370,396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15.67</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21,547</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Options vested and exercisable as of March 31, 2020</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3,302,792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19"/>
                <w:szCs w:val="19"/>
                <w:color w:val="auto"/>
              </w:rPr>
            </w:pPr>
          </w:p>
        </w:tc>
        <w:tc>
          <w:tcPr>
            <w:tcW w:w="1120" w:type="dxa"/>
            <w:vAlign w:val="bottom"/>
          </w:tcPr>
          <w:p>
            <w:pPr>
              <w:jc w:val="right"/>
              <w:ind w:right="44"/>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18,722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options granted was $9.74 and $13.71 during the three months ended March 31,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during the three months ended March 31, 2020 and 2019 was $0.2 million and $0.3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RSUs and related information for the three months ended March 31, 2020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8"/>
        </w:trPr>
        <w:tc>
          <w:tcPr>
            <w:tcW w:w="6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4"/>
              </w:rPr>
              <w:t>Value Per RSU</w:t>
            </w:r>
          </w:p>
        </w:tc>
        <w:tc>
          <w:tcPr>
            <w:tcW w:w="0" w:type="dxa"/>
            <w:vAlign w:val="bottom"/>
          </w:tcPr>
          <w:p>
            <w:pPr>
              <w:spacing w:after="0"/>
              <w:rPr>
                <w:sz w:val="1"/>
                <w:szCs w:val="1"/>
                <w:color w:val="auto"/>
              </w:rPr>
            </w:pPr>
          </w:p>
        </w:tc>
      </w:tr>
      <w:tr>
        <w:trPr>
          <w:trHeight w:val="171"/>
        </w:trPr>
        <w:tc>
          <w:tcPr>
            <w:tcW w:w="6780" w:type="dxa"/>
            <w:vAlign w:val="bottom"/>
            <w:tcBorders>
              <w:bottom w:val="single" w:sz="8" w:color="CCECFF"/>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4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of RSU's</w:t>
            </w:r>
          </w:p>
        </w:tc>
        <w:tc>
          <w:tcPr>
            <w:tcW w:w="1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5"/>
              </w:rPr>
              <w:t>at Grant Price</w:t>
            </w:r>
          </w:p>
        </w:tc>
        <w:tc>
          <w:tcPr>
            <w:tcW w:w="0" w:type="dxa"/>
            <w:vAlign w:val="bottom"/>
          </w:tcPr>
          <w:p>
            <w:pPr>
              <w:spacing w:after="0"/>
              <w:rPr>
                <w:sz w:val="1"/>
                <w:szCs w:val="1"/>
                <w:color w:val="auto"/>
              </w:rPr>
            </w:pPr>
          </w:p>
        </w:tc>
      </w:tr>
      <w:tr>
        <w:trPr>
          <w:trHeight w:val="223"/>
        </w:trPr>
        <w:tc>
          <w:tcPr>
            <w:tcW w:w="6780" w:type="dxa"/>
            <w:vAlign w:val="bottom"/>
            <w:shd w:val="clear" w:color="auto" w:fill="CCECFF"/>
          </w:tcPr>
          <w:p>
            <w:pPr>
              <w:spacing w:after="0"/>
              <w:rPr>
                <w:sz w:val="20"/>
                <w:szCs w:val="20"/>
                <w:color w:val="auto"/>
              </w:rPr>
            </w:pPr>
            <w:r>
              <w:rPr>
                <w:rFonts w:ascii="Arial" w:cs="Arial" w:eastAsia="Arial" w:hAnsi="Arial"/>
                <w:sz w:val="18"/>
                <w:szCs w:val="18"/>
                <w:color w:val="auto"/>
              </w:rPr>
              <w:t>Nonvested as of December 31, 2019</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758,718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9"/>
              <w:spacing w:after="0"/>
              <w:rPr>
                <w:sz w:val="20"/>
                <w:szCs w:val="20"/>
                <w:color w:val="auto"/>
              </w:rPr>
            </w:pPr>
            <w:r>
              <w:rPr>
                <w:rFonts w:ascii="Arial" w:cs="Arial" w:eastAsia="Arial" w:hAnsi="Arial"/>
                <w:sz w:val="18"/>
                <w:szCs w:val="18"/>
                <w:color w:val="auto"/>
              </w:rPr>
              <w:t>485,664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(94,224)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(23,982)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23"/>
        </w:trPr>
        <w:tc>
          <w:tcPr>
            <w:tcW w:w="67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Nonvested as of March 31, 2020</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1,126,176</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81"/>
              </w:rPr>
              <w:t>(1)</w:t>
            </w:r>
          </w:p>
        </w:tc>
        <w:tc>
          <w:tcPr>
            <w:tcW w:w="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20" w:hanging="572"/>
        <w:spacing w:after="0" w:line="277"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126,250 RSUs that have vested but are subject to deferred settlement, which have a weighted average remaining contractual term of 2.3 years.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fair value of RSUs vested and settled during the three months ended March 31, 2020 and 2019 as $2.4 million and $2.2 million, respectively. The total intrinsic value of RSUs vested and settled during the three months ended March 31, 2020 and 2019 was $1.5 million and $1.3 million, respectively.</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2020, RSUs outstanding include 45,000 RSUs granted in December 2017 and 100,000 RSUs granted in September 2019 to executives of the Company, each with performance-based conditions. The total fair value of these awards is $0.7 million and $1.2 million, respectively. The performance conditions upon which these awards will vest are not yet deemed probable of being met, and accordingly no compensation expense has been recognized as of March 31, 2020 for these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stock options granted or modified during the periods indicated was estimated using the Black-Scholes option pricing model, based on the following assumptions: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6940" w:type="dxa"/>
            <w:vAlign w:val="bottom"/>
            <w:tcBorders>
              <w:bottom w:val="single" w:sz="8" w:color="CFF0FC"/>
            </w:tcBorders>
          </w:tcPr>
          <w:p>
            <w:pPr>
              <w:spacing w:after="0"/>
              <w:rPr>
                <w:sz w:val="13"/>
                <w:szCs w:val="13"/>
                <w:color w:val="auto"/>
              </w:rPr>
            </w:pPr>
          </w:p>
        </w:tc>
        <w:tc>
          <w:tcPr>
            <w:tcW w:w="1480" w:type="dxa"/>
            <w:vAlign w:val="bottom"/>
            <w:tcBorders>
              <w:bottom w:val="single" w:sz="8" w:color="auto"/>
            </w:tcBorders>
            <w:gridSpan w:val="2"/>
          </w:tcPr>
          <w:p>
            <w:pPr>
              <w:jc w:val="right"/>
              <w:ind w:right="57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gridSpan w:val="2"/>
          </w:tcPr>
          <w:p>
            <w:pPr>
              <w:jc w:val="right"/>
              <w:ind w:right="590"/>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$19.13</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$23.04</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4"/>
              </w:rPr>
              <w:t>66.38%</w:t>
            </w:r>
          </w:p>
        </w:tc>
        <w:tc>
          <w:tcPr>
            <w:tcW w:w="840" w:type="dxa"/>
            <w:vAlign w:val="bottom"/>
          </w:tcPr>
          <w:p>
            <w:pPr>
              <w:ind w:left="20"/>
              <w:spacing w:after="0"/>
              <w:rPr>
                <w:sz w:val="20"/>
                <w:szCs w:val="20"/>
                <w:color w:val="auto"/>
              </w:rPr>
            </w:pPr>
            <w:r>
              <w:rPr>
                <w:rFonts w:ascii="Arial" w:cs="Arial" w:eastAsia="Arial" w:hAnsi="Arial"/>
                <w:sz w:val="18"/>
                <w:szCs w:val="18"/>
                <w:color w:val="auto"/>
              </w:rPr>
              <w:t>- 82.23%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w:t>
            </w:r>
          </w:p>
        </w:tc>
        <w:tc>
          <w:tcPr>
            <w:tcW w:w="880" w:type="dxa"/>
            <w:vAlign w:val="bottom"/>
          </w:tcPr>
          <w:p>
            <w:pPr>
              <w:ind w:left="20"/>
              <w:spacing w:after="0"/>
              <w:rPr>
                <w:sz w:val="20"/>
                <w:szCs w:val="20"/>
                <w:color w:val="auto"/>
              </w:rPr>
            </w:pPr>
            <w:r>
              <w:rPr>
                <w:rFonts w:ascii="Arial" w:cs="Arial" w:eastAsia="Arial" w:hAnsi="Arial"/>
                <w:sz w:val="18"/>
                <w:szCs w:val="18"/>
                <w:color w:val="auto"/>
              </w:rPr>
              <w:t>- 83.2%</w:t>
            </w: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Risk-free rate</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- 1.44%</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- 2.65%</w:t>
            </w:r>
          </w:p>
        </w:tc>
      </w:tr>
      <w:tr>
        <w:trPr>
          <w:trHeight w:val="229"/>
        </w:trPr>
        <w:tc>
          <w:tcPr>
            <w:tcW w:w="6940" w:type="dxa"/>
            <w:vAlign w:val="bottom"/>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840" w:type="dxa"/>
            <w:vAlign w:val="bottom"/>
          </w:tcPr>
          <w:p>
            <w:pPr>
              <w:ind w:left="20"/>
              <w:spacing w:after="0"/>
              <w:rPr>
                <w:sz w:val="20"/>
                <w:szCs w:val="20"/>
                <w:color w:val="auto"/>
              </w:rPr>
            </w:pPr>
            <w:r>
              <w:rPr>
                <w:rFonts w:ascii="Arial" w:cs="Arial" w:eastAsia="Arial" w:hAnsi="Arial"/>
                <w:sz w:val="18"/>
                <w:szCs w:val="18"/>
                <w:color w:val="auto"/>
              </w:rPr>
              <w:t>- 7.0</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880" w:type="dxa"/>
            <w:vAlign w:val="bottom"/>
          </w:tcPr>
          <w:p>
            <w:pPr>
              <w:ind w:left="20"/>
              <w:spacing w:after="0"/>
              <w:rPr>
                <w:sz w:val="20"/>
                <w:szCs w:val="20"/>
                <w:color w:val="auto"/>
              </w:rPr>
            </w:pPr>
            <w:r>
              <w:rPr>
                <w:rFonts w:ascii="Arial" w:cs="Arial" w:eastAsia="Arial" w:hAnsi="Arial"/>
                <w:sz w:val="18"/>
                <w:szCs w:val="18"/>
                <w:color w:val="auto"/>
              </w:rPr>
              <w:t>- 7.0</w:t>
            </w: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2"/>
            <w:shd w:val="clear" w:color="auto" w:fill="CFF0FC"/>
          </w:tcPr>
          <w:p>
            <w:pPr>
              <w:jc w:val="right"/>
              <w:ind w:right="59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granted is determined based on the price of the Company’s common stock on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ESPP purchase rights were not material for any period presented.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components of total stock-based compensation expense included in the condensed consolidated statements of operations and comprehensive loss (in thousands):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r>
      <w:tr>
        <w:trPr>
          <w:trHeight w:val="156"/>
        </w:trPr>
        <w:tc>
          <w:tcPr>
            <w:tcW w:w="492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1,945</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2,728</w:t>
            </w: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2,979</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3,849</w:t>
            </w: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0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4,924</w:t>
            </w: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6,577</w:t>
            </w:r>
          </w:p>
        </w:tc>
      </w:tr>
      <w:tr>
        <w:trPr>
          <w:trHeight w:val="20"/>
        </w:trPr>
        <w:tc>
          <w:tcPr>
            <w:tcW w:w="4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2020, there was $34.5 million of total unrecognized stock-based compensation related to outstanding equity awards which is expected to be recognized over a weighted average remaining amortization period of 1.8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Collaboration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Allergan</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2017, the Company entered into the Collaboration Agreement with Allergan to develop and commercialize select microbiome gastrointestinal disease therapies. Pursuant to the Collaboration Agreement, the Company granted to Allergan an exclusive worldwide license to certain of its intellectual property, including its intellectual property arising under the Collaboration Agreement, to develop and commercialize licensed compounds for UC, Crohn’s disease, and two compounds for IBS. Allergan and the Company also agreed to collaborate on research and development activities with respect to the licensed compounds in accordance with a mutually agreed upon research and development plan. Per the terms of the Collaboration Agreement, Allergan can select backups and additional target indications to add to the licenses granted for additional consideration and also has the ability to enter into a contract manufacturing agreement with the Company for compound supply at cost plus an agreed upon margin. In addition, the Company will participate on a Joint Development Committee (JDC) and Joint Patent Committee (JPC).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Allergan paid the Company an upfront non-refundable payment of $50.0 million, which was received in 2017. Additionally, the Company is eligible to receive variable consideration in the form of research and development cost reimbursements, up to $631.0 million related to seven development milestones and up to $2.14 billion related to 12 commercial development and sales milestones in connection with the successful development and commercialization of licensed compounds. In addition, the Company is eligible to receive tiered royalties at rates ranging from the mid-single digits to the mid-teens based on net sales.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Allergan and the Company have agreed to share research and development costs up to an aggregate of $75.0 million through proof-of-concept (POC) studies on a ⅔, ⅓ basis, respectively, and Allergan has agreed to assume all post-POC development costs. In the event any pre-POC development costs exceed $75.0 million in the aggregate, the Company may elect either (a) to fund ⅓ of such costs in excess of $75.0 million or (b) to allow Allergan to deduct from future development milestone payments ⅓ of the development costs funded by Allergan in excess of $75.0 million plus a premium of 25%. The Company has an option to co-promote the licensed programs in the U.S. and China, subject to certain conditions set forth in the Collaboration Agreement.</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Allergan may terminate the Collaboration Agreement at any time upon 90 days’ (prior to the initiation of the first POC trial of a licensed product) or 120 days’ (after the initiation of the first POC trial of a licensed product), as applicable, advance written notice to the Company. Unless terminated early, the Collaboration Agreement has a term that ends on the earlier of the (i) the period when POC studies have been completed and no further licensed compounds or licensed products are in development, and (ii) expiration of the last to exist valid claim covering the manufacture, use and sale of the licensed products. The Collaboration Agreement also contains customary provisions for termination by either party, including in the event of breach of the Collaboration Agreement, subject to cure. Upon termination for convenience, the licenses granted by the Company and its know-how all revert to the Company.</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concluded that Allergan is a customer, and the contract is not subject to accounting literature on collaborative arrangements. This is because the Company granted to Allergan licenses to its intellectual property and research and development services, all of which are outputs of the Company’s ongoing activities, in exchange for consideration. The Company identified the following material promises under the Collaboration Agreement: (1) grant of licenses to intellectual property for the four initial indications, inclusive of the related technology know-how (Licenses) and (2) the obligation to perform research development services through POC (Development Services). The Company’s participation on the JDC and JPC were considered to be immaterial in the context of the contract. The Company’s co-promotion option was not considered to be a performance obligation. Allergan’s selection of backups or additional target indications to add to the licenses granted for additional consideration and ability to enter into a contract manufacturing agreement with the Company for compound supply at cost plus an agreed upon margin were not considered to be performance obligations as the Company concluded the options were not offered at a discount that exceeds discounts available to other customers, and therefore were not material rights. The grant of additional licensing rights upon option exercises and contract manufacturing agreements will be accounted for as separate contracts when they occur.</w:t>
      </w:r>
    </w:p>
    <w:p>
      <w:pPr>
        <w:spacing w:after="0" w:line="1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concluded the Licenses each were considered to be functional as they have significant standalone functionality and were capable of being distinct. However, the Company determined that each of the Licenses individually were not distinct from the Development Services within the context of the agreement. This is because Allergan is dependent on the Company to execute the Development Services, which it is uniquely able to perform, in order for Allergan to benefit from the Licenses. As such, the Company determined that it has four performance obligations under the Collaboration Agreement associated with the grant of the four compound Licenses combined with the performance of the Development Services for each of the four compound indications. The Company determined that the four performance obligations will be performed over the duration of the contract, which began in February 2017 and ends upon completion of the Development Services which is currently estimated to occur in 2025. The Company is using a cost-based input method to measure proportional performance and to calculate the corresponding amount of revenue to recognize. The Company believes this is the best measure of progress because other measures do not reflect how the Company transfers its performance obligation to Allergan. In applying the cost-based input method of revenue recognition, the Company measures costs incurred relative to budgeted costs to fulfill the four performance obligations. These costs consist primarily of third-party contract costs and internal labor costs. Revenue will be recognized based on actual costs incurred as a percentage of total budgeted costs as the Company completes its performance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allocate transaction price among the four performance obligations, the Company estimated their standalone selling price (SSP) using an income-based valuation approach for the estimated value a licensor of the compounds would receive considering the stage of the compounds’ development. The Company believes that a change in the assumptions used to determine its best estimate of selling price for the four performance obligations would not have a significant effect on the allocation of consideration received to the four performance obligations.</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transaction price at the inception of the agreement and upon adoption of ASC 606 was limited to $50.0 million upfront payment. Of this amount, the Company allocated $12.5 million to each of the four performance obligations. Research and development cost reimbursement payments are included in the transaction price in the reporting period that the Company concludes that it is probable that recording revenue in the period will not result in a significant reversal in amounts recognized in future periods. The variable consideration related to the remaining development and commercialization milestone payments has not been included in the transaction price as these were fully constrained at September 30, 2019. As part of the Company’s evaluation of the development and commercialization milestones constraint, the Company determined that the achievement of such milestones is contingent upon success in future clinical trials and regulatory approvals which are not within its control and uncertain at this stage. Any variable consideration related to sales-based milestones (including royalties) will be recognized when the related sales occur as they were determined to relate predominantly to the license granted to Allergan. The Company will re-evaluate the transaction price in each reporting period and as uncertain events are resolved or other changes in circumstances occur.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any significant incremental costs of obtaining the Allergan contract.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and 2019, the Company recognized $4.1 million and $3.9 million, respectively, in revenue associated with the Collaboration Agreement. Short-term and long-term deferred revenue contract liabilities related to the Collaboration Agreement were $6.7 million and $29.3 million at March 31, 2020 and $6.4 million and $30.6 million at December 31, 2019.</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the unaudited condensed consolidated balance sheets, contract asset balances of $3.1 million and $3.4 million were recorded as accounts receivable from collaboration as of March 31, 2020 and December 31, 2019,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contract liabilities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Balance at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Deductions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6"/>
              </w:rPr>
              <w:t>End of</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Period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37,048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36,041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61"/>
              <w:spacing w:after="0"/>
              <w:rPr>
                <w:sz w:val="20"/>
                <w:szCs w:val="20"/>
                <w:color w:val="auto"/>
              </w:rPr>
            </w:pPr>
            <w:r>
              <w:rPr>
                <w:rFonts w:ascii="Arial" w:cs="Arial" w:eastAsia="Arial" w:hAnsi="Arial"/>
                <w:sz w:val="14"/>
                <w:szCs w:val="14"/>
                <w:b w:val="1"/>
                <w:bCs w:val="1"/>
                <w:color w:val="auto"/>
                <w:w w:val="91"/>
              </w:rPr>
              <w:t>Balance at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Deductions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6"/>
              </w:rPr>
              <w:t>End of</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Period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40,660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39,801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80" w:type="dxa"/>
            <w:vAlign w:val="bottom"/>
            <w:tcBorders>
              <w:bottom w:val="single" w:sz="8" w:color="auto"/>
            </w:tcBorders>
            <w:gridSpan w:val="9"/>
          </w:tcPr>
          <w:p>
            <w:pPr>
              <w:jc w:val="right"/>
              <w:ind w:right="581"/>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94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9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gridSpan w:val="3"/>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01"/>
              <w:spacing w:after="0" w:line="155" w:lineRule="exact"/>
              <w:rPr>
                <w:sz w:val="20"/>
                <w:szCs w:val="20"/>
                <w:color w:val="auto"/>
              </w:rPr>
            </w:pPr>
            <w:r>
              <w:rPr>
                <w:rFonts w:ascii="Arial" w:cs="Arial" w:eastAsia="Arial" w:hAnsi="Arial"/>
                <w:sz w:val="14"/>
                <w:szCs w:val="14"/>
                <w:b w:val="1"/>
                <w:bCs w:val="1"/>
                <w:color w:val="auto"/>
                <w:w w:val="96"/>
              </w:rPr>
              <w:t>2019</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Collaboration revenue recognized in the period from</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0"/>
              </w:rPr>
              <w:t>Amounts included in deferred revenue at the beginning of the period</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199"/>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1,007</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859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Performance obligations satisfied in previous period</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17</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Milestones and Research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Research Agreement with Indiana University</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September 2013, the Company has been party to an exclusive License Agreement dated September 3, 2013 with Indiana University Research and Technology Corporation (IURTC) from whom it has licensed aspects of the Company’s HBV program held by IURTC. The license agreement requires the Company to make milestone payments based upon the successful accomplishment of clinical and regulatory milestones. The aggregate amount of all performance milestone payments under the IURTC license agreement, should all milestones through development be met, is $0.8 million, with a portion related to the first performance milestone having been paid. The Company is obligated to pay IURTC royalty payments based on net sales of the licensed technology. The Company is also required to pay diligence maintenance fees each year to the extent that the royalty, sublicensing, and milestone payments to IURTC are less than such fees for that year. Amounts paid in the three months ended March 31, 2020 and 2019 were insignificant.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Targeted Colonic Delivery Platform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2013, the Company entered into a License and Collaboration Agreement with Therabiome, LLC (Therabiome), for all intellectual property and know-how owned or controlled by Therabiome relating to the oral delivery of pharmaceutical drugs to specific sites in the intestine, using a pH sensitive controlled release capsule-in-capsule technology. The Company will be solely responsible for all research and development activities with respect to any product it develops under the license.</w:t>
      </w:r>
    </w:p>
    <w:p>
      <w:pPr>
        <w:spacing w:after="0" w:line="1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must pay Therabiome clinical and regulatory milestones for each product or therapy advanced from the platform for U.S. regulatory milestones. In addition, the Company must pay Therabiome lesser amounts for foreign regulatory milestones, which vary by country and region. The Company is also required to pay Therabiome royalties on annual net sales of a product in the low to mid-single digit percentages plus, once annual net sales exceed certain thresholds, a one-time cash payment upon reaching such thresholds.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Therabiome must pay the Company royalties on annual net sales of any product Therabiome is permitted to develop using the intellectual property in the low double to mid-double-digit percentages, depending on the level of development or involvement the Company had in the product.</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amounts were accrued for this agreement as of and for the three months ended March 31, 2020. A regulatory milestone was determined to have occurred and $0.1 million was paid under this agreement as of and during the three months ended March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leases office space for corporate, administrative and laboratory functions in South San Francisco, California under a sub-sublease that expires in December 2023. The Company also leases office space in Carmel, Indiana under a lease agreement that expires in August 2023 as well as office and laboratory space in Groton, Connecticut under a lease that expires in March 2021. The Company’s China subsidiary leases office space in Shanghai that expires in May 2021 and rents lab space in Shanghai under a lease agreement that expires in December 2020. Additionally, the Company’s China subsidiary leases office space in Beijing under a lease agreement that expires in December 2020. Certain lease contracts contain renewal clauses that the Company assesses on a case by case basis. The Company also leases certain laboratory equipment accounted for as operating leases. Certain equipment leases continue to expire in 2020, with the final lease expiring in 2022.</w:t>
      </w:r>
    </w:p>
    <w:p>
      <w:pPr>
        <w:spacing w:after="0" w:line="15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8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2020, the Company had operating lease liabilities of $11.8 million and ROU assets of $11.5 million, which were included in the condensed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quantitative information about the Company’s operating leases (in thousands):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Three Months</w:t>
            </w:r>
          </w:p>
        </w:tc>
      </w:tr>
      <w:tr>
        <w:trPr>
          <w:trHeight w:val="148"/>
        </w:trPr>
        <w:tc>
          <w:tcPr>
            <w:tcW w:w="3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3560" w:type="dxa"/>
            <w:vAlign w:val="bottom"/>
            <w:tcBorders>
              <w:bottom w:val="single" w:sz="8" w:color="CFF0FC"/>
            </w:tcBorders>
          </w:tcPr>
          <w:p>
            <w:pPr>
              <w:spacing w:after="0"/>
              <w:rPr>
                <w:sz w:val="14"/>
                <w:szCs w:val="14"/>
                <w:color w:val="auto"/>
              </w:rPr>
            </w:pPr>
          </w:p>
        </w:tc>
        <w:tc>
          <w:tcPr>
            <w:tcW w:w="1800" w:type="dxa"/>
            <w:vAlign w:val="bottom"/>
            <w:tcBorders>
              <w:bottom w:val="single" w:sz="8" w:color="CFF0FC"/>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tcPr>
          <w:p>
            <w:pPr>
              <w:jc w:val="center"/>
              <w:ind w:right="16"/>
              <w:spacing w:after="0"/>
              <w:rPr>
                <w:sz w:val="20"/>
                <w:szCs w:val="20"/>
                <w:color w:val="auto"/>
              </w:rPr>
            </w:pPr>
            <w:r>
              <w:rPr>
                <w:rFonts w:ascii="Arial" w:cs="Arial" w:eastAsia="Arial" w:hAnsi="Arial"/>
                <w:sz w:val="14"/>
                <w:szCs w:val="14"/>
                <w:b w:val="1"/>
                <w:bCs w:val="1"/>
                <w:color w:val="auto"/>
                <w:w w:val="94"/>
              </w:rPr>
              <w:t>March 31, 2019</w:t>
            </w: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Lease cost</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9"/>
        </w:trPr>
        <w:tc>
          <w:tcPr>
            <w:tcW w:w="3560" w:type="dxa"/>
            <w:vAlign w:val="bottom"/>
          </w:tcPr>
          <w:p>
            <w:pPr>
              <w:ind w:left="240"/>
              <w:spacing w:after="0"/>
              <w:rPr>
                <w:sz w:val="20"/>
                <w:szCs w:val="20"/>
                <w:color w:val="auto"/>
              </w:rPr>
            </w:pPr>
            <w:r>
              <w:rPr>
                <w:rFonts w:ascii="Arial" w:cs="Arial" w:eastAsia="Arial" w:hAnsi="Arial"/>
                <w:sz w:val="18"/>
                <w:szCs w:val="18"/>
                <w:color w:val="auto"/>
              </w:rPr>
              <w:t>Operating lease cost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1,091</w:t>
            </w:r>
          </w:p>
        </w:tc>
      </w:tr>
      <w:tr>
        <w:trPr>
          <w:trHeight w:val="230"/>
        </w:trPr>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lease cost</w:t>
            </w: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321</w:t>
            </w:r>
          </w:p>
        </w:tc>
      </w:tr>
      <w:tr>
        <w:trPr>
          <w:trHeight w:val="229"/>
        </w:trPr>
        <w:tc>
          <w:tcPr>
            <w:tcW w:w="3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Variable lease cost</w:t>
            </w:r>
          </w:p>
        </w:tc>
        <w:tc>
          <w:tcPr>
            <w:tcW w:w="18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299</w:t>
            </w: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8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1,711</w:t>
            </w:r>
          </w:p>
        </w:tc>
      </w:tr>
      <w:tr>
        <w:trPr>
          <w:trHeight w:val="20"/>
        </w:trPr>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auto"/>
        </w:rPr>
        <w:t>Three Months</w:t>
      </w:r>
    </w:p>
    <w:p>
      <w:pPr>
        <w:jc w:val="center"/>
        <w:ind w:left="7140"/>
        <w:spacing w:after="0" w:line="226" w:lineRule="auto"/>
        <w:rPr>
          <w:sz w:val="20"/>
          <w:szCs w:val="20"/>
          <w:color w:val="auto"/>
        </w:rPr>
      </w:pPr>
      <w:r>
        <w:rPr>
          <w:rFonts w:ascii="Arial" w:cs="Arial" w:eastAsia="Arial" w:hAnsi="Arial"/>
          <w:sz w:val="14"/>
          <w:szCs w:val="14"/>
          <w:b w:val="1"/>
          <w:bCs w:val="1"/>
          <w:color w:val="auto"/>
        </w:rPr>
        <w:t>Ended</w:t>
      </w:r>
    </w:p>
    <w:p>
      <w:pPr>
        <w:jc w:val="center"/>
        <w:ind w:left="7140"/>
        <w:spacing w:after="0"/>
        <w:rPr>
          <w:sz w:val="20"/>
          <w:szCs w:val="20"/>
          <w:color w:val="auto"/>
        </w:rPr>
      </w:pPr>
      <w:r>
        <w:rPr>
          <w:rFonts w:ascii="Arial" w:cs="Arial" w:eastAsia="Arial" w:hAnsi="Arial"/>
          <w:sz w:val="13"/>
          <w:szCs w:val="13"/>
          <w:b w:val="1"/>
          <w:bCs w:val="1"/>
          <w:color w:val="auto"/>
        </w:rPr>
        <w:t>March 31, 2020</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4"/>
          <w:szCs w:val="14"/>
          <w:b w:val="1"/>
          <w:bCs w:val="1"/>
          <w:color w:val="auto"/>
        </w:rPr>
        <w:t>Three Months</w:t>
      </w:r>
    </w:p>
    <w:p>
      <w:pPr>
        <w:jc w:val="center"/>
        <w:ind w:right="1860"/>
        <w:spacing w:after="0" w:line="226" w:lineRule="auto"/>
        <w:rPr>
          <w:sz w:val="20"/>
          <w:szCs w:val="20"/>
          <w:color w:val="auto"/>
        </w:rPr>
      </w:pPr>
      <w:r>
        <w:rPr>
          <w:rFonts w:ascii="Arial" w:cs="Arial" w:eastAsia="Arial" w:hAnsi="Arial"/>
          <w:sz w:val="14"/>
          <w:szCs w:val="14"/>
          <w:b w:val="1"/>
          <w:bCs w:val="1"/>
          <w:color w:val="auto"/>
        </w:rPr>
        <w:t>Ended</w:t>
      </w:r>
    </w:p>
    <w:p>
      <w:pPr>
        <w:jc w:val="center"/>
        <w:ind w:right="1860"/>
        <w:spacing w:after="0"/>
        <w:rPr>
          <w:sz w:val="20"/>
          <w:szCs w:val="20"/>
          <w:color w:val="auto"/>
        </w:rPr>
      </w:pPr>
      <w:r>
        <w:rPr>
          <w:rFonts w:ascii="Arial" w:cs="Arial" w:eastAsia="Arial" w:hAnsi="Arial"/>
          <w:sz w:val="13"/>
          <w:szCs w:val="13"/>
          <w:b w:val="1"/>
          <w:bCs w:val="1"/>
          <w:color w:val="auto"/>
        </w:rPr>
        <w:t>March 31, 2019</w:t>
      </w:r>
    </w:p>
    <w:p>
      <w:pPr>
        <w:spacing w:after="0" w:line="6" w:lineRule="exact"/>
        <w:rPr>
          <w:sz w:val="20"/>
          <w:szCs w:val="20"/>
          <w:color w:val="auto"/>
        </w:rPr>
      </w:pPr>
    </w:p>
    <w:p>
      <w:pPr>
        <w:sectPr>
          <w:pgSz w:w="11900" w:h="16838" w:orient="portrait"/>
          <w:cols w:equalWidth="0" w:num="2">
            <w:col w:w="8100" w:space="340"/>
            <w:col w:w="2800"/>
          </w:cols>
          <w:pgMar w:left="320" w:top="121" w:right="339" w:bottom="1440" w:gutter="0" w:footer="0" w:header="0"/>
          <w:type w:val="continuous"/>
        </w:sectPr>
      </w:pPr>
    </w:p>
    <w:tbl>
      <w:tblPr>
        <w:tblLayout w:type="fixed"/>
        <w:tblInd w:w="1700" w:type="dxa"/>
        <w:tblCellMar>
          <w:top w:w="0" w:type="dxa"/>
          <w:left w:w="0" w:type="dxa"/>
          <w:bottom w:w="0" w:type="dxa"/>
          <w:right w:w="0" w:type="dxa"/>
        </w:tblCellMar>
      </w:tblP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6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1,037</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ROU assets exchanged for new operating lease liabilities</w:t>
            </w:r>
          </w:p>
        </w:tc>
        <w:tc>
          <w:tcPr>
            <w:tcW w:w="10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13,933</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and December 31, 2019, the weighted-average remaining lease term for operating leases was 3.4 years and 2.7 years,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both March 31, 2020 and December 31, 2019, the weighted-average discount rate for operating leases was 9.4%.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maturities of the Company’s operating lease liabilities were as follows (in thousands):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Nine months ended December 31, 2020</w:t>
            </w:r>
          </w:p>
        </w:tc>
        <w:tc>
          <w:tcPr>
            <w:tcW w:w="224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3,510</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Year Ended December 31, 2021</w:t>
            </w: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3,924</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2022</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3,560</w:t>
            </w: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Year Ended December 31, 2023</w:t>
            </w:r>
          </w:p>
        </w:tc>
        <w:tc>
          <w:tcPr>
            <w:tcW w:w="17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3,303</w:t>
            </w:r>
          </w:p>
        </w:tc>
      </w:tr>
      <w:tr>
        <w:trPr>
          <w:trHeight w:val="223"/>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14,297</w:t>
            </w:r>
          </w:p>
        </w:tc>
      </w:tr>
      <w:tr>
        <w:trPr>
          <w:trHeight w:val="230"/>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present value discount</w:t>
            </w:r>
          </w:p>
        </w:tc>
        <w:tc>
          <w:tcPr>
            <w:tcW w:w="17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(2,494)</w:t>
            </w:r>
          </w:p>
        </w:tc>
      </w:tr>
      <w:tr>
        <w:trPr>
          <w:trHeight w:val="223"/>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7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11,803</w:t>
            </w:r>
          </w:p>
        </w:tc>
      </w:tr>
      <w:tr>
        <w:trPr>
          <w:trHeight w:val="20"/>
        </w:trPr>
        <w:tc>
          <w:tcPr>
            <w:tcW w:w="4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interim condensed consolidated financial statements and this Management’s Discussion and Analysis of Financial Condition and Results of Operations should be read in conjunction with the consolidated financial statements and notes thereto for the year ended December 31, 2019 and the related Management’s Discussion and Analysis of Financial Condition and Results of Operations, both of which are contained in our Annual Report on Form 10-K for the fiscal year ended December 31, 2019 filed with the U.S. Securities and Exchange Commission on March 4, 2020 (2019 Annual Report). In addition to historical information, this discussion and analysis contains forward-looking statements within the meaning of Section 27A of the Securities Act of 1933, as amended, and Section 21E of the Securities Exchange Act of 1934, as amended (the Exchange Act). These forward-looking statements are subject to risks and uncertainties, including those set forth under “Part I. Item 1A. Risk Factors” in our 2019 Annual Report, “Part II. Item 1A. Risk Factors” in this report, and elsewhere in this report, that could cause actual results to differ materially from historical results or anticipated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clinical-stage biotechnology company developing innovative therapeutics targeting chronic hepatitis B virus (HBV) infection and disorders associated with the microbiome. Our HBV Cure program is focused on advancing a new class of potent, oral core inhibitors that have the potential to increase cure rates for chronically infected patients. Our Microbiome program is developing novel oral live microbial biotherapeutic candidates with our fully integrated platform, including a robust process for strain identification and selection, current Good Manufacturing Practice (cGMP) manufacturing expertise and targeted delivery to the lower gastrointestinal tract with the GEMICEL® technology.</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Like most companies, the spread of the novel coronavirus, SARS-CoV-2, which causes coronavirus disease (COVID-19), and the ongoing COVID-19 pandemic has affected certain aspects of our business. As further detailed below, those effects have been primarily limited to where and how our employees work in our labs and offices. To date, our current and future planned trials have not been subject to significant impact.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Highlights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2020, we continued to grow our business and advance our development pipeline of product candidates in both our HBV Cure and Microbiome programs. Key highlights and accomplishments during the quarter and upcoming milestones include: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 Cure Program</w:t>
      </w:r>
    </w:p>
    <w:p>
      <w:pPr>
        <w:spacing w:after="0" w:line="198"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ABI-H0731 (H0731), our lead core inhibitor product candidate in the HBV Cure program</w:t>
      </w:r>
      <w:r>
        <w:rPr>
          <w:rFonts w:ascii="Arial" w:cs="Arial" w:eastAsia="Arial" w:hAnsi="Arial"/>
          <w:sz w:val="18"/>
          <w:szCs w:val="18"/>
          <w:color w:val="auto"/>
        </w:rPr>
        <w:t>:</w:t>
      </w:r>
    </w:p>
    <w:p>
      <w:pPr>
        <w:spacing w:after="0" w:line="185" w:lineRule="exact"/>
        <w:rPr>
          <w:sz w:val="20"/>
          <w:szCs w:val="20"/>
          <w:color w:val="auto"/>
        </w:rPr>
      </w:pPr>
    </w:p>
    <w:p>
      <w:pPr>
        <w:ind w:left="1440" w:right="20" w:hanging="582"/>
        <w:spacing w:after="0" w:line="259" w:lineRule="auto"/>
        <w:tabs>
          <w:tab w:leader="none" w:pos="144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Continuation of our ongoing open-label extension study, ABI-H0731-211 (Study 211), with subjects reaching 12-18 months of treatment with H0731+nucleos(t)ide analog reverse transcriptase inhibitor (NrtI) therapy.</w:t>
      </w:r>
    </w:p>
    <w:p>
      <w:pPr>
        <w:spacing w:after="0" w:line="143" w:lineRule="exact"/>
        <w:rPr>
          <w:rFonts w:ascii="Courier New" w:cs="Courier New" w:eastAsia="Courier New" w:hAnsi="Courier New"/>
          <w:sz w:val="18"/>
          <w:szCs w:val="18"/>
          <w:color w:val="auto"/>
        </w:rPr>
      </w:pPr>
    </w:p>
    <w:p>
      <w:pPr>
        <w:jc w:val="both"/>
        <w:ind w:left="1440" w:hanging="582"/>
        <w:spacing w:after="0" w:line="252" w:lineRule="auto"/>
        <w:tabs>
          <w:tab w:leader="none" w:pos="144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Determination of the stopping criteria by which we will begin transitioning patients off therapy in Study 211 after discussions regarding such criteria with our lead investigators and review and agreement with the U.S. Food and Drug Administration (FDA). When we make this transition later this year, we expect this will be the first clinical trial with a core inhibitor to stop therapy and monitor patients for sustained virologic response.</w:t>
      </w:r>
    </w:p>
    <w:p>
      <w:pPr>
        <w:spacing w:after="0" w:line="153" w:lineRule="exact"/>
        <w:rPr>
          <w:rFonts w:ascii="Courier New" w:cs="Courier New" w:eastAsia="Courier New" w:hAnsi="Courier New"/>
          <w:sz w:val="18"/>
          <w:szCs w:val="18"/>
          <w:color w:val="auto"/>
        </w:rPr>
      </w:pPr>
    </w:p>
    <w:p>
      <w:pPr>
        <w:ind w:left="1440" w:hanging="582"/>
        <w:spacing w:after="0" w:line="259" w:lineRule="auto"/>
        <w:tabs>
          <w:tab w:leader="none" w:pos="144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Submission of an End of Phase 2 meeting request and briefing document for review with the Chinese regulatory authority, which details the proposed registrational studies of H0731+NrtI for chronic suppressive therapy in China.</w:t>
      </w:r>
    </w:p>
    <w:p>
      <w:pPr>
        <w:spacing w:after="0" w:line="143" w:lineRule="exact"/>
        <w:rPr>
          <w:rFonts w:ascii="Courier New" w:cs="Courier New" w:eastAsia="Courier New" w:hAnsi="Courier New"/>
          <w:sz w:val="18"/>
          <w:szCs w:val="18"/>
          <w:color w:val="auto"/>
        </w:rPr>
      </w:pPr>
    </w:p>
    <w:p>
      <w:pPr>
        <w:jc w:val="both"/>
        <w:ind w:left="1440" w:hanging="582"/>
        <w:spacing w:after="0" w:line="254" w:lineRule="auto"/>
        <w:tabs>
          <w:tab w:leader="none" w:pos="144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Upcoming reporting of additional data from our Phase 2 studies, ABI-H0731-201 (Study 201), and Study 211 at the European Association for the Study of the Liver’s (EASL) Digital International Liver Congress</w:t>
      </w:r>
      <w:r>
        <w:rPr>
          <w:rFonts w:ascii="Arial" w:cs="Arial" w:eastAsia="Arial" w:hAnsi="Arial"/>
          <w:sz w:val="15"/>
          <w:szCs w:val="15"/>
          <w:color w:val="auto"/>
        </w:rPr>
        <w:t>TM</w:t>
      </w:r>
      <w:r>
        <w:rPr>
          <w:rFonts w:ascii="Arial" w:cs="Arial" w:eastAsia="Arial" w:hAnsi="Arial"/>
          <w:sz w:val="18"/>
          <w:szCs w:val="18"/>
          <w:color w:val="auto"/>
        </w:rPr>
        <w:t xml:space="preserve"> in an oral presentation and late-breaker poster presentation. EASL’s 2020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1440"/>
        <w:spacing w:after="0" w:line="277" w:lineRule="auto"/>
        <w:rPr>
          <w:sz w:val="20"/>
          <w:szCs w:val="20"/>
          <w:color w:val="auto"/>
        </w:rPr>
      </w:pPr>
      <w:r>
        <w:rPr>
          <w:rFonts w:ascii="Arial" w:cs="Arial" w:eastAsia="Arial" w:hAnsi="Arial"/>
          <w:sz w:val="18"/>
          <w:szCs w:val="18"/>
          <w:color w:val="auto"/>
        </w:rPr>
        <w:t>had been scheduled to occur in April 2020, but it was rescheduled to August 27 to 29, 2020 as a digital meeting due to the COVID-19 pandemic.</w:t>
      </w:r>
    </w:p>
    <w:p>
      <w:pPr>
        <w:spacing w:after="0" w:line="130"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ABI-H2158 (H2158), our second-generation core inhibitor product candidate in the HBV Cure program</w:t>
      </w:r>
      <w:r>
        <w:rPr>
          <w:rFonts w:ascii="Arial" w:cs="Arial" w:eastAsia="Arial" w:hAnsi="Arial"/>
          <w:sz w:val="18"/>
          <w:szCs w:val="18"/>
          <w:color w:val="auto"/>
        </w:rPr>
        <w:t>:</w:t>
      </w:r>
    </w:p>
    <w:p>
      <w:pPr>
        <w:spacing w:after="0" w:line="185" w:lineRule="exact"/>
        <w:rPr>
          <w:sz w:val="20"/>
          <w:szCs w:val="20"/>
          <w:color w:val="auto"/>
        </w:rPr>
      </w:pPr>
    </w:p>
    <w:p>
      <w:pPr>
        <w:ind w:left="1440" w:right="20" w:hanging="582"/>
        <w:spacing w:after="0" w:line="259" w:lineRule="auto"/>
        <w:tabs>
          <w:tab w:leader="none" w:pos="14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Upcoming reporting of data on the final dose-ranging cohorts of the Phase 1b portion of the Phase 1a/1b clinical study of H2158 at EASL 2020 in a late-breaker poster presentation.</w:t>
      </w:r>
    </w:p>
    <w:p>
      <w:pPr>
        <w:spacing w:after="0" w:line="143" w:lineRule="exact"/>
        <w:rPr>
          <w:rFonts w:ascii="Courier New" w:cs="Courier New" w:eastAsia="Courier New" w:hAnsi="Courier New"/>
          <w:sz w:val="18"/>
          <w:szCs w:val="18"/>
          <w:color w:val="auto"/>
        </w:rPr>
      </w:pPr>
    </w:p>
    <w:p>
      <w:pPr>
        <w:ind w:left="1440" w:hanging="582"/>
        <w:spacing w:after="0"/>
        <w:tabs>
          <w:tab w:leader="none" w:pos="14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Upcoming initiation of a Phase 2 clinical study using a 300 mg dose of H2158.</w:t>
      </w:r>
    </w:p>
    <w:p>
      <w:pPr>
        <w:spacing w:after="0" w:line="168" w:lineRule="exact"/>
        <w:rPr>
          <w:rFonts w:ascii="Courier New" w:cs="Courier New" w:eastAsia="Courier New" w:hAnsi="Courier New"/>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ABI-H3733 (H3733), our third core inhibitor product candidate in the HBV Cure program</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1440" w:hanging="582"/>
        <w:spacing w:after="0"/>
        <w:tabs>
          <w:tab w:leader="none" w:pos="1440" w:val="left"/>
        </w:tabs>
        <w:numPr>
          <w:ilvl w:val="1"/>
          <w:numId w:val="8"/>
        </w:numPr>
        <w:rPr>
          <w:rFonts w:ascii="Courier New" w:cs="Courier New" w:eastAsia="Courier New" w:hAnsi="Courier New"/>
          <w:sz w:val="18"/>
          <w:szCs w:val="18"/>
          <w:color w:val="auto"/>
        </w:rPr>
      </w:pPr>
      <w:r>
        <w:rPr>
          <w:rFonts w:ascii="Arial" w:cs="Arial" w:eastAsia="Arial" w:hAnsi="Arial"/>
          <w:sz w:val="18"/>
          <w:szCs w:val="18"/>
          <w:color w:val="auto"/>
        </w:rPr>
        <w:t>Continuation of a Phase 1 clinical study to evaluate safety, tolerability, and pharmacokinetics of H3733 in healthy subjects.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Program</w:t>
      </w:r>
    </w:p>
    <w:p>
      <w:pPr>
        <w:spacing w:after="0" w:line="198" w:lineRule="exact"/>
        <w:rPr>
          <w:sz w:val="20"/>
          <w:szCs w:val="20"/>
          <w:color w:val="auto"/>
        </w:rPr>
      </w:pPr>
    </w:p>
    <w:p>
      <w:pPr>
        <w:ind w:left="580" w:right="2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Selection of the ABI-M201 (M201) ulcerative colitis (UC) program for presentation as a poster at the Digestive Disease Week’s (DDW) 2020 Virtual Meeting.</w:t>
      </w:r>
    </w:p>
    <w:p>
      <w:pPr>
        <w:spacing w:after="0" w:line="129"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Selection of preclinical data from our immuno-oncology microbiome program for presentation as an e-poster at the American Association for Cancer Research (AACR) 2020 Virtual Annual Meeting II to be held on June 22 to 24,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Highlights</w:t>
      </w:r>
    </w:p>
    <w:p>
      <w:pPr>
        <w:spacing w:after="0" w:line="185" w:lineRule="exact"/>
        <w:rPr>
          <w:sz w:val="20"/>
          <w:szCs w:val="20"/>
          <w:color w:val="auto"/>
        </w:rPr>
      </w:pPr>
    </w:p>
    <w:p>
      <w:pPr>
        <w:ind w:left="580" w:right="20" w:hanging="572"/>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Strengthening of our leadership team with the addition of Jason Okazaki as Chief Legal and Business Officer and Carl Henrik Enell as Senior Vice President, Corporate Development.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Cure Program</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Over 250 million people worldwide are chronically infected with HBV. Our HBV Cure program is pursuing multiple drug candidates that inhibit the HBV lifecycle and block the generation of covalently closed circular DNA (cccDNA), with the aim of increasing the current low cure rate for patients with HBV. We have discovered several novel core inhibitors, which are small molecules that directly target and allosterically modulate the HBV core protein.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ABI-H0731</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H0731, our lead core inhibitor product candidate in the HBV Cure program, is licensed from Indiana University. In the fourth quarter of 2019, we presented final 24-week data from HBeAg positive patients enrolled in our Phase 2 studies of H0731, Study 201, which enrolled NrtI-treated patients, and ABI-H0731-202 (Study 202), which enrolled treatment-naïve patients. In addition, we presented interim data from Study 211. The conduct of Study 201 and 202 is now complete, and Study 211 is ongoing. Most currently enrolled patients are continuing with normal study visits. For those patients unable to come to the clinic as a result of COVID-19, study drug is being shipped to their homes, and sites are conducting telehealth visits.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presented certain top-line information and other updates regarding Study 201 and Study 211 in May 2020, and we expect to report additional data from Study 201 as well as further interim data from Study 211 at EASL 2020 in August 2020.</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recently determined the stopping criteria by which we will begin transitioning patients off therapy in Study 211. These criteria have been discussed with our lead investigators and reviewed and agreed upon by the FDA. Later this year, we expect to begin transitioning patients off treatment to observe for sustained virologic response. At this time, the ongoing COVID-19 pandemic has not impacted our timeline for the upcoming transition of patients off treatment or completion of Study 211, but we will continue to monitor the situation closely.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ABI-H2158</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H2158, our second-generation core inhibitor product candidate in the HBV Cure program, was internally discovered and developed and is chemically distinct from H0731.</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second quarter of 2019, we presented final data from the Phase 1a portion of a Phase 1a/1b dose-ranging clinical study. The Phase 1a study assessed safety, tolerability and pharmacokinetics (PK) in 48 healthy volunteers. In the fourth quarter of 2019, we reported interim data from the first, low-dose cohort of the Phase 1b portion of the Phase 1a/1b dose-ranging clinical study, which enrolled HBeAg positive patients.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presented additional top-line data from the dose-ranging cohorts of the Phase 1b portion of the Phase 1a/1b dose-ranging clinical study in May 2020, and we expect to report the final data from these cohorts at EASL 2020.</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data from the Phase 1b dose-ranging study, we expect to initiate a Phase 2 clinical study in the second quarter of 2020 using a 300 mg dose of H2158. This study will be conducted in approximately ten countries in Asia, North America and Europe. While we will continue to monitor the situation closely, at this time, we do not expect our timelines for this study to be significantly impacted by the COVID-19 pandemic.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ABI-H3733</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H3733, our third core inhibitor product candidate in the HBV Cure program, has completed Investigational New Drug (IND) enabling studies. H3733 has a novel chemical scaffold separate from both H0731 and H2158. We presented a preclinical profile of this candidate in the first quarter of 2019.</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2020, we initiated a Phase 1 clinical study to evaluate safety, tolerability and PK following single ascending dose and multiple ascending dose administration of H3733 in healthy subjects in New Zealand. Enrollment of the study has been delayed as a result of the government mandated shutdown of all clinical studies unrelated to COVID-19. We expect to resume enrollment in the second quarter of this year and do not expect this delay to have a significant impact on our clinical development timelines for H3733.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three clinical-stage product candidates, our research discovery team is actively focused on identifying and creating additional product candidates for our HBV Cure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Microbiome Program</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there has been increasing scientific evidence suggesting the therapeutic potential of the human microbiome—the billions of microbes living in and on people—to impact health and disease. Our Microbiome program builds upon experience reported in the literature of successfully treating various disease indications with fecal microbiota transplants (FMT) and seeks to provide a pharmacologically relevant therapy using a “drug like” approach that delivers targeted and specific microbiome therapies in an oral capsule.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Microbiome program consists of a fully integrated platform that includes a biological-function-based strain isolation, identification, characterization and selection process, methods for strain purification and growth under conditions compliant with cGMP requirements, and a licensed patented delivery system that we call GEMICEL®, which is designed to allow for targeted oral delivery of live biologic and conventional therapies to the lower GI tract.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ABI-M201</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Microbiome program’s lead candidate, M201, is in a multi-center, randomized, double-blind, placebo-controlled Phase 1b clinical trial to evaluate its safety and efficacy in patients with mildly to moderately active UC who are being treated with mesalamine. The study’s primary objective is safety and tolerability, and its secondary objectives focus on the effect of M201 treatment on disease activity measures in patients with UC.</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Phase 1b study is ongoing; however, continued enrollment has been delayed as a result of the COVID-19 pandemic and the limitations placed on some trial sites to conduct certain procedures as part of the patient screening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process. We expect enrollment activities to resume in mid-2020, and we continue to monitor the situation closely. For currently enrolled patients who are unable to come to the clinic, study drug or placebo is being shipped to their homes and sites are conducting telehealth monitoring and home health nurse visits.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M201 is being developed as part of the Research, Development, Collaboration and License Agreement (the Collaboration Agreement) with Allergan. The Collaboration Agreement provides for the development and commercialization of microbiome gastrointestinal programs.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Preclinical data from the M201 program was selected for presentation as a poster at DDW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Product Candidates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Using our microbiome platform capabilities, we are also exploring additional product candidates for other disease indications, including Crohn’s disease (CD) and IBS in connection with the Collaboration Agreement, as well as immune-mediated and metabolic disorders and oncology, which indications we will pursue either internally or in collaboration with other third parties. Preclinical data from our immuno-oncology microbiome program have been selected for presentation as a poster at AACR.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corporate and administrative offices and research laboratory space in South San Francisco, California, research, development and small-scale manufacturing activities in Groton, Connecticut and administrative offices in Carmel, Indiana. We also currently have an administrative office and research laboratory space in Shanghai, China and a regulatory office in Beijing, China.</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inception, we have had no revenue from product sales and have funded our operations principally through equity financings and collaborations. Our operations to date have been primarily limited to organizing and staffing our company, licensing our product candidates, discovering and developing our product candidates, establishing small-scale manufacturing capabilities for certain of our product candidates, maintaining and improving our patent portfolio and raising capital.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generated significant losses to date, and we expect to continue to generate losses as we continue to develop our product candidates. As of March 31, 2020, we had an accumulated deficit of $466.1 million. Because we do not generate revenue from any of our product candidates, our losses will continue as we further develop and seek regulatory approval for, and commercialize, our product candidates.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While our employees in the United States are currently under stay-at-home or shelter-in-place orders under state and local laws in response to the COVID-19 pandemic, as a biotechnology company, we qualify as a Healthcare Operation and are exempted under such orders. This exemption allows our employees to perform essential activities at our offices, including work in our laboratories in both South San Francisco and Groton with proper protections and procedures in place. While we have experienced some shipping delays or shortages of personal protective equipment (PPE) that are important to maintaining normal workflows in our laboratories, we have been able to continue our critical research activities through schedule shifts, use of PPE on-hand and reallocation of certain resources that allow our employees to practice “social distancing” and comply with applicable laws. In addition, substantially all of our non-research employees have been working from their homes since mid-March 2020. Clinical study-related impacts of the COVID-19 pandemic to date have been limited to enrollment delays for both our Phase 1 study of H3733 and our Phase 1b study of M201, which are the only studies that are currently enrolling. We cannot currently predict the specific extent, duration or full impact that the COVID-19 pandemic will have on our ongoing and planned research efforts, clinical trials and other business operations. We continue to monitor the situation regularly for additional potential delays, or modifications to our ongoing and planned trials and, if circumstances warrant, we may adjust our budget and operating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the accounting principles generally accepted in the United States (U.S. GAAP). The preparation of these financial statements requires us to make estimates and assumptions that affect the reported amounts of assets, liabilities, revenues, and expenses.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significant estimates are detailed in our 2019 Annual Report. Our critical accounting policies and significant estimates have not changed from those previously disclosed in our 2019 Annual Report, except for those accounting subjects discussed in the section of Note 2 to the unaudited condensed consolidated financial statements titled Adoption of Recent Accounting Pronouncements included in this Quarterly Report on Form 10-Q.</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period-over-period changes in our collaboration revenue (in thousands, except for percentages):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40" w:type="dxa"/>
            <w:vAlign w:val="bottom"/>
          </w:tcPr>
          <w:p>
            <w:pPr>
              <w:jc w:val="center"/>
              <w:ind w:right="122"/>
              <w:spacing w:after="0"/>
              <w:rPr>
                <w:sz w:val="20"/>
                <w:szCs w:val="20"/>
                <w:color w:val="auto"/>
              </w:rPr>
            </w:pPr>
            <w:r>
              <w:rPr>
                <w:rFonts w:ascii="Arial" w:cs="Arial" w:eastAsia="Arial" w:hAnsi="Arial"/>
                <w:sz w:val="14"/>
                <w:szCs w:val="14"/>
                <w:b w:val="1"/>
                <w:bCs w:val="1"/>
                <w:color w:val="auto"/>
                <w:w w:val="97"/>
              </w:rPr>
              <w:t>% Change</w:t>
            </w:r>
          </w:p>
        </w:tc>
      </w:tr>
      <w:tr>
        <w:trPr>
          <w:trHeight w:val="156"/>
        </w:trPr>
        <w:tc>
          <w:tcPr>
            <w:tcW w:w="3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89"/>
              </w:rPr>
              <w:t>2020 vs. 2019</w:t>
            </w:r>
          </w:p>
        </w:tc>
        <w:tc>
          <w:tcPr>
            <w:tcW w:w="154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91"/>
              </w:rPr>
              <w:t>2020 vs. 2019</w:t>
            </w:r>
          </w:p>
        </w:tc>
      </w:tr>
      <w:tr>
        <w:trPr>
          <w:trHeight w:val="223"/>
        </w:trPr>
        <w:tc>
          <w:tcPr>
            <w:tcW w:w="32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Collaboration revenue</w:t>
            </w:r>
          </w:p>
        </w:tc>
        <w:tc>
          <w:tcPr>
            <w:tcW w:w="1640" w:type="dxa"/>
            <w:vAlign w:val="bottom"/>
            <w:tcBorders>
              <w:top w:val="single" w:sz="8" w:color="CCECFF"/>
            </w:tcBorders>
            <w:shd w:val="clear" w:color="auto" w:fill="CCECFF"/>
          </w:tcPr>
          <w:p>
            <w:pPr>
              <w:spacing w:after="0"/>
              <w:rPr>
                <w:sz w:val="19"/>
                <w:szCs w:val="19"/>
                <w:color w:val="auto"/>
              </w:rPr>
            </w:pPr>
          </w:p>
        </w:tc>
        <w:tc>
          <w:tcPr>
            <w:tcW w:w="860" w:type="dxa"/>
            <w:vAlign w:val="bottom"/>
            <w:tcBorders>
              <w:top w:val="single" w:sz="8" w:color="auto"/>
            </w:tcBorders>
            <w:shd w:val="clear" w:color="auto" w:fill="CCECFF"/>
          </w:tcPr>
          <w:p>
            <w:pPr>
              <w:jc w:val="right"/>
              <w:ind w:right="68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4,081</w:t>
            </w:r>
          </w:p>
        </w:tc>
        <w:tc>
          <w:tcPr>
            <w:tcW w:w="160" w:type="dxa"/>
            <w:vAlign w:val="bottom"/>
            <w:tcBorders>
              <w:top w:val="single" w:sz="8" w:color="CCECFF"/>
            </w:tcBorders>
            <w:shd w:val="clear" w:color="auto" w:fill="CCECFF"/>
          </w:tcPr>
          <w:p>
            <w:pPr>
              <w:spacing w:after="0"/>
              <w:rPr>
                <w:sz w:val="19"/>
                <w:szCs w:val="19"/>
                <w:color w:val="auto"/>
              </w:rPr>
            </w:pPr>
          </w:p>
        </w:tc>
        <w:tc>
          <w:tcPr>
            <w:tcW w:w="880" w:type="dxa"/>
            <w:vAlign w:val="bottom"/>
            <w:tcBorders>
              <w:top w:val="single" w:sz="8" w:color="auto"/>
            </w:tcBorders>
            <w:shd w:val="clear" w:color="auto" w:fill="CCECFF"/>
          </w:tcPr>
          <w:p>
            <w:pPr>
              <w:jc w:val="right"/>
              <w:ind w:right="69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7"/>
              </w:rPr>
              <w:t>3,885</w:t>
            </w:r>
          </w:p>
        </w:tc>
        <w:tc>
          <w:tcPr>
            <w:tcW w:w="16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auto"/>
            </w:tcBorders>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196</w:t>
            </w:r>
          </w:p>
        </w:tc>
        <w:tc>
          <w:tcPr>
            <w:tcW w:w="160" w:type="dxa"/>
            <w:vAlign w:val="bottom"/>
            <w:tcBorders>
              <w:top w:val="single" w:sz="8" w:color="CCECFF"/>
            </w:tcBorders>
            <w:shd w:val="clear" w:color="auto" w:fill="CCECFF"/>
          </w:tcPr>
          <w:p>
            <w:pPr>
              <w:spacing w:after="0"/>
              <w:rPr>
                <w:sz w:val="19"/>
                <w:szCs w:val="19"/>
                <w:color w:val="auto"/>
              </w:rPr>
            </w:pPr>
          </w:p>
        </w:tc>
        <w:tc>
          <w:tcPr>
            <w:tcW w:w="15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Collaboration revenue includes the recognition of deferred revenue and reimbursements incurred under the Collaboration Agreement. Revenue for the three months ended March 31, 2020 as compared to the same period in 2019 increased as a result of increased reimbursement activities associated with our development activities under the Collaboration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research and development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Program/Description</w:t>
            </w:r>
          </w:p>
        </w:tc>
        <w:tc>
          <w:tcPr>
            <w:tcW w:w="280" w:type="dxa"/>
            <w:vAlign w:val="bottom"/>
          </w:tcPr>
          <w:p>
            <w:pPr>
              <w:spacing w:after="0"/>
              <w:rPr>
                <w:sz w:val="14"/>
                <w:szCs w:val="14"/>
                <w:color w:val="auto"/>
              </w:rPr>
            </w:pPr>
          </w:p>
        </w:tc>
        <w:tc>
          <w:tcPr>
            <w:tcW w:w="29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1280" w:type="dxa"/>
            <w:vAlign w:val="bottom"/>
          </w:tcPr>
          <w:p>
            <w:pPr>
              <w:jc w:val="right"/>
              <w:ind w:right="417"/>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4"/>
                <w:szCs w:val="14"/>
                <w:color w:val="auto"/>
              </w:rPr>
            </w:pPr>
          </w:p>
        </w:tc>
        <w:tc>
          <w:tcPr>
            <w:tcW w:w="1520" w:type="dxa"/>
            <w:vAlign w:val="bottom"/>
          </w:tcPr>
          <w:p>
            <w:pPr>
              <w:jc w:val="right"/>
              <w:ind w:right="46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4900" w:type="dxa"/>
            <w:vAlign w:val="bottom"/>
            <w:gridSpan w:val="2"/>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297"/>
              <w:spacing w:after="0"/>
              <w:rPr>
                <w:sz w:val="20"/>
                <w:szCs w:val="20"/>
                <w:color w:val="auto"/>
              </w:rPr>
            </w:pPr>
            <w:r>
              <w:rPr>
                <w:rFonts w:ascii="Arial" w:cs="Arial" w:eastAsia="Arial" w:hAnsi="Arial"/>
                <w:sz w:val="14"/>
                <w:szCs w:val="14"/>
                <w:b w:val="1"/>
                <w:bCs w:val="1"/>
                <w:color w:val="auto"/>
                <w:w w:val="98"/>
              </w:rPr>
              <w:t>2020 vs. 2019</w:t>
            </w:r>
          </w:p>
        </w:tc>
        <w:tc>
          <w:tcPr>
            <w:tcW w:w="160" w:type="dxa"/>
            <w:vAlign w:val="bottom"/>
          </w:tcPr>
          <w:p>
            <w:pPr>
              <w:spacing w:after="0"/>
              <w:rPr>
                <w:sz w:val="19"/>
                <w:szCs w:val="19"/>
                <w:color w:val="auto"/>
              </w:rPr>
            </w:pPr>
          </w:p>
        </w:tc>
        <w:tc>
          <w:tcPr>
            <w:tcW w:w="152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HBV Cure program</w:t>
            </w:r>
          </w:p>
        </w:tc>
        <w:tc>
          <w:tcPr>
            <w:tcW w:w="160" w:type="dxa"/>
            <w:vAlign w:val="bottom"/>
            <w:tcBorders>
              <w:top w:val="single" w:sz="8" w:color="CCECFF"/>
            </w:tcBorders>
            <w:shd w:val="clear" w:color="auto" w:fill="CCECFF"/>
          </w:tcPr>
          <w:p>
            <w:pPr>
              <w:spacing w:after="0"/>
              <w:rPr>
                <w:sz w:val="19"/>
                <w:szCs w:val="19"/>
                <w:color w:val="auto"/>
              </w:rPr>
            </w:pPr>
          </w:p>
        </w:tc>
        <w:tc>
          <w:tcPr>
            <w:tcW w:w="280" w:type="dxa"/>
            <w:vAlign w:val="bottom"/>
            <w:tcBorders>
              <w:top w:val="single" w:sz="8" w:color="auto"/>
            </w:tcBorders>
            <w:shd w:val="clear" w:color="auto" w:fill="CCEC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15,636</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15,712</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CFF"/>
            </w:tcBorders>
            <w:gridSpan w:val="2"/>
          </w:tcPr>
          <w:p>
            <w:pPr>
              <w:spacing w:after="0"/>
              <w:rPr>
                <w:sz w:val="20"/>
                <w:szCs w:val="20"/>
                <w:color w:val="auto"/>
              </w:rPr>
            </w:pPr>
            <w:r>
              <w:rPr>
                <w:rFonts w:ascii="Arial" w:cs="Arial" w:eastAsia="Arial" w:hAnsi="Arial"/>
                <w:sz w:val="18"/>
                <w:szCs w:val="18"/>
                <w:color w:val="auto"/>
              </w:rPr>
              <w:t>Microbiome program</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7,410</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6,992</w:t>
            </w:r>
          </w:p>
        </w:tc>
        <w:tc>
          <w:tcPr>
            <w:tcW w:w="16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418</w:t>
            </w:r>
          </w:p>
        </w:tc>
        <w:tc>
          <w:tcPr>
            <w:tcW w:w="1680" w:type="dxa"/>
            <w:vAlign w:val="bottom"/>
            <w:tcBorders>
              <w:bottom w:val="single" w:sz="8" w:color="CCECFF"/>
            </w:tcBorders>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CEC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23,046</w:t>
            </w:r>
          </w:p>
        </w:tc>
        <w:tc>
          <w:tcPr>
            <w:tcW w:w="1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CFF"/>
          </w:tcPr>
          <w:p>
            <w:pPr>
              <w:jc w:val="right"/>
              <w:ind w:right="35"/>
              <w:spacing w:after="0"/>
              <w:rPr>
                <w:sz w:val="20"/>
                <w:szCs w:val="20"/>
                <w:color w:val="auto"/>
              </w:rPr>
            </w:pPr>
            <w:r>
              <w:rPr>
                <w:rFonts w:ascii="Arial" w:cs="Arial" w:eastAsia="Arial" w:hAnsi="Arial"/>
                <w:sz w:val="18"/>
                <w:szCs w:val="18"/>
                <w:color w:val="auto"/>
              </w:rPr>
              <w:t>22,704</w:t>
            </w:r>
          </w:p>
        </w:tc>
        <w:tc>
          <w:tcPr>
            <w:tcW w:w="16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CFF"/>
          </w:tcPr>
          <w:p>
            <w:pPr>
              <w:jc w:val="right"/>
              <w:ind w:right="37"/>
              <w:spacing w:after="0"/>
              <w:rPr>
                <w:sz w:val="20"/>
                <w:szCs w:val="20"/>
                <w:color w:val="auto"/>
              </w:rPr>
            </w:pPr>
            <w:r>
              <w:rPr>
                <w:rFonts w:ascii="Arial" w:cs="Arial" w:eastAsia="Arial" w:hAnsi="Arial"/>
                <w:sz w:val="18"/>
                <w:szCs w:val="18"/>
                <w:color w:val="auto"/>
              </w:rPr>
              <w:t>342</w:t>
            </w:r>
          </w:p>
        </w:tc>
        <w:tc>
          <w:tcPr>
            <w:tcW w:w="1680" w:type="dxa"/>
            <w:vAlign w:val="bottom"/>
            <w:tcBorders>
              <w:bottom w:val="single" w:sz="8" w:color="CCECFF"/>
            </w:tcBorders>
            <w:gridSpan w:val="2"/>
            <w:shd w:val="clear" w:color="auto" w:fill="CCEC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 were $23.0 million for the three months ended March 31, 2020 compared to $22.7 million for the same period in 2019. The increase was primarily due to an increase of $0.4 million in gross research and development expenses related to the Microbiome programs and a decrease of $0.1 million in research and development expenses related to the HBV programs. Research and development expenses include non-cash stock-based compensation expenses of $1.9 million for the three months ended March 31, 2020 and $ 2.7 million for the same period in 2019.</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period-over-period changes in our general and administrative expenses (in thousands, except for percentages):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14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 Change</w:t>
            </w:r>
          </w:p>
        </w:tc>
        <w:tc>
          <w:tcPr>
            <w:tcW w:w="152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49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6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2020 vs. 2019</w:t>
            </w:r>
          </w:p>
        </w:tc>
        <w:tc>
          <w:tcPr>
            <w:tcW w:w="1520" w:type="dxa"/>
            <w:vAlign w:val="bottom"/>
          </w:tcPr>
          <w:p>
            <w:pPr>
              <w:jc w:val="center"/>
              <w:ind w:right="122"/>
              <w:spacing w:after="0" w:line="155" w:lineRule="exact"/>
              <w:rPr>
                <w:sz w:val="20"/>
                <w:szCs w:val="20"/>
                <w:color w:val="auto"/>
              </w:rPr>
            </w:pPr>
            <w:r>
              <w:rPr>
                <w:rFonts w:ascii="Arial" w:cs="Arial" w:eastAsia="Arial" w:hAnsi="Arial"/>
                <w:sz w:val="14"/>
                <w:szCs w:val="14"/>
                <w:b w:val="1"/>
                <w:bCs w:val="1"/>
                <w:color w:val="auto"/>
                <w:w w:val="89"/>
              </w:rPr>
              <w:t>2020 vs. 2019</w:t>
            </w:r>
          </w:p>
        </w:tc>
      </w:tr>
      <w:tr>
        <w:trPr>
          <w:trHeight w:val="223"/>
        </w:trPr>
        <w:tc>
          <w:tcPr>
            <w:tcW w:w="49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top w:val="single" w:sz="8" w:color="auto"/>
            </w:tcBorders>
            <w:shd w:val="clear" w:color="auto" w:fill="CCEC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CFF"/>
          </w:tcPr>
          <w:p>
            <w:pPr>
              <w:jc w:val="right"/>
              <w:ind w:right="42"/>
              <w:spacing w:after="0"/>
              <w:rPr>
                <w:sz w:val="20"/>
                <w:szCs w:val="20"/>
                <w:color w:val="auto"/>
              </w:rPr>
            </w:pPr>
            <w:r>
              <w:rPr>
                <w:rFonts w:ascii="Arial" w:cs="Arial" w:eastAsia="Arial" w:hAnsi="Arial"/>
                <w:sz w:val="18"/>
                <w:szCs w:val="18"/>
                <w:color w:val="auto"/>
              </w:rPr>
              <w:t>8,729</w:t>
            </w:r>
          </w:p>
        </w:tc>
        <w:tc>
          <w:tcPr>
            <w:tcW w:w="160" w:type="dxa"/>
            <w:vAlign w:val="bottom"/>
            <w:tcBorders>
              <w:top w:val="single" w:sz="8" w:color="CCECFF"/>
            </w:tcBorders>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CFF"/>
          </w:tcPr>
          <w:p>
            <w:pPr>
              <w:jc w:val="right"/>
              <w:ind w:right="39"/>
              <w:spacing w:after="0"/>
              <w:rPr>
                <w:sz w:val="20"/>
                <w:szCs w:val="20"/>
                <w:color w:val="auto"/>
              </w:rPr>
            </w:pPr>
            <w:r>
              <w:rPr>
                <w:rFonts w:ascii="Arial" w:cs="Arial" w:eastAsia="Arial" w:hAnsi="Arial"/>
                <w:sz w:val="18"/>
                <w:szCs w:val="18"/>
                <w:color w:val="auto"/>
              </w:rPr>
              <w:t>9,517</w:t>
            </w:r>
          </w:p>
        </w:tc>
        <w:tc>
          <w:tcPr>
            <w:tcW w:w="16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tcBorders>
              <w:top w:val="single" w:sz="8" w:color="CCECFF"/>
            </w:tcBorders>
            <w:shd w:val="clear" w:color="auto" w:fill="CCECFF"/>
          </w:tcPr>
          <w:p>
            <w:pPr>
              <w:spacing w:after="0"/>
              <w:rPr>
                <w:sz w:val="19"/>
                <w:szCs w:val="19"/>
                <w:color w:val="auto"/>
              </w:rPr>
            </w:pPr>
          </w:p>
        </w:tc>
        <w:tc>
          <w:tcPr>
            <w:tcW w:w="15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accounting and tax services, insurance and travel expenses, as well as the stock-based compensation expense associated with equity awards to our employees, consultants, and directors.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were $8.7 million for the three months ended March 31, 2020 compared to $9.5 million for the same period in 2019. An increase in employee-related expenses of $0.5 million was largely offset due to a decrease of $0.2 million in professional fees and a decrease of $0.3 million in rent expense due to the move of our leased office and laboratory space from San Francisco to South San Francisco in February 2019. General and administrative expenses include non-cash stock-based compensation expenses of $3.0 million for the three months ended March 31, 2020 and $3.8 million for the same period in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March 31, 2020 principally through equity financings, raising an aggregate of $546.4 million in net proceeds, and a strategic collaboration raising an aggregate of $50.0 million through an upfront payment.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Three Months Ended March 31,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Cash provided by (used in):</w:t>
            </w:r>
          </w:p>
        </w:tc>
        <w:tc>
          <w:tcPr>
            <w:tcW w:w="2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CFF"/>
            </w:tcBorders>
            <w:vMerge w:val="continue"/>
          </w:tcPr>
          <w:p>
            <w:pPr>
              <w:spacing w:after="0"/>
              <w:rPr>
                <w:sz w:val="19"/>
                <w:szCs w:val="19"/>
                <w:color w:val="auto"/>
              </w:rPr>
            </w:pPr>
          </w:p>
        </w:tc>
        <w:tc>
          <w:tcPr>
            <w:tcW w:w="2380" w:type="dxa"/>
            <w:vAlign w:val="bottom"/>
            <w:tcBorders>
              <w:bottom w:val="single" w:sz="8" w:color="CCEC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C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3"/>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Operating activities</w:t>
            </w:r>
          </w:p>
        </w:tc>
        <w:tc>
          <w:tcPr>
            <w:tcW w:w="2380" w:type="dxa"/>
            <w:vAlign w:val="bottom"/>
            <w:shd w:val="clear" w:color="auto" w:fill="CCECFF"/>
          </w:tcPr>
          <w:p>
            <w:pPr>
              <w:spacing w:after="0"/>
              <w:rPr>
                <w:sz w:val="19"/>
                <w:szCs w:val="19"/>
                <w:color w:val="auto"/>
              </w:rPr>
            </w:pPr>
          </w:p>
        </w:tc>
        <w:tc>
          <w:tcPr>
            <w:tcW w:w="460" w:type="dxa"/>
            <w:vAlign w:val="bottom"/>
            <w:shd w:val="clear" w:color="auto" w:fill="CCECFF"/>
          </w:tcPr>
          <w:p>
            <w:pPr>
              <w:jc w:val="right"/>
              <w:ind w:right="27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(25,218)</w:t>
            </w: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(23,939)</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Investing activities</w:t>
            </w:r>
          </w:p>
        </w:tc>
        <w:tc>
          <w:tcPr>
            <w:tcW w:w="2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20,693</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11,435</w:t>
            </w:r>
          </w:p>
        </w:tc>
        <w:tc>
          <w:tcPr>
            <w:tcW w:w="0" w:type="dxa"/>
            <w:vAlign w:val="bottom"/>
          </w:tcPr>
          <w:p>
            <w:pPr>
              <w:spacing w:after="0"/>
              <w:rPr>
                <w:sz w:val="1"/>
                <w:szCs w:val="1"/>
                <w:color w:val="auto"/>
              </w:rPr>
            </w:pPr>
          </w:p>
        </w:tc>
      </w:tr>
      <w:tr>
        <w:trPr>
          <w:trHeight w:val="230"/>
        </w:trPr>
        <w:tc>
          <w:tcPr>
            <w:tcW w:w="4520" w:type="dxa"/>
            <w:vAlign w:val="bottom"/>
            <w:shd w:val="clear" w:color="auto" w:fill="CCECFF"/>
          </w:tcPr>
          <w:p>
            <w:pPr>
              <w:spacing w:after="0"/>
              <w:rPr>
                <w:sz w:val="20"/>
                <w:szCs w:val="20"/>
                <w:color w:val="auto"/>
              </w:rPr>
            </w:pPr>
            <w:r>
              <w:rPr>
                <w:rFonts w:ascii="Arial" w:cs="Arial" w:eastAsia="Arial" w:hAnsi="Arial"/>
                <w:sz w:val="18"/>
                <w:szCs w:val="18"/>
                <w:color w:val="auto"/>
              </w:rPr>
              <w:t>Financing activities</w:t>
            </w:r>
          </w:p>
        </w:tc>
        <w:tc>
          <w:tcPr>
            <w:tcW w:w="2840" w:type="dxa"/>
            <w:vAlign w:val="bottom"/>
            <w:gridSpan w:val="2"/>
            <w:shd w:val="clear" w:color="auto" w:fill="CCECFF"/>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CFF"/>
          </w:tcPr>
          <w:p>
            <w:pPr>
              <w:jc w:val="right"/>
              <w:ind w:right="37"/>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CFF"/>
          </w:tcPr>
          <w:p>
            <w:pPr>
              <w:spacing w:after="0"/>
              <w:rPr>
                <w:sz w:val="19"/>
                <w:szCs w:val="19"/>
                <w:color w:val="auto"/>
              </w:rPr>
            </w:pPr>
          </w:p>
        </w:tc>
        <w:tc>
          <w:tcPr>
            <w:tcW w:w="820" w:type="dxa"/>
            <w:vAlign w:val="bottom"/>
            <w:shd w:val="clear" w:color="auto" w:fill="CCECFF"/>
          </w:tcPr>
          <w:p>
            <w:pPr>
              <w:jc w:val="right"/>
              <w:ind w:right="6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CFF"/>
          </w:tcPr>
          <w:p>
            <w:pPr>
              <w:jc w:val="right"/>
              <w:ind w:right="35"/>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$25.2 million for the three months ended March 31, 2020. This was primarily due to a $26.7 million net loss, $0.1 million of accretion of discount of marketable securities and a decrease of $4.6 million of operating assets and liabilities, which were offset by $4.9 million non-cash expense recorded for stock-based compensation, $1.2 million of amortization of operating lease right-of-use (ROU) assets and $0.1 million of depreciation and amortization expense.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operating activities was $23.9 million for the three months ended March 31, 2019. This was primarily due to a $27.1 million net loss, $0.6 million of accretion of discount of marketable securities and a decrease of $4.2 million of operating assets and liabilities, which were offset by $6.6 million non-cash expense recorded for stock-based compensation, $1.1 million of amortization of operating lease ROU assets and $0.1 million of depreciation and amortization expense.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2020 was $20.7 million due to $55.0 million of redemptions of marketable securities and $10.0 million of sale of marketable securities, which were partially offset by the purchase of $44.2 million of marketable securities and $0.1 million of property and equipment.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2019 was $11.4 million primarily due to the purchase of $49.0 million of marketable securities and $1.5 million of property and equipment, which were offset by $61.5 million of redemptions of marketable securities and $0.5 million of sale of marketable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2020 was $0.1 million resulting from the exercise of stock options to purchase 16,834 shares of common stock.</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2019 was $0.1 million resulting from the exercise of stock options to purchase 21,000 shares of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our expenses to increase in connection with our ongoing activities, particularly as we continue the research, development and clinical studies of our product candidates and pursue our intellectual property strategy.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numerous times by issuing equity securities, most recently in December 2019. We intend to continue to raise capital when and as needed and at the time and in the manner most advantageous to us. Market volatility resulting from the COVID-19 pandemic or other factors could also adversely impact our ability to access capital as and when needed.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our existing cash, cash equivalents and marketable securities will enable us to fund our operating expenses and capital expenditure requirements for at least the next 12 months. Our future capital requirements will depend on many factors, including:</w:t>
      </w:r>
    </w:p>
    <w:p>
      <w:pPr>
        <w:spacing w:after="0" w:line="143" w:lineRule="exact"/>
        <w:rPr>
          <w:sz w:val="20"/>
          <w:szCs w:val="20"/>
          <w:color w:val="auto"/>
        </w:rPr>
      </w:pPr>
    </w:p>
    <w:p>
      <w:pPr>
        <w:ind w:left="580" w:right="2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progress, timing, results and costs of our ongoing drug discovery, nonclinical development, laboratory testing and clinical studies of our product candidates and any additional clinical studies we may conduct in the future;</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product candidates and technologies;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studies and any eventual commercialization;</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and timing of recruiting additional employees to support the growth of our business;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in the United States and abroad, maintaining and enforcing our intellectual property rights and defending intellectual property-related claims; and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both"/>
        <w:spacing w:after="0" w:line="275" w:lineRule="auto"/>
        <w:rPr>
          <w:sz w:val="20"/>
          <w:szCs w:val="20"/>
          <w:color w:val="auto"/>
        </w:rPr>
      </w:pPr>
      <w:r>
        <w:rPr>
          <w:rFonts w:ascii="Arial" w:cs="Arial" w:eastAsia="Arial" w:hAnsi="Arial"/>
          <w:sz w:val="17"/>
          <w:szCs w:val="17"/>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financings to achieve our business objectives. Adequate additional financings may not be available to us on acceptable terms, or at all.</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2019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2019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as of the end of the period covered by this report. Based upon that evaluation, our Chief Executive Officer and our Chief Financial Officer concluded that our disclosure controls and procedures as of the end of the period covered by this report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March 31, 2020 that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other information in this report, including our consolidated financial statements and notes thereto, and in our other filings with the Securities and Exchange Commission.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 Cure and Microbiome programs.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 Cure and Microbiome programs, we will be unable to generate revenues from the sale of products or build a sustainable or profitable business.</w:t>
      </w:r>
    </w:p>
    <w:p>
      <w:pPr>
        <w:spacing w:after="0" w:line="1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Phase 1 and Phase 2 clinical data. With respect to our ongoing Phase 2 trials, as we begin transitioning patients off of therapy in Study 211 later this year, we may not observe sustained virologic response and such patients may need to resume NrtI therapy. In addition, there is no guarantee that Phase 3 clinical studies, if and when completed, will result in data consistent with that observed in prior studies. As a result, we cannot predict when or if any one of our product candidates will prove safe and effective in humans or will receive regulatory approval.</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spread of the coronavirus and resulting COVID-19 pandemic may materially and adversely affect our business.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recent outbreak of COVID-19 began in December 2019 and has since spread globally, reaching pandemic status. The continued spread of the coronavirus that causes COVID-19 could adversely impact our research and development through delay, modification or suspension of our clinical and/or nonclinical studies. Other clinical-stage biotechnology companies, like us, have already had their clinical and nonclinical studies affected by the COVID-19 pandemic.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jc w:val="both"/>
        <w:spacing w:after="0" w:line="290" w:lineRule="auto"/>
        <w:rPr>
          <w:sz w:val="20"/>
          <w:szCs w:val="20"/>
          <w:color w:val="auto"/>
        </w:rPr>
      </w:pPr>
      <w:r>
        <w:rPr>
          <w:rFonts w:ascii="Arial" w:cs="Arial" w:eastAsia="Arial" w:hAnsi="Arial"/>
          <w:sz w:val="16"/>
          <w:szCs w:val="16"/>
          <w:color w:val="auto"/>
        </w:rPr>
        <w:t>The COVID-19 pandemic has and may continue to (i) impact patient enrollment, retention or compliance with clinical study protocols; (ii) require modifications to or deviations from study protocols and procedures, such as the use of telehealth and home health visits instead of on-site monitoring and treatment, that could increase the cost of conducting clinical studies; (iii) disrupt or suspend the business operations of our third-party contract research organizations (CROs), manufacturers of our drug candidates and the clinical sites conducting our clinical studies; (iv) delay regulatory meetings and filings with regulatory agencies in the United States and other countries; and (v) disrupt supply chains and cause delays of shipments of critical reagents, personal protective equipment and disinfectants, each of which are necessary for our laboratories and the laboratories of our CROs to maintain normal workflows. For example, in our Phase 1 trial of H3733 in New Zealand, which we initiated in the first quarter of this year, patient enrollment has been delayed as a result of the New Zealand government’s mandated shutdown of all clinical studies other than those for clinical candidates for COVID-19.</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cannot provide any assurances about when any of our clinical studies that have delayed enrollment as a result of COVID-19 might reinitiate enrollment or that their enrollment will be reinitiated at all. For those clinical studies that are currently ongoing, we cannot provide any assurances that the measures that we have taken to date, or may in the future take, will continue to allow us to mitigate and manage results of negative impacts to site initiation, participant recruitment and enrollment, participant randomization and dosing, distribution of clinical study materials, study monitoring or data analysis. Even if we are able to collect clinical data while the outbreak is ongoing, COVID-19 may negatively affect the quality, completeness, integrity, interpretability and cost of such clinical study data. Any of these effects could adversely affect our ability to advance our product candidates in the manner and on the timelines presently planned, obtain regulatory approval for and to commercialize our product candidates, increase our operating expenses and have a material adverse effect on our business, results of operations, financial results and our share price.</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COVID-19 pandemic, governments around the world continue implementing significant measures to control the spread of the virus, including quarantines, travel restrictions, stay-at-home orders and business shutdowns. We have taken precautionary measures intended to help minimize the risk of the virus to our employees, including temporarily requiring all employees who are able to do so to work remotely and suspending all non-essential travel worldwide for our employees. These measures could negatively affect our business. For instance, requiring all employees to work remotely may disrupt our operations or increase the risk of a cybersecurity incident.</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extent to which the COVID-19 pandemic may impact our business will depend on future developments, which are highly uncertain and cannot be predicted with confidence, such as the duration and severity of the pandemic, and the effectiveness of actions for containment and treatment of COVID-19. We cannot presently predict the scope and severity of any potential business shutdowns or disruptions, including to our ongoing and planned clinical studies. Any such shutdowns or other business interruptions could result in material and negative effects to our ability to conduct our business in the manner and on the timelines presently planned as well as negatively affect the accuracy of our estimates regarding capital requirements and needs for additional financing or our ability to produce accurate and timely financial statements. We may incur additional liabilities related to business disruptions caused by the COVID-19 pandemic, including those related to our employees, our agreements with third parties, and our interactions with governmental authorities. Any of these disruptions could have a material adverse impact on our business, results of operation, financial condition and share price.</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COVID-19 pandemic has also caused volatility in the global financial markets and threatened a slowdown in the global economy, which may negatively affect our ability to raise additional capital on attractive terms or at all. In addition, a recession, depression, or other sustained adverse market event resulting from the COVID-19 pandemic could materially and adversely affect our business and the value of our common stock.</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risks related to the COVID-19 pandemic discussed above, the uncertainty surrounding, and risks created by, the pandemic may have the effect of heightening many of the other risks discussed in this section impacting our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 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and our collaborators are not permitted to market or promote any product candidates in the United States, Europe, China or other countries before we receive regulatory approval from the FDA or comparable foreign regulatory authorities, and we may never receive such regulatory approval for our current product candidates. We have not submitted a biologic license application (BLA) or new drug application (NDA) to the FDA or comparable applications to other regulatory authorities and do not expect to be in a position to do so in the foreseeable future.</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studies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21"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demonstrating through clinical studies that the product candidate is safe and effective in patients for the intended indication;</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with sufficient quality and at acceptable prices.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from the sale of products or build a sustainable or profitable business.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Nonclinical studies may not be representative of disease behavior in clinical studies. The outcomes of nonclinical testing and clinical studies are uncertain, and results of nonclinical studies and earlier clinical studies may not be predictive of future clinical study results.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nonclinical studies may not be representative of disease behavior in a clinical setting and thus may not be predictive of the outcomes of our clinical studies. In addition, the results of nonclinical studies and early clinical studies of product candidates may not be predictive of the results of later-stage clinical studies, and the results of any study or trial for any of our product candidates may not be as favorable as the results for any prior studies or trials, if at all.</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Nonclinical studies and clinical testing are expensive, can take many years to complete and their outcomes are highly uncertain. Failure can occur at any time during the nonclinical study and clinical study processes due to inadequate performance of a drug candidate or inadequate adherence by patients or investigators to clinical study protocols. Further, clinical studies might not provide statistically significant data supporting a product candidate’s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jc w:val="both"/>
        <w:spacing w:after="0" w:line="311" w:lineRule="auto"/>
        <w:rPr>
          <w:sz w:val="20"/>
          <w:szCs w:val="20"/>
          <w:color w:val="auto"/>
        </w:rPr>
      </w:pPr>
      <w:r>
        <w:rPr>
          <w:rFonts w:ascii="Arial" w:cs="Arial" w:eastAsia="Arial" w:hAnsi="Arial"/>
          <w:sz w:val="16"/>
          <w:szCs w:val="16"/>
          <w:color w:val="auto"/>
        </w:rPr>
        <w:t>safety and effectiveness to obtain the requisite regulatory approvals. In addition, there is a high failure rate for drugs and biologics proceeding through clinical studies. Our failure to replicate earlier positive results in later-stage clinical studies or otherwise demonstrate the required characteristics to support marketing approval for any of our product candidates would substantially harm our business, prospects,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initial data may not accurately reflect the complete results of a particular study or trial.</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publicly disclose top-line or initial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estimates, calculations and conclusions as part of our analyses of data, and we may not have received or had the opportunity to evaluate fully and carefully all data. As a result, the top-line or initial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initial or preliminary data we previously published. As a result, top-line and initial data should be viewed with caution until the final data are available.</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nonclinical or clinical study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initial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result in delays or may fail to demonstrate safety and efficacy for desired indications. Such delays or failures could delay or prevent our receipt of licensing, sales and/or milestone revenue.</w:t>
      </w:r>
    </w:p>
    <w:p>
      <w:pPr>
        <w:spacing w:after="0" w:line="1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Before we or any commercial partners can obtain FDA approval (or other foreign approvals) necessary to sell any of our product candidates, we must show through nonclinical studies and human testing in clinical studies that each potential product is safe and effective in humans. To meet these requirements, we must conduct extensive nonclinical testing and sufficient and well-controlled clinical studies. Conducting clinical studies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studies might cause us to incur additional operating expenses. The commencement and rate of completion of clinical studies might be delayed by many factors, including, for example:</w:t>
      </w:r>
    </w:p>
    <w:p>
      <w:pPr>
        <w:spacing w:after="0" w:line="15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demonstrate efficacy;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quantities of qualified materials under cGMP for use in clinical studies due to manufacturing challenges or delays;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jc w:val="both"/>
        <w:ind w:left="580" w:hanging="572"/>
        <w:spacing w:after="0" w:line="263"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recruit a sufficient number of eligible patients, which may be due to a number of reasons, including the size of the patient population, the proximity of patients to clinical sites, the eligibility criteria for the study, the design of the clinical study, and other potential drug candidates being studied;</w:t>
      </w:r>
    </w:p>
    <w:p>
      <w:pPr>
        <w:spacing w:after="0" w:line="143"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modification of clinical study protocols;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impacts in trial initiation, enrollment, completion and similar activities due to the impact of COVID-19;</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suspension, or termination of clinical studies by the institutional review board or ethics committee responsible for overseeing the study at a particular study site; and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or other regulatory agency delays or clinical holds requiring suspension or termination of our clinical studies.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studies.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studies and may fail to obtain regulatory approval for any of our product candidates.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failure of nonclinical studies and clinical studies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studies would delay the filing of our NDAs or BLAs with the FDA and, ultimately, our ability to commercialize our product candidates and generate product revenues. Any change in, or termination of, our clinical studies could materially harm our business, financial condition, and results of operations.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our industry, 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studies or in the future, could cause us or regulatory authorities to interrupt, restrict, delay, or halt clinical studies.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ind w:right="2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43"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 and require us to take them off the market;</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Strategy (REMS) plan to ensure that the benefits of the product outweigh its risks;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administered, conduct additional clinical studies or change the labeling of a product;</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and retain additional qualified personnel, our ability to grow our business might be harmed.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2020, we had 120 employees and contracts with a number of temporary contractors, consultants and CROs.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 and any failure to do so could have a material adverse impact on our business, financial condition and results of operations.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and retain qualified employees, officers, or other significant personnel or experience increases in our compensation costs, our business might materially suffer.</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 We do not currently maintain, nor do we intend to obtain in the future, “key man” life insurance that would compensate us in the event of the death or disability of any of the members of our management team. Our key management and scientific personnel are critical to our success, and loss of any of these key employees could have a material adverse impact on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Cure or Microbiome programs. We might never achieve or maintain profitability. We anticipate that our expenses will continue to be substantial in the foreseeable future as we:</w:t>
      </w:r>
    </w:p>
    <w:p>
      <w:pPr>
        <w:spacing w:after="0" w:line="108"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H0731, H2158 and H3733, our first three HBV product candidates through clinical development;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advance M201, our first candidate from our Microbiome program, through Phase 1b clinical development;</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undertake research and discovery efforts to identify potential additional product candidates in both our HBV Cure and Microbiome programs;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studies or the development of any of our product candidates.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from the sale of products and achieve profitability will depend on, among other things:</w:t>
      </w:r>
    </w:p>
    <w:p>
      <w:pPr>
        <w:spacing w:after="0" w:line="143"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studies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 and/or obtaining regulatory exclusivity;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18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19" w:lineRule="exact"/>
        <w:rPr>
          <w:sz w:val="20"/>
          <w:szCs w:val="20"/>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studies;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8"/>
          <w:szCs w:val="18"/>
          <w:color w:val="auto"/>
        </w:rPr>
        <w:t>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failure to successfully commercialize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successfully develop products for commercial use.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 significant amounts of capital and takes a long time to reach commercial viability, if it can be achieved at all. To date, our research and development projects have not produced commercially approved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HBV therapy research and development efforts involve therapeutics based on modulating forms of HBV core proteins with core inhibitors. The development of our core inhibitor technology is in early stages, and the commercial feasibility and acceptance of our core inhibitor technology is unknown. More specifically, while there may be initial indications of decreasing cccDNA levels in some treated patients, the theory that treatment with core inhibitors may result in more rapid loss of cccDNA compared to conventional (standard of care) therapies is unproven. It is also unknown if the biomarkers assumed to be indicators of cccDNA pool levels (such as serum pgRNA, HBeAG, HBcrAg and, to a lesser extent, HBsAg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approved drug if there is not a corresponding medical benefit related to the underlying HBV infection.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Our microbiome therapy candidates are in nonclinical and early clinical development, and our GEMICEL® dual-targeted release capsule formulation is novel and has not yet shown to successfully deliver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successfully develop commercial products, we will be unable to generate revenue from the sale of products or build a sustainable or profitable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drug or biologic is intended for the treatment of a serious or life-threatening condition and nonclinical or clinical data demonstrate the potential to address unmet medical needs for this condition, the drug or biologic sponsor may apply for FDA Fast Track designation. Fast Track designation provides increased opportunities for sponsor meetings with the FDA during preclinical and clinical development, in addition to the potential for rolling review once a marketing application is filed. The FDA has broad discretion whether or not to grant this designation, and even if we believe a particular product candidate is eligible for this designation, we cannot assure you that the FDA would decide to grant it. In 2018, the FDA granted Fast Track designation to H0731 for the treatment of patients with chronic HBV infection. We may seek Fast Track designation for other product candidates, but there is no assurance that it will be granted. Even with Fast Track designation, we may not experience a faster development process, review or approval compared to conventional FDA procedures. Fast Track designation does not assure ultimate approval by the FDA. The FDA may withdraw Fast Track designation if it believes that the designation is no longer supported by data from our product development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jc w:val="both"/>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seek a breakthrough therapy designation for one or more of our product candidates. A breakthrough therapy is defined as a drug or biologic that is intended to treat a serious or life-threatening disease or condition, and preliminary clinical evidence indicates that the drug or biologic may demonstrate substantial improvement over existing therapies on one or more clinically significant endpoints. For drugs that have been designated as breakthrough therapies, interaction and communication between the FDA and the sponsor can help to identify the most efficient path for clinical development. Drugs designated as breakthrough therapies by the FDA may also be eligible for accelerated approval.</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conventional FDA procedures and does not assure ultimate approval by the FDA. In addition, even if one or more of our product candidates qualify as breakthrough therapies, the FDA may later decide that the products no longer meet the conditions for qualification and rescind the designation.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anticipate that we will incur operating losses for the next several years as we continue to develop our product candidates and our Microbiome platform as well as initiate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or if clinical study timelines are accelerated. If that happens, we may need additional financing to continue the development of our HBV and microbiome product candidates, which we might seek and receive from the public financial markets, third-party commercial partners, private placements, debt financings or other sources. There is no assurance that we will be able to generate sufficient revenue from our Collaboration Agreement with Allergan or that we will be successful in raising any necessary additional capital on terms that are acceptable to us, or at all. If such events or other unforeseen circumstances occurred and we were unable to generate sufficient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drugs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In addition,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another prolonged government shutdown occurs, it could significantly impact the ability of the FDA to timely review and process our regulatory submissions or our ability to raise capital through the public financial markets, either of which could have a material adverse effect on our business.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Microbiome program is substantially dependent on our Collaboration Agreement with Allergan, which may be terminated or may not be successful due to a number of factors, which could have a material adverse effect on our business and operating results.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January 2017, we entered into the Collaboration Agreement for the development and commercialization of select microbiome gastrointestinal programs in ulcerative colitis, Crohn’s disease and irritable bowel syndrome. Our collaboration with Allergan may be terminated, or may not be successful, due to a number of factors. In particular, Allergan may terminate the Collaboration Agreement at any time upon either 90 days’ (prior to the initiation of the first POC trial of a licensed product) or 120 days’ (after the initiation of the first POC trial of a licensed product), as applicable,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Any of the foregoing could result in a material adverse effect on our business, results of operations and prospects and may cause our stock price to decline. In June 2019, Allergan and AbbVie Inc. (AbbVie) announced that they had entered into a definitive transaction agreement under which AbbVie will acquire Allergan. Assuming the conditions to close are satisfied, the acquisition was originally expected to close in early 2020. AbbVie and Allergan recently received approvals from both the Federal Trade Commission and the High Court of Ireland, and the acquisition is expected to close in May 2020. We do not know what, if any, impact this transaction will have on the Collaboration Agreement when it closes.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license relationship for each of our HBV Cure program and our Microbiome program.</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license agreement with IURTC from whom we have licensed H0731 and certain other HBV therapies, requires us to make milestone payments based upon the successful accomplishment of clinical and regulatory milestones related to H0731 and certain other HBV therapies and royalty payments and diligence fees. If we breach any of our obligations under our license agreement, we could lose our rights to H0731.</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license with Therabiome, from whom we have licensed a delivery platform for our Microbiome program, also requires us to pay regulatory and clinical milestones as well as royalty payments to Therabiome. If we breach any of these obligations, we could lose our rights to the targeted delivery mechanism of our Microbiome program.</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fail to comply with our obligations to our licensors, then they may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products effectively, if at all. In addition, a lack of development and marketing collaborations might lead to significant delays in introducing proposed products into certain markets and/or reduced sales of proposed products in such markets.</w:t>
      </w:r>
    </w:p>
    <w:p>
      <w:pPr>
        <w:spacing w:after="0" w:line="1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on data provided by our collaborators and others that has not been independently verified and could prove to be false, misleading, or incomplete.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adversely affected.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materially adversely affect our business, results of operations and financial condition.</w:t>
      </w:r>
    </w:p>
    <w:p>
      <w:pPr>
        <w:spacing w:after="0" w:line="14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this data from being compromised, and we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 intrusions over the Internet, attachments to emails, persons inside our organization, or persons with access to systems inside our organization.</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risk of a security breach or disruption, particularly through cyberattacks or cyber intrusion, including by computer hackers, foreign governments and cyberterrorists,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(HITECH), and its implementing rules and regulations, as well as regulations promulgated by the Federal Trade Commission, state breach notification law and the European Union’s General Data Protection Regulation (GDPR). We would also be exposed to a risk of loss or litigation and potential liability, which could materially adversely affect our business, results of operations and financial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studies, and those third parties may not perform satisfactorily, including failing to meet deadlines for the completion of such research, testing or trials.</w:t>
      </w:r>
    </w:p>
    <w:p>
      <w:pPr>
        <w:spacing w:after="0" w:line="14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rely on the services of third parties to conduct studies on our behalf. If we are unable to retain or continue with third parties for these purposes on acceptable terms, we may be unable to successfully develop our product candidates. In addition, any failures by third parties to adequately perform their responsibilities may delay the submission of our product candidates for regulatory approval, which would impair our financial condition and business prospects.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and our reliance on third parties does not relieve us of our regulatory responsibilities. Furthermore, these third parties may also have relationships with other entities, some of which may be our competitors.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studies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from the sale of products could be delayed.</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4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currently rely on third-party manufacturers to supply the quantities of H0731, H2158 and H3733 used in our clinical and nonclinical studies and the drug substance for our Microbiome program. We currently manufacture our microbiome drug product for use in our planned nonclinical studies and early-stage clinical studies; however, we may require third-party manufacturers for subsequent clinical studies or other microbiome drug products.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studies or, at some future date, for commercial quantities, then we would need to identify and contract with additional or replacement third-party manufacturers to manufacture compounds, drug substance and drug products for nonclinical, clinical and commercial purposes. We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and applicable non-U.S. regulatory requirements, including cGMPs. The cGMP requirements govern compliance and documentation policies and procedures. Complying with FDA and non-U.S. regulatory requirements will require that we expend time, money, and effort in production, recordkeeping, and compliance to assure that the product meets applicable specifications and other requirements. Any manufacturing facility must also pass a pre-approval inspection prior to regulatory approval. Failure to pass a pre-approval inspection might significantly delay regulatory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185" w:lineRule="exact"/>
        <w:rPr>
          <w:sz w:val="20"/>
          <w:szCs w:val="20"/>
          <w:color w:val="auto"/>
        </w:rPr>
      </w:pPr>
    </w:p>
    <w:p>
      <w:pPr>
        <w:jc w:val="both"/>
        <w:ind w:left="580" w:hanging="572"/>
        <w:spacing w:after="0" w:line="279" w:lineRule="auto"/>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evaluate any new or replacement contractor. This evaluation would generally require compliance inspections. In addition, a new manufacturer would have to be educated in, or develop substantially equivalent processes for, production of our products after receipt of regulatory approval, if any.</w:t>
      </w:r>
    </w:p>
    <w:p>
      <w:pPr>
        <w:spacing w:after="0" w:line="130"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studies or to produce, store and successfully distribute our products.</w:t>
      </w:r>
    </w:p>
    <w:p>
      <w:pPr>
        <w:spacing w:after="0" w:line="129"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29"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46" w:lineRule="exact"/>
        <w:rPr>
          <w:rFonts w:ascii="Arial" w:cs="Arial" w:eastAsia="Arial" w:hAnsi="Arial"/>
          <w:sz w:val="18"/>
          <w:szCs w:val="18"/>
          <w:color w:val="auto"/>
        </w:rPr>
      </w:pPr>
    </w:p>
    <w:p>
      <w:pPr>
        <w:jc w:val="both"/>
        <w:ind w:left="580" w:right="20" w:hanging="572"/>
        <w:spacing w:after="0" w:line="263"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43"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these risks could delay our development efforts, nonclinical studies and clinical studies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UC, inflammatory bowel disease (IBD), including Crohn’s disease, IBS, immune-mediated and metabolic disorders and 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immune-mediated and metabolic disorders and oncology or any other indication or field we might pursue, and successfully commercialize those treatments, our business and prospects might be materially harmed, due to intense competition in these markets.</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Companies with core inhibitor products or microbiome products may produce negative clinical data, which would adversely affect public perception of our product candidates, and may negatively impact regulatory approval of, or demand for, our potential products.</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Negative data from clinical trials using core inhibitors or microbiome-based therapies (e.g., fecal transplant) could negatively impact the perception of the therapeutic use of our HBV or microbiome product candidates, respectively. This could negatively impact our ability to enroll patients in clinical trials. The clinical and commercial success of our potential products will depend in part on the public and clinical communities’ acceptance of the use of core inhibitor product candidates and oral live microbial biotherapeutic products (LBPs). Moreover, our success depends upon physicians prescribing, and their patients being willing to receive, treatments that involve the use of core inhibitor product candidates or LBPs we may develop in lieu of, or in addition to, existing treatments with which they are already familiar and for which more clinical data may be available. Adverse events in our preclinical studies or clinical trials or those of our competitors or of academic researchers utilizing core inhibitor therapies or microbiome therapies,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43" w:lineRule="exact"/>
        <w:rPr>
          <w:sz w:val="20"/>
          <w:szCs w:val="20"/>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assimilating the acquired technologies, products or business operations;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successfully develop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and Legal Environment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and clinical studies of each product candidate, is lengthy, expensive, and uncertain. We or our collaborators must obtain and maintain regulatory authorization to conduct clinical studies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4" w:name="page45"/>
    <w:bookmarkEnd w:id="44"/>
    <w:p>
      <w:pPr>
        <w:jc w:val="both"/>
        <w:spacing w:after="0" w:line="263" w:lineRule="auto"/>
        <w:rPr>
          <w:sz w:val="20"/>
          <w:szCs w:val="20"/>
          <w:color w:val="auto"/>
        </w:rPr>
      </w:pPr>
      <w:r>
        <w:rPr>
          <w:rFonts w:ascii="Arial" w:cs="Arial" w:eastAsia="Arial" w:hAnsi="Arial"/>
          <w:sz w:val="18"/>
          <w:szCs w:val="18"/>
          <w:color w:val="auto"/>
        </w:rPr>
        <w:t>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 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43"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10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Once a product candidate is approved, numerous post-approval requirements apply. Among other things, we and our collaborators will be subject to requirements regarding testing, manufacturing, quality control, clinical studies,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color w:val="auto"/>
        </w:rPr>
        <w:t>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studies. The FDA also has the authority to require changes in the labeling of approved drug products and to require post-marketing studies. The FDA can also impose distribution and use restrictions under a REMS.</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license revocation or refusal to allow us to enter into supply contracts, including government contracts. In addition, even if we comply with FDA and other requirements, new information regarding the safety or effectiveness of a product could lead the FDA to modify or withdraw product approval or revise product labeling.</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4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never commercialized a product, and even if any product candidate of ours is approved by the appropriate regulatory authorities for marketing and sale, it may nonetheless fail to gain sufficient market acceptance by physicians, patients, third-party payors and others in the medical community. Physicians may be reluctant to take their patients off their current medications and switch their treatment regimen. Further, patients often acclimate to the treatment regime that they are currently taking and do not want to switch unless their physicians recommend switching products or they are required to switch due to lack of coverage and adequate reimbursement. In addition, even if we are able to demonstrate our product candidates’ safety and efficacy to the FDA and other regulators, safety or efficacy concerns in the medical community may hinder market acceptance.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8"/>
          <w:szCs w:val="18"/>
          <w:color w:val="auto"/>
        </w:rPr>
        <w:t>Efforts to educate the medical community and third-party payors on the benefits of our product candidates may require significant resources, including management time and financial resources, and may not be successful. If any of our product candidates are approved but do not achieve an adequate level of market acceptance, we may not generate significant revenues and we may not become profitable. The degree of market acceptance of our product candidates, if approved for commercial sale, will depend on a number of factors, including:</w:t>
      </w:r>
    </w:p>
    <w:p>
      <w:pPr>
        <w:spacing w:after="0" w:line="160"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or the ability of any future collaborators, to offer the product for sale at competitive prices;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and adequacy of coverage and reimbursement from government payors, managed care plans and other third-party payors.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4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ACA.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185"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(which was increased to 70% as of January 1, 2019 under the Bipartisan Budget Act of 2018 (BBA));</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and the long ranging effects of these challenges on reimbursement by third-party payors, the viability of the ACA marketplace, providers, and potentially, our business are unknown at this time. In addition, the full impact of the ACA, any law repealing and/or replacing elements of it, and the political uncertainty surrounding any repeal or replacement legislation on our business remains unclear.</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from the sale of products, and to achieve and maintain profitability.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There are ambiguities as to what is required to comply with these requirements, and if we fail to comply with any applicable federal, state or foreign legal requirement, we could be subject to penalties.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Regulators globally are imposing greater monetary fines for privacy violations. The GDPR, which went into effect on May 25, 2018, applies to any company established in the European Union (EU) as well as to those outside the EU if they collect and use personal data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and other changes in laws or regulations associated with the enhanced protection of certain types of personal data, such as healthcare data or other sensitive information, could greatly increase our cost of developing our products and services or even prevent us from offering certain products in jurisdictions that we may operate in. Given the limited enforcement of the GDPR to date, particularly in the pharmaceutical space, we face uncertainty as to the exact interpretation of the new requirements on our trials and we may be unsuccessful in implementing all measures required by data protection authorities or courts in interpretation of the new law.</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California recently enacted the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and the California Attorney General will commence enforcement actions against violators beginning July 1, 2020. While there is currently an exception for protected health information that is subject to HIPAA and clinical trial regulations, as currently written, the CCPA may impact our business activities. The California Attorney General has proposed draft regulations, which have not been finalized to date, that may further impact our business activities if they are adopted. The uncertainty surrounding the implementation of CCPA exemplifies the vulnerability of our business to the evolving regulatory environment related to personal data and protected health information.</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jc w:val="both"/>
        <w:spacing w:after="0" w:line="254" w:lineRule="auto"/>
        <w:rPr>
          <w:sz w:val="20"/>
          <w:szCs w:val="20"/>
          <w:color w:val="auto"/>
        </w:rPr>
      </w:pPr>
      <w:r>
        <w:rPr>
          <w:rFonts w:ascii="Arial" w:cs="Arial" w:eastAsia="Arial" w:hAnsi="Arial"/>
          <w:sz w:val="18"/>
          <w:szCs w:val="18"/>
          <w:color w:val="auto"/>
        </w:rPr>
        <w:t>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185"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Bribery Act 2010, the PRC Criminal Law, the PRC Anti-unfair Competition Law and other anti-bribery laws;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studies, creating fraudulent data in our nonclinical studies or clinical studies or illegal misappropriation of product materials, which could result in regulatory sanctions, delays in clinical studies,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studies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international operations, including in China, and conduct clinical studies outside of the United States. A number of risks associated with international operations could materially and adversely affect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210"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tariffs, war and terrorism, natural disasters or outbreaks of disease, such as the spread of the novel strain of coronavirus and the resulting COVID-19 pandemic impacting all countries, including China.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jc w:val="both"/>
        <w:spacing w:after="0" w:line="270"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we and our licensors have filed patent applications intended to cover our products candidates and their methods of use. Although we co-own and have in-licensed two issued patents in the U.S. directed to compositions of matter that includes H0731, which are expected to expire in 2035 and 2036, and we have in-licensed issued U.S. patents related to delivery technology for our Microbiome program, which are expected to expire in 2034, we do not own or have any rights to any issued patents that cover any of our other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30"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196" w:lineRule="exact"/>
        <w:rPr>
          <w:rFonts w:ascii="Arial" w:cs="Arial" w:eastAsia="Arial" w:hAnsi="Arial"/>
          <w:sz w:val="17"/>
          <w:szCs w:val="17"/>
          <w:color w:val="auto"/>
        </w:rPr>
      </w:pPr>
    </w:p>
    <w:p>
      <w:pPr>
        <w:jc w:val="both"/>
        <w:ind w:left="580" w:hanging="572"/>
        <w:spacing w:after="0" w:line="263"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43"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43"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i w:val="1"/>
          <w:iCs w:val="1"/>
          <w:color w:val="auto"/>
        </w:rPr>
        <w:t>We may incur substantial costs as a result of litigation or other proceedings relating to patent and other intellectual property rights.</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collaborators and other parties, and the breach of these agreements could adversely affect our business and prospects.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disclosure to or misappropriation by third parties of our patents, trade secrets or confidential information could compromise our competitive position. 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may in the future be involved in legal or administrative proceedings involving our intellectual property initiated by third parties, and which proceedings can result in significant costs and commitment of management time and attention and could put our patents in these territories at risk of being invalidated or interpreted narrowly, or our patent applications at risk of not being granted and could provoke third parties to assert claims against us.</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14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83" w:lineRule="exact"/>
        <w:rPr>
          <w:sz w:val="20"/>
          <w:szCs w:val="20"/>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96" w:lineRule="exact"/>
        <w:rPr>
          <w:rFonts w:ascii="Arial" w:cs="Arial" w:eastAsia="Arial" w:hAnsi="Arial"/>
          <w:sz w:val="17"/>
          <w:szCs w:val="17"/>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8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29"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studies or could otherwise produce undesirable side effects or adverse events that may be attributed to our products as well, which could cause us or regulatory authorities to interrupt, delay or halt clinical studies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43"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results and timing of our clinical studies and nonclinical studies and other studies involving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 or the announcement of any changes to our credit rating;</w:t>
      </w:r>
    </w:p>
    <w:p>
      <w:pPr>
        <w:spacing w:after="0" w:line="196" w:lineRule="exact"/>
        <w:rPr>
          <w:rFonts w:ascii="Arial" w:cs="Arial" w:eastAsia="Arial" w:hAnsi="Arial"/>
          <w:sz w:val="17"/>
          <w:szCs w:val="17"/>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this year, the stock market has experienced significant price and volume fluctuations related to the COVID-19 pandemic. This volatility has had a significant impact on the market price of our common stock and securities issued by many companies across many industries. The changes frequently appear to occur without regard to the operating performance of the affected companies. Accordingly, the price of our common stock could fluctuate based upon factors unrelated to our business and operations, and these fluctuations could materially reduce our share price.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Global Select Market.</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Global Select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Global Select Market. A delisting of our common stock from the Nasdaq Global Select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we had potentially utilizable gross Federal net operating loss carryforwards of $297.6 million, State net operating loss carry-forwards of $309.3 million, Federal and California research and development credit carry forwards of $9.0 million and $5.3 million, respectively, which will begin to expire in 2027.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$40.0 million of our $337.4 million of Federal net operating losses will not be available to us to offset future taxable income leaving potentially utilizable gross Federal net operating loss carryforwards of $297.6 million.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jc w:val="both"/>
        <w:spacing w:after="0" w:line="271" w:lineRule="auto"/>
        <w:rPr>
          <w:sz w:val="20"/>
          <w:szCs w:val="20"/>
          <w:color w:val="auto"/>
        </w:rPr>
      </w:pPr>
      <w:r>
        <w:rPr>
          <w:rFonts w:ascii="Arial" w:cs="Arial" w:eastAsia="Arial" w:hAnsi="Arial"/>
          <w:sz w:val="17"/>
          <w:szCs w:val="17"/>
          <w:color w:val="auto"/>
        </w:rPr>
        <w:t>In addition, under the Tax Cust and Jobs Act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 Coronavirus Aid, Relief, and Economic Security Act (CARES Act) was signed into law by President Trump in March 2020. The CARES Act allows NOLs in tax periods beginning after December 31, 2017 and beginning before January 1, 2021 to be carried back five years, carried forward indefinitely, and permitted to deduct 100% of our taxable income for tax periods beginning before January 1, 2021. In tax periods beginning after December 31, 2020, the 80% taxable income limit discussed above will apply to all U.S. NOLs generated in taxable periods beginning after December 31, 2017.</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due to ownership changes, changes in law or other unforeseen reasons, our existing NOLs could expire or otherwise be unavailable to offset future income tax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public company, we face increased legal, accounting, administrative and other costs and expenses not faced by private companies. We have incurred and will continue to incur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We are subject to the reporting requirements of the Exchange Act, which requires that we file annual, quarterly and current reports with respect to our business and financial condition, and the rules and regulations implemented by the SEC, the Sarbanes-Oxley Act, and the listing standards of the Nasdaq Global Select Market, each of which imposes additional reporting and other obligations on public companies. Although we are currently unable to estimate these costs with any degree of certainty, we expect that the requirements of these rules and regulations will continue to increase our legal, accounting and financial compliance costs, make some activities more difficult, time consuming and costly and place significant strain on our personnel, systems and resources. These increased costs will require us to divert a significant amount of money that we could otherwise use to develop our product candidates or otherwise expand our business. Complying with these requirements might divert management’s attention from other business concerns, which could have a material adverse effect on our prospects, business, and financial condition. If we are unable to satisfy our obligations as a public company, we could be subject to delisting of our common stock, fines, sanctions and other regulatory action and potentially civil litigation.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06" w:lineRule="exact"/>
        <w:rPr>
          <w:sz w:val="20"/>
          <w:szCs w:val="20"/>
          <w:color w:val="auto"/>
        </w:rPr>
      </w:pPr>
    </w:p>
    <w:p>
      <w:pPr>
        <w:ind w:left="580" w:right="2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29"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184"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184"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could decline rapidly. If one or more analysts cease coverage of our company, we could lose visibility in the market, which in turn could cause our stock price to decline.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Filed</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Incorporated</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4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8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by Reference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vMerge w:val="restart"/>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10"/>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6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Assembly Biosciences, Inc. 2020 Corporate Bonus Plan.</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02/11/2020</w:t>
            </w:r>
          </w:p>
        </w:tc>
        <w:tc>
          <w:tcPr>
            <w:tcW w:w="100" w:type="dxa"/>
            <w:vAlign w:val="bottom"/>
          </w:tcPr>
          <w:p>
            <w:pPr>
              <w:spacing w:after="0"/>
              <w:rPr>
                <w:sz w:val="24"/>
                <w:szCs w:val="24"/>
                <w:color w:val="auto"/>
              </w:rPr>
            </w:pPr>
          </w:p>
        </w:tc>
        <w:tc>
          <w:tcPr>
            <w:tcW w:w="740" w:type="dxa"/>
            <w:vAlign w:val="bottom"/>
          </w:tcPr>
          <w:p>
            <w:pPr>
              <w:jc w:val="right"/>
              <w:ind w:right="139"/>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97"/>
        </w:trPr>
        <w:tc>
          <w:tcPr>
            <w:tcW w:w="920" w:type="dxa"/>
            <w:vAlign w:val="bottom"/>
          </w:tcPr>
          <w:p>
            <w:pPr>
              <w:ind w:left="6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u w:val="single" w:color="auto"/>
                <w:color w:val="0000EE"/>
                <w:w w:val="99"/>
              </w:rPr>
            </w:pPr>
            <w:hyperlink w:anchor="page64">
              <w:r>
                <w:rPr>
                  <w:rFonts w:ascii="Arial" w:cs="Arial" w:eastAsia="Arial" w:hAnsi="Arial"/>
                  <w:sz w:val="18"/>
                  <w:szCs w:val="18"/>
                  <w:u w:val="single" w:color="auto"/>
                  <w:color w:val="0000EE"/>
                  <w:w w:val="99"/>
                </w:rPr>
                <w:t>Omnibus Amendment to Assembly Biosciences, Inc. Stock Incentive Plans.</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20" w:type="dxa"/>
            <w:vAlign w:val="bottom"/>
          </w:tcPr>
          <w:p>
            <w:pPr>
              <w:ind w:left="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2"/>
                <w:szCs w:val="22"/>
                <w:color w:val="auto"/>
              </w:rPr>
            </w:pPr>
          </w:p>
        </w:tc>
        <w:tc>
          <w:tcPr>
            <w:tcW w:w="5980" w:type="dxa"/>
            <w:vAlign w:val="bottom"/>
            <w:gridSpan w:val="15"/>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Assembly Biosciences, Inc. 2020 Inducement Award Plan (the 2020 Inducement</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Award Plan).</w:t>
              </w:r>
            </w:hyperlink>
          </w:p>
        </w:tc>
        <w:tc>
          <w:tcPr>
            <w:tcW w:w="4840" w:type="dxa"/>
            <w:vAlign w:val="bottom"/>
            <w:tcBorders>
              <w:top w:val="single" w:sz="8" w:color="0000EE"/>
            </w:tcBorders>
            <w:gridSpan w:val="10"/>
          </w:tcPr>
          <w:p>
            <w:pPr>
              <w:spacing w:after="0"/>
              <w:rPr>
                <w:sz w:val="17"/>
                <w:szCs w:val="17"/>
                <w:color w:val="auto"/>
              </w:rPr>
            </w:pPr>
          </w:p>
        </w:tc>
        <w:tc>
          <w:tcPr>
            <w:tcW w:w="20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color w:val="0000EE"/>
                <w:w w:val="97"/>
              </w:rPr>
            </w:pPr>
            <w:hyperlink w:anchor="page84">
              <w:r>
                <w:rPr>
                  <w:rFonts w:ascii="Arial" w:cs="Arial" w:eastAsia="Arial" w:hAnsi="Arial"/>
                  <w:sz w:val="18"/>
                  <w:szCs w:val="18"/>
                  <w:color w:val="0000EE"/>
                  <w:w w:val="97"/>
                </w:rPr>
                <w:t>Form of Notice of Stock Option Grant and Stock Option Agreement under the</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2020 Inducement Award Plan.</w:t>
              </w:r>
            </w:hyperlink>
          </w:p>
        </w:tc>
        <w:tc>
          <w:tcPr>
            <w:tcW w:w="3440" w:type="dxa"/>
            <w:vAlign w:val="bottom"/>
            <w:tcBorders>
              <w:top w:val="single" w:sz="8" w:color="0000EE"/>
            </w:tcBorders>
            <w:gridSpan w:val="5"/>
          </w:tcPr>
          <w:p>
            <w:pPr>
              <w:spacing w:after="0"/>
              <w:rPr>
                <w:sz w:val="17"/>
                <w:szCs w:val="17"/>
                <w:color w:val="auto"/>
              </w:rPr>
            </w:pPr>
          </w:p>
        </w:tc>
        <w:tc>
          <w:tcPr>
            <w:tcW w:w="36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56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93">
              <w:r>
                <w:rPr>
                  <w:rFonts w:ascii="Arial" w:cs="Arial" w:eastAsia="Arial" w:hAnsi="Arial"/>
                  <w:sz w:val="18"/>
                  <w:szCs w:val="18"/>
                  <w:color w:val="0000EE"/>
                  <w:w w:val="91"/>
                </w:rPr>
                <w:t>Form of Restricted Stock Unit Award Notice and Restricted Stock Unit Award</w:t>
              </w:r>
            </w:hyperlink>
          </w:p>
        </w:tc>
        <w:tc>
          <w:tcPr>
            <w:tcW w:w="340" w:type="dxa"/>
            <w:vAlign w:val="bottom"/>
            <w:gridSpan w:val="5"/>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Agreement under the 2020 Inducement Award Plan.</w:t>
              </w:r>
            </w:hyperlink>
          </w:p>
        </w:tc>
        <w:tc>
          <w:tcPr>
            <w:tcW w:w="224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8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Amendment No. 1 to Employment Agreement, dated February 26, 2020, between</w:t>
              </w:r>
            </w:hyperlink>
          </w:p>
        </w:tc>
        <w:tc>
          <w:tcPr>
            <w:tcW w:w="100" w:type="dxa"/>
            <w:vAlign w:val="bottom"/>
            <w:gridSpan w:val="2"/>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80" w:type="dxa"/>
            <w:vAlign w:val="bottom"/>
            <w:gridSpan w:val="15"/>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Assembly Biosciences, Inc. and Thomas J. Russo, CFA.</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588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Amendment No. 1 to Employment Agreement, dated February 26, 2020, between</w:t>
              </w:r>
            </w:hyperlink>
          </w:p>
        </w:tc>
        <w:tc>
          <w:tcPr>
            <w:tcW w:w="100" w:type="dxa"/>
            <w:vAlign w:val="bottom"/>
            <w:gridSpan w:val="2"/>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80" w:type="dxa"/>
            <w:vAlign w:val="bottom"/>
            <w:gridSpan w:val="15"/>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Assembly Biosciences, Inc. and Luisa M. Stamm, M.D., Ph.D.</w:t>
              </w:r>
            </w:hyperlink>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Certification of Chief Executive Officer Pursuant to Section 302 of the Sarbanes-</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Oxley Act of 2002.</w:t>
              </w:r>
            </w:hyperlink>
          </w:p>
        </w:tc>
        <w:tc>
          <w:tcPr>
            <w:tcW w:w="1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Certification of the Chief Financial Officer Pursuant to Section 302 of the</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5"/>
          </w:tcPr>
          <w:p>
            <w:pPr>
              <w:spacing w:after="0"/>
              <w:rPr>
                <w:sz w:val="17"/>
                <w:szCs w:val="17"/>
                <w:color w:val="auto"/>
              </w:rPr>
            </w:pPr>
          </w:p>
        </w:tc>
        <w:tc>
          <w:tcPr>
            <w:tcW w:w="6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Certification of Chief Executive Officer Pursuant to Section 906 of the Sarbanes-</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Oxley Act of 2002.</w:t>
              </w:r>
            </w:hyperlink>
          </w:p>
        </w:tc>
        <w:tc>
          <w:tcPr>
            <w:tcW w:w="1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4600" w:type="dxa"/>
            <w:vAlign w:val="bottom"/>
            <w:gridSpan w:val="1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ind w:left="6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980" w:type="dxa"/>
            <w:vAlign w:val="bottom"/>
            <w:gridSpan w:val="1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Certification of the Chief Financial Officer Pursuant to Section 906 of the</w:t>
              </w:r>
            </w:hyperlink>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Sarbanes-Oxley Act of 2002.</w:t>
              </w:r>
            </w:hyperlink>
          </w:p>
        </w:tc>
        <w:tc>
          <w:tcPr>
            <w:tcW w:w="3200" w:type="dxa"/>
            <w:vAlign w:val="bottom"/>
            <w:tcBorders>
              <w:top w:val="single" w:sz="8" w:color="0000EE"/>
            </w:tcBorders>
            <w:gridSpan w:val="5"/>
          </w:tcPr>
          <w:p>
            <w:pPr>
              <w:spacing w:after="0"/>
              <w:rPr>
                <w:sz w:val="17"/>
                <w:szCs w:val="17"/>
                <w:color w:val="auto"/>
              </w:rPr>
            </w:pPr>
          </w:p>
        </w:tc>
        <w:tc>
          <w:tcPr>
            <w:tcW w:w="68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9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Cover Page Interactive Data File (formatted as inline XBRL with applicable</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80" w:type="dxa"/>
            <w:vAlign w:val="bottom"/>
            <w:gridSpan w:val="15"/>
          </w:tcPr>
          <w:p>
            <w:pPr>
              <w:spacing w:after="0"/>
              <w:rPr>
                <w:sz w:val="20"/>
                <w:szCs w:val="20"/>
                <w:color w:val="auto"/>
              </w:rPr>
            </w:pPr>
            <w:r>
              <w:rPr>
                <w:rFonts w:ascii="Arial" w:cs="Arial" w:eastAsia="Arial" w:hAnsi="Arial"/>
                <w:sz w:val="18"/>
                <w:szCs w:val="18"/>
                <w:color w:val="auto"/>
              </w:rPr>
              <w:t>taxonomy extension information contained in Exhibits 101.)</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jc w:val="both"/>
        <w:ind w:left="580" w:hanging="572"/>
        <w:spacing w:after="0" w:line="253"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on Form 10-Q is not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20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8, 2020</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8, 2020</w:t>
            </w:r>
          </w:p>
        </w:tc>
        <w:tc>
          <w:tcPr>
            <w:tcW w:w="2640" w:type="dxa"/>
            <w:vAlign w:val="bottom"/>
          </w:tcPr>
          <w:p>
            <w:pPr>
              <w:ind w:left="220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3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3440" w:type="dxa"/>
            <w:vAlign w:val="bottom"/>
          </w:tcPr>
          <w:p>
            <w:pPr>
              <w:spacing w:after="0"/>
              <w:rPr>
                <w:sz w:val="24"/>
                <w:szCs w:val="24"/>
                <w:color w:val="auto"/>
              </w:rPr>
            </w:pPr>
          </w:p>
        </w:tc>
        <w:tc>
          <w:tcPr>
            <w:tcW w:w="264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OMNIBUS AMENDMENT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INCENTIVE PLANS</w:t>
      </w:r>
    </w:p>
    <w:p>
      <w:pPr>
        <w:spacing w:after="0" w:line="185"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Assembly Biosciences,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adopted the Amended and Restated 2014 Stock Incentive Plan on June 2, 2016 (as amended from time to time, the “</w:t>
      </w:r>
      <w:r>
        <w:rPr>
          <w:rFonts w:ascii="Arial" w:cs="Arial" w:eastAsia="Arial" w:hAnsi="Arial"/>
          <w:sz w:val="22"/>
          <w:szCs w:val="22"/>
          <w:u w:val="single" w:color="auto"/>
          <w:color w:val="auto"/>
        </w:rPr>
        <w:t>2014 Plan</w:t>
      </w:r>
      <w:r>
        <w:rPr>
          <w:rFonts w:ascii="Arial" w:cs="Arial" w:eastAsia="Arial" w:hAnsi="Arial"/>
          <w:sz w:val="22"/>
          <w:szCs w:val="22"/>
          <w:color w:val="auto"/>
        </w:rPr>
        <w: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The Company adopted the 2017 Inducement Award Plan on April 3, 2017 (as amended from time to time, the “</w:t>
      </w:r>
      <w:r>
        <w:rPr>
          <w:rFonts w:ascii="Arial" w:cs="Arial" w:eastAsia="Arial" w:hAnsi="Arial"/>
          <w:sz w:val="19"/>
          <w:szCs w:val="19"/>
          <w:u w:val="single" w:color="auto"/>
          <w:color w:val="auto"/>
        </w:rPr>
        <w:t>2017</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48"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The “Company adopted the 2018 Stock Incentive Plan on May 30, 2018, as amended by Amendment No.1 to the Plan effective as of May 17, 2019 (as amended from time to time, the “</w:t>
      </w:r>
      <w:r>
        <w:rPr>
          <w:rFonts w:ascii="Arial" w:cs="Arial" w:eastAsia="Arial" w:hAnsi="Arial"/>
          <w:sz w:val="22"/>
          <w:szCs w:val="22"/>
          <w:u w:val="single" w:color="auto"/>
          <w:color w:val="auto"/>
        </w:rPr>
        <w:t>2018 Plan</w:t>
      </w:r>
      <w:r>
        <w:rPr>
          <w:rFonts w:ascii="Arial" w:cs="Arial" w:eastAsia="Arial" w:hAnsi="Arial"/>
          <w:sz w:val="22"/>
          <w:szCs w:val="22"/>
          <w:color w:val="auto"/>
        </w:rPr>
        <w:t>”).</w:t>
      </w:r>
    </w:p>
    <w:p>
      <w:pPr>
        <w:spacing w:after="0" w:line="148"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Company adopted the 2019 Inducement Award Plan on August 6, 2019 (as amended from time to time, the “</w:t>
      </w:r>
      <w:r>
        <w:rPr>
          <w:rFonts w:ascii="Arial" w:cs="Arial" w:eastAsia="Arial" w:hAnsi="Arial"/>
          <w:sz w:val="22"/>
          <w:szCs w:val="22"/>
          <w:u w:val="single" w:color="auto"/>
          <w:color w:val="auto"/>
        </w:rPr>
        <w:t>2019</w:t>
      </w:r>
      <w:r>
        <w:rPr>
          <w:rFonts w:ascii="Arial" w:cs="Arial" w:eastAsia="Arial" w:hAnsi="Arial"/>
          <w:sz w:val="22"/>
          <w:szCs w:val="22"/>
          <w:color w:val="auto"/>
        </w:rPr>
        <w:t xml:space="preserve"> </w:t>
      </w:r>
      <w:r>
        <w:rPr>
          <w:rFonts w:ascii="Arial" w:cs="Arial" w:eastAsia="Arial" w:hAnsi="Arial"/>
          <w:sz w:val="22"/>
          <w:szCs w:val="22"/>
          <w:u w:val="single" w:color="auto"/>
          <w:color w:val="auto"/>
        </w:rPr>
        <w:t>Plan</w:t>
      </w:r>
      <w:r>
        <w:rPr>
          <w:rFonts w:ascii="Arial" w:cs="Arial" w:eastAsia="Arial" w:hAnsi="Arial"/>
          <w:sz w:val="22"/>
          <w:szCs w:val="22"/>
          <w:color w:val="auto"/>
        </w:rPr>
        <w:t>” and together with the 2014 Plan, the 2017 Plan and the 2018 Plan, collectively the “</w:t>
      </w:r>
      <w:r>
        <w:rPr>
          <w:rFonts w:ascii="Arial" w:cs="Arial" w:eastAsia="Arial" w:hAnsi="Arial"/>
          <w:sz w:val="22"/>
          <w:szCs w:val="22"/>
          <w:u w:val="single" w:color="auto"/>
          <w:color w:val="auto"/>
        </w:rPr>
        <w:t>Stock Plans</w:t>
      </w:r>
      <w:r>
        <w:rPr>
          <w:rFonts w:ascii="Arial" w:cs="Arial" w:eastAsia="Arial" w:hAnsi="Arial"/>
          <w:sz w:val="22"/>
          <w:szCs w:val="22"/>
          <w:color w:val="auto"/>
        </w:rPr>
        <w:t>” and individually, a “</w:t>
      </w:r>
      <w:r>
        <w:rPr>
          <w:rFonts w:ascii="Arial" w:cs="Arial" w:eastAsia="Arial" w:hAnsi="Arial"/>
          <w:sz w:val="22"/>
          <w:szCs w:val="22"/>
          <w:u w:val="single" w:color="auto"/>
          <w:color w:val="auto"/>
        </w:rPr>
        <w:t>Stock</w:t>
      </w:r>
      <w:r>
        <w:rPr>
          <w:rFonts w:ascii="Arial" w:cs="Arial" w:eastAsia="Arial" w:hAnsi="Arial"/>
          <w:sz w:val="22"/>
          <w:szCs w:val="22"/>
          <w:color w:val="auto"/>
        </w:rPr>
        <w:t xml:space="preserve"> </w:t>
      </w:r>
      <w:r>
        <w:rPr>
          <w:rFonts w:ascii="Arial" w:cs="Arial" w:eastAsia="Arial" w:hAnsi="Arial"/>
          <w:sz w:val="22"/>
          <w:szCs w:val="22"/>
          <w:u w:val="single" w:color="auto"/>
          <w:color w:val="auto"/>
        </w:rPr>
        <w:t>Plan</w:t>
      </w:r>
      <w:r>
        <w:rPr>
          <w:rFonts w:ascii="Arial" w:cs="Arial" w:eastAsia="Arial" w:hAnsi="Arial"/>
          <w:sz w:val="22"/>
          <w:szCs w:val="22"/>
          <w:color w:val="auto"/>
        </w:rPr>
        <w:t>”).</w:t>
      </w:r>
    </w:p>
    <w:p>
      <w:pPr>
        <w:spacing w:after="0" w:line="14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The Company desires to amend each of the Stock Plans to provide for acceleration of certain unvested Awards if such Awards are not Assumed or Replaced in connection with a Corporate Transaction.</w:t>
      </w:r>
    </w:p>
    <w:p>
      <w:pPr>
        <w:spacing w:after="0" w:line="134"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Pursuant to Section 15(a) of each of the Company’s Stock Plans,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may, amend each of the Stock Plans.</w:t>
      </w:r>
    </w:p>
    <w:p>
      <w:pPr>
        <w:spacing w:after="0" w:line="14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21"/>
          <w:szCs w:val="21"/>
          <w:color w:val="auto"/>
        </w:rPr>
        <w:t>Pursuant to Section 13(b) of each of the Stock Plans, the Administrator may, in advance of or in anticipation of a Corporate Transaction, provide for acceleration of unvested Awards in connection with a Corporate Transaction.</w:t>
      </w:r>
    </w:p>
    <w:p>
      <w:pPr>
        <w:spacing w:after="0" w:line="110"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The Board has determined that it is advantageous to the Company and necessary to attract and retain the best available personnel to amend Section 13(a) of each of the Stock Plans to provide for acceleration in connection with a Corporate Transaction if the Awards are not Assumed or Replaced in the Corporate Transaction.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Now, therefore,</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Section 13(a) of each of the Stock Plans is hereby amended as follows: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ACTIVE/102027153.1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Treatment of Awards in Corporate Transaction</w:t>
      </w:r>
      <w:r>
        <w:rPr>
          <w:rFonts w:ascii="Arial" w:cs="Arial" w:eastAsia="Arial" w:hAnsi="Arial"/>
          <w:sz w:val="19"/>
          <w:szCs w:val="19"/>
          <w:color w:val="auto"/>
        </w:rPr>
        <w:t>. Except as the Administrator may otherwise specify with respect to particular Awards in the relevant Award Agreement, in the case of and subject to the consummation of a Corporate Transaction, the parties to the Corporate Transaction may cause the Awards to be Assumed or Replaced by the successor entity as such parties shall agree. To the extent the parties to such Corporate Transaction do not provide for the Awards to be Assumed or Replaced upon the effective time of the Corporate Transaction, the Plan and all outstanding Awards granted under the Plan shall terminate. In such case, except as may be otherwise expressly provided in the relevant Award Agreement, all Awards with solely time-based vesting that are not vested and/or exercisable immediately prior to the effective time of the Corporate Transaction shall become fully vested and exercisable as of immediately prior to the effective time of the Corporate Transaction and all Awards with conditions and restrictions relating to the attainment of performance goals shall be deemed to vest and become nonforfeitable as of the Corporate Transaction as provided in the relevant Award Agreement or if not provided for in the relevant Award Agreement shall be deemed to vest and become nonforfeitable as of the Corporate Transaction assuming the higher of (i) achievement of all relevant performance goals at the "target" level (prorated based upon the length of time within the performance period that has elapsed prior the Corporate Transaction or partial achievement of the performance goals), or (ii) actual achievement of all relevant performance goals as of the date of such Corporate Transaction. In the event of such termination of the Awards, the Company shall have the option (in its sole discretion) to (1) make or provide for a payment, in cash or in kind, to the Grantees holding Options and SARs, in exchange for the cancellation thereof, in an amount equal to the difference between (A) the Sale Price multiplied by the number of Shares subject to outstanding Options and SARs and (B) the aggregate exercise price of all such outstanding Options and SARs (provided that, in the case of an Option or SAR with an exercise price equal to or more than the Sale Price, such Option or SAR shall be cancelled for no consideration); or (2) permit each Grantee, within a specified period of time prior to the consummation of the Corporate Transaction as determined by the Administrator, to exercise all outstanding Options and SARs (to the extent then exercisable including due to acceleration as contemplated by this Section 13(a) if the Awards are not Assumed or Replaced) held by such Grantee as of immediately prior to the effective time of the Corporate Transaction. In the event of a termination of Awards pursuant to this Section 13(a), the Company shall also have the option (in its sole discretion) to make or provide for a payment, in cash or in kind, to the Grantees holding other Awards in an amount equal to the Sale Price multiplied by the number of vested Shares under such Awards. For purposes of this Section 13(a), “</w:t>
      </w:r>
      <w:r>
        <w:rPr>
          <w:rFonts w:ascii="Arial" w:cs="Arial" w:eastAsia="Arial" w:hAnsi="Arial"/>
          <w:sz w:val="19"/>
          <w:szCs w:val="19"/>
          <w:b w:val="1"/>
          <w:bCs w:val="1"/>
          <w:i w:val="1"/>
          <w:iCs w:val="1"/>
          <w:color w:val="auto"/>
        </w:rPr>
        <w:t>Sale Price</w:t>
      </w:r>
      <w:r>
        <w:rPr>
          <w:rFonts w:ascii="Arial" w:cs="Arial" w:eastAsia="Arial" w:hAnsi="Arial"/>
          <w:sz w:val="19"/>
          <w:szCs w:val="19"/>
          <w:color w:val="auto"/>
        </w:rPr>
        <w:t>” means the value as determined by the Administrator of the consideration payable, or otherwise to be received by stockholders, per Share pursuant to a Corporate Transaction.”</w:t>
      </w:r>
    </w:p>
    <w:p>
      <w:pPr>
        <w:spacing w:after="0" w:line="383"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Except as expressly set forth in this Omnibus Amendment to Stock Plans, all other terms and conditions set forth in each of the Stock Plans shall remain in full force and effect. Each capitalized term used and not defined herein shall have the meaning set forth in the applicable Stock Plan.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This Amendment has been adopted by the Board of Directors of the Company as of March 11, 2020.</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March 11, 2020: Adopted by Board of Directors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ACTIVE/102027153.1</w:t>
      </w:r>
    </w:p>
    <w:p>
      <w:pPr>
        <w:sectPr>
          <w:pgSz w:w="11900" w:h="16838" w:orient="portrait"/>
          <w:cols w:equalWidth="0" w:num="1">
            <w:col w:w="11240"/>
          </w:cols>
          <w:pgMar w:left="320" w:top="51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INDUCEMENT AWARD PLAN</w:t>
      </w:r>
    </w:p>
    <w:p>
      <w:pPr>
        <w:spacing w:after="0" w:line="212" w:lineRule="exact"/>
        <w:rPr>
          <w:sz w:val="20"/>
          <w:szCs w:val="20"/>
          <w:color w:val="auto"/>
        </w:rPr>
      </w:pPr>
    </w:p>
    <w:p>
      <w:pPr>
        <w:ind w:right="540" w:firstLine="872"/>
        <w:spacing w:after="0" w:line="297" w:lineRule="auto"/>
        <w:tabs>
          <w:tab w:leader="none" w:pos="167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Purposes of the Plan</w:t>
      </w:r>
      <w:r>
        <w:rPr>
          <w:rFonts w:ascii="Arial" w:cs="Arial" w:eastAsia="Arial" w:hAnsi="Arial"/>
          <w:sz w:val="19"/>
          <w:szCs w:val="19"/>
          <w:color w:val="auto"/>
        </w:rPr>
        <w:t>. The purposes of this Plan are to attract and retain the best available personnel, to provide an inducement material for such persons to enter into employment with the Company or a Related Entity within the meaning of Rule 5635(c)(4) of the NASDAQ Listing Rules and to promote the success of the Company’s business.</w:t>
      </w:r>
    </w:p>
    <w:p>
      <w:pPr>
        <w:spacing w:after="0" w:line="133" w:lineRule="exact"/>
        <w:rPr>
          <w:rFonts w:ascii="Arial" w:cs="Arial" w:eastAsia="Arial" w:hAnsi="Arial"/>
          <w:sz w:val="19"/>
          <w:szCs w:val="19"/>
          <w:color w:val="auto"/>
        </w:rPr>
      </w:pPr>
    </w:p>
    <w:p>
      <w:pPr>
        <w:ind w:right="160" w:firstLine="872"/>
        <w:spacing w:after="0" w:line="257" w:lineRule="auto"/>
        <w:tabs>
          <w:tab w:leader="none" w:pos="1674"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The following definitions shall apply as used herein and in the individual Award Agreements except as defined otherwise in an individual Award Agreement. In the event a term is separately defined in an individual Award Agreement, such definition shall supersede the definition contained in this Section 2.</w:t>
      </w:r>
    </w:p>
    <w:p>
      <w:pPr>
        <w:spacing w:after="0" w:line="169" w:lineRule="exact"/>
        <w:rPr>
          <w:rFonts w:ascii="Arial" w:cs="Arial" w:eastAsia="Arial" w:hAnsi="Arial"/>
          <w:sz w:val="21"/>
          <w:szCs w:val="21"/>
          <w:color w:val="auto"/>
        </w:rPr>
      </w:pPr>
    </w:p>
    <w:p>
      <w:pPr>
        <w:ind w:left="2620" w:hanging="885"/>
        <w:spacing w:after="0"/>
        <w:tabs>
          <w:tab w:leader="none" w:pos="2620" w:val="left"/>
        </w:tabs>
        <w:numPr>
          <w:ilvl w:val="1"/>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Administrator</w:t>
      </w:r>
      <w:r>
        <w:rPr>
          <w:rFonts w:ascii="Arial" w:cs="Arial" w:eastAsia="Arial" w:hAnsi="Arial"/>
          <w:sz w:val="19"/>
          <w:szCs w:val="19"/>
          <w:color w:val="auto"/>
        </w:rPr>
        <w:t>” means the Board or any of the Committees appointed to administer the Plan.</w:t>
      </w:r>
    </w:p>
    <w:p>
      <w:pPr>
        <w:spacing w:after="0" w:line="240" w:lineRule="exact"/>
        <w:rPr>
          <w:rFonts w:ascii="Arial" w:cs="Arial" w:eastAsia="Arial" w:hAnsi="Arial"/>
          <w:sz w:val="19"/>
          <w:szCs w:val="19"/>
          <w:color w:val="auto"/>
        </w:rPr>
      </w:pPr>
    </w:p>
    <w:p>
      <w:pPr>
        <w:ind w:left="2640" w:hanging="905"/>
        <w:spacing w:after="0"/>
        <w:tabs>
          <w:tab w:leader="none" w:pos="2640" w:val="left"/>
        </w:tabs>
        <w:numPr>
          <w:ilvl w:val="1"/>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and “</w:t>
      </w:r>
      <w:r>
        <w:rPr>
          <w:rFonts w:ascii="Arial" w:cs="Arial" w:eastAsia="Arial" w:hAnsi="Arial"/>
          <w:sz w:val="21"/>
          <w:szCs w:val="21"/>
          <w:b w:val="1"/>
          <w:bCs w:val="1"/>
          <w:i w:val="1"/>
          <w:iCs w:val="1"/>
          <w:color w:val="auto"/>
        </w:rPr>
        <w:t>Associate</w:t>
      </w:r>
      <w:r>
        <w:rPr>
          <w:rFonts w:ascii="Arial" w:cs="Arial" w:eastAsia="Arial" w:hAnsi="Arial"/>
          <w:sz w:val="21"/>
          <w:szCs w:val="21"/>
          <w:color w:val="auto"/>
        </w:rPr>
        <w:t>” shall have the respective meanings ascribed to such terms in</w:t>
      </w:r>
    </w:p>
    <w:p>
      <w:pPr>
        <w:spacing w:after="0" w:line="20" w:lineRule="exact"/>
        <w:rPr>
          <w:sz w:val="20"/>
          <w:szCs w:val="20"/>
          <w:color w:val="auto"/>
        </w:rPr>
      </w:pPr>
    </w:p>
    <w:p>
      <w:pPr>
        <w:spacing w:after="0" w:line="253" w:lineRule="exact"/>
        <w:rPr>
          <w:sz w:val="20"/>
          <w:szCs w:val="20"/>
          <w:color w:val="auto"/>
        </w:rPr>
      </w:pPr>
      <w:r>
        <w:rPr>
          <w:rFonts w:ascii="Arial" w:cs="Arial" w:eastAsia="Arial" w:hAnsi="Arial"/>
          <w:sz w:val="22"/>
          <w:szCs w:val="22"/>
          <w:color w:val="auto"/>
        </w:rPr>
        <w:t>Rule 12b</w:t>
      </w:r>
      <w:r>
        <w:rPr>
          <w:rFonts w:ascii="MS PGothic" w:cs="MS PGothic" w:eastAsia="MS PGothic" w:hAnsi="MS PGothic"/>
          <w:sz w:val="22"/>
          <w:szCs w:val="22"/>
          <w:color w:val="auto"/>
        </w:rPr>
        <w:t>‑</w:t>
      </w:r>
      <w:r>
        <w:rPr>
          <w:rFonts w:ascii="Arial" w:cs="Arial" w:eastAsia="Arial" w:hAnsi="Arial"/>
          <w:sz w:val="22"/>
          <w:szCs w:val="22"/>
          <w:color w:val="auto"/>
        </w:rPr>
        <w:t>2 promulgated under the Exchange Act.</w:t>
      </w:r>
    </w:p>
    <w:p>
      <w:pPr>
        <w:spacing w:after="0" w:line="188" w:lineRule="exact"/>
        <w:rPr>
          <w:sz w:val="20"/>
          <w:szCs w:val="20"/>
          <w:color w:val="auto"/>
        </w:rPr>
      </w:pPr>
    </w:p>
    <w:p>
      <w:pPr>
        <w:ind w:right="200" w:firstLine="1735"/>
        <w:spacing w:after="0" w:line="238" w:lineRule="auto"/>
        <w:tabs>
          <w:tab w:leader="none" w:pos="2615"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Laws</w:t>
      </w:r>
      <w:r>
        <w:rPr>
          <w:rFonts w:ascii="Arial" w:cs="Arial" w:eastAsia="Arial" w:hAnsi="Arial"/>
          <w:sz w:val="22"/>
          <w:szCs w:val="22"/>
          <w:color w:val="auto"/>
        </w:rPr>
        <w:t>” means the legal requirements relating to the Plan and the Awards under applicable provisions of federal and state securities laws, the corporate laws of the state of Delaware, the Code, the rules of any applicable stock exchange or national market system, and the rules of any non-U.S. jurisdiction applicable to Awards granted to residents therein.</w:t>
      </w:r>
    </w:p>
    <w:p>
      <w:pPr>
        <w:spacing w:after="0" w:line="184" w:lineRule="exact"/>
        <w:rPr>
          <w:rFonts w:ascii="Arial" w:cs="Arial" w:eastAsia="Arial" w:hAnsi="Arial"/>
          <w:sz w:val="22"/>
          <w:szCs w:val="22"/>
          <w:color w:val="auto"/>
        </w:rPr>
      </w:pPr>
    </w:p>
    <w:p>
      <w:pPr>
        <w:ind w:right="100" w:firstLine="1735"/>
        <w:spacing w:after="0" w:line="279" w:lineRule="auto"/>
        <w:tabs>
          <w:tab w:leader="none" w:pos="2627" w:val="left"/>
        </w:tabs>
        <w:numPr>
          <w:ilvl w:val="0"/>
          <w:numId w:val="3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Assumed</w:t>
      </w:r>
      <w:r>
        <w:rPr>
          <w:rFonts w:ascii="Arial" w:cs="Arial" w:eastAsia="Arial" w:hAnsi="Arial"/>
          <w:sz w:val="19"/>
          <w:szCs w:val="19"/>
          <w:color w:val="auto"/>
        </w:rPr>
        <w:t>” means that pursuant to a Corporate Transaction either (i) the Award is expressly affirmed by the Company or (ii) the contractual obligations represented by the Award are expressly assumed (and not simply by operation of law) by the successor entity or its Parent in connection with the Corporate Transaction with appropriate adjustments to the number and type of securities of the successor entity or its Parent subject to the Award and the exercise or purchase price thereof which at least preserves the compensation element of the Award existing at the time of the Corporate Transaction as determined in accordance with the instruments evidencing the agreement to assume the Award.</w:t>
      </w:r>
    </w:p>
    <w:p>
      <w:pPr>
        <w:spacing w:after="0" w:line="150" w:lineRule="exact"/>
        <w:rPr>
          <w:rFonts w:ascii="Arial" w:cs="Arial" w:eastAsia="Arial" w:hAnsi="Arial"/>
          <w:sz w:val="19"/>
          <w:szCs w:val="19"/>
          <w:color w:val="auto"/>
        </w:rPr>
      </w:pPr>
    </w:p>
    <w:p>
      <w:pPr>
        <w:ind w:right="740" w:firstLine="1735"/>
        <w:spacing w:after="0" w:line="250" w:lineRule="auto"/>
        <w:tabs>
          <w:tab w:leader="none" w:pos="2615"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means the grant of an Option, SAR, Dividend Equivalent Right, Restricted Stock, Restricted Stock Unit or other right or benefit under the Plan.</w:t>
      </w:r>
    </w:p>
    <w:p>
      <w:pPr>
        <w:spacing w:after="0" w:line="174" w:lineRule="exact"/>
        <w:rPr>
          <w:rFonts w:ascii="Arial" w:cs="Arial" w:eastAsia="Arial" w:hAnsi="Arial"/>
          <w:sz w:val="22"/>
          <w:szCs w:val="22"/>
          <w:color w:val="auto"/>
        </w:rPr>
      </w:pPr>
    </w:p>
    <w:p>
      <w:pPr>
        <w:ind w:right="280" w:firstLine="1735"/>
        <w:spacing w:after="0" w:line="250" w:lineRule="auto"/>
        <w:tabs>
          <w:tab w:leader="none" w:pos="2591"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means the written agreement evidencing the grant of an Award executed by the Company and the Grantee, including any amendments thereto.</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firstLine="1735"/>
        <w:spacing w:after="0" w:line="245" w:lineRule="auto"/>
        <w:tabs>
          <w:tab w:leader="none" w:pos="2627"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means, with respect to the termination by the Company or a Related Entity of the Grantee’s Continuous Service, that such termination is for “Cause” as such term (or word of like import) is expressly defined in a then-effective written agreement between the Grantee and the Company or such Related Entity, or in the absence of such then-effective written agreement and definition, is based on, in the determination of the Administrator, the Grantee’s: (i) performance of any act or failure to perform any act in bad faith and to the detriment of the Company or a Related Entity; (ii) dishonesty, intentional misconduct or material breach of any agreement with the Company or a Related Entity; or (iii) commission of a crime involving dishonesty, breach of trust, or physical or emotional harm to any person; provided, however, that with regard to any agreement that defines “Cause” on the occurrence of or in connection with a Corporate Transaction, such definition of “Cause” shall not apply until a Corporate Transaction actually occurs.</w:t>
      </w:r>
    </w:p>
    <w:p>
      <w:pPr>
        <w:spacing w:after="0" w:line="184" w:lineRule="exact"/>
        <w:rPr>
          <w:rFonts w:ascii="Arial" w:cs="Arial" w:eastAsia="Arial" w:hAnsi="Arial"/>
          <w:sz w:val="21"/>
          <w:szCs w:val="21"/>
          <w:color w:val="auto"/>
        </w:rPr>
      </w:pPr>
    </w:p>
    <w:p>
      <w:pPr>
        <w:ind w:left="2580" w:hanging="845"/>
        <w:spacing w:after="0"/>
        <w:tabs>
          <w:tab w:leader="none" w:pos="25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Code</w:t>
      </w:r>
      <w:r>
        <w:rPr>
          <w:rFonts w:ascii="Arial" w:cs="Arial" w:eastAsia="Arial" w:hAnsi="Arial"/>
          <w:sz w:val="21"/>
          <w:szCs w:val="21"/>
          <w:color w:val="auto"/>
        </w:rPr>
        <w:t>” means the Internal Revenue Code of 1986, as amended, or any successor statute.</w:t>
      </w:r>
    </w:p>
    <w:p>
      <w:pPr>
        <w:spacing w:after="0" w:line="217" w:lineRule="exact"/>
        <w:rPr>
          <w:rFonts w:ascii="Arial" w:cs="Arial" w:eastAsia="Arial" w:hAnsi="Arial"/>
          <w:sz w:val="21"/>
          <w:szCs w:val="21"/>
          <w:color w:val="auto"/>
        </w:rPr>
      </w:pPr>
    </w:p>
    <w:p>
      <w:pPr>
        <w:ind w:left="2580" w:hanging="845"/>
        <w:spacing w:after="0"/>
        <w:tabs>
          <w:tab w:leader="none" w:pos="25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Committee</w:t>
      </w:r>
      <w:r>
        <w:rPr>
          <w:rFonts w:ascii="Arial" w:cs="Arial" w:eastAsia="Arial" w:hAnsi="Arial"/>
          <w:sz w:val="19"/>
          <w:szCs w:val="19"/>
          <w:color w:val="auto"/>
        </w:rPr>
        <w:t>” means any committee composed of members of the Board appointed by the Board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administer the Plan.</w:t>
      </w:r>
    </w:p>
    <w:p>
      <w:pPr>
        <w:spacing w:after="0" w:line="188" w:lineRule="exact"/>
        <w:rPr>
          <w:rFonts w:ascii="Arial" w:cs="Arial" w:eastAsia="Arial" w:hAnsi="Arial"/>
          <w:sz w:val="19"/>
          <w:szCs w:val="19"/>
          <w:color w:val="auto"/>
        </w:rPr>
      </w:pPr>
    </w:p>
    <w:p>
      <w:pPr>
        <w:ind w:left="2640" w:hanging="905"/>
        <w:spacing w:after="0"/>
        <w:tabs>
          <w:tab w:leader="none" w:pos="2640" w:val="left"/>
        </w:tabs>
        <w:numPr>
          <w:ilvl w:val="0"/>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means the Company’s Common Stock, par value $0.001 per share.</w:t>
      </w:r>
    </w:p>
    <w:p>
      <w:pPr>
        <w:spacing w:after="0" w:line="206" w:lineRule="exact"/>
        <w:rPr>
          <w:rFonts w:ascii="Arial" w:cs="Arial" w:eastAsia="Arial" w:hAnsi="Arial"/>
          <w:sz w:val="22"/>
          <w:szCs w:val="22"/>
          <w:color w:val="auto"/>
        </w:rPr>
      </w:pPr>
    </w:p>
    <w:p>
      <w:pPr>
        <w:ind w:right="300" w:firstLine="1735"/>
        <w:spacing w:after="0" w:line="250" w:lineRule="auto"/>
        <w:tabs>
          <w:tab w:leader="none" w:pos="2579" w:val="left"/>
        </w:tabs>
        <w:numPr>
          <w:ilvl w:val="0"/>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Assembly Biosciences, Inc., a Delaware corporation, or any successor entity that adopts the Plan in connection with a Corporate Transaction.</w:t>
      </w:r>
    </w:p>
    <w:p>
      <w:pPr>
        <w:spacing w:after="0" w:line="174" w:lineRule="exact"/>
        <w:rPr>
          <w:rFonts w:ascii="Arial" w:cs="Arial" w:eastAsia="Arial" w:hAnsi="Arial"/>
          <w:sz w:val="22"/>
          <w:szCs w:val="22"/>
          <w:color w:val="auto"/>
        </w:rPr>
      </w:pPr>
    </w:p>
    <w:p>
      <w:pPr>
        <w:ind w:right="20" w:firstLine="1735"/>
        <w:spacing w:after="0" w:line="257" w:lineRule="auto"/>
        <w:tabs>
          <w:tab w:leader="none" w:pos="2687"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Consultant</w:t>
      </w:r>
      <w:r>
        <w:rPr>
          <w:rFonts w:ascii="Arial" w:cs="Arial" w:eastAsia="Arial" w:hAnsi="Arial"/>
          <w:sz w:val="21"/>
          <w:szCs w:val="21"/>
          <w:color w:val="auto"/>
        </w:rPr>
        <w:t>” means any natural person (other than an Employee or a Director, solely with respect to rendering services in such person’s capacity as a Director) who provides bona fide services to the Company or any Related Entity, within the meaning of Form S-8 promulgated under the Securities Act of 1933, as amended.</w:t>
      </w:r>
    </w:p>
    <w:p>
      <w:pPr>
        <w:spacing w:after="0" w:line="169" w:lineRule="exact"/>
        <w:rPr>
          <w:rFonts w:ascii="Arial" w:cs="Arial" w:eastAsia="Arial" w:hAnsi="Arial"/>
          <w:sz w:val="21"/>
          <w:szCs w:val="21"/>
          <w:color w:val="auto"/>
        </w:rPr>
      </w:pPr>
    </w:p>
    <w:p>
      <w:pPr>
        <w:ind w:right="40" w:firstLine="1735"/>
        <w:spacing w:after="0" w:line="244" w:lineRule="auto"/>
        <w:tabs>
          <w:tab w:leader="none" w:pos="2627" w:val="left"/>
        </w:tabs>
        <w:numPr>
          <w:ilvl w:val="0"/>
          <w:numId w:val="3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Continuous Service</w:t>
      </w:r>
      <w:r>
        <w:rPr>
          <w:rFonts w:ascii="Arial" w:cs="Arial" w:eastAsia="Arial" w:hAnsi="Arial"/>
          <w:sz w:val="21"/>
          <w:szCs w:val="21"/>
          <w:color w:val="auto"/>
        </w:rPr>
        <w:t>” means that the provision of services to the Company or a Related Entity in any capacity of Employee, Director or Consultant is not interrupted or terminated. In jurisdictions requiring notice in advance of an effective termination as an Employee, Director or Consultant, Continuous Service shall be deemed terminated upon the actual cessation of providing services to the Company or a Related Entity notwithstanding any required notice period that must be fulfilled before a termination as an Employee, Director or Consultant can be effective under Applicable Laws. A Grantee’s Continuous Service shall be deemed to have terminated either upon an actual termination of Continuous Service or upon the entity for which the Grantee provides services ceasing to be a Related Entity. Continuous Service shall not be considered interrupted in the case of (i) any approved leave of absence, (ii) transfers among the Company, any Related Entity, or any successor in any capacity of Employee, Director or Consultant, or (iii) any change in status as long as the individual remains in the service of the Company or a Related Entity in any capacity of Employee, Director or Consultant (except as otherwise provided in the Award Agreement). An approved leave of absence shall include sick leave, military leave, or any other authorized personal leave.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4" w:right="379" w:bottom="1440" w:gutter="0" w:footer="0" w:header="0"/>
        </w:sectPr>
      </w:pPr>
    </w:p>
    <w:bookmarkStart w:id="67" w:name="page68"/>
    <w:bookmarkEnd w:id="67"/>
    <w:p>
      <w:pPr>
        <w:jc w:val="both"/>
        <w:ind w:right="340" w:firstLine="1735"/>
        <w:spacing w:after="0"/>
        <w:tabs>
          <w:tab w:leader="none" w:pos="2627" w:val="left"/>
        </w:tabs>
        <w:numPr>
          <w:ilvl w:val="1"/>
          <w:numId w:val="3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any of the following transactions, provided, however, that the Administrator shall determine under parts (iv) and (v) whether multiple transactions are related, and its determination shall be final, binding and conclusive:</w:t>
      </w:r>
    </w:p>
    <w:p>
      <w:pPr>
        <w:spacing w:after="0" w:line="186" w:lineRule="exact"/>
        <w:rPr>
          <w:rFonts w:ascii="Arial" w:cs="Arial" w:eastAsia="Arial" w:hAnsi="Arial"/>
          <w:sz w:val="22"/>
          <w:szCs w:val="22"/>
          <w:color w:val="auto"/>
        </w:rPr>
      </w:pPr>
    </w:p>
    <w:p>
      <w:pPr>
        <w:ind w:left="3460" w:hanging="860"/>
        <w:spacing w:after="0"/>
        <w:tabs>
          <w:tab w:leader="none" w:pos="3460" w:val="left"/>
        </w:tabs>
        <w:numPr>
          <w:ilvl w:val="2"/>
          <w:numId w:val="36"/>
        </w:numPr>
        <w:rPr>
          <w:rFonts w:ascii="Arial" w:cs="Arial" w:eastAsia="Arial" w:hAnsi="Arial"/>
          <w:sz w:val="19"/>
          <w:szCs w:val="19"/>
          <w:color w:val="auto"/>
        </w:rPr>
      </w:pPr>
      <w:r>
        <w:rPr>
          <w:rFonts w:ascii="Arial" w:cs="Arial" w:eastAsia="Arial" w:hAnsi="Arial"/>
          <w:sz w:val="19"/>
          <w:szCs w:val="19"/>
          <w:color w:val="auto"/>
        </w:rPr>
        <w:t>a merger or consolidation in which the Company is not the surviving entity, except for a</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transaction the principal purpose of which is to change the state in which the Company is incorporated;</w:t>
      </w:r>
    </w:p>
    <w:p>
      <w:pPr>
        <w:spacing w:after="0" w:line="188" w:lineRule="exact"/>
        <w:rPr>
          <w:rFonts w:ascii="Arial" w:cs="Arial" w:eastAsia="Arial" w:hAnsi="Arial"/>
          <w:sz w:val="19"/>
          <w:szCs w:val="19"/>
          <w:color w:val="auto"/>
        </w:rPr>
      </w:pPr>
    </w:p>
    <w:p>
      <w:pPr>
        <w:ind w:left="3520" w:hanging="920"/>
        <w:spacing w:after="0"/>
        <w:tabs>
          <w:tab w:leader="none" w:pos="3520" w:val="left"/>
        </w:tabs>
        <w:numPr>
          <w:ilvl w:val="2"/>
          <w:numId w:val="36"/>
        </w:numPr>
        <w:rPr>
          <w:rFonts w:ascii="Arial" w:cs="Arial" w:eastAsia="Arial" w:hAnsi="Arial"/>
          <w:sz w:val="21"/>
          <w:szCs w:val="21"/>
          <w:color w:val="auto"/>
        </w:rPr>
      </w:pPr>
      <w:r>
        <w:rPr>
          <w:rFonts w:ascii="Arial" w:cs="Arial" w:eastAsia="Arial" w:hAnsi="Arial"/>
          <w:sz w:val="21"/>
          <w:szCs w:val="21"/>
          <w:color w:val="auto"/>
        </w:rPr>
        <w:t>the sale, transfer or other disposition of all or substantially all of the assets of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Company;</w:t>
      </w:r>
    </w:p>
    <w:p>
      <w:pPr>
        <w:spacing w:after="0" w:line="188" w:lineRule="exact"/>
        <w:rPr>
          <w:rFonts w:ascii="Arial" w:cs="Arial" w:eastAsia="Arial" w:hAnsi="Arial"/>
          <w:sz w:val="21"/>
          <w:szCs w:val="21"/>
          <w:color w:val="auto"/>
        </w:rPr>
      </w:pPr>
    </w:p>
    <w:p>
      <w:pPr>
        <w:ind w:left="3580" w:hanging="980"/>
        <w:spacing w:after="0"/>
        <w:tabs>
          <w:tab w:leader="none" w:pos="3580" w:val="left"/>
        </w:tabs>
        <w:numPr>
          <w:ilvl w:val="2"/>
          <w:numId w:val="36"/>
        </w:numPr>
        <w:rPr>
          <w:rFonts w:ascii="Arial" w:cs="Arial" w:eastAsia="Arial" w:hAnsi="Arial"/>
          <w:sz w:val="22"/>
          <w:szCs w:val="22"/>
          <w:color w:val="auto"/>
        </w:rPr>
      </w:pPr>
      <w:r>
        <w:rPr>
          <w:rFonts w:ascii="Arial" w:cs="Arial" w:eastAsia="Arial" w:hAnsi="Arial"/>
          <w:sz w:val="22"/>
          <w:szCs w:val="22"/>
          <w:color w:val="auto"/>
        </w:rPr>
        <w:t>the complete liquidation or dissolution of the Company;</w:t>
      </w:r>
    </w:p>
    <w:p>
      <w:pPr>
        <w:spacing w:after="0" w:line="206" w:lineRule="exact"/>
        <w:rPr>
          <w:rFonts w:ascii="Arial" w:cs="Arial" w:eastAsia="Arial" w:hAnsi="Arial"/>
          <w:sz w:val="22"/>
          <w:szCs w:val="22"/>
          <w:color w:val="auto"/>
        </w:rPr>
      </w:pPr>
    </w:p>
    <w:p>
      <w:pPr>
        <w:jc w:val="both"/>
        <w:ind w:right="480" w:firstLine="2600"/>
        <w:spacing w:after="0" w:line="276" w:lineRule="auto"/>
        <w:tabs>
          <w:tab w:leader="none" w:pos="3552" w:val="left"/>
        </w:tabs>
        <w:numPr>
          <w:ilvl w:val="2"/>
          <w:numId w:val="36"/>
        </w:numPr>
        <w:rPr>
          <w:rFonts w:ascii="Arial" w:cs="Arial" w:eastAsia="Arial" w:hAnsi="Arial"/>
          <w:sz w:val="19"/>
          <w:szCs w:val="19"/>
          <w:color w:val="auto"/>
        </w:rPr>
      </w:pPr>
      <w:r>
        <w:rPr>
          <w:rFonts w:ascii="Arial" w:cs="Arial" w:eastAsia="Arial" w:hAnsi="Arial"/>
          <w:sz w:val="19"/>
          <w:szCs w:val="19"/>
          <w:color w:val="auto"/>
        </w:rPr>
        <w:t>any reverse merger or series of related transactions culminating in a reverse merger (including, but not limited to, a tender offer followed by a reverse merger) in which the Company is the surviving entity but</w:t>
      </w:r>
    </w:p>
    <w:p>
      <w:pPr>
        <w:spacing w:after="0" w:line="1" w:lineRule="exact"/>
        <w:rPr>
          <w:rFonts w:ascii="Arial" w:cs="Arial" w:eastAsia="Arial" w:hAnsi="Arial"/>
          <w:sz w:val="19"/>
          <w:szCs w:val="19"/>
          <w:color w:val="auto"/>
        </w:rPr>
      </w:pPr>
    </w:p>
    <w:p>
      <w:pPr>
        <w:ind w:left="360" w:hanging="352"/>
        <w:spacing w:after="0"/>
        <w:tabs>
          <w:tab w:leader="none" w:pos="3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shares of Common Stock outstanding immediately prior to such merger are converted or exchanged by virtue of the</w:t>
      </w:r>
    </w:p>
    <w:p>
      <w:pPr>
        <w:spacing w:after="0" w:line="24" w:lineRule="exact"/>
        <w:rPr>
          <w:rFonts w:ascii="Arial" w:cs="Arial" w:eastAsia="Arial" w:hAnsi="Arial"/>
          <w:sz w:val="19"/>
          <w:szCs w:val="19"/>
          <w:color w:val="auto"/>
        </w:rPr>
      </w:pPr>
    </w:p>
    <w:p>
      <w:pPr>
        <w:ind w:right="200"/>
        <w:spacing w:after="0" w:line="233" w:lineRule="auto"/>
        <w:rPr>
          <w:rFonts w:ascii="Arial" w:cs="Arial" w:eastAsia="Arial" w:hAnsi="Arial"/>
          <w:sz w:val="19"/>
          <w:szCs w:val="19"/>
          <w:color w:val="auto"/>
        </w:rPr>
      </w:pPr>
      <w:r>
        <w:rPr>
          <w:rFonts w:ascii="Arial" w:cs="Arial" w:eastAsia="Arial" w:hAnsi="Arial"/>
          <w:sz w:val="22"/>
          <w:szCs w:val="22"/>
          <w:color w:val="auto"/>
        </w:rPr>
        <w:t>merger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merger or the initial transaction culminating in such merger; or</w:t>
      </w:r>
    </w:p>
    <w:p>
      <w:pPr>
        <w:spacing w:after="0" w:line="187" w:lineRule="exact"/>
        <w:rPr>
          <w:rFonts w:ascii="Arial" w:cs="Arial" w:eastAsia="Arial" w:hAnsi="Arial"/>
          <w:sz w:val="19"/>
          <w:szCs w:val="19"/>
          <w:color w:val="auto"/>
        </w:rPr>
      </w:pPr>
    </w:p>
    <w:p>
      <w:pPr>
        <w:ind w:right="100" w:firstLine="2600"/>
        <w:spacing w:after="0" w:line="238" w:lineRule="auto"/>
        <w:tabs>
          <w:tab w:leader="none" w:pos="3492" w:val="left"/>
        </w:tabs>
        <w:numPr>
          <w:ilvl w:val="2"/>
          <w:numId w:val="37"/>
        </w:numPr>
        <w:rPr>
          <w:rFonts w:ascii="Arial" w:cs="Arial" w:eastAsia="Arial" w:hAnsi="Arial"/>
          <w:sz w:val="22"/>
          <w:szCs w:val="22"/>
          <w:color w:val="auto"/>
        </w:rPr>
      </w:pPr>
      <w:r>
        <w:rPr>
          <w:rFonts w:ascii="Arial" w:cs="Arial" w:eastAsia="Arial" w:hAnsi="Arial"/>
          <w:sz w:val="22"/>
          <w:szCs w:val="22"/>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w:t>
      </w:r>
    </w:p>
    <w:p>
      <w:pPr>
        <w:spacing w:after="0" w:line="184" w:lineRule="exact"/>
        <w:rPr>
          <w:rFonts w:ascii="Arial" w:cs="Arial" w:eastAsia="Arial" w:hAnsi="Arial"/>
          <w:sz w:val="22"/>
          <w:szCs w:val="22"/>
          <w:color w:val="auto"/>
        </w:rPr>
      </w:pPr>
    </w:p>
    <w:p>
      <w:pPr>
        <w:ind w:left="2680" w:hanging="945"/>
        <w:spacing w:after="0"/>
        <w:tabs>
          <w:tab w:leader="none" w:pos="2680" w:val="left"/>
        </w:tabs>
        <w:numPr>
          <w:ilvl w:val="1"/>
          <w:numId w:val="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Director</w:t>
      </w:r>
      <w:r>
        <w:rPr>
          <w:rFonts w:ascii="Arial" w:cs="Arial" w:eastAsia="Arial" w:hAnsi="Arial"/>
          <w:sz w:val="21"/>
          <w:szCs w:val="21"/>
          <w:color w:val="auto"/>
        </w:rPr>
        <w:t>” means a member of the Board or the board of directors of any Related Entity.</w:t>
      </w:r>
    </w:p>
    <w:p>
      <w:pPr>
        <w:spacing w:after="0" w:line="217" w:lineRule="exact"/>
        <w:rPr>
          <w:rFonts w:ascii="Arial" w:cs="Arial" w:eastAsia="Arial" w:hAnsi="Arial"/>
          <w:sz w:val="21"/>
          <w:szCs w:val="21"/>
          <w:color w:val="auto"/>
        </w:rPr>
      </w:pPr>
    </w:p>
    <w:p>
      <w:pPr>
        <w:ind w:firstLine="1735"/>
        <w:spacing w:after="0" w:line="246" w:lineRule="auto"/>
        <w:tabs>
          <w:tab w:leader="none" w:pos="2627" w:val="left"/>
        </w:tabs>
        <w:numPr>
          <w:ilvl w:val="1"/>
          <w:numId w:val="3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Disability</w:t>
      </w:r>
      <w:r>
        <w:rPr>
          <w:rFonts w:ascii="Arial" w:cs="Arial" w:eastAsia="Arial" w:hAnsi="Arial"/>
          <w:sz w:val="21"/>
          <w:szCs w:val="21"/>
          <w:color w:val="auto"/>
        </w:rPr>
        <w:t>” means “disability” as defined in the long-term disability policy of the Company or the Related Entity to which the Grantee provides services regardless of whether the Grantee is covered by such policy. If the Company or the Related Entity to which the Grantee provides service does not have a long-term disability plan in place, “Disability” means that a Grantee is unable to carry out the responsibilities and functions of the position held by the Grantee by reason of any medically determinable physical or mental impairment for a period of not less than ninety (90) consecutive days. A Grantee will not be considered to have incurred a Disability unless he or she furnishes proof of such impairment sufficient to satisfy the Administrator in its discretion.</w:t>
      </w:r>
    </w:p>
    <w:p>
      <w:pPr>
        <w:spacing w:after="0" w:line="184" w:lineRule="exact"/>
        <w:rPr>
          <w:rFonts w:ascii="Arial" w:cs="Arial" w:eastAsia="Arial" w:hAnsi="Arial"/>
          <w:sz w:val="21"/>
          <w:szCs w:val="21"/>
          <w:color w:val="auto"/>
        </w:rPr>
      </w:pPr>
    </w:p>
    <w:p>
      <w:pPr>
        <w:ind w:right="380" w:firstLine="1735"/>
        <w:spacing w:after="0" w:line="250" w:lineRule="auto"/>
        <w:tabs>
          <w:tab w:leader="none" w:pos="2591" w:val="left"/>
        </w:tabs>
        <w:numPr>
          <w:ilvl w:val="1"/>
          <w:numId w:val="3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Dividend Equivalent Right</w:t>
      </w:r>
      <w:r>
        <w:rPr>
          <w:rFonts w:ascii="Arial" w:cs="Arial" w:eastAsia="Arial" w:hAnsi="Arial"/>
          <w:sz w:val="22"/>
          <w:szCs w:val="22"/>
          <w:color w:val="auto"/>
        </w:rPr>
        <w:t>” means a right entitling the Grantee to compensation measured by dividends paid with respect to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8" w:name="page69"/>
    <w:bookmarkEnd w:id="68"/>
    <w:p>
      <w:pPr>
        <w:ind w:right="100" w:firstLine="1735"/>
        <w:spacing w:after="0" w:line="238" w:lineRule="auto"/>
        <w:tabs>
          <w:tab w:leader="none" w:pos="2603"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means any person, including an Officer or Director, who is in the employ of the Company or any Related Entity, subject to the control and direction of the Company or any Related Entity as to both the work to be performed and the manner and method of performance. The payment of a director’s fee by the Company or a Related Entity shall not be sufficient to constitute “employment” by the Company.</w:t>
      </w:r>
    </w:p>
    <w:p>
      <w:pPr>
        <w:spacing w:after="0" w:line="184" w:lineRule="exact"/>
        <w:rPr>
          <w:rFonts w:ascii="Arial" w:cs="Arial" w:eastAsia="Arial" w:hAnsi="Arial"/>
          <w:sz w:val="22"/>
          <w:szCs w:val="22"/>
          <w:color w:val="auto"/>
        </w:rPr>
      </w:pPr>
    </w:p>
    <w:p>
      <w:pPr>
        <w:ind w:left="2580" w:hanging="845"/>
        <w:spacing w:after="0"/>
        <w:tabs>
          <w:tab w:leader="none" w:pos="2580"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as of any date, the value of Common Stock determined as follows.</w:t>
      </w:r>
    </w:p>
    <w:p>
      <w:pPr>
        <w:spacing w:after="0" w:line="240" w:lineRule="exact"/>
        <w:rPr>
          <w:rFonts w:ascii="Arial" w:cs="Arial" w:eastAsia="Arial" w:hAnsi="Arial"/>
          <w:sz w:val="19"/>
          <w:szCs w:val="19"/>
          <w:color w:val="auto"/>
        </w:rPr>
      </w:pPr>
    </w:p>
    <w:p>
      <w:pPr>
        <w:ind w:firstLine="2600"/>
        <w:spacing w:after="0" w:line="277" w:lineRule="auto"/>
        <w:tabs>
          <w:tab w:leader="none" w:pos="3444" w:val="left"/>
        </w:tabs>
        <w:numPr>
          <w:ilvl w:val="2"/>
          <w:numId w:val="38"/>
        </w:numPr>
        <w:rPr>
          <w:rFonts w:ascii="Arial" w:cs="Arial" w:eastAsia="Arial" w:hAnsi="Arial"/>
          <w:sz w:val="19"/>
          <w:szCs w:val="19"/>
          <w:color w:val="auto"/>
        </w:rPr>
      </w:pPr>
      <w:r>
        <w:rPr>
          <w:rFonts w:ascii="Arial" w:cs="Arial" w:eastAsia="Arial" w:hAnsi="Arial"/>
          <w:sz w:val="19"/>
          <w:szCs w:val="19"/>
          <w:color w:val="auto"/>
        </w:rPr>
        <w:t>If the Common Stock is listed on one or more established stock exchanges or national market systems, including without limitation The NASDAQ Global Select Market, The NASDAQ Global Market or The NASDAQ Capital Market of The NASDAQ Stock Market LLC, its Fair Market Value shall be the closing sales price for such stock (or the closing bid, if no sales were reported) as quoted on the principal exchange or system on which the Common Stock is listed (as determined by the Administrator) on the date of determination (or, if no closing sales price or closing bid was reported on that date, as applicable, on the last trading date such closing sales price or closing bid was reported), as reported in The Wall Street Journal or such other source as the Administrator deems reliable;</w:t>
      </w:r>
    </w:p>
    <w:p>
      <w:pPr>
        <w:spacing w:after="0" w:line="151" w:lineRule="exact"/>
        <w:rPr>
          <w:rFonts w:ascii="Arial" w:cs="Arial" w:eastAsia="Arial" w:hAnsi="Arial"/>
          <w:sz w:val="19"/>
          <w:szCs w:val="19"/>
          <w:color w:val="auto"/>
        </w:rPr>
      </w:pPr>
    </w:p>
    <w:p>
      <w:pPr>
        <w:ind w:right="80" w:firstLine="2600"/>
        <w:spacing w:after="0" w:line="279" w:lineRule="auto"/>
        <w:tabs>
          <w:tab w:leader="none" w:pos="3504" w:val="left"/>
        </w:tabs>
        <w:numPr>
          <w:ilvl w:val="2"/>
          <w:numId w:val="38"/>
        </w:numPr>
        <w:rPr>
          <w:rFonts w:ascii="Arial" w:cs="Arial" w:eastAsia="Arial" w:hAnsi="Arial"/>
          <w:sz w:val="19"/>
          <w:szCs w:val="19"/>
          <w:color w:val="auto"/>
        </w:rPr>
      </w:pPr>
      <w:r>
        <w:rPr>
          <w:rFonts w:ascii="Arial" w:cs="Arial" w:eastAsia="Arial" w:hAnsi="Arial"/>
          <w:sz w:val="19"/>
          <w:szCs w:val="19"/>
          <w:color w:val="auto"/>
        </w:rPr>
        <w:t>If the Common Stock is regularly quoted on an automated quotation system (including the OTC Bulletin Board) or by a recognized securities dealer, its Fair Market Value shall be the closing sales price for such stock as quoted on such system or by such securities dealer on the date of determination, but if selling prices are not reported, the Fair Market Value of a share of Common Stock shall be the mean between the high bid and low asked prices for the Common Stock on the date of determination (or, if no such prices were reported on that date, on the last date such prices were reported), as reported in The Wall Street Journal or such other source as the Administrator deems reliable; or</w:t>
      </w:r>
    </w:p>
    <w:p>
      <w:pPr>
        <w:spacing w:after="0" w:line="150" w:lineRule="exact"/>
        <w:rPr>
          <w:rFonts w:ascii="Arial" w:cs="Arial" w:eastAsia="Arial" w:hAnsi="Arial"/>
          <w:sz w:val="19"/>
          <w:szCs w:val="19"/>
          <w:color w:val="auto"/>
        </w:rPr>
      </w:pPr>
    </w:p>
    <w:p>
      <w:pPr>
        <w:ind w:left="3580" w:hanging="980"/>
        <w:spacing w:after="0"/>
        <w:tabs>
          <w:tab w:leader="none" w:pos="3580" w:val="left"/>
        </w:tabs>
        <w:numPr>
          <w:ilvl w:val="2"/>
          <w:numId w:val="38"/>
        </w:numPr>
        <w:rPr>
          <w:rFonts w:ascii="Arial" w:cs="Arial" w:eastAsia="Arial" w:hAnsi="Arial"/>
          <w:sz w:val="19"/>
          <w:szCs w:val="19"/>
          <w:color w:val="auto"/>
        </w:rPr>
      </w:pPr>
      <w:r>
        <w:rPr>
          <w:rFonts w:ascii="Arial" w:cs="Arial" w:eastAsia="Arial" w:hAnsi="Arial"/>
          <w:sz w:val="19"/>
          <w:szCs w:val="19"/>
          <w:color w:val="auto"/>
        </w:rPr>
        <w:t>In the absence of an established market for the Common Stock of the type described in</w:t>
      </w:r>
    </w:p>
    <w:p>
      <w:pPr>
        <w:spacing w:after="0" w:line="42" w:lineRule="exact"/>
        <w:rPr>
          <w:rFonts w:ascii="Arial" w:cs="Arial" w:eastAsia="Arial" w:hAnsi="Arial"/>
          <w:sz w:val="19"/>
          <w:szCs w:val="19"/>
          <w:color w:val="auto"/>
        </w:rPr>
      </w:pPr>
    </w:p>
    <w:p>
      <w:pPr>
        <w:ind w:right="660" w:firstLine="8"/>
        <w:spacing w:after="0" w:line="236" w:lineRule="auto"/>
        <w:tabs>
          <w:tab w:leader="none" w:pos="2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and (ii), above, the Fair Market Value thereof shall be determined by the Administrator in a manner in compliance with Section 409A of the Code.</w:t>
      </w:r>
    </w:p>
    <w:p>
      <w:pPr>
        <w:spacing w:after="0" w:line="186" w:lineRule="exact"/>
        <w:rPr>
          <w:rFonts w:ascii="Arial" w:cs="Arial" w:eastAsia="Arial" w:hAnsi="Arial"/>
          <w:sz w:val="22"/>
          <w:szCs w:val="22"/>
          <w:color w:val="auto"/>
        </w:rPr>
      </w:pPr>
    </w:p>
    <w:p>
      <w:pPr>
        <w:ind w:left="2640" w:hanging="905"/>
        <w:spacing w:after="0"/>
        <w:tabs>
          <w:tab w:leader="none" w:pos="264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means an individual who receives an Award under the Plan.</w:t>
      </w:r>
    </w:p>
    <w:p>
      <w:pPr>
        <w:spacing w:after="0" w:line="206" w:lineRule="exact"/>
        <w:rPr>
          <w:rFonts w:ascii="Arial" w:cs="Arial" w:eastAsia="Arial" w:hAnsi="Arial"/>
          <w:sz w:val="22"/>
          <w:szCs w:val="22"/>
          <w:color w:val="auto"/>
        </w:rPr>
      </w:pPr>
    </w:p>
    <w:p>
      <w:pPr>
        <w:ind w:right="460" w:firstLine="1735"/>
        <w:spacing w:after="0" w:line="250" w:lineRule="auto"/>
        <w:tabs>
          <w:tab w:leader="none" w:pos="2675"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Non-Qualified Stock Option</w:t>
      </w:r>
      <w:r>
        <w:rPr>
          <w:rFonts w:ascii="Arial" w:cs="Arial" w:eastAsia="Arial" w:hAnsi="Arial"/>
          <w:sz w:val="22"/>
          <w:szCs w:val="22"/>
          <w:color w:val="auto"/>
        </w:rPr>
        <w:t>” means an Option not intended to qualify as an incentive stock option within the meaning of Section 422 of the Code.</w:t>
      </w:r>
    </w:p>
    <w:p>
      <w:pPr>
        <w:spacing w:after="0" w:line="174" w:lineRule="exact"/>
        <w:rPr>
          <w:rFonts w:ascii="Arial" w:cs="Arial" w:eastAsia="Arial" w:hAnsi="Arial"/>
          <w:sz w:val="22"/>
          <w:szCs w:val="22"/>
          <w:color w:val="auto"/>
        </w:rPr>
      </w:pPr>
    </w:p>
    <w:p>
      <w:pPr>
        <w:ind w:right="20" w:firstLine="1735"/>
        <w:spacing w:after="0" w:line="250" w:lineRule="auto"/>
        <w:tabs>
          <w:tab w:leader="none" w:pos="2627"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w:t>
      </w:r>
      <w:r>
        <w:rPr>
          <w:rFonts w:ascii="Arial" w:cs="Arial" w:eastAsia="Arial" w:hAnsi="Arial"/>
          <w:sz w:val="22"/>
          <w:szCs w:val="22"/>
          <w:color w:val="auto"/>
        </w:rPr>
        <w:t>” means a person who is an officer of the Company or a Related Entity within the meaning of Section 16 of the Exchange Act and the rules and regulations promulgated thereunder.</w:t>
      </w:r>
    </w:p>
    <w:p>
      <w:pPr>
        <w:spacing w:after="0" w:line="174" w:lineRule="exact"/>
        <w:rPr>
          <w:rFonts w:ascii="Arial" w:cs="Arial" w:eastAsia="Arial" w:hAnsi="Arial"/>
          <w:sz w:val="22"/>
          <w:szCs w:val="22"/>
          <w:color w:val="auto"/>
        </w:rPr>
      </w:pPr>
    </w:p>
    <w:p>
      <w:pPr>
        <w:ind w:right="940" w:firstLine="1735"/>
        <w:spacing w:after="0" w:line="250" w:lineRule="auto"/>
        <w:tabs>
          <w:tab w:leader="none" w:pos="2627"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w:t>
      </w:r>
      <w:r>
        <w:rPr>
          <w:rFonts w:ascii="Arial" w:cs="Arial" w:eastAsia="Arial" w:hAnsi="Arial"/>
          <w:sz w:val="22"/>
          <w:szCs w:val="22"/>
          <w:color w:val="auto"/>
        </w:rPr>
        <w:t>” means a Non-Qualified Stock Option to purchase Shares pursuant to an Award Agreement granted under the Plan.</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means a “parent corporation,” whether now or hereafter existing, as defined in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Section 424(e) of the Code.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69" w:name="page70"/>
    <w:bookmarkEnd w:id="69"/>
    <w:p>
      <w:pPr>
        <w:ind w:left="2720" w:hanging="985"/>
        <w:spacing w:after="0"/>
        <w:tabs>
          <w:tab w:leader="none" w:pos="27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Assembly Biosciences, Inc. 2020 Inducement Award Plan.</w:t>
      </w:r>
    </w:p>
    <w:p>
      <w:pPr>
        <w:spacing w:after="0" w:line="206" w:lineRule="exact"/>
        <w:rPr>
          <w:rFonts w:ascii="Arial" w:cs="Arial" w:eastAsia="Arial" w:hAnsi="Arial"/>
          <w:sz w:val="22"/>
          <w:szCs w:val="22"/>
          <w:color w:val="auto"/>
        </w:rPr>
      </w:pPr>
    </w:p>
    <w:p>
      <w:pPr>
        <w:jc w:val="both"/>
        <w:ind w:right="160" w:firstLine="1735"/>
        <w:spacing w:after="0" w:line="297" w:lineRule="auto"/>
        <w:tabs>
          <w:tab w:leader="none" w:pos="2735"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Post-Termination Exercise Period</w:t>
      </w:r>
      <w:r>
        <w:rPr>
          <w:rFonts w:ascii="Arial" w:cs="Arial" w:eastAsia="Arial" w:hAnsi="Arial"/>
          <w:sz w:val="19"/>
          <w:szCs w:val="19"/>
          <w:color w:val="auto"/>
        </w:rPr>
        <w:t>” means the period specified in the Award Agreement of not less than thirty (30) days commencing on the date of termination (other than termination by the Company or any Related Entity for Cause) of the Grantee’s Continuous Service, or such longer period as may be applicable upon death or Disability.</w:t>
      </w:r>
    </w:p>
    <w:p>
      <w:pPr>
        <w:spacing w:after="0" w:line="127" w:lineRule="exact"/>
        <w:rPr>
          <w:rFonts w:ascii="Arial" w:cs="Arial" w:eastAsia="Arial" w:hAnsi="Arial"/>
          <w:sz w:val="19"/>
          <w:szCs w:val="19"/>
          <w:color w:val="auto"/>
        </w:rPr>
      </w:pPr>
    </w:p>
    <w:p>
      <w:pPr>
        <w:ind w:left="2720" w:hanging="985"/>
        <w:spacing w:after="0"/>
        <w:tabs>
          <w:tab w:leader="none" w:pos="2720"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Related Entity</w:t>
      </w:r>
      <w:r>
        <w:rPr>
          <w:rFonts w:ascii="Arial" w:cs="Arial" w:eastAsia="Arial" w:hAnsi="Arial"/>
          <w:sz w:val="22"/>
          <w:szCs w:val="22"/>
          <w:color w:val="auto"/>
        </w:rPr>
        <w:t>” means any Parent or Subsidiary of the Company</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color w:val="auto"/>
        </w:rPr>
      </w:pPr>
    </w:p>
    <w:p>
      <w:pPr>
        <w:ind w:firstLine="1735"/>
        <w:spacing w:after="0" w:line="235" w:lineRule="auto"/>
        <w:tabs>
          <w:tab w:leader="none" w:pos="2735"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Replaced</w:t>
      </w:r>
      <w:r>
        <w:rPr>
          <w:rFonts w:ascii="Arial" w:cs="Arial" w:eastAsia="Arial" w:hAnsi="Arial"/>
          <w:sz w:val="22"/>
          <w:szCs w:val="22"/>
          <w:color w:val="auto"/>
        </w:rPr>
        <w:t>” means that pursuant to a Corporate Transaction the Award is replaced with a comparable stock award or a cash incentive program of the Company, the successor entity (if applicable) or Parent of either of them which preserves the compensation element of such Award existing at the time of the Corporate Transaction and provides for subsequent payout in accordance with the same (or a more favorable) vesting schedule applicable to such Award. The determination of Award comparability shall be made by the Administrator and its determination shall be final, binding and conclusive.</w:t>
      </w:r>
    </w:p>
    <w:p>
      <w:pPr>
        <w:spacing w:after="0" w:line="187" w:lineRule="exact"/>
        <w:rPr>
          <w:rFonts w:ascii="Arial" w:cs="Arial" w:eastAsia="Arial" w:hAnsi="Arial"/>
          <w:sz w:val="22"/>
          <w:szCs w:val="22"/>
          <w:color w:val="auto"/>
        </w:rPr>
      </w:pPr>
    </w:p>
    <w:p>
      <w:pPr>
        <w:ind w:right="80" w:firstLine="1735"/>
        <w:spacing w:after="0"/>
        <w:tabs>
          <w:tab w:leader="none" w:pos="2711"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w:t>
      </w:r>
      <w:r>
        <w:rPr>
          <w:rFonts w:ascii="Arial" w:cs="Arial" w:eastAsia="Arial" w:hAnsi="Arial"/>
          <w:sz w:val="22"/>
          <w:szCs w:val="22"/>
          <w:color w:val="auto"/>
        </w:rPr>
        <w:t>” means Shares issued under the Plan to the Grantee for such consideration, and subject to such restrictions on transfer, rights of first refusal, repurchase provisions, forfeiture provisions, and other terms and conditions as established by the Administrator.</w:t>
      </w:r>
    </w:p>
    <w:p>
      <w:pPr>
        <w:spacing w:after="0" w:line="186" w:lineRule="exact"/>
        <w:rPr>
          <w:rFonts w:ascii="Arial" w:cs="Arial" w:eastAsia="Arial" w:hAnsi="Arial"/>
          <w:sz w:val="22"/>
          <w:szCs w:val="22"/>
          <w:color w:val="auto"/>
        </w:rPr>
      </w:pPr>
    </w:p>
    <w:p>
      <w:pPr>
        <w:ind w:right="400" w:firstLine="1735"/>
        <w:spacing w:after="0" w:line="297" w:lineRule="auto"/>
        <w:tabs>
          <w:tab w:leader="none" w:pos="2659"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means an Award which may be earned in whole or in part upon the passage of time or the attainment of performance criteria established by the Administrator and which may be settled for cash, Shares or other securities or a combination of cash, Shares or other securities as established by the Administrator.</w:t>
      </w:r>
    </w:p>
    <w:p>
      <w:pPr>
        <w:spacing w:after="0" w:line="133" w:lineRule="exact"/>
        <w:rPr>
          <w:rFonts w:ascii="Arial" w:cs="Arial" w:eastAsia="Arial" w:hAnsi="Arial"/>
          <w:sz w:val="19"/>
          <w:szCs w:val="19"/>
          <w:color w:val="auto"/>
        </w:rPr>
      </w:pPr>
    </w:p>
    <w:p>
      <w:pPr>
        <w:ind w:left="2740" w:hanging="1005"/>
        <w:spacing w:after="0"/>
        <w:tabs>
          <w:tab w:leader="none" w:pos="2740"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Rule 16b-3</w:t>
      </w:r>
      <w:r>
        <w:rPr>
          <w:rFonts w:ascii="Arial" w:cs="Arial" w:eastAsia="Arial" w:hAnsi="Arial"/>
          <w:sz w:val="19"/>
          <w:szCs w:val="19"/>
          <w:color w:val="auto"/>
        </w:rPr>
        <w:t>” means Rule 16b-3 promulgated under the Exchange Act or any successor thereto.</w:t>
      </w:r>
    </w:p>
    <w:p>
      <w:pPr>
        <w:spacing w:after="0" w:line="240" w:lineRule="exact"/>
        <w:rPr>
          <w:rFonts w:ascii="Arial" w:cs="Arial" w:eastAsia="Arial" w:hAnsi="Arial"/>
          <w:sz w:val="19"/>
          <w:szCs w:val="19"/>
          <w:color w:val="auto"/>
        </w:rPr>
      </w:pPr>
    </w:p>
    <w:p>
      <w:pPr>
        <w:ind w:right="140" w:firstLine="1735"/>
        <w:spacing w:after="0" w:line="250" w:lineRule="auto"/>
        <w:tabs>
          <w:tab w:leader="none" w:pos="2735"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w:t>
      </w:r>
      <w:r>
        <w:rPr>
          <w:rFonts w:ascii="Arial" w:cs="Arial" w:eastAsia="Arial" w:hAnsi="Arial"/>
          <w:sz w:val="22"/>
          <w:szCs w:val="22"/>
          <w:color w:val="auto"/>
        </w:rPr>
        <w:t>” means a stock appreciation right entitling the Grantee to Shares or cash compensation, as established by the Administrator, measured by appreciation in the value of Common Stock.</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means a share of the Common Stock.</w:t>
      </w:r>
    </w:p>
    <w:p>
      <w:pPr>
        <w:spacing w:after="0" w:line="206" w:lineRule="exact"/>
        <w:rPr>
          <w:rFonts w:ascii="Arial" w:cs="Arial" w:eastAsia="Arial" w:hAnsi="Arial"/>
          <w:sz w:val="22"/>
          <w:szCs w:val="22"/>
          <w:color w:val="auto"/>
        </w:rPr>
      </w:pPr>
    </w:p>
    <w:p>
      <w:pPr>
        <w:ind w:left="2640" w:hanging="905"/>
        <w:spacing w:after="0"/>
        <w:tabs>
          <w:tab w:leader="none" w:pos="2640" w:val="left"/>
        </w:tabs>
        <w:numPr>
          <w:ilvl w:val="1"/>
          <w:numId w:val="4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means a “subsidiary corporation,” whether now or hereafter existing, as defined in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424(f) of the Code.</w:t>
      </w:r>
    </w:p>
    <w:p>
      <w:pPr>
        <w:spacing w:after="0" w:line="188" w:lineRule="exact"/>
        <w:rPr>
          <w:rFonts w:ascii="Arial" w:cs="Arial" w:eastAsia="Arial" w:hAnsi="Arial"/>
          <w:sz w:val="19"/>
          <w:szCs w:val="19"/>
          <w:color w:val="auto"/>
        </w:rPr>
      </w:pPr>
    </w:p>
    <w:p>
      <w:pPr>
        <w:ind w:left="1680" w:hanging="808"/>
        <w:spacing w:after="0"/>
        <w:tabs>
          <w:tab w:leader="none" w:pos="16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Stock Subject to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0" w:firstLine="1735"/>
        <w:spacing w:after="0"/>
        <w:tabs>
          <w:tab w:leader="none" w:pos="2615" w:val="left"/>
        </w:tabs>
        <w:numPr>
          <w:ilvl w:val="1"/>
          <w:numId w:val="41"/>
        </w:numPr>
        <w:rPr>
          <w:rFonts w:ascii="Arial" w:cs="Arial" w:eastAsia="Arial" w:hAnsi="Arial"/>
          <w:sz w:val="22"/>
          <w:szCs w:val="22"/>
          <w:color w:val="auto"/>
        </w:rPr>
      </w:pPr>
      <w:r>
        <w:rPr>
          <w:rFonts w:ascii="Arial" w:cs="Arial" w:eastAsia="Arial" w:hAnsi="Arial"/>
          <w:sz w:val="22"/>
          <w:szCs w:val="22"/>
          <w:color w:val="auto"/>
        </w:rPr>
        <w:t>Subject to the provisions of Sections 3(b) and 12 below, the maximum aggregate number of Shares which may be issued pursuant to all Awards is Eight Hundred Thousand (800,000) Shares. The Shares granted under the Plan may be authorized, but unissued, or reacquired Common Stock.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0" w:name="page71"/>
    <w:bookmarkEnd w:id="70"/>
    <w:p>
      <w:pPr>
        <w:ind w:right="40" w:firstLine="1735"/>
        <w:spacing w:after="0" w:line="244" w:lineRule="auto"/>
        <w:tabs>
          <w:tab w:leader="none" w:pos="2627" w:val="left"/>
        </w:tabs>
        <w:numPr>
          <w:ilvl w:val="1"/>
          <w:numId w:val="42"/>
        </w:numPr>
        <w:rPr>
          <w:rFonts w:ascii="Arial" w:cs="Arial" w:eastAsia="Arial" w:hAnsi="Arial"/>
          <w:sz w:val="21"/>
          <w:szCs w:val="21"/>
          <w:color w:val="auto"/>
        </w:rPr>
      </w:pPr>
      <w:r>
        <w:rPr>
          <w:rFonts w:ascii="Arial" w:cs="Arial" w:eastAsia="Arial" w:hAnsi="Arial"/>
          <w:sz w:val="21"/>
          <w:szCs w:val="21"/>
          <w:color w:val="auto"/>
        </w:rPr>
        <w:t>Any Shares covered by an Award (or portion of an Award) which is forfeited, canceled or expires (whether voluntarily or involuntarily) shall be deemed not to have been issued for purposes of determining the maximum aggregate number of Shares which may be issued under the Plan. Shares that actually have been issued under the Plan pursuant to an Award shall not be returned to the Plan and shall not become available for future issuance under the Plan, except that if Options or other Awards granted under this Plan are forfeited, canceled, expired or repurchased by the Company, such Shares shall become available for future grant under the Plan. In the event any Option or other Award granted under the Plan is exercised through the tendering of shares of Common Stock (either actually or through attestation) or withholding shares of Common Stock, or in the event tax withholding obligations are satisfied by tendering or withholding shares of Common Stock, any shares of Common Stock so tendered or withheld shall not again be available for awards under the Plan. Shares of Common Stock subject to an SAR granted pursuant to Section 6(k) of this Plan that are not issued in connection with cash or stock settlement of the exercise of the SAR shall not again be available for award under the Plan. Shares of Common Stock reacquired by the Company on the open market or otherwise using cash proceeds from the exercise of Options shall not be available for awards under the Plan.</w:t>
      </w:r>
    </w:p>
    <w:p>
      <w:pPr>
        <w:spacing w:after="0" w:line="183" w:lineRule="exact"/>
        <w:rPr>
          <w:rFonts w:ascii="Arial" w:cs="Arial" w:eastAsia="Arial" w:hAnsi="Arial"/>
          <w:sz w:val="21"/>
          <w:szCs w:val="21"/>
          <w:color w:val="auto"/>
        </w:rPr>
      </w:pPr>
    </w:p>
    <w:p>
      <w:pPr>
        <w:ind w:left="1680" w:hanging="808"/>
        <w:spacing w:after="0"/>
        <w:tabs>
          <w:tab w:leader="none" w:pos="168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Administration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Plan Administrator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80" w:firstLine="2600"/>
        <w:spacing w:after="0" w:line="249" w:lineRule="exact"/>
        <w:tabs>
          <w:tab w:leader="none" w:pos="3444" w:val="left"/>
        </w:tabs>
        <w:numPr>
          <w:ilvl w:val="2"/>
          <w:numId w:val="43"/>
        </w:numPr>
        <w:rPr>
          <w:rFonts w:ascii="Arial" w:cs="Arial" w:eastAsia="Arial" w:hAnsi="Arial"/>
          <w:sz w:val="22"/>
          <w:szCs w:val="22"/>
          <w:color w:val="auto"/>
        </w:rPr>
      </w:pPr>
      <w:r>
        <w:rPr>
          <w:rFonts w:ascii="Arial" w:cs="Arial" w:eastAsia="Arial" w:hAnsi="Arial"/>
          <w:sz w:val="22"/>
          <w:szCs w:val="22"/>
          <w:u w:val="single" w:color="auto"/>
          <w:color w:val="auto"/>
        </w:rPr>
        <w:t>Administration – General</w:t>
      </w:r>
      <w:r>
        <w:rPr>
          <w:rFonts w:ascii="Arial" w:cs="Arial" w:eastAsia="Arial" w:hAnsi="Arial"/>
          <w:sz w:val="22"/>
          <w:szCs w:val="22"/>
          <w:color w:val="auto"/>
        </w:rPr>
        <w:t>. The Plan shall be administered by (A) the Board or (B) a Committee designated by the Board, which Committee shall be constituted in such a manner as to satisfy the Applicable Laws and to permit such grants and related transactions under the Plan to be exempt from Section 16(b) of the Exchange Act in accordance with Rule 16b</w:t>
      </w:r>
      <w:r>
        <w:rPr>
          <w:rFonts w:ascii="MS PGothic" w:cs="MS PGothic" w:eastAsia="MS PGothic" w:hAnsi="MS PGothic"/>
          <w:sz w:val="22"/>
          <w:szCs w:val="22"/>
          <w:color w:val="auto"/>
        </w:rPr>
        <w:t>‑</w:t>
      </w:r>
      <w:r>
        <w:rPr>
          <w:rFonts w:ascii="Arial" w:cs="Arial" w:eastAsia="Arial" w:hAnsi="Arial"/>
          <w:sz w:val="22"/>
          <w:szCs w:val="22"/>
          <w:color w:val="auto"/>
        </w:rPr>
        <w:t>3. Once appointed, such Committee shall continue to serve in its designated capacity until otherwise directed by the Board.</w:t>
      </w:r>
    </w:p>
    <w:p>
      <w:pPr>
        <w:spacing w:after="0" w:line="187" w:lineRule="exact"/>
        <w:rPr>
          <w:rFonts w:ascii="Arial" w:cs="Arial" w:eastAsia="Arial" w:hAnsi="Arial"/>
          <w:sz w:val="22"/>
          <w:szCs w:val="22"/>
          <w:color w:val="auto"/>
        </w:rPr>
      </w:pPr>
    </w:p>
    <w:p>
      <w:pPr>
        <w:ind w:left="3520" w:hanging="920"/>
        <w:spacing w:after="0"/>
        <w:tabs>
          <w:tab w:leader="none" w:pos="3520" w:val="left"/>
        </w:tabs>
        <w:numPr>
          <w:ilvl w:val="2"/>
          <w:numId w:val="43"/>
        </w:numPr>
        <w:rPr>
          <w:rFonts w:ascii="Arial" w:cs="Arial" w:eastAsia="Arial" w:hAnsi="Arial"/>
          <w:sz w:val="22"/>
          <w:szCs w:val="22"/>
          <w:color w:val="auto"/>
        </w:rPr>
      </w:pPr>
      <w:r>
        <w:rPr>
          <w:rFonts w:ascii="Arial" w:cs="Arial" w:eastAsia="Arial" w:hAnsi="Arial"/>
          <w:sz w:val="22"/>
          <w:szCs w:val="22"/>
          <w:u w:val="single" w:color="auto"/>
          <w:color w:val="auto"/>
        </w:rPr>
        <w:t>Administration in Compliance with Rule 5605(a)(2) of the NASDAQ Listing</w:t>
      </w:r>
    </w:p>
    <w:p>
      <w:pPr>
        <w:spacing w:after="0" w:line="8"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u w:val="single" w:color="auto"/>
          <w:color w:val="auto"/>
        </w:rPr>
        <w:t>Rules</w:t>
      </w:r>
      <w:r>
        <w:rPr>
          <w:rFonts w:ascii="Arial" w:cs="Arial" w:eastAsia="Arial" w:hAnsi="Arial"/>
          <w:sz w:val="21"/>
          <w:szCs w:val="21"/>
          <w:color w:val="auto"/>
        </w:rPr>
        <w:t>. Notwithstanding the foregoing or anything in the Plan to the contrary, the grant of Awards will be approved by the Company’s independent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180" w:lineRule="exact"/>
        <w:rPr>
          <w:sz w:val="20"/>
          <w:szCs w:val="20"/>
          <w:color w:val="auto"/>
        </w:rPr>
      </w:pPr>
    </w:p>
    <w:p>
      <w:pPr>
        <w:ind w:firstLine="1735"/>
        <w:spacing w:after="0"/>
        <w:tabs>
          <w:tab w:leader="none" w:pos="262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Powers of the Administrator</w:t>
      </w:r>
      <w:r>
        <w:rPr>
          <w:rFonts w:ascii="Arial" w:cs="Arial" w:eastAsia="Arial" w:hAnsi="Arial"/>
          <w:sz w:val="22"/>
          <w:szCs w:val="22"/>
          <w:color w:val="auto"/>
        </w:rPr>
        <w:t>. Subject to Applicable Laws and the provisions of the Plan (including any other powers given to the Administrator hereunder), and except as otherwise provided by the Board, the Administrator shall have the authority, in its discretion:</w:t>
      </w:r>
    </w:p>
    <w:p>
      <w:pPr>
        <w:spacing w:after="0" w:line="186" w:lineRule="exact"/>
        <w:rPr>
          <w:rFonts w:ascii="Arial" w:cs="Arial" w:eastAsia="Arial" w:hAnsi="Arial"/>
          <w:sz w:val="22"/>
          <w:szCs w:val="22"/>
          <w:color w:val="auto"/>
        </w:rPr>
      </w:pPr>
    </w:p>
    <w:p>
      <w:pPr>
        <w:ind w:right="140" w:firstLine="2600"/>
        <w:spacing w:after="0"/>
        <w:tabs>
          <w:tab w:leader="none" w:pos="3444" w:val="left"/>
        </w:tabs>
        <w:numPr>
          <w:ilvl w:val="1"/>
          <w:numId w:val="44"/>
        </w:numPr>
        <w:rPr>
          <w:rFonts w:ascii="Arial" w:cs="Arial" w:eastAsia="Arial" w:hAnsi="Arial"/>
          <w:sz w:val="22"/>
          <w:szCs w:val="22"/>
          <w:color w:val="auto"/>
        </w:rPr>
      </w:pPr>
      <w:r>
        <w:rPr>
          <w:rFonts w:ascii="Arial" w:cs="Arial" w:eastAsia="Arial" w:hAnsi="Arial"/>
          <w:sz w:val="22"/>
          <w:szCs w:val="22"/>
          <w:color w:val="auto"/>
        </w:rPr>
        <w:t>to select the individuals to whom Awards may be granted from time to time hereunder; provided that Awards may only be granted to individuals who satisfy the standards for inducement grants under Rule 5635(c)(4) of the NASDAQ Listing Rules;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1" w:name="page72"/>
    <w:bookmarkEnd w:id="71"/>
    <w:p>
      <w:pPr>
        <w:ind w:left="3520" w:hanging="920"/>
        <w:spacing w:after="0"/>
        <w:tabs>
          <w:tab w:leader="none" w:pos="352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determine whether and to what extent Awards are granted hereunder;</w:t>
      </w:r>
    </w:p>
    <w:p>
      <w:pPr>
        <w:spacing w:after="0" w:line="206" w:lineRule="exact"/>
        <w:rPr>
          <w:rFonts w:ascii="Arial" w:cs="Arial" w:eastAsia="Arial" w:hAnsi="Arial"/>
          <w:sz w:val="22"/>
          <w:szCs w:val="22"/>
          <w:color w:val="auto"/>
        </w:rPr>
      </w:pPr>
    </w:p>
    <w:p>
      <w:pPr>
        <w:ind w:left="3580" w:hanging="980"/>
        <w:spacing w:after="0"/>
        <w:tabs>
          <w:tab w:leader="none" w:pos="35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determine the number of Shares or the amount of other consideration to be covered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by each Award granted hereunder;</w:t>
      </w:r>
    </w:p>
    <w:p>
      <w:pPr>
        <w:spacing w:after="0" w:line="188" w:lineRule="exact"/>
        <w:rPr>
          <w:rFonts w:ascii="Arial" w:cs="Arial" w:eastAsia="Arial" w:hAnsi="Arial"/>
          <w:sz w:val="19"/>
          <w:szCs w:val="19"/>
          <w:color w:val="auto"/>
        </w:rPr>
      </w:pPr>
    </w:p>
    <w:p>
      <w:pPr>
        <w:ind w:left="3560" w:hanging="960"/>
        <w:spacing w:after="0"/>
        <w:tabs>
          <w:tab w:leader="none" w:pos="35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approve forms of Award Agreements for use under the Plan;</w:t>
      </w:r>
    </w:p>
    <w:p>
      <w:pPr>
        <w:spacing w:after="0" w:line="206" w:lineRule="exact"/>
        <w:rPr>
          <w:rFonts w:ascii="Arial" w:cs="Arial" w:eastAsia="Arial" w:hAnsi="Arial"/>
          <w:sz w:val="22"/>
          <w:szCs w:val="22"/>
          <w:color w:val="auto"/>
        </w:rPr>
      </w:pPr>
    </w:p>
    <w:p>
      <w:pPr>
        <w:ind w:left="3500" w:hanging="900"/>
        <w:spacing w:after="0"/>
        <w:tabs>
          <w:tab w:leader="none" w:pos="35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determine the type, terms and conditions of any Award granted hereunder;</w:t>
      </w:r>
    </w:p>
    <w:p>
      <w:pPr>
        <w:spacing w:after="0" w:line="206" w:lineRule="exact"/>
        <w:rPr>
          <w:rFonts w:ascii="Arial" w:cs="Arial" w:eastAsia="Arial" w:hAnsi="Arial"/>
          <w:sz w:val="22"/>
          <w:szCs w:val="22"/>
          <w:color w:val="auto"/>
        </w:rPr>
      </w:pPr>
    </w:p>
    <w:p>
      <w:pPr>
        <w:ind w:firstLine="2600"/>
        <w:spacing w:after="0" w:line="238" w:lineRule="auto"/>
        <w:tabs>
          <w:tab w:leader="none" w:pos="355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establish additional terms, conditions, rules or procedures to accommodate the rules or laws of applicable non-U.S. jurisdictions and to afford Grantees favorable treatment under such rules or laws; provided, however, that no Award shall be granted under any such additional terms, conditions, rules or procedures with terms or conditions which are inconsistent with the provisions of the Plan;</w:t>
      </w:r>
    </w:p>
    <w:p>
      <w:pPr>
        <w:spacing w:after="0" w:line="184" w:lineRule="exact"/>
        <w:rPr>
          <w:rFonts w:ascii="Arial" w:cs="Arial" w:eastAsia="Arial" w:hAnsi="Arial"/>
          <w:sz w:val="22"/>
          <w:szCs w:val="22"/>
          <w:color w:val="auto"/>
        </w:rPr>
      </w:pPr>
    </w:p>
    <w:p>
      <w:pPr>
        <w:jc w:val="both"/>
        <w:ind w:right="60" w:firstLine="2600"/>
        <w:spacing w:after="0"/>
        <w:tabs>
          <w:tab w:leader="none" w:pos="361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amend the terms of any outstanding Award granted under the Plan, provided that any amendment that would adversely affect the Grantee’s rights under an outstanding Award shall not be made without the Grantee’s written consent;</w:t>
      </w:r>
    </w:p>
    <w:p>
      <w:pPr>
        <w:spacing w:after="0" w:line="186" w:lineRule="exact"/>
        <w:rPr>
          <w:rFonts w:ascii="Arial" w:cs="Arial" w:eastAsia="Arial" w:hAnsi="Arial"/>
          <w:sz w:val="22"/>
          <w:szCs w:val="22"/>
          <w:color w:val="auto"/>
        </w:rPr>
      </w:pPr>
    </w:p>
    <w:p>
      <w:pPr>
        <w:ind w:left="3680" w:hanging="1080"/>
        <w:spacing w:after="0"/>
        <w:tabs>
          <w:tab w:leader="none" w:pos="36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construe and interpret the terms of the Plan and Awards, including without</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limitation, any notice of award or Award Agreement, granted pursuant to the Plan;</w:t>
      </w:r>
    </w:p>
    <w:p>
      <w:pPr>
        <w:spacing w:after="0" w:line="188" w:lineRule="exact"/>
        <w:rPr>
          <w:rFonts w:ascii="Arial" w:cs="Arial" w:eastAsia="Arial" w:hAnsi="Arial"/>
          <w:sz w:val="22"/>
          <w:szCs w:val="22"/>
          <w:color w:val="auto"/>
        </w:rPr>
      </w:pPr>
    </w:p>
    <w:p>
      <w:pPr>
        <w:ind w:left="3560" w:hanging="960"/>
        <w:spacing w:after="0"/>
        <w:tabs>
          <w:tab w:leader="none" w:pos="35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to institute an option exchange program; and</w:t>
      </w:r>
    </w:p>
    <w:p>
      <w:pPr>
        <w:spacing w:after="0" w:line="206" w:lineRule="exact"/>
        <w:rPr>
          <w:rFonts w:ascii="Arial" w:cs="Arial" w:eastAsia="Arial" w:hAnsi="Arial"/>
          <w:sz w:val="22"/>
          <w:szCs w:val="22"/>
          <w:color w:val="auto"/>
        </w:rPr>
      </w:pPr>
    </w:p>
    <w:p>
      <w:pPr>
        <w:ind w:left="3500" w:hanging="900"/>
        <w:spacing w:after="0"/>
        <w:tabs>
          <w:tab w:leader="none" w:pos="35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take such other action, not inconsistent with the terms of the Plan, as the Administrator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deems appropriate.</w:t>
      </w:r>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The express grant in the Plan of any specific power to the Administrator shall not be construed as limiting any power or authority of the Administrator; provided that the Administrator may not exercise any right or power reserved to the Board. Any decision made, or action taken, by the Administrator or in connection with the administration of this Plan shall be final, conclusive and binding on all persons having an interest in the Plan.</w:t>
      </w:r>
    </w:p>
    <w:p>
      <w:pPr>
        <w:spacing w:after="0" w:line="185" w:lineRule="exact"/>
        <w:rPr>
          <w:sz w:val="20"/>
          <w:szCs w:val="20"/>
          <w:color w:val="auto"/>
        </w:rPr>
      </w:pPr>
    </w:p>
    <w:p>
      <w:pPr>
        <w:ind w:right="20" w:firstLine="1735"/>
        <w:spacing w:after="0" w:line="245" w:lineRule="auto"/>
        <w:tabs>
          <w:tab w:leader="none" w:pos="2615"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In addition to such other rights of indemnification as they may have as members of the Board or as Officers or Employees of the Company or a Related Entity, members of the Board and any Officers or Employees of the Company or a Related Entity to whom authority to act for the Board, the Administrator or the Company is delegated shall be defended and indemnified by the Company to the extent permitted by law on an after-tax basis against all reasonable expenses, including attorneys’ fees, actually and necessarily incurred in connection with the defense of any claim, investigation, action, suit or proceeding, or in connection with any appeal therein, to which they or any of them may be a party by reason of any action taken or failure to act under or in connection with the Plan, or any Award granted hereunder, and against all amounts paid by them in settlement thereof (provided such settlement is approved by the Company) or paid by them in satisfaction of a judgment in any such claim, investigation, action, suit or proceeding, except in relation to matters as to which it shall be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2" w:name="page73"/>
    <w:bookmarkEnd w:id="72"/>
    <w:p>
      <w:pPr>
        <w:ind w:right="260"/>
        <w:spacing w:after="0" w:line="238" w:lineRule="auto"/>
        <w:rPr>
          <w:sz w:val="20"/>
          <w:szCs w:val="20"/>
          <w:color w:val="auto"/>
        </w:rPr>
      </w:pPr>
      <w:r>
        <w:rPr>
          <w:rFonts w:ascii="Arial" w:cs="Arial" w:eastAsia="Arial" w:hAnsi="Arial"/>
          <w:sz w:val="22"/>
          <w:szCs w:val="22"/>
          <w:color w:val="auto"/>
        </w:rPr>
        <w:t>adjudged in such claim, investigation, action, suit or proceeding that such person is liable for gross negligence, bad faith or intentional misconduct; provided, however, that within thirty (30) days after the institution of such claim, investigation, action, suit or proceeding, such person shall offer to the Company, in writing, the opportunity at the Company’s expense to defend the same.</w:t>
      </w:r>
    </w:p>
    <w:p>
      <w:pPr>
        <w:spacing w:after="0" w:line="185" w:lineRule="exact"/>
        <w:rPr>
          <w:sz w:val="20"/>
          <w:szCs w:val="20"/>
          <w:color w:val="auto"/>
        </w:rPr>
      </w:pPr>
    </w:p>
    <w:p>
      <w:pPr>
        <w:ind w:right="200" w:firstLine="872"/>
        <w:spacing w:after="0" w:line="273" w:lineRule="auto"/>
        <w:tabs>
          <w:tab w:leader="none" w:pos="1674"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Eligibility</w:t>
      </w:r>
      <w:r>
        <w:rPr>
          <w:rFonts w:ascii="Arial" w:cs="Arial" w:eastAsia="Arial" w:hAnsi="Arial"/>
          <w:sz w:val="19"/>
          <w:szCs w:val="19"/>
          <w:color w:val="auto"/>
        </w:rPr>
        <w:t>. Awards may be granted to individuals who become employees of the Company and any Related Entity who satisfy the standards for inducement grants under Rule 5635(c)(4) of the NASDAQ Listing Rules and where the Award is an inducement material to the individual’s entering into employment with the Company or a Related Entity. A person who previously served as an Employee or Director will not be eligible to receive Awards under the Plan, other than following a bona fide period of non-employment. Subject to the foregoing, Awards may be granted to such individuals who are residing in non-U.S. jurisdictions as the Administrator may determine from time to time. For clarity, Awards may not be granted to (1) Consultants or Directors for service in such capacity, or (2) any individual who was previously an Employee or Director, other than following a bona fide period of non-employment. All Awards must be granted either by a majority of the Company’s independent directors or by the Company’s compensation committee comprised of independent directors within the meaning of Rule 5605(a)(2) of the NASDAQ Listing Rules.</w:t>
      </w:r>
    </w:p>
    <w:p>
      <w:pPr>
        <w:spacing w:after="0" w:line="160" w:lineRule="exact"/>
        <w:rPr>
          <w:rFonts w:ascii="Arial" w:cs="Arial" w:eastAsia="Arial" w:hAnsi="Arial"/>
          <w:sz w:val="19"/>
          <w:szCs w:val="19"/>
          <w:color w:val="auto"/>
        </w:rPr>
      </w:pPr>
    </w:p>
    <w:p>
      <w:pPr>
        <w:ind w:left="1680" w:hanging="808"/>
        <w:spacing w:after="0"/>
        <w:tabs>
          <w:tab w:leader="none" w:pos="168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Terms and Conditions of Awards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77" w:lineRule="auto"/>
        <w:tabs>
          <w:tab w:leader="none" w:pos="2615"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Types of Awards</w:t>
      </w:r>
      <w:r>
        <w:rPr>
          <w:rFonts w:ascii="Arial" w:cs="Arial" w:eastAsia="Arial" w:hAnsi="Arial"/>
          <w:sz w:val="19"/>
          <w:szCs w:val="19"/>
          <w:color w:val="auto"/>
        </w:rPr>
        <w:t>. The Administrator is authorized under the Plan to award any type of arrangement to an individual who becomes an employee that is not inconsistent with the provisions of the Plan and that by its terms involves or might involve the issuance of (i) Shares, (ii) cash or (iii) an Option, an SAR, or similar right with a fixed or variable price related to the Fair Market Value of the Shares and with an exercise or conversion privilege related to the passage of time, the occurrence of one or more events, or the satisfaction of performance criteria or other conditions. Such awards include, without limitation, Options, SARs, Restricted Stock, Restricted Stock Units or Dividend Equivalent Rights, and an Award may consist of one such security or benefit, or two (2) or more of them in any combination or alternative.</w:t>
      </w:r>
    </w:p>
    <w:p>
      <w:pPr>
        <w:spacing w:after="0" w:line="151" w:lineRule="exact"/>
        <w:rPr>
          <w:rFonts w:ascii="Arial" w:cs="Arial" w:eastAsia="Arial" w:hAnsi="Arial"/>
          <w:sz w:val="19"/>
          <w:szCs w:val="19"/>
          <w:color w:val="auto"/>
        </w:rPr>
      </w:pPr>
    </w:p>
    <w:p>
      <w:pPr>
        <w:ind w:right="20" w:firstLine="1735"/>
        <w:spacing w:after="0" w:line="250" w:lineRule="auto"/>
        <w:tabs>
          <w:tab w:leader="none" w:pos="2627"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Designation of Award</w:t>
      </w:r>
      <w:r>
        <w:rPr>
          <w:rFonts w:ascii="Arial" w:cs="Arial" w:eastAsia="Arial" w:hAnsi="Arial"/>
          <w:sz w:val="22"/>
          <w:szCs w:val="22"/>
          <w:color w:val="auto"/>
        </w:rPr>
        <w:t>. Each Award shall be designated in the Award Agreement. In the case of an Option, the Option shall be designated as a Non-Qualified Stock Option.</w:t>
      </w:r>
    </w:p>
    <w:p>
      <w:pPr>
        <w:spacing w:after="0" w:line="174" w:lineRule="exact"/>
        <w:rPr>
          <w:rFonts w:ascii="Arial" w:cs="Arial" w:eastAsia="Arial" w:hAnsi="Arial"/>
          <w:sz w:val="22"/>
          <w:szCs w:val="22"/>
          <w:color w:val="auto"/>
        </w:rPr>
      </w:pPr>
    </w:p>
    <w:p>
      <w:pPr>
        <w:ind w:right="40" w:firstLine="1735"/>
        <w:spacing w:after="0" w:line="274" w:lineRule="auto"/>
        <w:tabs>
          <w:tab w:leader="none" w:pos="2615"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Conditions of Award</w:t>
      </w:r>
      <w:r>
        <w:rPr>
          <w:rFonts w:ascii="Arial" w:cs="Arial" w:eastAsia="Arial" w:hAnsi="Arial"/>
          <w:sz w:val="19"/>
          <w:szCs w:val="19"/>
          <w:color w:val="auto"/>
        </w:rPr>
        <w:t>. Subject to the terms of the Plan, the Administrator shall determine the provisions, terms, and conditions of each Award including, but not limited to, the Award vesting schedule, repurchase provisions, rights of first refusal, forfeiture provisions, form of payment (cash, Shares, or other consideration) upon settlement of the Award, payment contingencies, and satisfaction of any performance criteria. The performance criteria established by the Administrator may be based on any one of, or combination of, increase in share price, earnings per share, total stockholder return, return on equity, return on assets, return on investment, net operating income, cash flow, revenue, economic value added, initiation or completion of clinical trials, results of clinical trials, regulatory approval, regulatory submissions, drug development or commercialization milestones, collaboration milestones or strategic partnerships. Partial achievement of the specified criteria may result in a payment or vesting corresponding to the degree of achievement as specified in the Award Agreement.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3" w:name="page74"/>
    <w:bookmarkEnd w:id="73"/>
    <w:p>
      <w:pPr>
        <w:ind w:left="-20" w:right="360" w:firstLine="1735"/>
        <w:spacing w:after="0" w:line="287" w:lineRule="auto"/>
        <w:tabs>
          <w:tab w:leader="none" w:pos="260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Acquisitions and Other Transactions</w:t>
      </w:r>
      <w:r>
        <w:rPr>
          <w:rFonts w:ascii="Arial" w:cs="Arial" w:eastAsia="Arial" w:hAnsi="Arial"/>
          <w:sz w:val="19"/>
          <w:szCs w:val="19"/>
          <w:color w:val="auto"/>
        </w:rPr>
        <w:t>. The Administrator may issue Awards under the Plan in settlement, assumption or substitution for, outstanding awards or obligations to grant future awards in connection with the Company or a Related Entity acquiring another entity, an interest in another entity or an additional interest in a Related Entity whether by merger, stock purchase, asset purchase or other form of transaction.</w:t>
      </w:r>
    </w:p>
    <w:p>
      <w:pPr>
        <w:spacing w:after="0" w:line="142" w:lineRule="exact"/>
        <w:rPr>
          <w:rFonts w:ascii="Arial" w:cs="Arial" w:eastAsia="Arial" w:hAnsi="Arial"/>
          <w:sz w:val="19"/>
          <w:szCs w:val="19"/>
          <w:color w:val="auto"/>
        </w:rPr>
      </w:pPr>
    </w:p>
    <w:p>
      <w:pPr>
        <w:ind w:left="-20" w:right="100" w:firstLine="1735"/>
        <w:spacing w:after="0" w:line="234" w:lineRule="auto"/>
        <w:tabs>
          <w:tab w:leader="none" w:pos="2595"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Deferral of Award Payment</w:t>
      </w:r>
      <w:r>
        <w:rPr>
          <w:rFonts w:ascii="Arial" w:cs="Arial" w:eastAsia="Arial" w:hAnsi="Arial"/>
          <w:sz w:val="22"/>
          <w:szCs w:val="22"/>
          <w:color w:val="auto"/>
        </w:rPr>
        <w:t>. The Administrator may establish one or more programs under the Plan to permit selected Grantees the opportunity to elect to defer receipt of consideration upon exercise of an Award, satisfaction of performance criteria, or other event that absent the election would entitle the Grantee to payment or receipt of Shares or other consideration under an Award. The Administrator may establish the election procedures, the timing of such elections, the mechanisms for payments of, and accrual of interest or other earnings, if any, on amounts, Shares or other consideration so deferred, and such other terms, conditions, rules and procedures that the Administrator deems advisable for the administration of any such deferral program.</w:t>
      </w:r>
    </w:p>
    <w:p>
      <w:pPr>
        <w:spacing w:after="0" w:line="190" w:lineRule="exact"/>
        <w:rPr>
          <w:rFonts w:ascii="Arial" w:cs="Arial" w:eastAsia="Arial" w:hAnsi="Arial"/>
          <w:sz w:val="22"/>
          <w:szCs w:val="22"/>
          <w:color w:val="auto"/>
        </w:rPr>
      </w:pPr>
    </w:p>
    <w:p>
      <w:pPr>
        <w:jc w:val="both"/>
        <w:ind w:left="-20" w:right="360" w:firstLine="1735"/>
        <w:spacing w:after="0"/>
        <w:tabs>
          <w:tab w:leader="none" w:pos="2571"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Separate Programs</w:t>
      </w:r>
      <w:r>
        <w:rPr>
          <w:rFonts w:ascii="Arial" w:cs="Arial" w:eastAsia="Arial" w:hAnsi="Arial"/>
          <w:sz w:val="22"/>
          <w:szCs w:val="22"/>
          <w:color w:val="auto"/>
        </w:rPr>
        <w:t>. The Administrator may establish one or more separate programs under the Plan for the purpose of issuing particular forms of Awards to one or more classes of Grantees on such terms and conditions as determined by the Administrator from time to time.</w:t>
      </w:r>
    </w:p>
    <w:p>
      <w:pPr>
        <w:spacing w:after="0" w:line="186" w:lineRule="exact"/>
        <w:rPr>
          <w:rFonts w:ascii="Arial" w:cs="Arial" w:eastAsia="Arial" w:hAnsi="Arial"/>
          <w:sz w:val="22"/>
          <w:szCs w:val="22"/>
          <w:color w:val="auto"/>
        </w:rPr>
      </w:pPr>
    </w:p>
    <w:p>
      <w:pPr>
        <w:ind w:left="-20" w:firstLine="1735"/>
        <w:spacing w:after="0" w:line="252" w:lineRule="auto"/>
        <w:tabs>
          <w:tab w:leader="none" w:pos="2607"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Early Exercise</w:t>
      </w:r>
      <w:r>
        <w:rPr>
          <w:rFonts w:ascii="Arial" w:cs="Arial" w:eastAsia="Arial" w:hAnsi="Arial"/>
          <w:sz w:val="21"/>
          <w:szCs w:val="21"/>
          <w:color w:val="auto"/>
        </w:rPr>
        <w:t>. The Award Agreement may, but need not, include a provision whereby the Grantee may elect at any time while an Employee, Director or Consultant to exercise any part or all of the Award prior to full vesting of the Award. Any unvested Shares received pursuant to such exercise may be subject to a repurchase right in favor of the Company or a Related Entity or to any other restriction the Administrator determines to be appropriate.</w:t>
      </w:r>
    </w:p>
    <w:p>
      <w:pPr>
        <w:spacing w:after="0" w:line="173" w:lineRule="exact"/>
        <w:rPr>
          <w:rFonts w:ascii="Arial" w:cs="Arial" w:eastAsia="Arial" w:hAnsi="Arial"/>
          <w:sz w:val="21"/>
          <w:szCs w:val="21"/>
          <w:color w:val="auto"/>
        </w:rPr>
      </w:pPr>
    </w:p>
    <w:p>
      <w:pPr>
        <w:ind w:left="-20" w:right="360" w:firstLine="1735"/>
        <w:spacing w:after="0" w:line="328" w:lineRule="auto"/>
        <w:tabs>
          <w:tab w:leader="none" w:pos="260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Term of Option or SAR</w:t>
      </w:r>
      <w:r>
        <w:rPr>
          <w:rFonts w:ascii="Arial" w:cs="Arial" w:eastAsia="Arial" w:hAnsi="Arial"/>
          <w:sz w:val="19"/>
          <w:szCs w:val="19"/>
          <w:color w:val="auto"/>
        </w:rPr>
        <w:t>. The term of each Option or SAR shall be the term stated in the Award Agreement, provided, however, that the term shall be no more than ten (10) years from the date of grant thereof.</w:t>
      </w:r>
    </w:p>
    <w:p>
      <w:pPr>
        <w:spacing w:after="0" w:line="104" w:lineRule="exact"/>
        <w:rPr>
          <w:rFonts w:ascii="Arial" w:cs="Arial" w:eastAsia="Arial" w:hAnsi="Arial"/>
          <w:sz w:val="19"/>
          <w:szCs w:val="19"/>
          <w:color w:val="auto"/>
        </w:rPr>
      </w:pPr>
    </w:p>
    <w:p>
      <w:pPr>
        <w:ind w:left="-20" w:right="140" w:firstLine="1735"/>
        <w:spacing w:after="0" w:line="249" w:lineRule="auto"/>
        <w:tabs>
          <w:tab w:leader="none" w:pos="2559"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Transferability of Awards</w:t>
      </w:r>
      <w:r>
        <w:rPr>
          <w:rFonts w:ascii="Arial" w:cs="Arial" w:eastAsia="Arial" w:hAnsi="Arial"/>
          <w:sz w:val="21"/>
          <w:szCs w:val="21"/>
          <w:color w:val="auto"/>
        </w:rPr>
        <w:t>. Unless the Administrator provides otherwise, in its sole discretion, no Award may be sold, pledged, assigned, hypothecated, transferred, or disposed of in any manner other than by will or by the laws of descent or distribution and may be exercised, during the lifetime of the Grantee, only by the Grantee. Notwithstanding the foregoing, the Grantee may designate one or more beneficiaries of the Grantee’s Award in the event of the Grantee’s death on a beneficiary designation form provided by the Administrator.</w:t>
      </w:r>
    </w:p>
    <w:p>
      <w:pPr>
        <w:spacing w:after="0" w:line="178" w:lineRule="exact"/>
        <w:rPr>
          <w:rFonts w:ascii="Arial" w:cs="Arial" w:eastAsia="Arial" w:hAnsi="Arial"/>
          <w:sz w:val="21"/>
          <w:szCs w:val="21"/>
          <w:color w:val="auto"/>
        </w:rPr>
      </w:pPr>
    </w:p>
    <w:p>
      <w:pPr>
        <w:ind w:left="-20" w:right="580" w:firstLine="1735"/>
        <w:spacing w:after="0"/>
        <w:tabs>
          <w:tab w:leader="none" w:pos="2559"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Time of Granting Awards</w:t>
      </w:r>
      <w:r>
        <w:rPr>
          <w:rFonts w:ascii="Arial" w:cs="Arial" w:eastAsia="Arial" w:hAnsi="Arial"/>
          <w:sz w:val="22"/>
          <w:szCs w:val="22"/>
          <w:color w:val="auto"/>
        </w:rPr>
        <w:t>. The date of grant of an Award shall for all purposes be the date on which the Administrator makes the determination to grant such Award, or such other later date as is determined by the Administrator.</w:t>
      </w:r>
    </w:p>
    <w:p>
      <w:pPr>
        <w:spacing w:after="0" w:line="186" w:lineRule="exact"/>
        <w:rPr>
          <w:rFonts w:ascii="Arial" w:cs="Arial" w:eastAsia="Arial" w:hAnsi="Arial"/>
          <w:sz w:val="22"/>
          <w:szCs w:val="22"/>
          <w:color w:val="auto"/>
        </w:rPr>
      </w:pPr>
    </w:p>
    <w:p>
      <w:pPr>
        <w:jc w:val="both"/>
        <w:ind w:left="-20" w:right="180" w:firstLine="1735"/>
        <w:spacing w:after="0" w:line="287" w:lineRule="auto"/>
        <w:tabs>
          <w:tab w:leader="none" w:pos="260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Stock Appreciation Rights</w:t>
      </w:r>
      <w:r>
        <w:rPr>
          <w:rFonts w:ascii="Arial" w:cs="Arial" w:eastAsia="Arial" w:hAnsi="Arial"/>
          <w:sz w:val="19"/>
          <w:szCs w:val="19"/>
          <w:color w:val="auto"/>
        </w:rPr>
        <w:t>. An SAR may be granted (i) with respect to any Option granted under this Plan, either concurrently with the grant of such Option or at such later time as determined by the Administrator (as to all or any portion of the shares of Common Stock subject to the Option), or (ii) alone, without reference to any related Option. Each SAR granted by the Administrator under this Plan shall be subject to the following terms and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74" w:name="page75"/>
    <w:bookmarkEnd w:id="74"/>
    <w:p>
      <w:pPr>
        <w:ind w:right="140"/>
        <w:spacing w:after="0" w:line="275" w:lineRule="auto"/>
        <w:rPr>
          <w:sz w:val="20"/>
          <w:szCs w:val="20"/>
          <w:color w:val="auto"/>
        </w:rPr>
      </w:pPr>
      <w:r>
        <w:rPr>
          <w:rFonts w:ascii="Arial" w:cs="Arial" w:eastAsia="Arial" w:hAnsi="Arial"/>
          <w:sz w:val="19"/>
          <w:szCs w:val="19"/>
          <w:color w:val="auto"/>
        </w:rPr>
        <w:t>conditions. Each SAR granted to any participant shall relate to such number of shares of Common Stock as shall be determined by the Administrator, subject to adjustment as provided in Section 12. In the case of an SAR granted with respect to an Option, the number of shares of Common Stock to which the SAR pertains shall be reduced in the same proportion that the holder of the Option exercises the related Option. The exercise price of an SAR will be determined by the Administrator, in its discretion, at the date of grant but may not be less than one-hundred percent (100%) of the Fair Market Value of the shares of Common Stock subject thereto on the date of grant. Subject to the right of the Administrator to deliver cash in lieu of shares of Common Stock (which, as it pertains to Officers and Directors of the Company, shall comply with all requirements of the Exchange Act), the number of shares of Common Stock which shall be issuable upon the exercise of an SAR shall be determined by dividing:</w:t>
      </w:r>
    </w:p>
    <w:p>
      <w:pPr>
        <w:spacing w:after="0" w:line="157" w:lineRule="exact"/>
        <w:rPr>
          <w:sz w:val="20"/>
          <w:szCs w:val="20"/>
          <w:color w:val="auto"/>
        </w:rPr>
      </w:pPr>
    </w:p>
    <w:p>
      <w:pPr>
        <w:ind w:right="160" w:firstLine="2600"/>
        <w:spacing w:after="0" w:line="235" w:lineRule="auto"/>
        <w:tabs>
          <w:tab w:leader="none" w:pos="34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an Option, the exercise price of the shares of Common Stock under the Option or (2) in the case of an SAR granted alone, without reference to a related Option, an amount which shall be determined by the Administrator at the time of grant, subject to adjustment under Section 12); by</w:t>
      </w:r>
    </w:p>
    <w:p>
      <w:pPr>
        <w:spacing w:after="0" w:line="187" w:lineRule="exact"/>
        <w:rPr>
          <w:rFonts w:ascii="Arial" w:cs="Arial" w:eastAsia="Arial" w:hAnsi="Arial"/>
          <w:sz w:val="22"/>
          <w:szCs w:val="22"/>
          <w:color w:val="auto"/>
        </w:rPr>
      </w:pPr>
    </w:p>
    <w:p>
      <w:pPr>
        <w:ind w:left="3520" w:hanging="920"/>
        <w:spacing w:after="0"/>
        <w:tabs>
          <w:tab w:leader="none" w:pos="35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Fair Market Value of a share of Common Stock on the exercise date.</w:t>
      </w:r>
    </w:p>
    <w:p>
      <w:pPr>
        <w:spacing w:after="0" w:line="206"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In lieu of issuing shares of Common Stock upon the exercise of an SAR, the Administrator may elect to pay the holder of the SAR cash equal to the Fair Market Value on the exercise date of any or all of the shares which would otherwise be issuable. 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 The exercise of an SAR related to an Option shall be permitted only to the extent that the Option is exercisable under Section 10 on the date of surrender.</w:t>
      </w:r>
    </w:p>
    <w:p>
      <w:pPr>
        <w:spacing w:after="0" w:line="191" w:lineRule="exact"/>
        <w:rPr>
          <w:sz w:val="20"/>
          <w:szCs w:val="20"/>
          <w:color w:val="auto"/>
        </w:rPr>
      </w:pPr>
    </w:p>
    <w:p>
      <w:pPr>
        <w:ind w:firstLine="1727"/>
        <w:spacing w:after="0" w:line="273" w:lineRule="auto"/>
        <w:rPr>
          <w:sz w:val="20"/>
          <w:szCs w:val="20"/>
          <w:color w:val="auto"/>
        </w:rPr>
      </w:pPr>
      <w:r>
        <w:rPr>
          <w:rFonts w:ascii="Arial" w:cs="Arial" w:eastAsia="Arial" w:hAnsi="Arial"/>
          <w:sz w:val="19"/>
          <w:szCs w:val="19"/>
          <w:color w:val="auto"/>
        </w:rPr>
        <w:t xml:space="preserve">(l) </w:t>
      </w:r>
      <w:r>
        <w:rPr>
          <w:rFonts w:ascii="Arial" w:cs="Arial" w:eastAsia="Arial" w:hAnsi="Arial"/>
          <w:sz w:val="19"/>
          <w:szCs w:val="19"/>
          <w:u w:val="single" w:color="auto"/>
          <w:color w:val="auto"/>
        </w:rPr>
        <w:t>Compliance with Section 409A of the Code</w:t>
      </w:r>
      <w:r>
        <w:rPr>
          <w:rFonts w:ascii="Arial" w:cs="Arial" w:eastAsia="Arial" w:hAnsi="Arial"/>
          <w:sz w:val="19"/>
          <w:szCs w:val="19"/>
          <w:color w:val="auto"/>
        </w:rPr>
        <w:t>. Notwithstanding anything to the contrary set forth herein, any Award that is not exempt from the requirements of Section 409A of the Code shall contain such provisions so that such Award will comply with the requirements of Section 409A of the Code. Such restrictions, if any, shall be determined by the Administrator and contained in the Award Agreement evidencing such Award. To the extent that the Administrator determines that any Award granted hereunder is subject to Section 409A of the Code, the Award Agreement evidencing such Award shall incorporate the terms and conditions necessary to avoid the consequences specified in Section 409A(a)(1) of the Code. To the extent applicable, the Plan and Award Agreements shall be interpreted in accordance with Section 409A of the Code and Department of Treasury regulations and other interpretive guidance issued thereunder, including without limitation any such regulations or other guidance that may be issued or amended after the effective date of the Plan. Notwithstanding any provision of the Plan to the contrary, in the event that following the effective date of the Plan, the Administrator determines that any Award may be subject to Section 409A of the Code and related Department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ind w:right="100"/>
        <w:spacing w:after="0" w:line="248" w:lineRule="auto"/>
        <w:rPr>
          <w:sz w:val="20"/>
          <w:szCs w:val="20"/>
          <w:color w:val="auto"/>
        </w:rPr>
      </w:pPr>
      <w:r>
        <w:rPr>
          <w:rFonts w:ascii="Arial" w:cs="Arial" w:eastAsia="Arial" w:hAnsi="Arial"/>
          <w:sz w:val="21"/>
          <w:szCs w:val="21"/>
          <w:color w:val="auto"/>
        </w:rPr>
        <w:t>of Treasury guidance (including such Department of Treasury guidance as may be issued after the effective date of the Plan),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(1) exempt the Award from Section 409A of the Code and/or preserve the intended tax treatment of the benefits provided with respect to the Award, or (2) comply with the requirements of Section 409A of the Code and related Department of Treasury guidance.</w:t>
      </w:r>
    </w:p>
    <w:p>
      <w:pPr>
        <w:spacing w:after="0" w:line="177" w:lineRule="exact"/>
        <w:rPr>
          <w:sz w:val="20"/>
          <w:szCs w:val="20"/>
          <w:color w:val="auto"/>
        </w:rPr>
      </w:pPr>
    </w:p>
    <w:p>
      <w:pPr>
        <w:ind w:right="220" w:firstLine="1735"/>
        <w:spacing w:after="0"/>
        <w:tabs>
          <w:tab w:leader="none" w:pos="2687" w:val="left"/>
        </w:tabs>
        <w:numPr>
          <w:ilvl w:val="1"/>
          <w:numId w:val="50"/>
        </w:numPr>
        <w:rPr>
          <w:rFonts w:ascii="Arial" w:cs="Arial" w:eastAsia="Arial" w:hAnsi="Arial"/>
          <w:sz w:val="22"/>
          <w:szCs w:val="22"/>
          <w:color w:val="auto"/>
        </w:rPr>
      </w:pPr>
      <w:r>
        <w:rPr>
          <w:rFonts w:ascii="Arial" w:cs="Arial" w:eastAsia="Arial" w:hAnsi="Arial"/>
          <w:sz w:val="22"/>
          <w:szCs w:val="22"/>
          <w:u w:val="single" w:color="auto"/>
          <w:color w:val="auto"/>
        </w:rPr>
        <w:t>Minimum Vesting</w:t>
      </w:r>
      <w:r>
        <w:rPr>
          <w:rFonts w:ascii="Arial" w:cs="Arial" w:eastAsia="Arial" w:hAnsi="Arial"/>
          <w:sz w:val="22"/>
          <w:szCs w:val="22"/>
          <w:color w:val="auto"/>
        </w:rPr>
        <w:t>. Awards granted to Employees under the Plan that are subject to time vesting shall not vest or become exercisable until at least one year after the date of grant, except in the case of death, Disability, retirement, separation of service or a Corporate Transaction.</w:t>
      </w:r>
    </w:p>
    <w:p>
      <w:pPr>
        <w:spacing w:after="0" w:line="186" w:lineRule="exact"/>
        <w:rPr>
          <w:rFonts w:ascii="Arial" w:cs="Arial" w:eastAsia="Arial" w:hAnsi="Arial"/>
          <w:sz w:val="22"/>
          <w:szCs w:val="22"/>
          <w:color w:val="auto"/>
        </w:rPr>
      </w:pPr>
    </w:p>
    <w:p>
      <w:pPr>
        <w:ind w:left="1680" w:hanging="808"/>
        <w:spacing w:after="0"/>
        <w:tabs>
          <w:tab w:leader="none" w:pos="16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Award Exercise or Purchase Price, Consideration and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Exercise or Purchase Price</w:t>
      </w:r>
      <w:r>
        <w:rPr>
          <w:rFonts w:ascii="Arial" w:cs="Arial" w:eastAsia="Arial" w:hAnsi="Arial"/>
          <w:sz w:val="21"/>
          <w:szCs w:val="21"/>
          <w:color w:val="auto"/>
        </w:rPr>
        <w:t>. The exercise or purchase price, if any, for an Award shall be as</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follows.</w:t>
      </w:r>
    </w:p>
    <w:p>
      <w:pPr>
        <w:spacing w:after="0" w:line="188" w:lineRule="exact"/>
        <w:rPr>
          <w:rFonts w:ascii="Arial" w:cs="Arial" w:eastAsia="Arial" w:hAnsi="Arial"/>
          <w:sz w:val="21"/>
          <w:szCs w:val="21"/>
          <w:color w:val="auto"/>
        </w:rPr>
      </w:pPr>
    </w:p>
    <w:p>
      <w:pPr>
        <w:ind w:right="200" w:firstLine="2600"/>
        <w:spacing w:after="0" w:line="250" w:lineRule="auto"/>
        <w:tabs>
          <w:tab w:leader="none" w:pos="3444" w:val="left"/>
        </w:tabs>
        <w:numPr>
          <w:ilvl w:val="2"/>
          <w:numId w:val="51"/>
        </w:numPr>
        <w:rPr>
          <w:rFonts w:ascii="Arial" w:cs="Arial" w:eastAsia="Arial" w:hAnsi="Arial"/>
          <w:sz w:val="22"/>
          <w:szCs w:val="22"/>
          <w:color w:val="auto"/>
        </w:rPr>
      </w:pPr>
      <w:r>
        <w:rPr>
          <w:rFonts w:ascii="Arial" w:cs="Arial" w:eastAsia="Arial" w:hAnsi="Arial"/>
          <w:sz w:val="22"/>
          <w:szCs w:val="22"/>
          <w:color w:val="auto"/>
        </w:rPr>
        <w:t>In the case of an Option, the per Share exercise price shall be not less than one-hundred percent (100%) of the Fair Market Value per Share on the date of grant.</w:t>
      </w:r>
    </w:p>
    <w:p>
      <w:pPr>
        <w:spacing w:after="0" w:line="174" w:lineRule="exact"/>
        <w:rPr>
          <w:rFonts w:ascii="Arial" w:cs="Arial" w:eastAsia="Arial" w:hAnsi="Arial"/>
          <w:sz w:val="22"/>
          <w:szCs w:val="22"/>
          <w:color w:val="auto"/>
        </w:rPr>
      </w:pPr>
    </w:p>
    <w:p>
      <w:pPr>
        <w:ind w:left="3520" w:hanging="920"/>
        <w:spacing w:after="0"/>
        <w:tabs>
          <w:tab w:leader="none" w:pos="3520" w:val="left"/>
        </w:tabs>
        <w:numPr>
          <w:ilvl w:val="2"/>
          <w:numId w:val="51"/>
        </w:numPr>
        <w:rPr>
          <w:rFonts w:ascii="Arial" w:cs="Arial" w:eastAsia="Arial" w:hAnsi="Arial"/>
          <w:sz w:val="22"/>
          <w:szCs w:val="22"/>
          <w:color w:val="auto"/>
        </w:rPr>
      </w:pPr>
      <w:r>
        <w:rPr>
          <w:rFonts w:ascii="Arial" w:cs="Arial" w:eastAsia="Arial" w:hAnsi="Arial"/>
          <w:sz w:val="22"/>
          <w:szCs w:val="22"/>
          <w:color w:val="auto"/>
        </w:rPr>
        <w:t>In the case of other Awards, such price as is determined by the Administrator.</w:t>
      </w:r>
    </w:p>
    <w:p>
      <w:pPr>
        <w:spacing w:after="0" w:line="206" w:lineRule="exact"/>
        <w:rPr>
          <w:rFonts w:ascii="Arial" w:cs="Arial" w:eastAsia="Arial" w:hAnsi="Arial"/>
          <w:sz w:val="22"/>
          <w:szCs w:val="22"/>
          <w:color w:val="auto"/>
        </w:rPr>
      </w:pPr>
    </w:p>
    <w:p>
      <w:pPr>
        <w:jc w:val="both"/>
        <w:ind w:right="200" w:firstLine="2600"/>
        <w:spacing w:after="0" w:line="257" w:lineRule="auto"/>
        <w:tabs>
          <w:tab w:leader="none" w:pos="3564" w:val="left"/>
        </w:tabs>
        <w:numPr>
          <w:ilvl w:val="2"/>
          <w:numId w:val="51"/>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7(a), in the case of an Award issued pursuant to Section 6(d), above, the exercise or purchase price for the Award shall be determined in accordance with the provisions of the relevant instrument evidencing the agreement to issue such Award.</w:t>
      </w:r>
    </w:p>
    <w:p>
      <w:pPr>
        <w:spacing w:after="0" w:line="169" w:lineRule="exact"/>
        <w:rPr>
          <w:rFonts w:ascii="Arial" w:cs="Arial" w:eastAsia="Arial" w:hAnsi="Arial"/>
          <w:sz w:val="21"/>
          <w:szCs w:val="21"/>
          <w:color w:val="auto"/>
        </w:rPr>
      </w:pPr>
    </w:p>
    <w:p>
      <w:pPr>
        <w:ind w:firstLine="1735"/>
        <w:spacing w:after="0" w:line="252" w:lineRule="auto"/>
        <w:tabs>
          <w:tab w:leader="none" w:pos="2627" w:val="left"/>
        </w:tabs>
        <w:numPr>
          <w:ilvl w:val="1"/>
          <w:numId w:val="51"/>
        </w:numPr>
        <w:rPr>
          <w:rFonts w:ascii="Arial" w:cs="Arial" w:eastAsia="Arial" w:hAnsi="Arial"/>
          <w:sz w:val="21"/>
          <w:szCs w:val="21"/>
          <w:color w:val="auto"/>
        </w:rPr>
      </w:pPr>
      <w:r>
        <w:rPr>
          <w:rFonts w:ascii="Arial" w:cs="Arial" w:eastAsia="Arial" w:hAnsi="Arial"/>
          <w:sz w:val="21"/>
          <w:szCs w:val="21"/>
          <w:u w:val="single" w:color="auto"/>
          <w:color w:val="auto"/>
        </w:rPr>
        <w:t>Consideration</w:t>
      </w:r>
      <w:r>
        <w:rPr>
          <w:rFonts w:ascii="Arial" w:cs="Arial" w:eastAsia="Arial" w:hAnsi="Arial"/>
          <w:sz w:val="21"/>
          <w:szCs w:val="21"/>
          <w:color w:val="auto"/>
        </w:rPr>
        <w:t>. Subject to Applicable Laws, the consideration to be paid for the Shares to be issued upon exercise or purchase of an Option or upon the issuance of another Award, including the method of payment, shall be determined by the Administrator. In addition to any other types of consideration the Administrator may determine, the Administrator is authorized to accept as consideration for Shares issued under the Plan the following:</w:t>
      </w:r>
    </w:p>
    <w:p>
      <w:pPr>
        <w:spacing w:after="0" w:line="173" w:lineRule="exact"/>
        <w:rPr>
          <w:rFonts w:ascii="Arial" w:cs="Arial" w:eastAsia="Arial" w:hAnsi="Arial"/>
          <w:sz w:val="21"/>
          <w:szCs w:val="21"/>
          <w:color w:val="auto"/>
        </w:rPr>
      </w:pPr>
    </w:p>
    <w:p>
      <w:pPr>
        <w:ind w:left="3460" w:hanging="860"/>
        <w:spacing w:after="0"/>
        <w:tabs>
          <w:tab w:leader="none" w:pos="3460" w:val="left"/>
        </w:tabs>
        <w:numPr>
          <w:ilvl w:val="2"/>
          <w:numId w:val="51"/>
        </w:numPr>
        <w:rPr>
          <w:rFonts w:ascii="Arial" w:cs="Arial" w:eastAsia="Arial" w:hAnsi="Arial"/>
          <w:sz w:val="22"/>
          <w:szCs w:val="22"/>
          <w:color w:val="auto"/>
        </w:rPr>
      </w:pPr>
      <w:r>
        <w:rPr>
          <w:rFonts w:ascii="Arial" w:cs="Arial" w:eastAsia="Arial" w:hAnsi="Arial"/>
          <w:sz w:val="22"/>
          <w:szCs w:val="22"/>
          <w:color w:val="auto"/>
        </w:rPr>
        <w:t>cash;</w:t>
      </w:r>
    </w:p>
    <w:p>
      <w:pPr>
        <w:spacing w:after="0" w:line="206" w:lineRule="exact"/>
        <w:rPr>
          <w:rFonts w:ascii="Arial" w:cs="Arial" w:eastAsia="Arial" w:hAnsi="Arial"/>
          <w:sz w:val="22"/>
          <w:szCs w:val="22"/>
          <w:color w:val="auto"/>
        </w:rPr>
      </w:pPr>
    </w:p>
    <w:p>
      <w:pPr>
        <w:ind w:left="3520" w:hanging="920"/>
        <w:spacing w:after="0"/>
        <w:tabs>
          <w:tab w:leader="none" w:pos="3520" w:val="left"/>
        </w:tabs>
        <w:numPr>
          <w:ilvl w:val="2"/>
          <w:numId w:val="51"/>
        </w:numPr>
        <w:rPr>
          <w:rFonts w:ascii="Arial" w:cs="Arial" w:eastAsia="Arial" w:hAnsi="Arial"/>
          <w:sz w:val="22"/>
          <w:szCs w:val="22"/>
          <w:color w:val="auto"/>
        </w:rPr>
      </w:pPr>
      <w:r>
        <w:rPr>
          <w:rFonts w:ascii="Arial" w:cs="Arial" w:eastAsia="Arial" w:hAnsi="Arial"/>
          <w:sz w:val="22"/>
          <w:szCs w:val="22"/>
          <w:color w:val="auto"/>
        </w:rPr>
        <w:t>check;</w:t>
      </w:r>
    </w:p>
    <w:p>
      <w:pPr>
        <w:spacing w:after="0" w:line="206" w:lineRule="exact"/>
        <w:rPr>
          <w:rFonts w:ascii="Arial" w:cs="Arial" w:eastAsia="Arial" w:hAnsi="Arial"/>
          <w:sz w:val="22"/>
          <w:szCs w:val="22"/>
          <w:color w:val="auto"/>
        </w:rPr>
      </w:pPr>
    </w:p>
    <w:p>
      <w:pPr>
        <w:ind w:right="140" w:firstLine="2600"/>
        <w:spacing w:after="0"/>
        <w:tabs>
          <w:tab w:leader="none" w:pos="3564" w:val="left"/>
        </w:tabs>
        <w:numPr>
          <w:ilvl w:val="2"/>
          <w:numId w:val="51"/>
        </w:numPr>
        <w:rPr>
          <w:rFonts w:ascii="Arial" w:cs="Arial" w:eastAsia="Arial" w:hAnsi="Arial"/>
          <w:sz w:val="22"/>
          <w:szCs w:val="22"/>
          <w:color w:val="auto"/>
        </w:rPr>
      </w:pPr>
      <w:r>
        <w:rPr>
          <w:rFonts w:ascii="Arial" w:cs="Arial" w:eastAsia="Arial" w:hAnsi="Arial"/>
          <w:sz w:val="22"/>
          <w:szCs w:val="22"/>
          <w:color w:val="auto"/>
        </w:rPr>
        <w:t>surrender of Shares or delivery of a properly executed form of attestation of ownership of Shares as the Administrator may require which have a Fair Market Value on the date of surrender or attestation equal to the aggregate exercise price of the Shares as to which said Award shall be exercised;</w:t>
      </w:r>
    </w:p>
    <w:p>
      <w:pPr>
        <w:spacing w:after="0" w:line="186" w:lineRule="exact"/>
        <w:rPr>
          <w:rFonts w:ascii="Arial" w:cs="Arial" w:eastAsia="Arial" w:hAnsi="Arial"/>
          <w:sz w:val="22"/>
          <w:szCs w:val="22"/>
          <w:color w:val="auto"/>
        </w:rPr>
      </w:pPr>
    </w:p>
    <w:p>
      <w:pPr>
        <w:ind w:firstLine="2600"/>
        <w:spacing w:after="0"/>
        <w:tabs>
          <w:tab w:leader="none" w:pos="3552" w:val="left"/>
        </w:tabs>
        <w:numPr>
          <w:ilvl w:val="2"/>
          <w:numId w:val="51"/>
        </w:numPr>
        <w:rPr>
          <w:rFonts w:ascii="Arial" w:cs="Arial" w:eastAsia="Arial" w:hAnsi="Arial"/>
          <w:sz w:val="22"/>
          <w:szCs w:val="22"/>
          <w:color w:val="auto"/>
        </w:rPr>
      </w:pPr>
      <w:r>
        <w:rPr>
          <w:rFonts w:ascii="Arial" w:cs="Arial" w:eastAsia="Arial" w:hAnsi="Arial"/>
          <w:sz w:val="22"/>
          <w:szCs w:val="22"/>
          <w:color w:val="auto"/>
        </w:rPr>
        <w:t>payment through a broker-dealer sale and remittance procedure pursuant to which the Grantee (A) shall provide written instructions to a Company designated brokerage firm to effect the immediate sale of some or all of the purchased Shares and remit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6" w:name="page77"/>
    <w:bookmarkEnd w:id="76"/>
    <w:p>
      <w:pPr>
        <w:spacing w:after="0" w:line="297" w:lineRule="auto"/>
        <w:rPr>
          <w:sz w:val="20"/>
          <w:szCs w:val="20"/>
          <w:color w:val="auto"/>
        </w:rPr>
      </w:pPr>
      <w:r>
        <w:rPr>
          <w:rFonts w:ascii="Arial" w:cs="Arial" w:eastAsia="Arial" w:hAnsi="Arial"/>
          <w:sz w:val="19"/>
          <w:szCs w:val="19"/>
          <w:color w:val="auto"/>
        </w:rPr>
        <w:t>the Company sufficient funds to cover the aggregate exercise price payable for the purchased Shares and (B) shall provide written directives to the Company to deliver the certificates (or other evidence satisfactory to the Company to the extent that the Shares are uncertificated) for the purchased Shares directly to such brokerage firm in order to complete the sale transaction;</w:t>
      </w:r>
    </w:p>
    <w:p>
      <w:pPr>
        <w:spacing w:after="0" w:line="134" w:lineRule="exact"/>
        <w:rPr>
          <w:sz w:val="20"/>
          <w:szCs w:val="20"/>
          <w:color w:val="auto"/>
        </w:rPr>
      </w:pPr>
    </w:p>
    <w:p>
      <w:pPr>
        <w:ind w:right="20" w:firstLine="2600"/>
        <w:spacing w:after="0" w:line="236" w:lineRule="auto"/>
        <w:tabs>
          <w:tab w:leader="none" w:pos="3492" w:val="left"/>
        </w:tabs>
        <w:numPr>
          <w:ilvl w:val="0"/>
          <w:numId w:val="52"/>
        </w:numPr>
        <w:rPr>
          <w:rFonts w:ascii="Arial" w:cs="Arial" w:eastAsia="Arial" w:hAnsi="Arial"/>
          <w:sz w:val="22"/>
          <w:szCs w:val="22"/>
          <w:color w:val="auto"/>
        </w:rPr>
      </w:pPr>
      <w:r>
        <w:rPr>
          <w:rFonts w:ascii="Arial" w:cs="Arial" w:eastAsia="Arial" w:hAnsi="Arial"/>
          <w:sz w:val="22"/>
          <w:szCs w:val="22"/>
          <w:color w:val="auto"/>
        </w:rPr>
        <w:t>with respect to Options, payment through a “net exercise” such that, without the payment of any funds, the Grantee may exercise the Option and receive the net number of Shares equal to (i) the number of Shares as to which the Option is being exercised, multiplied by (ii) a fraction, the numerator of which is the Fair Market Value per Share (on such date as is determined by the Administrator) less the Exercise Price per Share, and the denominator of which is such Fair Market Value per Share; or</w:t>
      </w:r>
    </w:p>
    <w:p>
      <w:pPr>
        <w:spacing w:after="0" w:line="187" w:lineRule="exact"/>
        <w:rPr>
          <w:rFonts w:ascii="Arial" w:cs="Arial" w:eastAsia="Arial" w:hAnsi="Arial"/>
          <w:sz w:val="22"/>
          <w:szCs w:val="22"/>
          <w:color w:val="auto"/>
        </w:rPr>
      </w:pPr>
    </w:p>
    <w:p>
      <w:pPr>
        <w:ind w:left="3560" w:hanging="960"/>
        <w:spacing w:after="0"/>
        <w:tabs>
          <w:tab w:leader="none" w:pos="3560" w:val="left"/>
        </w:tabs>
        <w:numPr>
          <w:ilvl w:val="0"/>
          <w:numId w:val="52"/>
        </w:numPr>
        <w:rPr>
          <w:rFonts w:ascii="Arial" w:cs="Arial" w:eastAsia="Arial" w:hAnsi="Arial"/>
          <w:sz w:val="22"/>
          <w:szCs w:val="22"/>
          <w:color w:val="auto"/>
        </w:rPr>
      </w:pPr>
      <w:r>
        <w:rPr>
          <w:rFonts w:ascii="Arial" w:cs="Arial" w:eastAsia="Arial" w:hAnsi="Arial"/>
          <w:sz w:val="22"/>
          <w:szCs w:val="22"/>
          <w:color w:val="auto"/>
        </w:rPr>
        <w:t>future services to be rendered to the Company or a Related Entity; or</w:t>
      </w:r>
    </w:p>
    <w:p>
      <w:pPr>
        <w:spacing w:after="0" w:line="206" w:lineRule="exact"/>
        <w:rPr>
          <w:rFonts w:ascii="Arial" w:cs="Arial" w:eastAsia="Arial" w:hAnsi="Arial"/>
          <w:sz w:val="22"/>
          <w:szCs w:val="22"/>
          <w:color w:val="auto"/>
        </w:rPr>
      </w:pPr>
    </w:p>
    <w:p>
      <w:pPr>
        <w:ind w:left="3620" w:hanging="1020"/>
        <w:spacing w:after="0"/>
        <w:tabs>
          <w:tab w:leader="none" w:pos="36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combination of the foregoing methods of payment.</w:t>
      </w:r>
    </w:p>
    <w:p>
      <w:pPr>
        <w:spacing w:after="0" w:line="206" w:lineRule="exact"/>
        <w:rPr>
          <w:sz w:val="20"/>
          <w:szCs w:val="20"/>
          <w:color w:val="auto"/>
        </w:rPr>
      </w:pPr>
    </w:p>
    <w:p>
      <w:pPr>
        <w:ind w:right="520"/>
        <w:spacing w:after="0" w:line="297" w:lineRule="auto"/>
        <w:rPr>
          <w:sz w:val="20"/>
          <w:szCs w:val="20"/>
          <w:color w:val="auto"/>
        </w:rPr>
      </w:pPr>
      <w:r>
        <w:rPr>
          <w:rFonts w:ascii="Arial" w:cs="Arial" w:eastAsia="Arial" w:hAnsi="Arial"/>
          <w:sz w:val="19"/>
          <w:szCs w:val="19"/>
          <w:color w:val="auto"/>
        </w:rPr>
        <w:t>The Administrator may at any time or from time to time, by adoption of or by amendment to the standard forms of Award Agreement described in Section 4(c)(iv), or by other means, grant Awards which do not permit all of the foregoing forms of consideration to be used in payment for the Shares or which otherwise restrict one or more forms of consideration.</w:t>
      </w:r>
    </w:p>
    <w:p>
      <w:pPr>
        <w:spacing w:after="0" w:line="134" w:lineRule="exact"/>
        <w:rPr>
          <w:sz w:val="20"/>
          <w:szCs w:val="20"/>
          <w:color w:val="auto"/>
        </w:rPr>
      </w:pPr>
    </w:p>
    <w:p>
      <w:pPr>
        <w:ind w:left="1680" w:hanging="808"/>
        <w:spacing w:after="0"/>
        <w:tabs>
          <w:tab w:leader="none" w:pos="16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[Intentionally Omitted]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680" w:hanging="808"/>
        <w:spacing w:after="0"/>
        <w:tabs>
          <w:tab w:leader="none" w:pos="16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Withholding of Additional Income Taxes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77" w:lineRule="auto"/>
        <w:tabs>
          <w:tab w:leader="none" w:pos="2615" w:val="left"/>
        </w:tabs>
        <w:numPr>
          <w:ilvl w:val="1"/>
          <w:numId w:val="53"/>
        </w:numPr>
        <w:rPr>
          <w:rFonts w:ascii="Arial" w:cs="Arial" w:eastAsia="Arial" w:hAnsi="Arial"/>
          <w:sz w:val="19"/>
          <w:szCs w:val="19"/>
          <w:color w:val="auto"/>
        </w:rPr>
      </w:pPr>
      <w:r>
        <w:rPr>
          <w:rFonts w:ascii="Arial" w:cs="Arial" w:eastAsia="Arial" w:hAnsi="Arial"/>
          <w:sz w:val="19"/>
          <w:szCs w:val="19"/>
          <w:color w:val="auto"/>
        </w:rPr>
        <w:t>Upon the exercise of an Option or SAR, the grant of any other Award for less than the Fair Market Value of the Common Stock or the vesting of restricted Common Stock acquired on the exercise of an Award hereunder, the Company, in accordance with Section 3402(a) of the Code and any applicable state statute or regulation, may require the Grantee to pay to the Company additional withholding taxes in respect of the amount that is considered compensation includable in such person’s gross income. With respect to (i) the exercise of an Option, (ii) the grant of any other Award for less than its Fair Market Value, (iv) the vesting of restricted Common Stock acquired by exercising an Award, or (v) the exercise of an SAR, the Committee in its discretion may condition such event on the payment by the Grantee of any such additional withholding taxes.</w:t>
      </w:r>
    </w:p>
    <w:p>
      <w:pPr>
        <w:spacing w:after="0" w:line="151" w:lineRule="exact"/>
        <w:rPr>
          <w:rFonts w:ascii="Arial" w:cs="Arial" w:eastAsia="Arial" w:hAnsi="Arial"/>
          <w:sz w:val="19"/>
          <w:szCs w:val="19"/>
          <w:color w:val="auto"/>
        </w:rPr>
      </w:pPr>
    </w:p>
    <w:p>
      <w:pPr>
        <w:ind w:right="40" w:firstLine="1735"/>
        <w:spacing w:after="0" w:line="245" w:lineRule="auto"/>
        <w:tabs>
          <w:tab w:leader="none" w:pos="2627" w:val="left"/>
        </w:tabs>
        <w:numPr>
          <w:ilvl w:val="1"/>
          <w:numId w:val="53"/>
        </w:numPr>
        <w:rPr>
          <w:rFonts w:ascii="Arial" w:cs="Arial" w:eastAsia="Arial" w:hAnsi="Arial"/>
          <w:sz w:val="21"/>
          <w:szCs w:val="21"/>
          <w:color w:val="auto"/>
        </w:rPr>
      </w:pPr>
      <w:r>
        <w:rPr>
          <w:rFonts w:ascii="Arial" w:cs="Arial" w:eastAsia="Arial" w:hAnsi="Arial"/>
          <w:sz w:val="21"/>
          <w:szCs w:val="21"/>
          <w:color w:val="auto"/>
        </w:rPr>
        <w:t>At the sole and absolute discretion of the Administrator, the holder of Awards may pay all or any part of the total estimated federal and state income tax liability arising out of the exercise or receipt of such Awards or the vesting of restricted Common Stock acquired on the exercise of an Award hereunder (each of the foregoing, a “</w:t>
      </w:r>
      <w:r>
        <w:rPr>
          <w:rFonts w:ascii="Arial" w:cs="Arial" w:eastAsia="Arial" w:hAnsi="Arial"/>
          <w:sz w:val="21"/>
          <w:szCs w:val="21"/>
          <w:b w:val="1"/>
          <w:bCs w:val="1"/>
          <w:i w:val="1"/>
          <w:iCs w:val="1"/>
          <w:color w:val="auto"/>
        </w:rPr>
        <w:t>Tax Event</w:t>
      </w:r>
      <w:r>
        <w:rPr>
          <w:rFonts w:ascii="Arial" w:cs="Arial" w:eastAsia="Arial" w:hAnsi="Arial"/>
          <w:sz w:val="21"/>
          <w:szCs w:val="21"/>
          <w:color w:val="auto"/>
        </w:rPr>
        <w:t>”) by tendering already-owned shares of Common Stock or by directing the Company to withhold shares of Common Stock otherwise to be transferred to the Grantee as a result of the exercise or receipt thereof in an amount equal to the estimated federal and state income tax liability arising out of such event, provided that no more Shares may be withheld than are necessary to satisfy the Grantee’s withholding obligation with respect to the exercise of Awards; provided, however, that the amount withheld does not exceed the maximum statutory tax rate or such lesser amount as is necessary to avoid liability accounting treatment for Awards granted under the Plan. In such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ind w:right="20"/>
        <w:spacing w:after="0" w:line="236" w:lineRule="auto"/>
        <w:rPr>
          <w:sz w:val="20"/>
          <w:szCs w:val="20"/>
          <w:color w:val="auto"/>
        </w:rPr>
      </w:pPr>
      <w:r>
        <w:rPr>
          <w:rFonts w:ascii="Arial" w:cs="Arial" w:eastAsia="Arial" w:hAnsi="Arial"/>
          <w:sz w:val="22"/>
          <w:szCs w:val="22"/>
          <w:color w:val="auto"/>
        </w:rPr>
        <w:t>event, the Grantee must, however, notify the Administrator of his or her desire to pay all or any part of the total estimated federal and state income tax liability arising out of a Tax Event by tendering already-owned shares of Common Stock or having shares of Common Stock withheld prior to the date that the amount of federal or state income tax to be withheld is to be determined. For purposes of this Section 9, shares of Common Stock shall be valued at their Fair Market Value on the date that the amount of the tax withholdings is to be determined.</w:t>
      </w:r>
    </w:p>
    <w:p>
      <w:pPr>
        <w:spacing w:after="0" w:line="187" w:lineRule="exact"/>
        <w:rPr>
          <w:sz w:val="20"/>
          <w:szCs w:val="20"/>
          <w:color w:val="auto"/>
        </w:rPr>
      </w:pPr>
    </w:p>
    <w:p>
      <w:pPr>
        <w:ind w:left="1780" w:hanging="908"/>
        <w:spacing w:after="0"/>
        <w:tabs>
          <w:tab w:leader="none" w:pos="178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Exercise of Award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620" w:hanging="885"/>
        <w:spacing w:after="0"/>
        <w:tabs>
          <w:tab w:leader="none" w:pos="262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Procedure for Exercise; Rights as a Stockholder</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3460" w:hanging="860"/>
        <w:spacing w:after="0"/>
        <w:tabs>
          <w:tab w:leader="none" w:pos="3460" w:val="left"/>
        </w:tabs>
        <w:numPr>
          <w:ilvl w:val="2"/>
          <w:numId w:val="54"/>
        </w:numPr>
        <w:rPr>
          <w:rFonts w:ascii="Arial" w:cs="Arial" w:eastAsia="Arial" w:hAnsi="Arial"/>
          <w:sz w:val="21"/>
          <w:szCs w:val="21"/>
          <w:color w:val="auto"/>
        </w:rPr>
      </w:pPr>
      <w:r>
        <w:rPr>
          <w:rFonts w:ascii="Arial" w:cs="Arial" w:eastAsia="Arial" w:hAnsi="Arial"/>
          <w:sz w:val="21"/>
          <w:szCs w:val="21"/>
          <w:color w:val="auto"/>
        </w:rPr>
        <w:t>Any Award granted hereunder shall be exercisable at such times and under such</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conditions as determined by the Administrator under the terms of the Plan and specified in the Award Agreement.</w:t>
      </w:r>
    </w:p>
    <w:p>
      <w:pPr>
        <w:spacing w:after="0" w:line="188" w:lineRule="exact"/>
        <w:rPr>
          <w:rFonts w:ascii="Arial" w:cs="Arial" w:eastAsia="Arial" w:hAnsi="Arial"/>
          <w:sz w:val="21"/>
          <w:szCs w:val="21"/>
          <w:color w:val="auto"/>
        </w:rPr>
      </w:pPr>
    </w:p>
    <w:p>
      <w:pPr>
        <w:ind w:firstLine="2600"/>
        <w:spacing w:after="0" w:line="287" w:lineRule="auto"/>
        <w:tabs>
          <w:tab w:leader="none" w:pos="3504" w:val="left"/>
        </w:tabs>
        <w:numPr>
          <w:ilvl w:val="2"/>
          <w:numId w:val="54"/>
        </w:numPr>
        <w:rPr>
          <w:rFonts w:ascii="Arial" w:cs="Arial" w:eastAsia="Arial" w:hAnsi="Arial"/>
          <w:sz w:val="19"/>
          <w:szCs w:val="19"/>
          <w:color w:val="auto"/>
        </w:rPr>
      </w:pPr>
      <w:r>
        <w:rPr>
          <w:rFonts w:ascii="Arial" w:cs="Arial" w:eastAsia="Arial" w:hAnsi="Arial"/>
          <w:sz w:val="19"/>
          <w:szCs w:val="19"/>
          <w:color w:val="auto"/>
        </w:rPr>
        <w:t>An Award shall be deemed to be exercised when written notice of such exercise has been given to the Company in accordance with the terms of the Award by the person entitled to exercise the Award and full payment for the Shares with respect to which the Award is exercised has been made, including, to the extent selected, use of the broker-dealer sale and remittance procedure to pay the purchase price as provided in Section 7(b)(v).</w:t>
      </w:r>
    </w:p>
    <w:p>
      <w:pPr>
        <w:spacing w:after="0" w:line="142" w:lineRule="exact"/>
        <w:rPr>
          <w:rFonts w:ascii="Arial" w:cs="Arial" w:eastAsia="Arial" w:hAnsi="Arial"/>
          <w:sz w:val="19"/>
          <w:szCs w:val="19"/>
          <w:color w:val="auto"/>
        </w:rPr>
      </w:pPr>
    </w:p>
    <w:p>
      <w:pPr>
        <w:ind w:right="100" w:firstLine="1735"/>
        <w:spacing w:after="0" w:line="274" w:lineRule="auto"/>
        <w:tabs>
          <w:tab w:leader="none" w:pos="2627"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Exercise of Award Following Termination of Continuous Service</w:t>
      </w:r>
      <w:r>
        <w:rPr>
          <w:rFonts w:ascii="Arial" w:cs="Arial" w:eastAsia="Arial" w:hAnsi="Arial"/>
          <w:sz w:val="19"/>
          <w:szCs w:val="19"/>
          <w:color w:val="auto"/>
        </w:rPr>
        <w:t>. In the event of termination of a Grantee’s Continuous Service for any reason other than Disability or death (but not in the event of a Grantee’s change of status from Employee to Consultant), such Grantee may, but only during the Post-Termination Exercise Period (but in no event later than the expiration date of the term of such Award as set forth in the Award Agreement), exercise the portion of the Grantee’s Award that was vested at the date of such termination or such other portion of the Grantee’s Award as may be determined by the Administrator. The Grantee’s Award Agreement may provide that upon the termination of the Grantee’s Continuous Service for Cause, the Grantee’s right to exercise the Award shall terminate concurrently with the termination of Grantee’s Continuous Service. To the extent that the Grantee’s Award was unvested at the date of termination, or if the Grantee does not exercise the vested portion of the Grantee’s Award within the Post-Termination Exercise Period, the Award shall terminate.</w:t>
      </w:r>
    </w:p>
    <w:p>
      <w:pPr>
        <w:spacing w:after="0" w:line="158" w:lineRule="exact"/>
        <w:rPr>
          <w:rFonts w:ascii="Arial" w:cs="Arial" w:eastAsia="Arial" w:hAnsi="Arial"/>
          <w:sz w:val="19"/>
          <w:szCs w:val="19"/>
          <w:color w:val="auto"/>
        </w:rPr>
      </w:pPr>
    </w:p>
    <w:p>
      <w:pPr>
        <w:ind w:right="20" w:firstLine="1735"/>
        <w:spacing w:after="0" w:line="248" w:lineRule="auto"/>
        <w:tabs>
          <w:tab w:leader="none" w:pos="2615"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Disability of Grantee</w:t>
      </w:r>
      <w:r>
        <w:rPr>
          <w:rFonts w:ascii="Arial" w:cs="Arial" w:eastAsia="Arial" w:hAnsi="Arial"/>
          <w:sz w:val="21"/>
          <w:szCs w:val="21"/>
          <w:color w:val="auto"/>
        </w:rPr>
        <w:t>. In the event of termination of a Grantee’s Continuous Service as a result of his or her Disability, such Grantee may, but only within twelve (12) months from the date of such termination (or such longer period as specified in the Award Agreement but in no event later than the expiration date of the term of such Award as set forth in the Award Agreement), exercise the portion of the Grantee’s Award that was vested at the date of such termination. To the extent that the Grantee’s Award was unvested at the date of termination, or if Grantee does not exercise the vested portion of the Grantee’s Award within the time specified herein, the Award shall terminate.</w:t>
      </w:r>
    </w:p>
    <w:p>
      <w:pPr>
        <w:spacing w:after="0" w:line="176" w:lineRule="exact"/>
        <w:rPr>
          <w:rFonts w:ascii="Arial" w:cs="Arial" w:eastAsia="Arial" w:hAnsi="Arial"/>
          <w:sz w:val="21"/>
          <w:szCs w:val="21"/>
          <w:color w:val="auto"/>
        </w:rPr>
      </w:pPr>
    </w:p>
    <w:p>
      <w:pPr>
        <w:ind w:right="40" w:firstLine="1735"/>
        <w:spacing w:after="0" w:line="297" w:lineRule="auto"/>
        <w:tabs>
          <w:tab w:leader="none" w:pos="2627"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Death of Grantee</w:t>
      </w:r>
      <w:r>
        <w:rPr>
          <w:rFonts w:ascii="Arial" w:cs="Arial" w:eastAsia="Arial" w:hAnsi="Arial"/>
          <w:sz w:val="19"/>
          <w:szCs w:val="19"/>
          <w:color w:val="auto"/>
        </w:rPr>
        <w:t>. In the event of a termination of the Grantee’s Continuous Service as a result of his or her death, or in the event of the death of the Grantee during the Post-Termination Exercise Period or during the twelve (12) month period following the Grantee’s termination of Continuous Service as a result of his or her Disability, the Grantee’s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78" w:name="page79"/>
    <w:bookmarkEnd w:id="78"/>
    <w:p>
      <w:pPr>
        <w:ind w:right="140"/>
        <w:spacing w:after="0" w:line="248" w:lineRule="auto"/>
        <w:rPr>
          <w:sz w:val="20"/>
          <w:szCs w:val="20"/>
          <w:color w:val="auto"/>
        </w:rPr>
      </w:pPr>
      <w:r>
        <w:rPr>
          <w:rFonts w:ascii="Arial" w:cs="Arial" w:eastAsia="Arial" w:hAnsi="Arial"/>
          <w:sz w:val="21"/>
          <w:szCs w:val="21"/>
          <w:color w:val="auto"/>
        </w:rPr>
        <w:t>estate or a person who acquired the right to exercise the Award by bequest or inheritance may exercise the portion of the Grantee’s Award that was vested as of the date of termination, within twelve (12) months from the date of death (or such longer period as specified in the Award Agreement but in no event later than the expiration of the term of such Award as set forth in the Award Agreement). To the extent that, at the time of death, the Grantee’s Award was unvested, or if the Grantee’s estate or a person who acquired the right to exercise the Award by bequest or inheritance does not exercise the vested portion of the Grantee’s Award within the time specified herein, the Award shall terminate.</w:t>
      </w:r>
    </w:p>
    <w:p>
      <w:pPr>
        <w:spacing w:after="0" w:line="177" w:lineRule="exact"/>
        <w:rPr>
          <w:sz w:val="20"/>
          <w:szCs w:val="20"/>
          <w:color w:val="auto"/>
        </w:rPr>
      </w:pPr>
    </w:p>
    <w:p>
      <w:pPr>
        <w:jc w:val="both"/>
        <w:ind w:right="520" w:firstLine="1735"/>
        <w:spacing w:after="0" w:line="287" w:lineRule="auto"/>
        <w:tabs>
          <w:tab w:leader="none" w:pos="2615"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Extension if Exercise Prevented by Law</w:t>
      </w:r>
      <w:r>
        <w:rPr>
          <w:rFonts w:ascii="Arial" w:cs="Arial" w:eastAsia="Arial" w:hAnsi="Arial"/>
          <w:sz w:val="19"/>
          <w:szCs w:val="19"/>
          <w:color w:val="auto"/>
        </w:rPr>
        <w:t>. Notwithstanding the foregoing, if the exercise of an Award within the applicable time periods set forth in this Section 10 is prevented by the provisions of Section 11 below, the Award shall remain exercisable until one (1) month after the date the Grantee is notified by the Company that the Award is exercisable, but in any event no later than the expiration of the term of such Award as set forth in the Award Agreement.</w:t>
      </w:r>
    </w:p>
    <w:p>
      <w:pPr>
        <w:spacing w:after="0" w:line="142" w:lineRule="exact"/>
        <w:rPr>
          <w:rFonts w:ascii="Arial" w:cs="Arial" w:eastAsia="Arial" w:hAnsi="Arial"/>
          <w:sz w:val="19"/>
          <w:szCs w:val="19"/>
          <w:color w:val="auto"/>
        </w:rPr>
      </w:pPr>
    </w:p>
    <w:p>
      <w:pPr>
        <w:ind w:left="1780" w:hanging="908"/>
        <w:spacing w:after="0"/>
        <w:tabs>
          <w:tab w:leader="none" w:pos="178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Conditions Upon Issuance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1735"/>
        <w:spacing w:after="0" w:line="235" w:lineRule="auto"/>
        <w:tabs>
          <w:tab w:leader="none" w:pos="2615" w:val="left"/>
        </w:tabs>
        <w:numPr>
          <w:ilvl w:val="1"/>
          <w:numId w:val="56"/>
        </w:numPr>
        <w:rPr>
          <w:rFonts w:ascii="Arial" w:cs="Arial" w:eastAsia="Arial" w:hAnsi="Arial"/>
          <w:sz w:val="22"/>
          <w:szCs w:val="22"/>
          <w:color w:val="auto"/>
        </w:rPr>
      </w:pPr>
      <w:r>
        <w:rPr>
          <w:rFonts w:ascii="Arial" w:cs="Arial" w:eastAsia="Arial" w:hAnsi="Arial"/>
          <w:sz w:val="22"/>
          <w:szCs w:val="22"/>
          <w:color w:val="auto"/>
        </w:rPr>
        <w:t>If at any time the Administrator determines that the delivery of Shares pursuant to the exercise, vesting or any other provision of an Award is or may be unlawful under Applicable Laws, the vesting or right to exercise an Award or to otherwise receive Shares pursuant to the terms of an Award shall be suspended until the Administrator determines that such delivery is lawful and shall be further subject to the approval of counsel for the Company with respect to such compliance. The Company shall have no obligation to effect any registration or qualification of the Shares under foreign, federal or state laws.</w:t>
      </w:r>
    </w:p>
    <w:p>
      <w:pPr>
        <w:spacing w:after="0" w:line="187" w:lineRule="exact"/>
        <w:rPr>
          <w:rFonts w:ascii="Arial" w:cs="Arial" w:eastAsia="Arial" w:hAnsi="Arial"/>
          <w:sz w:val="22"/>
          <w:szCs w:val="22"/>
          <w:color w:val="auto"/>
        </w:rPr>
      </w:pPr>
    </w:p>
    <w:p>
      <w:pPr>
        <w:ind w:right="80" w:firstLine="1735"/>
        <w:spacing w:after="0" w:line="238" w:lineRule="auto"/>
        <w:tabs>
          <w:tab w:leader="none" w:pos="2627" w:val="left"/>
        </w:tabs>
        <w:numPr>
          <w:ilvl w:val="1"/>
          <w:numId w:val="56"/>
        </w:numPr>
        <w:rPr>
          <w:rFonts w:ascii="Arial" w:cs="Arial" w:eastAsia="Arial" w:hAnsi="Arial"/>
          <w:sz w:val="22"/>
          <w:szCs w:val="22"/>
          <w:color w:val="auto"/>
        </w:rPr>
      </w:pPr>
      <w:r>
        <w:rPr>
          <w:rFonts w:ascii="Arial" w:cs="Arial" w:eastAsia="Arial" w:hAnsi="Arial"/>
          <w:sz w:val="22"/>
          <w:szCs w:val="22"/>
          <w:color w:val="auto"/>
        </w:rPr>
        <w:t>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by any Applicable Laws.</w:t>
      </w:r>
    </w:p>
    <w:p>
      <w:pPr>
        <w:spacing w:after="0" w:line="184" w:lineRule="exact"/>
        <w:rPr>
          <w:rFonts w:ascii="Arial" w:cs="Arial" w:eastAsia="Arial" w:hAnsi="Arial"/>
          <w:sz w:val="22"/>
          <w:szCs w:val="22"/>
          <w:color w:val="auto"/>
        </w:rPr>
      </w:pPr>
    </w:p>
    <w:p>
      <w:pPr>
        <w:ind w:firstLine="872"/>
        <w:spacing w:after="0" w:line="244" w:lineRule="auto"/>
        <w:tabs>
          <w:tab w:leader="none" w:pos="1782"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Subject to any required action by the stockholders of the Company, the number of Shares covered by each outstanding Award, and the number of Shares which have been authorized for issuance under the Plan but as to which no Awards have yet been granted or which have been returned to the Plan, the exercise or purchase price of each such outstanding Award, as well as any other terms that the Administrator determines require adjustment shall be proportionately adjusted for (i) any increase or decrease in the number of issued Shares resulting from a stock split, reverse stock split, stock dividend, combination or reclassification of the Shares, or similar transaction affecting the Shares, (ii) any other increase or decrease in the number of issued Shares effected without receipt of consideration by the Company, or (iii) any other transaction with respect to the Company’s Common Stock including a corporate merger, consolidation, acquisition of property or stock, separation (including a spin-off or other distribution of stock or property), reorganization, liquidation (whether partial or complete) or any similar transaction; provided, however that conversion of any convertible securities of the Company shall not be deemed to have been “effected without receipt of consideration.” Such adjustment shall be made by the Administrator and its determination shall be final, binding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9" w:name="page80"/>
    <w:bookmarkEnd w:id="79"/>
    <w:p>
      <w:pPr>
        <w:spacing w:after="0" w:line="236" w:lineRule="auto"/>
        <w:rPr>
          <w:sz w:val="20"/>
          <w:szCs w:val="20"/>
          <w:color w:val="auto"/>
        </w:rPr>
      </w:pPr>
      <w:r>
        <w:rPr>
          <w:rFonts w:ascii="Arial" w:cs="Arial" w:eastAsia="Arial" w:hAnsi="Arial"/>
          <w:sz w:val="22"/>
          <w:szCs w:val="22"/>
          <w:color w:val="auto"/>
        </w:rPr>
        <w:t>conclusive. Except as the Administrator determines, no issuance by the Company of shares of stock of any class, or securities convertible into shares of stock of any class, shall affect, and no adjustment by reason hereof shall be made with respect to, the number or price of Shares subject to an Award. No adjustments shall be made for dividends paid in cash or in property other than Common Stock of the Company, nor shall cash dividends or dividend equivalents accrue or be paid in respect of unexercised Options or unvested Awards hereunder.</w:t>
      </w:r>
    </w:p>
    <w:p>
      <w:pPr>
        <w:spacing w:after="0" w:line="187" w:lineRule="exact"/>
        <w:rPr>
          <w:sz w:val="20"/>
          <w:szCs w:val="20"/>
          <w:color w:val="auto"/>
        </w:rPr>
      </w:pPr>
    </w:p>
    <w:p>
      <w:pPr>
        <w:ind w:left="1780" w:hanging="908"/>
        <w:spacing w:after="0"/>
        <w:tabs>
          <w:tab w:leader="none" w:pos="17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Corporate Transactions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line="269" w:lineRule="auto"/>
        <w:tabs>
          <w:tab w:leader="none" w:pos="2615"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Treatment of Awards in Corporate Transaction</w:t>
      </w:r>
      <w:r>
        <w:rPr>
          <w:rFonts w:ascii="Arial" w:cs="Arial" w:eastAsia="Arial" w:hAnsi="Arial"/>
          <w:sz w:val="19"/>
          <w:szCs w:val="19"/>
          <w:color w:val="auto"/>
        </w:rPr>
        <w:t>. Except as the Administrator may otherwise specify with respect to particular Awards in the relevant Award Agreement, in the case of and subject to the consummation of a Corporate Transaction, the parties to the Corporate Transaction may cause the Awards to be Assumed or Replaced by the successor entity as such parties shall agree. To the extent the parties to such Corporate Transaction do not provide for the Awards to be Assumed or Replaced upon the effective time of the Corporate Transaction, the Plan and all outstanding Awards granted under the Plan shall terminate. In such case, except as may be otherwise expressly provided in the relevant Award Agreement, all Awards with solely time-based vesting that are not vested and/or exercisable immediately prior to the effective time of the Corporate Transaction shall become fully vested and exercisable as of immediately prior to the effective time of the Corporate Transaction and all Awards with conditions and restrictions relating to the attainment of performance goals shall be deemed to vest and become nonforfeitable as of the Corporate Transaction as provided in the relevant Award Agreement or if not provided for in the relevant Award Agreement shall be deemed to vest and become nonforfeitable as of the Corporate Transaction assuming the higher of (i) achievement of all relevant performance goals at the "target" level (prorated based upon the length of time within the performance period that has elapsed prior the Corporate Transaction or partial achievement of the performance goals), or (ii) actual achievement of all relevant performance goals as of the date of such Corporate Transaction. In the event of such termination of the Awards, the Company shall have the option (in its sole discretion) to (1) make or provide for a payment, in cash or in kind, to the Grantees holding Options and SARs, in exchange for the cancellation thereof, in an amount equal to the difference between (A) the Sale Price multiplied by the number of Shares subject to outstanding Options and SARs and (B) the aggregate exercise price of all such outstanding Options and SARs (provided that, in the case of an Option or SAR with an exercise price equal to or more than the Sale Price, such Option or SAR shall be cancelled for no consideration); or (2) permit each Grantee, within a specified period of time prior to the consummation of the Corporate Transaction as determined by the Administrator, to exercise all outstanding Options and SARs (to the extent then exercisable including due to acceleration as contemplated by this Section 13(a) if the Awards are not Assumed or Replaced) held by such Grantee as of immediately prior to the effective time of the Corporate Transaction. In the event of a termination of Awards pursuant to this Section 13(a), the Company shall also have the option (in its sole discretion) to make or provide for a payment, in cash or in kind, to the Grantees holding other Awards in an amount equal to the Sale Price multiplied by the number of vested Shares under such Awards. For purposes of this Section 13(a), “</w:t>
      </w:r>
      <w:r>
        <w:rPr>
          <w:rFonts w:ascii="Arial" w:cs="Arial" w:eastAsia="Arial" w:hAnsi="Arial"/>
          <w:sz w:val="19"/>
          <w:szCs w:val="19"/>
          <w:b w:val="1"/>
          <w:bCs w:val="1"/>
          <w:color w:val="auto"/>
        </w:rPr>
        <w:t>Sale Price</w:t>
      </w:r>
      <w:r>
        <w:rPr>
          <w:rFonts w:ascii="Arial" w:cs="Arial" w:eastAsia="Arial" w:hAnsi="Arial"/>
          <w:sz w:val="19"/>
          <w:szCs w:val="19"/>
          <w:color w:val="auto"/>
        </w:rPr>
        <w:t>” means the value as determined by the Administrator of the consideration payable, or otherwise to be received by stockholders, per Share pursuant to a Corporate Transaction.”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80" w:name="page81"/>
    <w:bookmarkEnd w:id="80"/>
    <w:p>
      <w:pPr>
        <w:ind w:right="40" w:firstLine="1735"/>
        <w:spacing w:after="0" w:line="273" w:lineRule="auto"/>
        <w:tabs>
          <w:tab w:leader="none" w:pos="262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Acceleration of Award Upon Corporate Transaction</w:t>
      </w:r>
      <w:r>
        <w:rPr>
          <w:rFonts w:ascii="Arial" w:cs="Arial" w:eastAsia="Arial" w:hAnsi="Arial"/>
          <w:sz w:val="19"/>
          <w:szCs w:val="19"/>
          <w:color w:val="auto"/>
        </w:rPr>
        <w:t>. The Administrator shall have the authority, exercisable either in advance of any actual or anticipated Corporate Transaction or at the time of an actual Corporate Transaction and exercisable at the time of the grant of an Award under the Plan or any time while an Award remains outstanding, to provide for the full or partial automatic vesting and exercisability of one or more outstanding unvested Awards under the Plan and the release from restrictions on transfer and repurchase or forfeiture rights of such Awards in connection with a Corporate Transaction on such terms and conditions as the Administrator may specify. The Administrator also shall have the authority to condition any such Award vesting and exercisability or release from such limitations upon the subsequent termination of the Continuous Service of the Grantee within a specified period following the effective date of the Corporate Transaction. The Administrator may provide that any Awards so vested or released from such limitations in connection with a Corporate Transaction shall remain fully exercisable until the expiration or sooner termination of the Award.</w:t>
      </w:r>
    </w:p>
    <w:p>
      <w:pPr>
        <w:spacing w:after="0" w:line="160" w:lineRule="exact"/>
        <w:rPr>
          <w:rFonts w:ascii="Arial" w:cs="Arial" w:eastAsia="Arial" w:hAnsi="Arial"/>
          <w:sz w:val="19"/>
          <w:szCs w:val="19"/>
          <w:color w:val="auto"/>
        </w:rPr>
      </w:pPr>
    </w:p>
    <w:p>
      <w:pPr>
        <w:ind w:right="340" w:firstLine="872"/>
        <w:spacing w:after="0" w:line="250" w:lineRule="auto"/>
        <w:tabs>
          <w:tab w:leader="none" w:pos="178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Effective Date and Term of Plan</w:t>
      </w:r>
      <w:r>
        <w:rPr>
          <w:rFonts w:ascii="Arial" w:cs="Arial" w:eastAsia="Arial" w:hAnsi="Arial"/>
          <w:sz w:val="22"/>
          <w:szCs w:val="22"/>
          <w:color w:val="auto"/>
        </w:rPr>
        <w:t>. The Plan shall become effective upon the its adoption by the Board. It shall continue in effect for a term of ten (10) years from the date of its adoption.</w:t>
      </w:r>
    </w:p>
    <w:p>
      <w:pPr>
        <w:spacing w:after="0" w:line="174" w:lineRule="exact"/>
        <w:rPr>
          <w:rFonts w:ascii="Arial" w:cs="Arial" w:eastAsia="Arial" w:hAnsi="Arial"/>
          <w:sz w:val="22"/>
          <w:szCs w:val="22"/>
          <w:color w:val="auto"/>
        </w:rPr>
      </w:pPr>
    </w:p>
    <w:p>
      <w:pPr>
        <w:ind w:left="1780" w:hanging="908"/>
        <w:spacing w:after="0"/>
        <w:tabs>
          <w:tab w:leader="none" w:pos="178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Amendment, Suspension or Termination of the Plan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1735"/>
        <w:spacing w:after="0"/>
        <w:tabs>
          <w:tab w:leader="none" w:pos="2615"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Board may at any time amend, suspend or terminate the Plan in any respect, except that it may not, without the approval of the stockholders obtained within twelve (12) months before or after the Board adopts a resolution authorizing any of the following actions, do any of the following:</w:t>
      </w:r>
    </w:p>
    <w:p>
      <w:pPr>
        <w:spacing w:after="0" w:line="186" w:lineRule="exact"/>
        <w:rPr>
          <w:rFonts w:ascii="Arial" w:cs="Arial" w:eastAsia="Arial" w:hAnsi="Arial"/>
          <w:sz w:val="22"/>
          <w:szCs w:val="22"/>
          <w:color w:val="auto"/>
        </w:rPr>
      </w:pPr>
    </w:p>
    <w:p>
      <w:pPr>
        <w:ind w:left="3460" w:hanging="860"/>
        <w:spacing w:after="0"/>
        <w:tabs>
          <w:tab w:leader="none" w:pos="3460" w:val="left"/>
        </w:tabs>
        <w:numPr>
          <w:ilvl w:val="2"/>
          <w:numId w:val="59"/>
        </w:numPr>
        <w:rPr>
          <w:rFonts w:ascii="Arial" w:cs="Arial" w:eastAsia="Arial" w:hAnsi="Arial"/>
          <w:sz w:val="21"/>
          <w:szCs w:val="21"/>
          <w:color w:val="auto"/>
        </w:rPr>
      </w:pPr>
      <w:r>
        <w:rPr>
          <w:rFonts w:ascii="Arial" w:cs="Arial" w:eastAsia="Arial" w:hAnsi="Arial"/>
          <w:sz w:val="21"/>
          <w:szCs w:val="21"/>
          <w:color w:val="auto"/>
        </w:rPr>
        <w:t>increase the total number of shares that may be issued under the Plan (except by</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adjustment pursuant to Section 12);</w:t>
      </w:r>
    </w:p>
    <w:p>
      <w:pPr>
        <w:spacing w:after="0" w:line="188" w:lineRule="exact"/>
        <w:rPr>
          <w:rFonts w:ascii="Arial" w:cs="Arial" w:eastAsia="Arial" w:hAnsi="Arial"/>
          <w:sz w:val="21"/>
          <w:szCs w:val="21"/>
          <w:color w:val="auto"/>
        </w:rPr>
      </w:pPr>
    </w:p>
    <w:p>
      <w:pPr>
        <w:ind w:right="180" w:firstLine="2600"/>
        <w:spacing w:after="0" w:line="250" w:lineRule="auto"/>
        <w:tabs>
          <w:tab w:leader="none" w:pos="3504" w:val="left"/>
        </w:tabs>
        <w:numPr>
          <w:ilvl w:val="2"/>
          <w:numId w:val="59"/>
        </w:numPr>
        <w:rPr>
          <w:rFonts w:ascii="Arial" w:cs="Arial" w:eastAsia="Arial" w:hAnsi="Arial"/>
          <w:sz w:val="22"/>
          <w:szCs w:val="22"/>
          <w:color w:val="auto"/>
        </w:rPr>
      </w:pPr>
      <w:r>
        <w:rPr>
          <w:rFonts w:ascii="Arial" w:cs="Arial" w:eastAsia="Arial" w:hAnsi="Arial"/>
          <w:sz w:val="22"/>
          <w:szCs w:val="22"/>
          <w:color w:val="auto"/>
        </w:rPr>
        <w:t>modify the provisions of Section 7(a) regarding the exercise price at which shares may be offered pursuant to Options (except by adjustment pursuant to Section 12);</w:t>
      </w:r>
    </w:p>
    <w:p>
      <w:pPr>
        <w:spacing w:after="0" w:line="174" w:lineRule="exact"/>
        <w:rPr>
          <w:rFonts w:ascii="Arial" w:cs="Arial" w:eastAsia="Arial" w:hAnsi="Arial"/>
          <w:sz w:val="22"/>
          <w:szCs w:val="22"/>
          <w:color w:val="auto"/>
        </w:rPr>
      </w:pPr>
    </w:p>
    <w:p>
      <w:pPr>
        <w:ind w:left="3580" w:hanging="980"/>
        <w:spacing w:after="0"/>
        <w:tabs>
          <w:tab w:leader="none" w:pos="3580" w:val="left"/>
        </w:tabs>
        <w:numPr>
          <w:ilvl w:val="2"/>
          <w:numId w:val="59"/>
        </w:numPr>
        <w:rPr>
          <w:rFonts w:ascii="Arial" w:cs="Arial" w:eastAsia="Arial" w:hAnsi="Arial"/>
          <w:sz w:val="22"/>
          <w:szCs w:val="22"/>
          <w:color w:val="auto"/>
        </w:rPr>
      </w:pPr>
      <w:r>
        <w:rPr>
          <w:rFonts w:ascii="Arial" w:cs="Arial" w:eastAsia="Arial" w:hAnsi="Arial"/>
          <w:sz w:val="22"/>
          <w:szCs w:val="22"/>
          <w:color w:val="auto"/>
        </w:rPr>
        <w:t>extend the expiration date of the Plan; and</w:t>
      </w:r>
    </w:p>
    <w:p>
      <w:pPr>
        <w:spacing w:after="0" w:line="206" w:lineRule="exact"/>
        <w:rPr>
          <w:rFonts w:ascii="Arial" w:cs="Arial" w:eastAsia="Arial" w:hAnsi="Arial"/>
          <w:sz w:val="22"/>
          <w:szCs w:val="22"/>
          <w:color w:val="auto"/>
        </w:rPr>
      </w:pPr>
    </w:p>
    <w:p>
      <w:pPr>
        <w:ind w:right="80" w:firstLine="2600"/>
        <w:spacing w:after="0" w:line="248" w:lineRule="auto"/>
        <w:tabs>
          <w:tab w:leader="none" w:pos="3552" w:val="left"/>
        </w:tabs>
        <w:numPr>
          <w:ilvl w:val="2"/>
          <w:numId w:val="59"/>
        </w:numPr>
        <w:rPr>
          <w:rFonts w:ascii="Arial" w:cs="Arial" w:eastAsia="Arial" w:hAnsi="Arial"/>
          <w:sz w:val="21"/>
          <w:szCs w:val="21"/>
          <w:color w:val="auto"/>
        </w:rPr>
      </w:pPr>
      <w:r>
        <w:rPr>
          <w:rFonts w:ascii="Arial" w:cs="Arial" w:eastAsia="Arial" w:hAnsi="Arial"/>
          <w:sz w:val="21"/>
          <w:szCs w:val="21"/>
          <w:color w:val="auto"/>
        </w:rPr>
        <w:t>except as provided in Section 12 (including, without limitation, due to any stock dividend, stock split, extraordinary cash dividend, recapitalization, reorganization, merger, consolidation, split-up, spin-off, combination, or exchange of shares), amend an Award granted under the Plan to reduce its exercise price per share, cancel and regrant new Awards with lower prices per share than the original prices per share of the cancelled Awards, or cancel any Awards in exchange for cash or the grant of replacement Awards with an exercise price that is less than the exercise price of the original Awards, essentially having the effect of a repricing.</w:t>
      </w:r>
    </w:p>
    <w:p>
      <w:pPr>
        <w:spacing w:after="0" w:line="176" w:lineRule="exact"/>
        <w:rPr>
          <w:rFonts w:ascii="Arial" w:cs="Arial" w:eastAsia="Arial" w:hAnsi="Arial"/>
          <w:sz w:val="21"/>
          <w:szCs w:val="21"/>
          <w:color w:val="auto"/>
        </w:rPr>
      </w:pPr>
    </w:p>
    <w:p>
      <w:pPr>
        <w:ind w:left="2640" w:hanging="905"/>
        <w:spacing w:after="0"/>
        <w:tabs>
          <w:tab w:leader="none" w:pos="2640"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 Award may be granted during any suspension of the Plan or after termination of the Plan.</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81" w:name="page82"/>
    <w:bookmarkEnd w:id="81"/>
    <w:p>
      <w:pPr>
        <w:ind w:left="-20" w:right="520" w:firstLine="1735"/>
        <w:spacing w:after="0" w:line="328" w:lineRule="auto"/>
        <w:tabs>
          <w:tab w:leader="none" w:pos="2595" w:val="left"/>
        </w:tabs>
        <w:numPr>
          <w:ilvl w:val="1"/>
          <w:numId w:val="60"/>
        </w:numPr>
        <w:rPr>
          <w:rFonts w:ascii="Arial" w:cs="Arial" w:eastAsia="Arial" w:hAnsi="Arial"/>
          <w:sz w:val="19"/>
          <w:szCs w:val="19"/>
          <w:color w:val="auto"/>
        </w:rPr>
      </w:pPr>
      <w:r>
        <w:rPr>
          <w:rFonts w:ascii="Arial" w:cs="Arial" w:eastAsia="Arial" w:hAnsi="Arial"/>
          <w:sz w:val="19"/>
          <w:szCs w:val="19"/>
          <w:color w:val="auto"/>
        </w:rPr>
        <w:t>No suspension or termination of the Plan (including termination of the Plan under Section 15, above) shall adversely affect any rights under Awards already granted to a Grantee without his or her consent.</w:t>
      </w:r>
    </w:p>
    <w:p>
      <w:pPr>
        <w:spacing w:after="0" w:line="104" w:lineRule="exact"/>
        <w:rPr>
          <w:rFonts w:ascii="Arial" w:cs="Arial" w:eastAsia="Arial" w:hAnsi="Arial"/>
          <w:sz w:val="19"/>
          <w:szCs w:val="19"/>
          <w:color w:val="auto"/>
        </w:rPr>
      </w:pPr>
    </w:p>
    <w:p>
      <w:pPr>
        <w:ind w:left="1760" w:hanging="908"/>
        <w:spacing w:after="0"/>
        <w:tabs>
          <w:tab w:leader="none" w:pos="176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Reservation of Shares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0" w:right="20" w:firstLine="1735"/>
        <w:spacing w:after="0" w:line="250" w:lineRule="auto"/>
        <w:tabs>
          <w:tab w:leader="none" w:pos="2595"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Company, during the term of the Plan, will at all times reserve and keep available such number of Shares as shall be sufficient to satisfy the requirements of the Plan.</w:t>
      </w:r>
    </w:p>
    <w:p>
      <w:pPr>
        <w:spacing w:after="0" w:line="174" w:lineRule="exact"/>
        <w:rPr>
          <w:rFonts w:ascii="Arial" w:cs="Arial" w:eastAsia="Arial" w:hAnsi="Arial"/>
          <w:sz w:val="22"/>
          <w:szCs w:val="22"/>
          <w:color w:val="auto"/>
        </w:rPr>
      </w:pPr>
    </w:p>
    <w:p>
      <w:pPr>
        <w:jc w:val="both"/>
        <w:ind w:left="-20" w:right="100" w:firstLine="1735"/>
        <w:spacing w:after="0" w:line="238" w:lineRule="auto"/>
        <w:tabs>
          <w:tab w:leader="none" w:pos="2607" w:val="left"/>
        </w:tabs>
        <w:numPr>
          <w:ilvl w:val="1"/>
          <w:numId w:val="61"/>
        </w:numPr>
        <w:rPr>
          <w:rFonts w:ascii="Arial" w:cs="Arial" w:eastAsia="Arial" w:hAnsi="Arial"/>
          <w:sz w:val="22"/>
          <w:szCs w:val="22"/>
          <w:color w:val="auto"/>
        </w:rPr>
      </w:pPr>
      <w:r>
        <w:rPr>
          <w:rFonts w:ascii="Arial" w:cs="Arial" w:eastAsia="Arial" w:hAnsi="Arial"/>
          <w:sz w:val="22"/>
          <w:szCs w:val="22"/>
          <w:color w:val="auto"/>
        </w:rPr>
        <w:t>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84" w:lineRule="exact"/>
        <w:rPr>
          <w:rFonts w:ascii="Arial" w:cs="Arial" w:eastAsia="Arial" w:hAnsi="Arial"/>
          <w:sz w:val="22"/>
          <w:szCs w:val="22"/>
          <w:color w:val="auto"/>
        </w:rPr>
      </w:pPr>
    </w:p>
    <w:p>
      <w:pPr>
        <w:ind w:left="-20" w:right="20" w:firstLine="872"/>
        <w:spacing w:after="0" w:line="235" w:lineRule="auto"/>
        <w:tabs>
          <w:tab w:leader="none" w:pos="176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 Effect on Terms of Employment/Consulting Relationship</w:t>
      </w:r>
      <w:r>
        <w:rPr>
          <w:rFonts w:ascii="Arial" w:cs="Arial" w:eastAsia="Arial" w:hAnsi="Arial"/>
          <w:sz w:val="22"/>
          <w:szCs w:val="22"/>
          <w:color w:val="auto"/>
        </w:rPr>
        <w:t>. The Plan shall not confer upon any Grantee any right with respect to the Grantee’s Continuous Service, nor shall it interfere in any way with his or her right or the right of the Company or a Related Entity to terminate the Grantee’s Continuous Service at any time, with or without Cause, and with or without notice. The ability of the Company or any Related Entity to terminate the employment of a Grantee who is employed at will is in no way affected by its determination that the Grantee’s Continuous Service has been terminated for Cause for the purposes of this Plan.</w:t>
      </w:r>
    </w:p>
    <w:p>
      <w:pPr>
        <w:spacing w:after="0" w:line="187" w:lineRule="exact"/>
        <w:rPr>
          <w:rFonts w:ascii="Arial" w:cs="Arial" w:eastAsia="Arial" w:hAnsi="Arial"/>
          <w:sz w:val="22"/>
          <w:szCs w:val="22"/>
          <w:color w:val="auto"/>
        </w:rPr>
      </w:pPr>
    </w:p>
    <w:p>
      <w:pPr>
        <w:ind w:left="-20" w:firstLine="872"/>
        <w:spacing w:after="0" w:line="235" w:lineRule="auto"/>
        <w:tabs>
          <w:tab w:leader="none" w:pos="1762"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No Effect on Retirement and Other Benefit Plans</w:t>
      </w:r>
      <w:r>
        <w:rPr>
          <w:rFonts w:ascii="Arial" w:cs="Arial" w:eastAsia="Arial" w:hAnsi="Arial"/>
          <w:sz w:val="22"/>
          <w:szCs w:val="22"/>
          <w:color w:val="auto"/>
        </w:rPr>
        <w:t>. Except as specifically provided in a retirement or other benefit plan of the Company or a Related Entity, Awards shall not be deemed compensation for purposes of computing benefits or contributions under any retirement plan of the Company or a Related Entity, and shall not affect any benefits under any other benefit plan of any kind or any benefit plan subsequently instituted under which the availability or amount of benefits is related to level of compensation. The Plan is not a “Retirement Plan” or “Welfare Plan” under the Employee Retirement Income Security Act of 1974, as amended.</w:t>
      </w:r>
    </w:p>
    <w:p>
      <w:pPr>
        <w:spacing w:after="0" w:line="187" w:lineRule="exact"/>
        <w:rPr>
          <w:rFonts w:ascii="Arial" w:cs="Arial" w:eastAsia="Arial" w:hAnsi="Arial"/>
          <w:sz w:val="22"/>
          <w:szCs w:val="22"/>
          <w:color w:val="auto"/>
        </w:rPr>
      </w:pPr>
    </w:p>
    <w:p>
      <w:pPr>
        <w:ind w:left="-20" w:right="200" w:firstLine="872"/>
        <w:spacing w:after="0" w:line="246" w:lineRule="auto"/>
        <w:tabs>
          <w:tab w:leader="none" w:pos="1762"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21"/>
          <w:szCs w:val="21"/>
          <w:color w:val="auto"/>
        </w:rPr>
        <w:t>. The Administrator may, in its sole discretion, decide to deliver any documents related to any Award granted under the Plan through an online or electronic system established and maintained by the Company or another third party designated by the Company or to request a Grantee’s consent to participate in the Plan by electronic means. Each Grantee hereunder consents to receive such documents by electronic delivery and agrees to participate in the Plan through an online or electronic system established and maintained by the Company or another third party designated by the Company, and such consent shall remain in effect throughout Grantee’s term of employment or service with the Company and any Related Entity and thereafter until withdrawn in writing by Grantee.</w:t>
      </w:r>
    </w:p>
    <w:p>
      <w:pPr>
        <w:spacing w:after="0" w:line="184" w:lineRule="exact"/>
        <w:rPr>
          <w:rFonts w:ascii="Arial" w:cs="Arial" w:eastAsia="Arial" w:hAnsi="Arial"/>
          <w:sz w:val="21"/>
          <w:szCs w:val="21"/>
          <w:color w:val="auto"/>
        </w:rPr>
      </w:pPr>
    </w:p>
    <w:p>
      <w:pPr>
        <w:jc w:val="both"/>
        <w:ind w:left="-20" w:right="80" w:firstLine="872"/>
        <w:spacing w:after="0" w:line="287" w:lineRule="auto"/>
        <w:tabs>
          <w:tab w:leader="none" w:pos="1762"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The Administrator may, in its sole discretion, decide to collect, use and transfer, in electronic or other form, personal data as described in this Plan or any Award for the exclusive purpose of implementing, administering and managing participation in the Plan. Each Grantee hereunder acknowledges that the Company holds certain personal information about Grantee, including, but not limited to, name, home address and telephone number, date 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40" w:top="334" w:right="339" w:bottom="1440" w:gutter="0" w:footer="0" w:header="0"/>
        </w:sectPr>
      </w:pPr>
    </w:p>
    <w:bookmarkStart w:id="82" w:name="page83"/>
    <w:bookmarkEnd w:id="82"/>
    <w:p>
      <w:pPr>
        <w:spacing w:after="0" w:line="275" w:lineRule="auto"/>
        <w:rPr>
          <w:sz w:val="20"/>
          <w:szCs w:val="20"/>
          <w:color w:val="auto"/>
        </w:rPr>
      </w:pPr>
      <w:r>
        <w:rPr>
          <w:rFonts w:ascii="Arial" w:cs="Arial" w:eastAsia="Arial" w:hAnsi="Arial"/>
          <w:sz w:val="19"/>
          <w:szCs w:val="19"/>
          <w:color w:val="auto"/>
        </w:rPr>
        <w:t>birth, social security number or other identification number, salary, nationality, job title, details of all Awards awarded, cancelled, exercised, vested or unvested, for the purpose of implementing, administering and managing the Plan (the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Each Grantee hereunder further acknowledges that Data may be transferred to any third parties assisting in the implementation, administration and management of the Plan and sale and issuance of shares issued pursuant to Awards and that these third parties may be located in jurisdictions that may have different data privacy laws and protections, and Grantee authorizes such third parties to receive, possess, use, retain and transfer the Data, in electronic or other form, for the purposes of implementing, administering and managing the Plan, including any requisite transfer of such Data as may be required to a broker or other third party with whom the recipient or the Company may elect to deposit any shares of Common Stock acquired upon any Award.</w:t>
      </w:r>
    </w:p>
    <w:p>
      <w:pPr>
        <w:spacing w:after="0" w:line="157" w:lineRule="exact"/>
        <w:rPr>
          <w:sz w:val="20"/>
          <w:szCs w:val="20"/>
          <w:color w:val="auto"/>
        </w:rPr>
      </w:pPr>
    </w:p>
    <w:p>
      <w:pPr>
        <w:ind w:right="60" w:firstLine="872"/>
        <w:spacing w:after="0" w:line="244" w:lineRule="auto"/>
        <w:tabs>
          <w:tab w:leader="none" w:pos="1782"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Unfunded Obligation</w:t>
      </w:r>
      <w:r>
        <w:rPr>
          <w:rFonts w:ascii="Arial" w:cs="Arial" w:eastAsia="Arial" w:hAnsi="Arial"/>
          <w:sz w:val="21"/>
          <w:szCs w:val="21"/>
          <w:color w:val="auto"/>
        </w:rPr>
        <w:t>. Grantees shall have the status of general unsecured creditors of the Company. Any amounts payable to Grantees pursuant to the Plan shall be unfunded and unsecured obligations for all purposes, including, without limitation, Title I of the Employee Retirement Income Security Act of 1974, as amended. Neither the Company nor any Related Entity shall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Grantee account shall not create or constitute a trust or fiduciary relationship between the Administrator, the Company or any Related Entity and a Grantee, or otherwise create any vested or beneficial interest in any Grantee or the Grantee’s creditors in any assets of the Company or a Related Entity. The Grantees shall have no claim against the Company or any Related Entity for any changes in the value of any assets that may be invested or reinvested by the Company with respect to the Plan.</w:t>
      </w:r>
    </w:p>
    <w:p>
      <w:pPr>
        <w:spacing w:after="0" w:line="188" w:lineRule="exact"/>
        <w:rPr>
          <w:rFonts w:ascii="Arial" w:cs="Arial" w:eastAsia="Arial" w:hAnsi="Arial"/>
          <w:sz w:val="21"/>
          <w:szCs w:val="21"/>
          <w:color w:val="auto"/>
        </w:rPr>
      </w:pPr>
    </w:p>
    <w:p>
      <w:pPr>
        <w:ind w:right="60" w:firstLine="872"/>
        <w:spacing w:after="0" w:line="238" w:lineRule="auto"/>
        <w:tabs>
          <w:tab w:leader="none" w:pos="178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Construction</w:t>
      </w:r>
      <w:r>
        <w:rPr>
          <w:rFonts w:ascii="Arial" w:cs="Arial" w:eastAsia="Arial" w:hAnsi="Arial"/>
          <w:sz w:val="22"/>
          <w:szCs w:val="22"/>
          <w:color w:val="auto"/>
        </w:rPr>
        <w:t>.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287" w:lineRule="exact"/>
        <w:rPr>
          <w:sz w:val="20"/>
          <w:szCs w:val="20"/>
          <w:color w:val="auto"/>
        </w:rPr>
      </w:pPr>
    </w:p>
    <w:p>
      <w:pPr>
        <w:ind w:left="6140"/>
        <w:spacing w:after="0"/>
        <w:rPr>
          <w:sz w:val="20"/>
          <w:szCs w:val="20"/>
          <w:color w:val="auto"/>
        </w:rPr>
      </w:pPr>
      <w:r>
        <w:rPr>
          <w:rFonts w:ascii="Arial" w:cs="Arial" w:eastAsia="Arial" w:hAnsi="Arial"/>
          <w:sz w:val="19"/>
          <w:szCs w:val="19"/>
          <w:b w:val="1"/>
          <w:bCs w:val="1"/>
          <w:color w:val="auto"/>
        </w:rPr>
        <w:t>As approved by the Board of Directors on ______, 2020</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4"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b w:val="1"/>
          <w:bCs w:val="1"/>
          <w:color w:val="auto"/>
        </w:rPr>
        <w:t>EXHIBIT 10.4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Inducement Award Plan</w:t>
      </w:r>
    </w:p>
    <w:p>
      <w:pPr>
        <w:jc w:val="center"/>
        <w:spacing w:after="0"/>
        <w:rPr>
          <w:sz w:val="20"/>
          <w:szCs w:val="20"/>
          <w:color w:val="auto"/>
        </w:rPr>
      </w:pPr>
      <w:r>
        <w:rPr>
          <w:rFonts w:ascii="Arial" w:cs="Arial" w:eastAsia="Arial" w:hAnsi="Arial"/>
          <w:sz w:val="22"/>
          <w:szCs w:val="22"/>
          <w:b w:val="1"/>
          <w:bCs w:val="1"/>
          <w:color w:val="auto"/>
        </w:rPr>
        <w:t>NOTICE OF STOCK OPTION GRANT</w:t>
      </w:r>
    </w:p>
    <w:p>
      <w:pPr>
        <w:spacing w:after="0" w:line="200" w:lineRule="exact"/>
        <w:rPr>
          <w:sz w:val="20"/>
          <w:szCs w:val="20"/>
          <w:color w:val="auto"/>
        </w:rPr>
      </w:pPr>
    </w:p>
    <w:p>
      <w:pPr>
        <w:spacing w:after="0" w:line="24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 xml:space="preserve">Grant Number  </w:t>
      </w:r>
      <w:r>
        <w:rPr>
          <w:rFonts w:ascii="Arial" w:cs="Arial" w:eastAsia="Arial" w:hAnsi="Arial"/>
          <w:sz w:val="18"/>
          <w:szCs w:val="18"/>
          <w:u w:val="single" w:color="auto"/>
          <w:color w:val="auto"/>
        </w:rPr>
        <w:t>2020-IAP-###</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00" w:lineRule="exact"/>
        <w:rPr>
          <w:sz w:val="20"/>
          <w:szCs w:val="20"/>
          <w:color w:val="auto"/>
        </w:rPr>
      </w:pPr>
    </w:p>
    <w:p>
      <w:pPr>
        <w:spacing w:after="0" w:line="28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You have been granted an option to purchase Common Stock of Assembly Biosciences, Inc. (the “Company”),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Date of Grant</w:t>
            </w:r>
          </w:p>
        </w:tc>
        <w:tc>
          <w:tcPr>
            <w:tcW w:w="8360" w:type="dxa"/>
            <w:vAlign w:val="bottom"/>
          </w:tcPr>
          <w:p>
            <w:pPr>
              <w:ind w:left="520"/>
              <w:spacing w:after="0"/>
              <w:rPr>
                <w:sz w:val="20"/>
                <w:szCs w:val="20"/>
                <w:color w:val="auto"/>
              </w:rPr>
            </w:pPr>
            <w:r>
              <w:rPr>
                <w:rFonts w:ascii="Arial" w:cs="Arial" w:eastAsia="Arial" w:hAnsi="Arial"/>
                <w:sz w:val="18"/>
                <w:szCs w:val="18"/>
                <w:color w:val="auto"/>
              </w:rPr>
              <w:t>[________]</w:t>
            </w:r>
          </w:p>
        </w:tc>
      </w:tr>
      <w:tr>
        <w:trPr>
          <w:trHeight w:val="459"/>
        </w:trPr>
        <w:tc>
          <w:tcPr>
            <w:tcW w:w="2860" w:type="dxa"/>
            <w:vAlign w:val="bottom"/>
          </w:tcPr>
          <w:p>
            <w:pPr>
              <w:spacing w:after="0"/>
              <w:rPr>
                <w:sz w:val="20"/>
                <w:szCs w:val="20"/>
                <w:color w:val="auto"/>
              </w:rPr>
            </w:pPr>
            <w:r>
              <w:rPr>
                <w:rFonts w:ascii="Arial" w:cs="Arial" w:eastAsia="Arial" w:hAnsi="Arial"/>
                <w:sz w:val="18"/>
                <w:szCs w:val="18"/>
                <w:color w:val="auto"/>
              </w:rPr>
              <w:t>Vesting Commencement Date</w:t>
            </w:r>
          </w:p>
        </w:tc>
        <w:tc>
          <w:tcPr>
            <w:tcW w:w="8360" w:type="dxa"/>
            <w:vAlign w:val="bottom"/>
          </w:tcPr>
          <w:p>
            <w:pPr>
              <w:ind w:left="520"/>
              <w:spacing w:after="0"/>
              <w:rPr>
                <w:sz w:val="20"/>
                <w:szCs w:val="20"/>
                <w:color w:val="auto"/>
              </w:rPr>
            </w:pPr>
            <w:r>
              <w:rPr>
                <w:rFonts w:ascii="Arial" w:cs="Arial" w:eastAsia="Arial" w:hAnsi="Arial"/>
                <w:sz w:val="18"/>
                <w:szCs w:val="18"/>
                <w:color w:val="auto"/>
              </w:rPr>
              <w:t>[_______]</w:t>
            </w:r>
          </w:p>
        </w:tc>
      </w:tr>
      <w:tr>
        <w:trPr>
          <w:trHeight w:val="459"/>
        </w:trPr>
        <w:tc>
          <w:tcPr>
            <w:tcW w:w="286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8360" w:type="dxa"/>
            <w:vAlign w:val="bottom"/>
          </w:tcPr>
          <w:p>
            <w:pPr>
              <w:ind w:left="520"/>
              <w:spacing w:after="0"/>
              <w:rPr>
                <w:sz w:val="20"/>
                <w:szCs w:val="20"/>
                <w:color w:val="auto"/>
              </w:rPr>
            </w:pPr>
            <w:r>
              <w:rPr>
                <w:rFonts w:ascii="Arial" w:cs="Arial" w:eastAsia="Arial" w:hAnsi="Arial"/>
                <w:sz w:val="18"/>
                <w:szCs w:val="18"/>
                <w:color w:val="auto"/>
              </w:rPr>
              <w:t>$_____</w:t>
            </w:r>
          </w:p>
        </w:tc>
      </w:tr>
      <w:tr>
        <w:trPr>
          <w:trHeight w:val="459"/>
        </w:trPr>
        <w:tc>
          <w:tcPr>
            <w:tcW w:w="2860" w:type="dxa"/>
            <w:vAlign w:val="bottom"/>
          </w:tcPr>
          <w:p>
            <w:pPr>
              <w:spacing w:after="0"/>
              <w:rPr>
                <w:sz w:val="20"/>
                <w:szCs w:val="20"/>
                <w:color w:val="auto"/>
              </w:rPr>
            </w:pPr>
            <w:r>
              <w:rPr>
                <w:rFonts w:ascii="Arial" w:cs="Arial" w:eastAsia="Arial" w:hAnsi="Arial"/>
                <w:sz w:val="18"/>
                <w:szCs w:val="18"/>
                <w:color w:val="auto"/>
              </w:rPr>
              <w:t>Total Number of Shares Granted</w:t>
            </w:r>
          </w:p>
        </w:tc>
        <w:tc>
          <w:tcPr>
            <w:tcW w:w="8360" w:type="dxa"/>
            <w:vAlign w:val="bottom"/>
          </w:tcPr>
          <w:p>
            <w:pPr>
              <w:ind w:left="520"/>
              <w:spacing w:after="0"/>
              <w:rPr>
                <w:sz w:val="20"/>
                <w:szCs w:val="20"/>
                <w:color w:val="auto"/>
              </w:rPr>
            </w:pPr>
            <w:r>
              <w:rPr>
                <w:rFonts w:ascii="Arial" w:cs="Arial" w:eastAsia="Arial" w:hAnsi="Arial"/>
                <w:sz w:val="18"/>
                <w:szCs w:val="18"/>
                <w:color w:val="auto"/>
              </w:rPr>
              <w:t>______</w:t>
            </w:r>
          </w:p>
        </w:tc>
      </w:tr>
      <w:tr>
        <w:trPr>
          <w:trHeight w:val="459"/>
        </w:trPr>
        <w:tc>
          <w:tcPr>
            <w:tcW w:w="2860" w:type="dxa"/>
            <w:vAlign w:val="bottom"/>
          </w:tcPr>
          <w:p>
            <w:pPr>
              <w:spacing w:after="0"/>
              <w:rPr>
                <w:sz w:val="20"/>
                <w:szCs w:val="20"/>
                <w:color w:val="auto"/>
              </w:rPr>
            </w:pPr>
            <w:r>
              <w:rPr>
                <w:rFonts w:ascii="Arial" w:cs="Arial" w:eastAsia="Arial" w:hAnsi="Arial"/>
                <w:sz w:val="18"/>
                <w:szCs w:val="18"/>
                <w:color w:val="auto"/>
              </w:rPr>
              <w:t>Total Exercise Price</w:t>
            </w:r>
          </w:p>
        </w:tc>
        <w:tc>
          <w:tcPr>
            <w:tcW w:w="8360" w:type="dxa"/>
            <w:vAlign w:val="bottom"/>
          </w:tcPr>
          <w:p>
            <w:pPr>
              <w:ind w:left="520"/>
              <w:spacing w:after="0"/>
              <w:rPr>
                <w:sz w:val="20"/>
                <w:szCs w:val="20"/>
                <w:color w:val="auto"/>
              </w:rPr>
            </w:pPr>
            <w:r>
              <w:rPr>
                <w:rFonts w:ascii="Arial" w:cs="Arial" w:eastAsia="Arial" w:hAnsi="Arial"/>
                <w:sz w:val="18"/>
                <w:szCs w:val="18"/>
                <w:color w:val="auto"/>
              </w:rPr>
              <w:t>$_______</w:t>
            </w:r>
          </w:p>
        </w:tc>
      </w:tr>
      <w:tr>
        <w:trPr>
          <w:trHeight w:val="459"/>
        </w:trPr>
        <w:tc>
          <w:tcPr>
            <w:tcW w:w="2860" w:type="dxa"/>
            <w:vAlign w:val="bottom"/>
          </w:tcPr>
          <w:p>
            <w:pPr>
              <w:spacing w:after="0"/>
              <w:rPr>
                <w:sz w:val="20"/>
                <w:szCs w:val="20"/>
                <w:color w:val="auto"/>
              </w:rPr>
            </w:pPr>
            <w:r>
              <w:rPr>
                <w:rFonts w:ascii="Arial" w:cs="Arial" w:eastAsia="Arial" w:hAnsi="Arial"/>
                <w:sz w:val="18"/>
                <w:szCs w:val="18"/>
                <w:color w:val="auto"/>
              </w:rPr>
              <w:t>Type of Option:</w:t>
            </w:r>
          </w:p>
        </w:tc>
        <w:tc>
          <w:tcPr>
            <w:tcW w:w="8360" w:type="dxa"/>
            <w:vAlign w:val="bottom"/>
          </w:tcPr>
          <w:p>
            <w:pPr>
              <w:ind w:left="520"/>
              <w:spacing w:after="0"/>
              <w:rPr>
                <w:sz w:val="20"/>
                <w:szCs w:val="20"/>
                <w:color w:val="auto"/>
              </w:rPr>
            </w:pPr>
            <w:r>
              <w:rPr>
                <w:rFonts w:ascii="Arial" w:cs="Arial" w:eastAsia="Arial" w:hAnsi="Arial"/>
                <w:sz w:val="18"/>
                <w:szCs w:val="18"/>
                <w:color w:val="auto"/>
              </w:rPr>
              <w:t>Nonstatutory Stock Option</w:t>
            </w:r>
          </w:p>
        </w:tc>
      </w:tr>
      <w:tr>
        <w:trPr>
          <w:trHeight w:val="459"/>
        </w:trPr>
        <w:tc>
          <w:tcPr>
            <w:tcW w:w="2860" w:type="dxa"/>
            <w:vAlign w:val="bottom"/>
          </w:tcPr>
          <w:p>
            <w:pPr>
              <w:spacing w:after="0"/>
              <w:rPr>
                <w:sz w:val="20"/>
                <w:szCs w:val="20"/>
                <w:color w:val="auto"/>
              </w:rPr>
            </w:pPr>
            <w:r>
              <w:rPr>
                <w:rFonts w:ascii="Arial" w:cs="Arial" w:eastAsia="Arial" w:hAnsi="Arial"/>
                <w:sz w:val="18"/>
                <w:szCs w:val="18"/>
                <w:color w:val="auto"/>
              </w:rPr>
              <w:t>Term/Expiration Date:</w:t>
            </w:r>
          </w:p>
        </w:tc>
        <w:tc>
          <w:tcPr>
            <w:tcW w:w="8360" w:type="dxa"/>
            <w:vAlign w:val="bottom"/>
          </w:tcPr>
          <w:p>
            <w:pPr>
              <w:ind w:left="520"/>
              <w:spacing w:after="0"/>
              <w:rPr>
                <w:sz w:val="20"/>
                <w:szCs w:val="20"/>
                <w:color w:val="auto"/>
              </w:rPr>
            </w:pPr>
            <w:r>
              <w:rPr>
                <w:rFonts w:ascii="Arial" w:cs="Arial" w:eastAsia="Arial" w:hAnsi="Arial"/>
                <w:sz w:val="18"/>
                <w:szCs w:val="18"/>
                <w:color w:val="auto"/>
              </w:rPr>
              <w:t>10 years</w:t>
            </w:r>
          </w:p>
        </w:tc>
      </w:tr>
      <w:tr>
        <w:trPr>
          <w:trHeight w:val="445"/>
        </w:trPr>
        <w:tc>
          <w:tcPr>
            <w:tcW w:w="2860" w:type="dxa"/>
            <w:vAlign w:val="bottom"/>
          </w:tcPr>
          <w:p>
            <w:pPr>
              <w:spacing w:after="0"/>
              <w:rPr>
                <w:sz w:val="20"/>
                <w:szCs w:val="20"/>
                <w:color w:val="auto"/>
              </w:rPr>
            </w:pPr>
            <w:r>
              <w:rPr>
                <w:rFonts w:ascii="Arial" w:cs="Arial" w:eastAsia="Arial" w:hAnsi="Arial"/>
                <w:sz w:val="18"/>
                <w:szCs w:val="18"/>
                <w:color w:val="auto"/>
              </w:rPr>
              <w:t>Vesting Schedule:</w:t>
            </w:r>
          </w:p>
        </w:tc>
        <w:tc>
          <w:tcPr>
            <w:tcW w:w="8360" w:type="dxa"/>
            <w:vAlign w:val="bottom"/>
          </w:tcPr>
          <w:p>
            <w:pPr>
              <w:ind w:left="520"/>
              <w:spacing w:after="0"/>
              <w:rPr>
                <w:sz w:val="20"/>
                <w:szCs w:val="20"/>
                <w:color w:val="auto"/>
              </w:rPr>
            </w:pPr>
            <w:r>
              <w:rPr>
                <w:rFonts w:ascii="Arial" w:cs="Arial" w:eastAsia="Arial" w:hAnsi="Arial"/>
                <w:sz w:val="18"/>
                <w:szCs w:val="18"/>
                <w:color w:val="auto"/>
                <w:w w:val="94"/>
              </w:rPr>
              <w:t>[___] to vest on the first anniversary of the vesting commencement date; and thereafter [__] of remaining</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6"/>
              </w:rPr>
              <w:t>option shares to vest each month thereafter for [___] months; in each case subject to your Continuous</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89"/>
              </w:rPr>
              <w:t>Services through such vesting date and otherwise in accordance with the terms and conditions of the Plan (as</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0"/>
              </w:rPr>
              <w:t>defined below) and the Stock Option Agreement attached hereto. Shares to vest on any vesting date shall be</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4"/>
              </w:rPr>
              <w:t>rounded down to nearest whole number. Monthly installments shall take into effect prior rounding so that</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each monthly installment including the last installment is approximately the same. On the [____]</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89"/>
              </w:rPr>
              <w:t>anniversary of the vesting commencement date, assuming Continuous Service through each vesting date, the</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1"/>
              </w:rPr>
              <w:t>option shall be fully vested. Upon the termination of your employment by the Company for any reason other</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3"/>
              </w:rPr>
              <w:t>than for Cause within 6 months following the occurrence of a Corporate Transaction, all unvested options</w:t>
            </w:r>
          </w:p>
        </w:tc>
      </w:tr>
      <w:tr>
        <w:trPr>
          <w:trHeight w:val="230"/>
        </w:trPr>
        <w:tc>
          <w:tcPr>
            <w:tcW w:w="2860" w:type="dxa"/>
            <w:vAlign w:val="bottom"/>
          </w:tcPr>
          <w:p>
            <w:pPr>
              <w:spacing w:after="0"/>
              <w:rPr>
                <w:sz w:val="20"/>
                <w:szCs w:val="20"/>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shall immediately vest.</w:t>
            </w:r>
          </w:p>
        </w:tc>
      </w:tr>
      <w:tr>
        <w:trPr>
          <w:trHeight w:val="445"/>
        </w:trPr>
        <w:tc>
          <w:tcPr>
            <w:tcW w:w="2860" w:type="dxa"/>
            <w:vAlign w:val="bottom"/>
          </w:tcPr>
          <w:p>
            <w:pPr>
              <w:spacing w:after="0"/>
              <w:rPr>
                <w:sz w:val="24"/>
                <w:szCs w:val="24"/>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[Notwithstanding the foregoing, this option shall be subject to additional provisions relating to the</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1"/>
              </w:rPr>
              <w:t>acceleration of vesting of time-based vesting equity awards as set forth in Section [XX] of your Employment</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8"/>
              </w:rPr>
              <w:t>Agreement executed on [DATE] and effective [DATE] (your “Employment Agreement”), including the</w:t>
            </w:r>
          </w:p>
        </w:tc>
      </w:tr>
      <w:tr>
        <w:trPr>
          <w:trHeight w:val="216"/>
        </w:trPr>
        <w:tc>
          <w:tcPr>
            <w:tcW w:w="2860" w:type="dxa"/>
            <w:vAlign w:val="bottom"/>
          </w:tcPr>
          <w:p>
            <w:pPr>
              <w:spacing w:after="0"/>
              <w:rPr>
                <w:sz w:val="18"/>
                <w:szCs w:val="18"/>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w w:val="96"/>
              </w:rPr>
              <w:t>condition that you execute a release in form and substance reasonably satisfactory to the Company in</w:t>
            </w:r>
          </w:p>
        </w:tc>
      </w:tr>
      <w:tr>
        <w:trPr>
          <w:trHeight w:val="230"/>
        </w:trPr>
        <w:tc>
          <w:tcPr>
            <w:tcW w:w="2860" w:type="dxa"/>
            <w:vAlign w:val="bottom"/>
          </w:tcPr>
          <w:p>
            <w:pPr>
              <w:spacing w:after="0"/>
              <w:rPr>
                <w:sz w:val="20"/>
                <w:szCs w:val="20"/>
                <w:color w:val="auto"/>
              </w:rPr>
            </w:pPr>
          </w:p>
        </w:tc>
        <w:tc>
          <w:tcPr>
            <w:tcW w:w="8360" w:type="dxa"/>
            <w:vAlign w:val="bottom"/>
          </w:tcPr>
          <w:p>
            <w:pPr>
              <w:ind w:left="520"/>
              <w:spacing w:after="0"/>
              <w:rPr>
                <w:sz w:val="20"/>
                <w:szCs w:val="20"/>
                <w:color w:val="auto"/>
              </w:rPr>
            </w:pPr>
            <w:r>
              <w:rPr>
                <w:rFonts w:ascii="Arial" w:cs="Arial" w:eastAsia="Arial" w:hAnsi="Arial"/>
                <w:sz w:val="18"/>
                <w:szCs w:val="18"/>
                <w:color w:val="auto"/>
              </w:rPr>
              <w:t>connection with your termination of employment.]</w:t>
            </w:r>
            <w:r>
              <w:rPr>
                <w:rFonts w:ascii="Arial" w:cs="Arial" w:eastAsia="Arial" w:hAnsi="Arial"/>
                <w:sz w:val="15"/>
                <w:szCs w:val="15"/>
                <w:color w:val="auto"/>
              </w:rPr>
              <w:t>1</w:t>
            </w:r>
          </w:p>
        </w:tc>
      </w:tr>
    </w:tbl>
    <w:p>
      <w:pPr>
        <w:spacing w:after="0" w:line="391" w:lineRule="exact"/>
        <w:rPr>
          <w:sz w:val="20"/>
          <w:szCs w:val="20"/>
          <w:color w:val="auto"/>
        </w:rPr>
      </w:pPr>
    </w:p>
    <w:p>
      <w:pPr>
        <w:ind w:left="140" w:hanging="132"/>
        <w:spacing w:after="0"/>
        <w:tabs>
          <w:tab w:leader="none" w:pos="140" w:val="left"/>
        </w:tabs>
        <w:numPr>
          <w:ilvl w:val="0"/>
          <w:numId w:val="63"/>
        </w:numPr>
        <w:rPr>
          <w:rFonts w:ascii="Arial" w:cs="Arial" w:eastAsia="Arial" w:hAnsi="Arial"/>
          <w:sz w:val="15"/>
          <w:szCs w:val="15"/>
          <w:color w:val="auto"/>
        </w:rPr>
      </w:pPr>
      <w:r>
        <w:rPr>
          <w:rFonts w:ascii="Arial" w:cs="Arial" w:eastAsia="Arial" w:hAnsi="Arial"/>
          <w:sz w:val="18"/>
          <w:szCs w:val="18"/>
          <w:color w:val="auto"/>
        </w:rPr>
        <w:t>Add if Participant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4" w:name="page85"/>
    <w:bookmarkEnd w:id="84"/>
    <w:p>
      <w:pPr>
        <w:jc w:val="both"/>
        <w:ind w:left="3380" w:right="40"/>
        <w:spacing w:after="0" w:line="268" w:lineRule="auto"/>
        <w:rPr>
          <w:sz w:val="20"/>
          <w:szCs w:val="20"/>
          <w:color w:val="auto"/>
        </w:rPr>
      </w:pPr>
      <w:r>
        <w:rPr>
          <w:rFonts w:ascii="Arial" w:cs="Arial" w:eastAsia="Arial" w:hAnsi="Arial"/>
          <w:sz w:val="17"/>
          <w:szCs w:val="17"/>
          <w:color w:val="auto"/>
        </w:rPr>
        <w:t>[Notwithstanding the foregoing, this option shall be subject to additional provisions relating to acceleration of vesting of time-based vesting equity awards as set forth in the Non-Executive Officers Severance Benefit Plan (“Severance Plan”), if you incur a “Change in Control Termination” (as defined in the Severance Plan) and satisfy the requirements of the Severance Plan. For avoidance of doubt and notwithstanding anything in an employment offer letter to the contrary, this award</w:t>
      </w:r>
    </w:p>
    <w:p>
      <w:pPr>
        <w:spacing w:after="0" w:line="3" w:lineRule="exact"/>
        <w:rPr>
          <w:sz w:val="20"/>
          <w:szCs w:val="20"/>
          <w:color w:val="auto"/>
        </w:rPr>
      </w:pPr>
    </w:p>
    <w:p>
      <w:pPr>
        <w:ind w:left="3380"/>
        <w:spacing w:after="0" w:line="260" w:lineRule="auto"/>
        <w:rPr>
          <w:sz w:val="20"/>
          <w:szCs w:val="20"/>
          <w:color w:val="auto"/>
        </w:rPr>
      </w:pPr>
      <w:r>
        <w:rPr>
          <w:rFonts w:ascii="Arial" w:cs="Arial" w:eastAsia="Arial" w:hAnsi="Arial"/>
          <w:sz w:val="18"/>
          <w:szCs w:val="18"/>
          <w:color w:val="auto"/>
        </w:rPr>
        <w:t>and the Severance Plan reflect the sole agreement governing acceleration of vesting under this award upon a termination of continuous service.]</w:t>
      </w:r>
      <w:r>
        <w:rPr>
          <w:rFonts w:ascii="Arial" w:cs="Arial" w:eastAsia="Arial" w:hAnsi="Arial"/>
          <w:sz w:val="15"/>
          <w:szCs w:val="15"/>
          <w:color w:val="auto"/>
        </w:rPr>
        <w:t>2</w:t>
      </w:r>
    </w:p>
    <w:p>
      <w:pPr>
        <w:spacing w:after="0" w:line="212"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Termination Period:</w:t>
      </w:r>
      <w:r>
        <w:rPr>
          <w:sz w:val="20"/>
          <w:szCs w:val="20"/>
          <w:color w:val="auto"/>
        </w:rPr>
        <w:tab/>
      </w:r>
      <w:r>
        <w:rPr>
          <w:rFonts w:ascii="Arial" w:cs="Arial" w:eastAsia="Arial" w:hAnsi="Arial"/>
          <w:sz w:val="16"/>
          <w:szCs w:val="16"/>
          <w:color w:val="auto"/>
        </w:rPr>
        <w:t>Vested option may be exercised for up to 90 days after termination of Continuous Service.</w:t>
      </w:r>
    </w:p>
    <w:p>
      <w:pPr>
        <w:spacing w:after="0" w:line="252" w:lineRule="exact"/>
        <w:rPr>
          <w:sz w:val="20"/>
          <w:szCs w:val="20"/>
          <w:color w:val="auto"/>
        </w:rPr>
      </w:pPr>
    </w:p>
    <w:p>
      <w:pPr>
        <w:ind w:left="3380" w:right="40"/>
        <w:spacing w:after="0" w:line="255" w:lineRule="auto"/>
        <w:rPr>
          <w:sz w:val="20"/>
          <w:szCs w:val="20"/>
          <w:color w:val="auto"/>
        </w:rPr>
      </w:pPr>
      <w:r>
        <w:rPr>
          <w:rFonts w:ascii="Arial" w:cs="Arial" w:eastAsia="Arial" w:hAnsi="Arial"/>
          <w:sz w:val="18"/>
          <w:szCs w:val="18"/>
          <w:color w:val="auto"/>
        </w:rPr>
        <w:t>By your signature or your electronic acceptance of this option and the signature of the Company’s representative below, you and the Company agree that this option is granted under and governed by the terms and conditions of the Assembly Biosciences, Inc. 2020 Inducement Award Plan (the “Plan”) and the Stock Option Agreement, both of which are attached and made a part of this document. Capitalized terms used in this Notice of Stock Option Grant and not otherwise defined herein shall have the meaning assigned to such term in the Plan.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31750</wp:posOffset>
            </wp:positionV>
            <wp:extent cx="30943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6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OPTIONEE:</w:t>
      </w:r>
      <w:r>
        <w:rPr>
          <w:sz w:val="20"/>
          <w:szCs w:val="20"/>
          <w:color w:val="auto"/>
        </w:rPr>
        <w:tab/>
      </w:r>
      <w:r>
        <w:rPr>
          <w:rFonts w:ascii="Arial" w:cs="Arial" w:eastAsia="Arial" w:hAnsi="Arial"/>
          <w:sz w:val="18"/>
          <w:szCs w:val="18"/>
          <w:b w:val="1"/>
          <w:bCs w:val="1"/>
          <w:color w:val="auto"/>
        </w:rPr>
        <w:t>ASSEMBLY BIOSCIENCES, INC.</w:t>
      </w:r>
    </w:p>
    <w:p>
      <w:pPr>
        <w:spacing w:after="0" w:line="28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7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31750</wp:posOffset>
            </wp:positionV>
            <wp:extent cx="30600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hanging="132"/>
        <w:spacing w:after="0"/>
        <w:tabs>
          <w:tab w:leader="none" w:pos="140" w:val="left"/>
        </w:tabs>
        <w:numPr>
          <w:ilvl w:val="0"/>
          <w:numId w:val="64"/>
        </w:numPr>
        <w:rPr>
          <w:rFonts w:ascii="Arial" w:cs="Arial" w:eastAsia="Arial" w:hAnsi="Arial"/>
          <w:sz w:val="15"/>
          <w:szCs w:val="15"/>
          <w:color w:val="auto"/>
        </w:rPr>
      </w:pPr>
      <w:r>
        <w:rPr>
          <w:rFonts w:ascii="Arial" w:cs="Arial" w:eastAsia="Arial" w:hAnsi="Arial"/>
          <w:sz w:val="18"/>
          <w:szCs w:val="18"/>
          <w:color w:val="auto"/>
        </w:rPr>
        <w:t>Add if Participant is a Non-executive officer (VP,SVP)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9"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20214.53-825659</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2"/>
          <w:szCs w:val="22"/>
          <w:b w:val="1"/>
          <w:bCs w:val="1"/>
          <w:color w:val="auto"/>
        </w:rPr>
        <w:t>ASSEMBLY BIOSCIENCES, INC.</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282" w:lineRule="exact"/>
        <w:rPr>
          <w:sz w:val="20"/>
          <w:szCs w:val="20"/>
          <w:color w:val="auto"/>
        </w:rPr>
      </w:pPr>
    </w:p>
    <w:p>
      <w:pPr>
        <w:ind w:right="20" w:firstLine="872"/>
        <w:spacing w:after="0" w:line="279" w:lineRule="auto"/>
        <w:tabs>
          <w:tab w:leader="none" w:pos="167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Assembly Biosciences, Inc. (the “</w:t>
      </w:r>
      <w:r>
        <w:rPr>
          <w:rFonts w:ascii="Arial" w:cs="Arial" w:eastAsia="Arial" w:hAnsi="Arial"/>
          <w:sz w:val="19"/>
          <w:szCs w:val="19"/>
          <w:u w:val="single" w:color="auto"/>
          <w:color w:val="auto"/>
        </w:rPr>
        <w:t>Company</w:t>
      </w:r>
      <w:r>
        <w:rPr>
          <w:rFonts w:ascii="Arial" w:cs="Arial" w:eastAsia="Arial" w:hAnsi="Arial"/>
          <w:sz w:val="19"/>
          <w:szCs w:val="19"/>
          <w:color w:val="auto"/>
        </w:rPr>
        <w:t>”), hereby grants to the Optionee named in the Notice of Stock Option Grant (the “</w:t>
      </w:r>
      <w:r>
        <w:rPr>
          <w:rFonts w:ascii="Arial" w:cs="Arial" w:eastAsia="Arial" w:hAnsi="Arial"/>
          <w:sz w:val="19"/>
          <w:szCs w:val="19"/>
          <w:u w:val="single" w:color="auto"/>
          <w:color w:val="auto"/>
        </w:rPr>
        <w:t>Optionee</w:t>
      </w:r>
      <w:r>
        <w:rPr>
          <w:rFonts w:ascii="Arial" w:cs="Arial" w:eastAsia="Arial" w:hAnsi="Arial"/>
          <w:sz w:val="19"/>
          <w:szCs w:val="19"/>
          <w:color w:val="auto"/>
        </w:rPr>
        <w:t>”) an option (the “</w:t>
      </w:r>
      <w:r>
        <w:rPr>
          <w:rFonts w:ascii="Arial" w:cs="Arial" w:eastAsia="Arial" w:hAnsi="Arial"/>
          <w:sz w:val="19"/>
          <w:szCs w:val="19"/>
          <w:u w:val="single" w:color="auto"/>
          <w:color w:val="auto"/>
        </w:rPr>
        <w:t>Option</w:t>
      </w:r>
      <w:r>
        <w:rPr>
          <w:rFonts w:ascii="Arial" w:cs="Arial" w:eastAsia="Arial" w:hAnsi="Arial"/>
          <w:sz w:val="19"/>
          <w:szCs w:val="19"/>
          <w:color w:val="auto"/>
        </w:rPr>
        <w:t>”) to purchase a total number of shares of Common Stock (the “</w:t>
      </w:r>
      <w:r>
        <w:rPr>
          <w:rFonts w:ascii="Arial" w:cs="Arial" w:eastAsia="Arial" w:hAnsi="Arial"/>
          <w:sz w:val="19"/>
          <w:szCs w:val="19"/>
          <w:u w:val="single" w:color="auto"/>
          <w:color w:val="auto"/>
        </w:rPr>
        <w:t>Shares</w:t>
      </w:r>
      <w:r>
        <w:rPr>
          <w:rFonts w:ascii="Arial" w:cs="Arial" w:eastAsia="Arial" w:hAnsi="Arial"/>
          <w:sz w:val="19"/>
          <w:szCs w:val="19"/>
          <w:color w:val="auto"/>
        </w:rPr>
        <w:t>”) set forth in the Notice of Stock Option Grant, at the exercise price per share set forth in the Notice of Stock Option Grant (the “</w:t>
      </w:r>
      <w:r>
        <w:rPr>
          <w:rFonts w:ascii="Arial" w:cs="Arial" w:eastAsia="Arial" w:hAnsi="Arial"/>
          <w:sz w:val="19"/>
          <w:szCs w:val="19"/>
          <w:u w:val="single" w:color="auto"/>
          <w:color w:val="auto"/>
        </w:rPr>
        <w:t>Exercise Price</w:t>
      </w:r>
      <w:r>
        <w:rPr>
          <w:rFonts w:ascii="Arial" w:cs="Arial" w:eastAsia="Arial" w:hAnsi="Arial"/>
          <w:sz w:val="19"/>
          <w:szCs w:val="19"/>
          <w:color w:val="auto"/>
        </w:rPr>
        <w:t>”) subject to the terms, definitions and provisions of the Assembly Biosciences, Inc. 2020 Inducement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adopted by the Company, which is incorporated herein by reference. Unless otherwise defined herein, the terms defined in the Plan shall have the same defined meanings in this Option.</w:t>
      </w:r>
    </w:p>
    <w:p>
      <w:pPr>
        <w:spacing w:after="0" w:line="177" w:lineRule="exact"/>
        <w:rPr>
          <w:rFonts w:ascii="Arial" w:cs="Arial" w:eastAsia="Arial" w:hAnsi="Arial"/>
          <w:sz w:val="19"/>
          <w:szCs w:val="19"/>
          <w:color w:val="auto"/>
        </w:rPr>
      </w:pPr>
    </w:p>
    <w:p>
      <w:pPr>
        <w:ind w:right="80" w:firstLine="872"/>
        <w:spacing w:after="0" w:line="328" w:lineRule="auto"/>
        <w:tabs>
          <w:tab w:leader="none" w:pos="167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Exercise of Option</w:t>
      </w:r>
      <w:r>
        <w:rPr>
          <w:rFonts w:ascii="Arial" w:cs="Arial" w:eastAsia="Arial" w:hAnsi="Arial"/>
          <w:sz w:val="19"/>
          <w:szCs w:val="19"/>
          <w:color w:val="auto"/>
        </w:rPr>
        <w:t>. This Option shall be exercisable during its term in accordance with the Vesting Schedule set out in the Notice of Stock Option Grant and with the provisions of Sections 10 and 11 of the Plan as follows:</w:t>
      </w:r>
    </w:p>
    <w:p>
      <w:pPr>
        <w:spacing w:after="0" w:line="131" w:lineRule="exact"/>
        <w:rPr>
          <w:rFonts w:ascii="Arial" w:cs="Arial" w:eastAsia="Arial" w:hAnsi="Arial"/>
          <w:sz w:val="19"/>
          <w:szCs w:val="19"/>
          <w:color w:val="auto"/>
        </w:rPr>
      </w:pPr>
    </w:p>
    <w:p>
      <w:pPr>
        <w:ind w:left="2620" w:hanging="885"/>
        <w:spacing w:after="0"/>
        <w:tabs>
          <w:tab w:leader="none" w:pos="2620"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Right to Exercise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3300" w:hanging="845"/>
        <w:spacing w:after="0"/>
        <w:tabs>
          <w:tab w:leader="none" w:pos="3300" w:val="left"/>
        </w:tabs>
        <w:numPr>
          <w:ilvl w:val="2"/>
          <w:numId w:val="65"/>
        </w:numPr>
        <w:rPr>
          <w:rFonts w:ascii="Arial" w:cs="Arial" w:eastAsia="Arial" w:hAnsi="Arial"/>
          <w:sz w:val="22"/>
          <w:szCs w:val="22"/>
          <w:color w:val="auto"/>
        </w:rPr>
      </w:pPr>
      <w:r>
        <w:rPr>
          <w:rFonts w:ascii="Arial" w:cs="Arial" w:eastAsia="Arial" w:hAnsi="Arial"/>
          <w:sz w:val="22"/>
          <w:szCs w:val="22"/>
          <w:color w:val="auto"/>
        </w:rPr>
        <w:t>This Option may not be exercised for a fraction of a share.</w:t>
      </w:r>
    </w:p>
    <w:p>
      <w:pPr>
        <w:spacing w:after="0" w:line="233" w:lineRule="exact"/>
        <w:rPr>
          <w:rFonts w:ascii="Arial" w:cs="Arial" w:eastAsia="Arial" w:hAnsi="Arial"/>
          <w:sz w:val="22"/>
          <w:szCs w:val="22"/>
          <w:color w:val="auto"/>
        </w:rPr>
      </w:pPr>
    </w:p>
    <w:p>
      <w:pPr>
        <w:ind w:right="360" w:firstLine="2455"/>
        <w:spacing w:after="0" w:line="250" w:lineRule="auto"/>
        <w:tabs>
          <w:tab w:leader="none" w:pos="3359" w:val="left"/>
        </w:tabs>
        <w:numPr>
          <w:ilvl w:val="2"/>
          <w:numId w:val="65"/>
        </w:numPr>
        <w:rPr>
          <w:rFonts w:ascii="Arial" w:cs="Arial" w:eastAsia="Arial" w:hAnsi="Arial"/>
          <w:sz w:val="22"/>
          <w:szCs w:val="22"/>
          <w:color w:val="auto"/>
        </w:rPr>
      </w:pPr>
      <w:r>
        <w:rPr>
          <w:rFonts w:ascii="Arial" w:cs="Arial" w:eastAsia="Arial" w:hAnsi="Arial"/>
          <w:sz w:val="22"/>
          <w:szCs w:val="22"/>
          <w:color w:val="auto"/>
        </w:rPr>
        <w:t>In no event may this Option be exercised after the date of expiration of the term of this Option as set forth in the Notice of Stock Option Grant.</w:t>
      </w:r>
    </w:p>
    <w:p>
      <w:pPr>
        <w:spacing w:after="0" w:line="201" w:lineRule="exact"/>
        <w:rPr>
          <w:rFonts w:ascii="Arial" w:cs="Arial" w:eastAsia="Arial" w:hAnsi="Arial"/>
          <w:sz w:val="22"/>
          <w:szCs w:val="22"/>
          <w:color w:val="auto"/>
        </w:rPr>
      </w:pPr>
    </w:p>
    <w:p>
      <w:pPr>
        <w:ind w:firstLine="1735"/>
        <w:spacing w:after="0" w:line="233" w:lineRule="auto"/>
        <w:tabs>
          <w:tab w:leader="none" w:pos="2627"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Method of Exercise</w:t>
      </w:r>
      <w:r>
        <w:rPr>
          <w:rFonts w:ascii="Arial" w:cs="Arial" w:eastAsia="Arial" w:hAnsi="Arial"/>
          <w:sz w:val="22"/>
          <w:szCs w:val="22"/>
          <w:color w:val="auto"/>
        </w:rPr>
        <w:t xml:space="preserve">. This Option shall be exercisable by written notice (in the form attached hereto as </w:t>
      </w:r>
      <w:r>
        <w:rPr>
          <w:rFonts w:ascii="Arial" w:cs="Arial" w:eastAsia="Arial" w:hAnsi="Arial"/>
          <w:sz w:val="22"/>
          <w:szCs w:val="22"/>
          <w:b w:val="1"/>
          <w:bCs w:val="1"/>
          <w:i w:val="1"/>
          <w:iCs w:val="1"/>
          <w:color w:val="auto"/>
        </w:rPr>
        <w:t>Exhibit A</w:t>
      </w:r>
      <w:r>
        <w:rPr>
          <w:rFonts w:ascii="Arial" w:cs="Arial" w:eastAsia="Arial" w:hAnsi="Arial"/>
          <w:sz w:val="22"/>
          <w:szCs w:val="22"/>
          <w:color w:val="auto"/>
        </w:rPr>
        <w:t>) which shall state the election to exercise this Option, the number of Shares in respect of which this Option is being exercised, and such other representations and agreements as to the holder's investment intent with respect to such shares of Common Stock as may be required by the Company pursuant to the provisions of the Plan. Such written notice shall be signed by the Optionee and shall be delivered in person, by certified mail or electronic transmission (with confirmation of receipt) to the Secretary of the Company. The written notice shall be accompanied by payment of the Exercise Price. This Option shall be deemed to be exercised upon receipt by the Company of such written notice accompanied by the Exercise Price. Alternatively, this Option may be exercised through the Company’s online equity platform and in compliance with the procedures set forth therein.</w:t>
      </w:r>
    </w:p>
    <w:p>
      <w:pPr>
        <w:spacing w:after="0" w:line="220"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Notwithstanding anything to the contrary contained herein, you may not exercise your option unless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shares of Common Stock issuable upon such exercise are then registered under the Securities Act of 1933, as amended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or, if such shares of Common Stock are not then so registered, the Company has determined that such exercise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issuance would be exempt from the registration requirements of the Securities Act. The exercise of your option also must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comply with other applicable laws and regulations governing your option, and you may not exercise your option if the Company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determines that such exercise would not be in material compliance with such laws and regulations. No Shares will be issued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pursuant to the exercise of this Option unless such issuance and such exercise shall comply with all relevant provisions of law</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the requirements of any stock exchange upon which the Shares may then be listed. Assuming such compliance, for income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tax purposes the Shares shall be considered transferred to the Optionee on the date on which the Option is exercised with respect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 such Shares.</w:t>
      </w: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86" w:name="page87"/>
    <w:bookmarkEnd w:id="86"/>
    <w:p>
      <w:pPr>
        <w:ind w:right="680" w:firstLine="872"/>
        <w:spacing w:after="0" w:line="239" w:lineRule="auto"/>
        <w:tabs>
          <w:tab w:leader="none" w:pos="167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Method of Payment</w:t>
      </w:r>
      <w:r>
        <w:rPr>
          <w:rFonts w:ascii="Arial" w:cs="Arial" w:eastAsia="Arial" w:hAnsi="Arial"/>
          <w:sz w:val="22"/>
          <w:szCs w:val="22"/>
          <w:color w:val="auto"/>
        </w:rPr>
        <w:t>. Payment of the Exercise Price shall be by any of the following, or a combination thereof, at the election of the Optionee:</w:t>
      </w:r>
    </w:p>
    <w:p>
      <w:pPr>
        <w:ind w:left="2580" w:hanging="845"/>
        <w:spacing w:after="0"/>
        <w:tabs>
          <w:tab w:leader="none" w:pos="25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cash; or</w:t>
      </w:r>
    </w:p>
    <w:p>
      <w:pPr>
        <w:spacing w:after="0" w:line="215" w:lineRule="exact"/>
        <w:rPr>
          <w:rFonts w:ascii="Arial" w:cs="Arial" w:eastAsia="Arial" w:hAnsi="Arial"/>
          <w:sz w:val="22"/>
          <w:szCs w:val="22"/>
          <w:color w:val="auto"/>
        </w:rPr>
      </w:pPr>
    </w:p>
    <w:p>
      <w:pPr>
        <w:ind w:left="2640" w:hanging="905"/>
        <w:spacing w:after="0"/>
        <w:tabs>
          <w:tab w:leader="none" w:pos="26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check; or</w:t>
      </w:r>
    </w:p>
    <w:p>
      <w:pPr>
        <w:spacing w:after="0" w:line="233" w:lineRule="exact"/>
        <w:rPr>
          <w:rFonts w:ascii="Arial" w:cs="Arial" w:eastAsia="Arial" w:hAnsi="Arial"/>
          <w:sz w:val="22"/>
          <w:szCs w:val="22"/>
          <w:color w:val="auto"/>
        </w:rPr>
      </w:pPr>
    </w:p>
    <w:p>
      <w:pPr>
        <w:ind w:right="200" w:firstLine="1735"/>
        <w:spacing w:after="0" w:line="250" w:lineRule="auto"/>
        <w:tabs>
          <w:tab w:leader="none" w:pos="2699" w:val="left"/>
        </w:tabs>
        <w:numPr>
          <w:ilvl w:val="1"/>
          <w:numId w:val="66"/>
        </w:numPr>
        <w:rPr>
          <w:rFonts w:ascii="Arial" w:cs="Arial" w:eastAsia="Arial" w:hAnsi="Arial"/>
          <w:sz w:val="22"/>
          <w:szCs w:val="22"/>
          <w:color w:val="auto"/>
        </w:rPr>
      </w:pPr>
      <w:r>
        <w:rPr>
          <w:rFonts w:ascii="Arial" w:cs="Arial" w:eastAsia="Arial" w:hAnsi="Arial"/>
          <w:sz w:val="22"/>
          <w:szCs w:val="22"/>
          <w:color w:val="auto"/>
        </w:rPr>
        <w:t>surrender of other shares of Common Stock of the Company, or attestation of ownership of such shares, as described in Section 7(b)(iv) of the Plan; or</w:t>
      </w:r>
    </w:p>
    <w:p>
      <w:pPr>
        <w:spacing w:after="0" w:line="201" w:lineRule="exact"/>
        <w:rPr>
          <w:rFonts w:ascii="Arial" w:cs="Arial" w:eastAsia="Arial" w:hAnsi="Arial"/>
          <w:sz w:val="22"/>
          <w:szCs w:val="22"/>
          <w:color w:val="auto"/>
        </w:rPr>
      </w:pPr>
    </w:p>
    <w:p>
      <w:pPr>
        <w:ind w:left="2700" w:hanging="965"/>
        <w:spacing w:after="0"/>
        <w:tabs>
          <w:tab w:leader="none" w:pos="27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“net exercise” as described in Section 7(b)(vi) of the Plan; or</w:t>
      </w:r>
    </w:p>
    <w:p>
      <w:pPr>
        <w:spacing w:after="0" w:line="233" w:lineRule="exact"/>
        <w:rPr>
          <w:rFonts w:ascii="Arial" w:cs="Arial" w:eastAsia="Arial" w:hAnsi="Arial"/>
          <w:sz w:val="22"/>
          <w:szCs w:val="22"/>
          <w:color w:val="auto"/>
        </w:rPr>
      </w:pPr>
    </w:p>
    <w:p>
      <w:pPr>
        <w:ind w:left="2640" w:hanging="905"/>
        <w:spacing w:after="0"/>
        <w:tabs>
          <w:tab w:leader="none" w:pos="26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a broker-assisted exercise as described in Section 7(b)(v) of the Plan; or</w:t>
      </w:r>
    </w:p>
    <w:p>
      <w:pPr>
        <w:spacing w:after="0" w:line="233" w:lineRule="exact"/>
        <w:rPr>
          <w:rFonts w:ascii="Arial" w:cs="Arial" w:eastAsia="Arial" w:hAnsi="Arial"/>
          <w:sz w:val="22"/>
          <w:szCs w:val="22"/>
          <w:color w:val="auto"/>
        </w:rPr>
      </w:pPr>
    </w:p>
    <w:p>
      <w:pPr>
        <w:ind w:left="2700" w:hanging="965"/>
        <w:spacing w:after="0"/>
        <w:tabs>
          <w:tab w:leader="none" w:pos="2700" w:val="left"/>
        </w:tabs>
        <w:numPr>
          <w:ilvl w:val="1"/>
          <w:numId w:val="66"/>
        </w:numPr>
        <w:rPr>
          <w:rFonts w:ascii="Arial" w:cs="Arial" w:eastAsia="Arial" w:hAnsi="Arial"/>
          <w:sz w:val="22"/>
          <w:szCs w:val="22"/>
          <w:color w:val="auto"/>
        </w:rPr>
      </w:pPr>
      <w:r>
        <w:rPr>
          <w:rFonts w:ascii="Arial" w:cs="Arial" w:eastAsia="Arial" w:hAnsi="Arial"/>
          <w:sz w:val="22"/>
          <w:szCs w:val="22"/>
          <w:color w:val="auto"/>
        </w:rPr>
        <w:t>any combination of the foregoing methods of payment.</w:t>
      </w:r>
    </w:p>
    <w:p>
      <w:pPr>
        <w:spacing w:after="0" w:line="233" w:lineRule="exact"/>
        <w:rPr>
          <w:rFonts w:ascii="Arial" w:cs="Arial" w:eastAsia="Arial" w:hAnsi="Arial"/>
          <w:sz w:val="22"/>
          <w:szCs w:val="22"/>
          <w:color w:val="auto"/>
        </w:rPr>
      </w:pPr>
    </w:p>
    <w:p>
      <w:pPr>
        <w:ind w:right="120" w:firstLine="872"/>
        <w:spacing w:after="0"/>
        <w:tabs>
          <w:tab w:leader="none" w:pos="167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Nontransferability of Option</w:t>
      </w:r>
      <w:r>
        <w:rPr>
          <w:rFonts w:ascii="Arial" w:cs="Arial" w:eastAsia="Arial" w:hAnsi="Arial"/>
          <w:sz w:val="22"/>
          <w:szCs w:val="22"/>
          <w:color w:val="auto"/>
        </w:rPr>
        <w:t>. This Option may not be transferred in any manner other than as set forth in the Plan. The terms of this Option shall be binding upon the executors, administrators, heirs, successors transferees and assigns of the Optionee as if such persons were the Optionee.</w:t>
      </w:r>
    </w:p>
    <w:p>
      <w:pPr>
        <w:spacing w:after="0" w:line="213" w:lineRule="exact"/>
        <w:rPr>
          <w:rFonts w:ascii="Arial" w:cs="Arial" w:eastAsia="Arial" w:hAnsi="Arial"/>
          <w:sz w:val="22"/>
          <w:szCs w:val="22"/>
          <w:color w:val="auto"/>
        </w:rPr>
      </w:pPr>
    </w:p>
    <w:p>
      <w:pPr>
        <w:ind w:firstLine="872"/>
        <w:spacing w:after="0" w:line="236" w:lineRule="auto"/>
        <w:tabs>
          <w:tab w:leader="none" w:pos="167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Termination of Relationship</w:t>
      </w:r>
      <w:r>
        <w:rPr>
          <w:rFonts w:ascii="Arial" w:cs="Arial" w:eastAsia="Arial" w:hAnsi="Arial"/>
          <w:sz w:val="22"/>
          <w:szCs w:val="22"/>
          <w:color w:val="auto"/>
        </w:rPr>
        <w:t>. In the event of termination of Optionee's Continuous Service with the Company, Optionee may, to the extent otherwise so entitled at the date of such termination (the “</w:t>
      </w:r>
      <w:r>
        <w:rPr>
          <w:rFonts w:ascii="Arial" w:cs="Arial" w:eastAsia="Arial" w:hAnsi="Arial"/>
          <w:sz w:val="22"/>
          <w:szCs w:val="22"/>
          <w:u w:val="single" w:color="auto"/>
          <w:color w:val="auto"/>
        </w:rPr>
        <w:t>Termination Date</w:t>
      </w:r>
      <w:r>
        <w:rPr>
          <w:rFonts w:ascii="Arial" w:cs="Arial" w:eastAsia="Arial" w:hAnsi="Arial"/>
          <w:sz w:val="22"/>
          <w:szCs w:val="22"/>
          <w:color w:val="auto"/>
        </w:rPr>
        <w:t>”), exercise this Option during the Termination Period set out in the Notice of Stock Option Grant. To the extent that the Optionee was not entitled to exercise this Option at the date of such termination, or if Optionee does not exercise this Option within the time specified herein, this Option shall terminate.</w:t>
      </w:r>
    </w:p>
    <w:p>
      <w:pPr>
        <w:spacing w:after="0" w:line="214" w:lineRule="exact"/>
        <w:rPr>
          <w:rFonts w:ascii="Arial" w:cs="Arial" w:eastAsia="Arial" w:hAnsi="Arial"/>
          <w:sz w:val="22"/>
          <w:szCs w:val="22"/>
          <w:color w:val="auto"/>
        </w:rPr>
      </w:pPr>
    </w:p>
    <w:p>
      <w:pPr>
        <w:ind w:right="400" w:firstLine="872"/>
        <w:spacing w:after="0" w:line="328" w:lineRule="auto"/>
        <w:tabs>
          <w:tab w:leader="none" w:pos="167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Term of Option</w:t>
      </w:r>
      <w:r>
        <w:rPr>
          <w:rFonts w:ascii="Arial" w:cs="Arial" w:eastAsia="Arial" w:hAnsi="Arial"/>
          <w:sz w:val="19"/>
          <w:szCs w:val="19"/>
          <w:color w:val="auto"/>
        </w:rPr>
        <w:t>. This Option may be exercised only within the term set out in the Notice of Stock Option Grant and the Plan, and may be exercised during such term only in accordance with the Plan and the terms of this Option.</w:t>
      </w:r>
    </w:p>
    <w:p>
      <w:pPr>
        <w:spacing w:after="0" w:line="131" w:lineRule="exact"/>
        <w:rPr>
          <w:rFonts w:ascii="Arial" w:cs="Arial" w:eastAsia="Arial" w:hAnsi="Arial"/>
          <w:sz w:val="19"/>
          <w:szCs w:val="19"/>
          <w:color w:val="auto"/>
        </w:rPr>
      </w:pPr>
    </w:p>
    <w:p>
      <w:pPr>
        <w:ind w:right="140" w:firstLine="872"/>
        <w:spacing w:after="0" w:line="279" w:lineRule="auto"/>
        <w:tabs>
          <w:tab w:leader="none" w:pos="167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Disability of Optionee</w:t>
      </w:r>
      <w:r>
        <w:rPr>
          <w:rFonts w:ascii="Arial" w:cs="Arial" w:eastAsia="Arial" w:hAnsi="Arial"/>
          <w:sz w:val="19"/>
          <w:szCs w:val="19"/>
          <w:color w:val="auto"/>
        </w:rPr>
        <w:t>. Notwithstanding the provisions of Section 5 above, in the event of termination of Optionee’s Continuous Service as a result of Optionee’s Disability, Optionee may, but only within twelve (12) months from the date of termination of Continuous Service (but in no event later than the date of expiration of the term of this Option as set forth in the Notice of Stock Option Grant), exercise this Option to the extent Optionee was entitled to exercise it at the Termination Date. To the extent that Optionee was not entitled to exercise this Option at the Termination Date, or if Optionee does not exercise such Option (which Optionee was entitled to exercise) within the time specified herein, this Option shall terminate.</w:t>
      </w:r>
    </w:p>
    <w:p>
      <w:pPr>
        <w:spacing w:after="0" w:line="177" w:lineRule="exact"/>
        <w:rPr>
          <w:rFonts w:ascii="Arial" w:cs="Arial" w:eastAsia="Arial" w:hAnsi="Arial"/>
          <w:sz w:val="19"/>
          <w:szCs w:val="19"/>
          <w:color w:val="auto"/>
        </w:rPr>
      </w:pPr>
    </w:p>
    <w:p>
      <w:pPr>
        <w:ind w:right="140" w:firstLine="872"/>
        <w:spacing w:after="0" w:line="282" w:lineRule="auto"/>
        <w:tabs>
          <w:tab w:leader="none" w:pos="167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Death of Optionee</w:t>
      </w:r>
      <w:r>
        <w:rPr>
          <w:rFonts w:ascii="Arial" w:cs="Arial" w:eastAsia="Arial" w:hAnsi="Arial"/>
          <w:sz w:val="19"/>
          <w:szCs w:val="19"/>
          <w:color w:val="auto"/>
        </w:rPr>
        <w:t>. In the event of the death of the Optionee during the Optionee’s Continuous Service or within ninety (90) days of termination of such Continuous Service, this Option may be exercised at any time within twelve (12) months following the Termination Date (but in no event later than the date of expiration of the term of this Option as set forth in the Notice of Stock Option Grant), by Optionee’s estate or by a person who acquired the right to exercise this Option by bequest or inheritance, but only to the extent of the right to exercise that Optionee was entitled to at the date of death.</w:t>
      </w:r>
    </w:p>
    <w:p>
      <w:pPr>
        <w:spacing w:after="0" w:line="299"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20214.53-825659</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87" w:name="page88"/>
    <w:bookmarkEnd w:id="87"/>
    <w:p>
      <w:pPr>
        <w:ind w:firstLine="872"/>
        <w:spacing w:after="0" w:line="246" w:lineRule="auto"/>
        <w:tabs>
          <w:tab w:leader="none" w:pos="1674"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Taxation Upon Exercise of Option</w:t>
      </w:r>
      <w:r>
        <w:rPr>
          <w:rFonts w:ascii="Arial" w:cs="Arial" w:eastAsia="Arial" w:hAnsi="Arial"/>
          <w:sz w:val="21"/>
          <w:szCs w:val="21"/>
          <w:color w:val="auto"/>
        </w:rPr>
        <w:t>. Pursuant to Section 9 of the Plan, the Company may require the Optionee to pay to the Company amounts necessary to satisfy any applicable Company withholding obligations. The Optionee shall satisfy Optionee’s tax withholding obligation arising upon the exercise of this Option by one or some combination of the following methods: (i) by cash payment, or (ii) out of Optionee's current compensation, or (iii) if permitted by the Board or Committee, in its discretion, by surrendering to the Company already-owned Shares or by directing the Company to withhold shares otherwise to be transferred to the Optionee, in each case in accordance with Section 9(b) of the Plan. For this purpose, the fair market value of the Shares to be withheld shall be determined on the date that the amount of tax to be withheld is to be determined (the “</w:t>
      </w:r>
      <w:r>
        <w:rPr>
          <w:rFonts w:ascii="Arial" w:cs="Arial" w:eastAsia="Arial" w:hAnsi="Arial"/>
          <w:sz w:val="21"/>
          <w:szCs w:val="21"/>
          <w:u w:val="single" w:color="auto"/>
          <w:color w:val="auto"/>
        </w:rPr>
        <w:t>Tax</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w:t>
      </w:r>
    </w:p>
    <w:p>
      <w:pPr>
        <w:spacing w:after="0" w:line="207" w:lineRule="exact"/>
        <w:rPr>
          <w:sz w:val="20"/>
          <w:szCs w:val="20"/>
          <w:color w:val="auto"/>
        </w:rPr>
      </w:pPr>
    </w:p>
    <w:p>
      <w:pPr>
        <w:ind w:right="160" w:firstLine="864"/>
        <w:spacing w:after="0" w:line="249" w:lineRule="exact"/>
        <w:rPr>
          <w:sz w:val="20"/>
          <w:szCs w:val="20"/>
          <w:color w:val="auto"/>
        </w:rPr>
      </w:pPr>
      <w:r>
        <w:rPr>
          <w:rFonts w:ascii="Arial" w:cs="Arial" w:eastAsia="Arial" w:hAnsi="Arial"/>
          <w:sz w:val="21"/>
          <w:szCs w:val="21"/>
          <w:color w:val="auto"/>
        </w:rPr>
        <w:t>If the Optionee is subject to Section 16 of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(an “</w:t>
      </w:r>
      <w:r>
        <w:rPr>
          <w:rFonts w:ascii="Arial" w:cs="Arial" w:eastAsia="Arial" w:hAnsi="Arial"/>
          <w:sz w:val="21"/>
          <w:szCs w:val="21"/>
          <w:u w:val="single" w:color="auto"/>
          <w:color w:val="auto"/>
        </w:rPr>
        <w:t>Insider</w:t>
      </w:r>
      <w:r>
        <w:rPr>
          <w:rFonts w:ascii="Arial" w:cs="Arial" w:eastAsia="Arial" w:hAnsi="Arial"/>
          <w:sz w:val="21"/>
          <w:szCs w:val="21"/>
          <w:color w:val="auto"/>
        </w:rPr>
        <w:t>”), any surrender of previously owned Shares to satisfy tax withholding obligations arising upon exercise of this Option must comply with the applicable provisions of Rule 16b</w:t>
      </w:r>
      <w:r>
        <w:rPr>
          <w:rFonts w:ascii="MS PGothic" w:cs="MS PGothic" w:eastAsia="MS PGothic" w:hAnsi="MS PGothic"/>
          <w:sz w:val="21"/>
          <w:szCs w:val="21"/>
          <w:color w:val="auto"/>
        </w:rPr>
        <w:t>‑</w:t>
      </w:r>
      <w:r>
        <w:rPr>
          <w:rFonts w:ascii="Arial" w:cs="Arial" w:eastAsia="Arial" w:hAnsi="Arial"/>
          <w:sz w:val="21"/>
          <w:szCs w:val="21"/>
          <w:color w:val="auto"/>
        </w:rPr>
        <w:t>3 promulgated under the Exchange Act (“</w:t>
      </w:r>
      <w:r>
        <w:rPr>
          <w:rFonts w:ascii="Arial" w:cs="Arial" w:eastAsia="Arial" w:hAnsi="Arial"/>
          <w:sz w:val="21"/>
          <w:szCs w:val="21"/>
          <w:u w:val="single" w:color="auto"/>
          <w:color w:val="auto"/>
        </w:rPr>
        <w:t>Rule 16b-3</w:t>
      </w:r>
      <w:r>
        <w:rPr>
          <w:rFonts w:ascii="Arial" w:cs="Arial" w:eastAsia="Arial" w:hAnsi="Arial"/>
          <w:sz w:val="21"/>
          <w:szCs w:val="21"/>
          <w:color w:val="auto"/>
        </w:rPr>
        <w:t>”) and shall be subject to such additional conditions or restrictions as may be required thereunder to qualify for the maximum exemption from Section 16 of the Exchange Act with respect to Plan transactions.</w:t>
      </w:r>
    </w:p>
    <w:p>
      <w:pPr>
        <w:spacing w:after="0" w:line="215" w:lineRule="exact"/>
        <w:rPr>
          <w:sz w:val="20"/>
          <w:szCs w:val="20"/>
          <w:color w:val="auto"/>
        </w:rPr>
      </w:pPr>
    </w:p>
    <w:p>
      <w:pPr>
        <w:ind w:right="100" w:firstLine="864"/>
        <w:spacing w:after="0" w:line="250" w:lineRule="auto"/>
        <w:rPr>
          <w:sz w:val="20"/>
          <w:szCs w:val="20"/>
          <w:color w:val="auto"/>
        </w:rPr>
      </w:pPr>
      <w:r>
        <w:rPr>
          <w:rFonts w:ascii="Arial" w:cs="Arial" w:eastAsia="Arial" w:hAnsi="Arial"/>
          <w:sz w:val="22"/>
          <w:szCs w:val="22"/>
          <w:color w:val="auto"/>
        </w:rPr>
        <w:t>All elections by an Optionee to have Shares withheld to satisfy tax-withholding obligations shall be made in writing in a form acceptable to the Committee and shall be subject to the following restrictions:</w:t>
      </w:r>
    </w:p>
    <w:p>
      <w:pPr>
        <w:spacing w:after="0" w:line="202" w:lineRule="exact"/>
        <w:rPr>
          <w:sz w:val="20"/>
          <w:szCs w:val="20"/>
          <w:color w:val="auto"/>
        </w:rPr>
      </w:pPr>
    </w:p>
    <w:p>
      <w:pPr>
        <w:ind w:left="3780" w:hanging="892"/>
        <w:spacing w:after="0"/>
        <w:tabs>
          <w:tab w:leader="none" w:pos="37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election must be made on or prior to the applicable Tax Date;</w:t>
      </w:r>
    </w:p>
    <w:p>
      <w:pPr>
        <w:spacing w:after="0" w:line="233" w:lineRule="exact"/>
        <w:rPr>
          <w:rFonts w:ascii="Arial" w:cs="Arial" w:eastAsia="Arial" w:hAnsi="Arial"/>
          <w:sz w:val="22"/>
          <w:szCs w:val="22"/>
          <w:color w:val="auto"/>
        </w:rPr>
      </w:pPr>
    </w:p>
    <w:p>
      <w:pPr>
        <w:ind w:left="3780" w:hanging="892"/>
        <w:spacing w:after="0"/>
        <w:tabs>
          <w:tab w:leader="none" w:pos="37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once made, the election shall be irrevocable as to the particular Shares of this Option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as to which the election is made;</w:t>
      </w:r>
    </w:p>
    <w:p>
      <w:pPr>
        <w:spacing w:after="0" w:line="215" w:lineRule="exact"/>
        <w:rPr>
          <w:sz w:val="20"/>
          <w:szCs w:val="20"/>
          <w:color w:val="auto"/>
        </w:rPr>
      </w:pPr>
    </w:p>
    <w:p>
      <w:pPr>
        <w:ind w:left="3780" w:hanging="892"/>
        <w:spacing w:after="0"/>
        <w:tabs>
          <w:tab w:leader="none" w:pos="3780" w:val="left"/>
        </w:tabs>
        <w:numPr>
          <w:ilvl w:val="2"/>
          <w:numId w:val="69"/>
        </w:numPr>
        <w:rPr>
          <w:rFonts w:ascii="Arial" w:cs="Arial" w:eastAsia="Arial" w:hAnsi="Arial"/>
          <w:sz w:val="19"/>
          <w:szCs w:val="19"/>
          <w:color w:val="auto"/>
        </w:rPr>
      </w:pPr>
      <w:r>
        <w:rPr>
          <w:rFonts w:ascii="Arial" w:cs="Arial" w:eastAsia="Arial" w:hAnsi="Arial"/>
          <w:sz w:val="19"/>
          <w:szCs w:val="19"/>
          <w:color w:val="auto"/>
        </w:rPr>
        <w:t>all elections shall be subject to the consent or disapproval of the Board or Committee;</w:t>
      </w:r>
    </w:p>
    <w:p>
      <w:pPr>
        <w:spacing w:after="0" w:line="267" w:lineRule="exact"/>
        <w:rPr>
          <w:rFonts w:ascii="Arial" w:cs="Arial" w:eastAsia="Arial" w:hAnsi="Arial"/>
          <w:sz w:val="19"/>
          <w:szCs w:val="19"/>
          <w:color w:val="auto"/>
        </w:rPr>
      </w:pPr>
    </w:p>
    <w:p>
      <w:pPr>
        <w:ind w:right="100" w:firstLine="2888"/>
        <w:spacing w:after="0" w:line="253" w:lineRule="exact"/>
        <w:tabs>
          <w:tab w:leader="none" w:pos="3780" w:val="left"/>
        </w:tabs>
        <w:numPr>
          <w:ilvl w:val="2"/>
          <w:numId w:val="69"/>
        </w:numPr>
        <w:rPr>
          <w:rFonts w:ascii="Arial" w:cs="Arial" w:eastAsia="Arial" w:hAnsi="Arial"/>
          <w:sz w:val="21"/>
          <w:szCs w:val="21"/>
          <w:color w:val="auto"/>
        </w:rPr>
      </w:pPr>
      <w:r>
        <w:rPr>
          <w:rFonts w:ascii="Arial" w:cs="Arial" w:eastAsia="Arial" w:hAnsi="Arial"/>
          <w:sz w:val="21"/>
          <w:szCs w:val="21"/>
          <w:color w:val="auto"/>
        </w:rPr>
        <w:t>if the Optionee is an Insider, the election must comply with the applicable provisions of Rule 16b</w:t>
      </w:r>
      <w:r>
        <w:rPr>
          <w:rFonts w:ascii="MS PGothic" w:cs="MS PGothic" w:eastAsia="MS PGothic" w:hAnsi="MS PGothic"/>
          <w:sz w:val="21"/>
          <w:szCs w:val="21"/>
          <w:color w:val="auto"/>
        </w:rPr>
        <w:t>‑</w:t>
      </w:r>
      <w:r>
        <w:rPr>
          <w:rFonts w:ascii="Arial" w:cs="Arial" w:eastAsia="Arial" w:hAnsi="Arial"/>
          <w:sz w:val="21"/>
          <w:szCs w:val="21"/>
          <w:color w:val="auto"/>
        </w:rPr>
        <w:t>3 and shall be subject to such additional conditions or restrictions as may be required thereunder to qualify for the maximum exemption from Section 16 of the Exchange Act with respect to Plan transactions.</w:t>
      </w:r>
    </w:p>
    <w:p>
      <w:pPr>
        <w:spacing w:after="0" w:line="214" w:lineRule="exact"/>
        <w:rPr>
          <w:rFonts w:ascii="Arial" w:cs="Arial" w:eastAsia="Arial" w:hAnsi="Arial"/>
          <w:sz w:val="21"/>
          <w:szCs w:val="21"/>
          <w:color w:val="auto"/>
        </w:rPr>
      </w:pPr>
    </w:p>
    <w:p>
      <w:pPr>
        <w:ind w:right="260" w:firstLine="872"/>
        <w:spacing w:after="0" w:line="287" w:lineRule="auto"/>
        <w:tabs>
          <w:tab w:leader="none" w:pos="1782"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Set forth below is a brief summary as of the date of this Option of some of the federal tax consequences of exercise of this Option and disposition of the Shares. THIS SUMMARY IS NECESSARILY INCOMPLETE, AND THE TAX LAWS AND REGULATIONS ARE SUBJECT TO CHANGE. OPTIONEE SHOULD CONSULT A TAX ADVISER BEFORE EXERCISING THIS OPTION OR DISPOSING OF THE SHARES.</w:t>
      </w:r>
    </w:p>
    <w:p>
      <w:pPr>
        <w:spacing w:after="0" w:line="169" w:lineRule="exact"/>
        <w:rPr>
          <w:rFonts w:ascii="Arial" w:cs="Arial" w:eastAsia="Arial" w:hAnsi="Arial"/>
          <w:sz w:val="19"/>
          <w:szCs w:val="19"/>
          <w:color w:val="auto"/>
        </w:rPr>
      </w:pPr>
    </w:p>
    <w:p>
      <w:pPr>
        <w:ind w:right="20" w:firstLine="1735"/>
        <w:spacing w:after="0" w:line="234" w:lineRule="auto"/>
        <w:tabs>
          <w:tab w:leader="none" w:pos="2615" w:val="left"/>
        </w:tabs>
        <w:numPr>
          <w:ilvl w:val="1"/>
          <w:numId w:val="70"/>
        </w:numPr>
        <w:rPr>
          <w:rFonts w:ascii="Arial" w:cs="Arial" w:eastAsia="Arial" w:hAnsi="Arial"/>
          <w:sz w:val="22"/>
          <w:szCs w:val="22"/>
          <w:color w:val="auto"/>
        </w:rPr>
      </w:pPr>
      <w:r>
        <w:rPr>
          <w:rFonts w:ascii="Arial" w:cs="Arial" w:eastAsia="Arial" w:hAnsi="Arial"/>
          <w:sz w:val="22"/>
          <w:szCs w:val="22"/>
          <w:u w:val="single" w:color="auto"/>
          <w:color w:val="auto"/>
        </w:rPr>
        <w:t>Exercise of Nonstatutory Stock Option</w:t>
      </w:r>
      <w:r>
        <w:rPr>
          <w:rFonts w:ascii="Arial" w:cs="Arial" w:eastAsia="Arial" w:hAnsi="Arial"/>
          <w:sz w:val="22"/>
          <w:szCs w:val="22"/>
          <w:color w:val="auto"/>
        </w:rPr>
        <w:t>. There may be a regular federal income tax liability and a state income tax liability upon the exercise of this Option. The Optionee will be treated as having received compensation income (taxable at ordinary income tax rates) equal to the excess, if any, of the fair market value of the Shares on the date of exercise over the Exercise Price and the Company will qualify for a deduction in the same amount, subject to the requirement that the compensation be reasonable. If Optionee is an employee, the Company will be required to withhold from Optionee’s compensation or collect from Optionee and pay to the applicable taxing authorities an amount equal to a percentage of this compensation income at the time of exercise.</w:t>
      </w:r>
    </w:p>
    <w:p>
      <w:pPr>
        <w:spacing w:after="0" w:line="342"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20214.53-825659</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88" w:name="page89"/>
    <w:bookmarkEnd w:id="88"/>
    <w:p>
      <w:pPr>
        <w:ind w:right="220" w:firstLine="1735"/>
        <w:spacing w:after="0" w:line="250" w:lineRule="auto"/>
        <w:tabs>
          <w:tab w:leader="none" w:pos="2627" w:val="left"/>
        </w:tabs>
        <w:numPr>
          <w:ilvl w:val="1"/>
          <w:numId w:val="71"/>
        </w:numPr>
        <w:rPr>
          <w:rFonts w:ascii="Arial" w:cs="Arial" w:eastAsia="Arial" w:hAnsi="Arial"/>
          <w:sz w:val="22"/>
          <w:szCs w:val="22"/>
          <w:color w:val="auto"/>
        </w:rPr>
      </w:pPr>
      <w:r>
        <w:rPr>
          <w:rFonts w:ascii="Arial" w:cs="Arial" w:eastAsia="Arial" w:hAnsi="Arial"/>
          <w:sz w:val="22"/>
          <w:szCs w:val="22"/>
          <w:u w:val="single" w:color="auto"/>
          <w:color w:val="auto"/>
        </w:rPr>
        <w:t>Disposition of Shares</w:t>
      </w:r>
      <w:r>
        <w:rPr>
          <w:rFonts w:ascii="Arial" w:cs="Arial" w:eastAsia="Arial" w:hAnsi="Arial"/>
          <w:sz w:val="22"/>
          <w:szCs w:val="22"/>
          <w:color w:val="auto"/>
        </w:rPr>
        <w:t>. If Shares are held for at least one year, any gain realized on disposition of the Shares will be treated as long-term capital gain for federal income tax purposes.</w:t>
      </w:r>
    </w:p>
    <w:p>
      <w:pPr>
        <w:spacing w:after="0" w:line="201" w:lineRule="exact"/>
        <w:rPr>
          <w:rFonts w:ascii="Arial" w:cs="Arial" w:eastAsia="Arial" w:hAnsi="Arial"/>
          <w:sz w:val="22"/>
          <w:szCs w:val="22"/>
          <w:color w:val="auto"/>
        </w:rPr>
      </w:pPr>
    </w:p>
    <w:p>
      <w:pPr>
        <w:ind w:right="40" w:firstLine="872"/>
        <w:spacing w:after="0" w:line="252" w:lineRule="auto"/>
        <w:tabs>
          <w:tab w:leader="none" w:pos="1774"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Company may assign any of its rights under this Stock Option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transferees and assigns.</w:t>
      </w:r>
    </w:p>
    <w:p>
      <w:pPr>
        <w:spacing w:after="0" w:line="200" w:lineRule="exact"/>
        <w:rPr>
          <w:rFonts w:ascii="Arial" w:cs="Arial" w:eastAsia="Arial" w:hAnsi="Arial"/>
          <w:sz w:val="21"/>
          <w:szCs w:val="21"/>
          <w:color w:val="auto"/>
        </w:rPr>
      </w:pPr>
    </w:p>
    <w:p>
      <w:pPr>
        <w:ind w:right="40" w:firstLine="872"/>
        <w:spacing w:after="0" w:line="238" w:lineRule="auto"/>
        <w:tabs>
          <w:tab w:leader="none" w:pos="178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Interpretation</w:t>
      </w:r>
      <w:r>
        <w:rPr>
          <w:rFonts w:ascii="Arial" w:cs="Arial" w:eastAsia="Arial" w:hAnsi="Arial"/>
          <w:sz w:val="22"/>
          <w:szCs w:val="22"/>
          <w:color w:val="auto"/>
        </w:rPr>
        <w:t>. Any dispute regarding the interpretation of this Agreement shall be submitted by Optionee or by the Company forthwith to the Company's Board of Directors or the Committee that administers the Plan, which shall review such dispute at its next regular meeting. The resolution of such a dispute by the Board or committee shall be final and binding on the Company and on Optionee.</w:t>
      </w:r>
    </w:p>
    <w:p>
      <w:pPr>
        <w:spacing w:after="0" w:line="211" w:lineRule="exact"/>
        <w:rPr>
          <w:rFonts w:ascii="Arial" w:cs="Arial" w:eastAsia="Arial" w:hAnsi="Arial"/>
          <w:sz w:val="22"/>
          <w:szCs w:val="22"/>
          <w:color w:val="auto"/>
        </w:rPr>
      </w:pPr>
    </w:p>
    <w:p>
      <w:pPr>
        <w:ind w:right="160" w:firstLine="872"/>
        <w:spacing w:after="0" w:line="238" w:lineRule="auto"/>
        <w:tabs>
          <w:tab w:leader="none" w:pos="1782"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Governing Law; Severability</w:t>
      </w:r>
      <w:r>
        <w:rPr>
          <w:rFonts w:ascii="Arial" w:cs="Arial" w:eastAsia="Arial" w:hAnsi="Arial"/>
          <w:sz w:val="22"/>
          <w:szCs w:val="22"/>
          <w:color w:val="auto"/>
        </w:rPr>
        <w:t>. This Agreement shall be governed by and construed in accordance with the laws of the State of Delaware excluding that body of law pertaining to conflicts of law. Should any provision of this Agreement be determined by a court of law to be illegal or unenforceable, the other provisions shall nevertheless remain effective and shall remain enforceable.</w:t>
      </w:r>
    </w:p>
    <w:p>
      <w:pPr>
        <w:spacing w:after="0" w:line="211" w:lineRule="exact"/>
        <w:rPr>
          <w:rFonts w:ascii="Arial" w:cs="Arial" w:eastAsia="Arial" w:hAnsi="Arial"/>
          <w:sz w:val="22"/>
          <w:szCs w:val="22"/>
          <w:color w:val="auto"/>
        </w:rPr>
      </w:pPr>
    </w:p>
    <w:p>
      <w:pPr>
        <w:ind w:firstLine="872"/>
        <w:spacing w:after="0" w:line="246" w:lineRule="auto"/>
        <w:tabs>
          <w:tab w:leader="none" w:pos="1782"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 required or permitted hereunder shall be given in writing and shall be deemed effectively given upon receipt or three (3) days after deposit in the United States mail by certified mail, with postage and fees prepaid, addressed to in the case of the Company at its corporate headquarters and in the case of Optionee at the last address Optionee provided to the Company. Notwithstanding the foregoing, the Company may, in its sole discretion, decide to deliver any documents related to participation in the Plan and this option by electronic means or to request your consent to participate in the Plan by electronic means. You hereby consent to receive such documents by electronic delivery and, if requested, to agree to participate in the Plan through an on-line or electronic system established and maintained by the Company or another third party designated by the Company.</w:t>
      </w:r>
    </w:p>
    <w:p>
      <w:pPr>
        <w:spacing w:after="0" w:line="206" w:lineRule="exact"/>
        <w:rPr>
          <w:rFonts w:ascii="Arial" w:cs="Arial" w:eastAsia="Arial" w:hAnsi="Arial"/>
          <w:sz w:val="21"/>
          <w:szCs w:val="21"/>
          <w:color w:val="auto"/>
        </w:rPr>
      </w:pPr>
    </w:p>
    <w:p>
      <w:pPr>
        <w:ind w:left="1780" w:hanging="908"/>
        <w:spacing w:after="0"/>
        <w:tabs>
          <w:tab w:leader="none" w:pos="178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Option Not a Service Contract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0" w:firstLine="1735"/>
        <w:spacing w:after="0" w:line="273" w:lineRule="auto"/>
        <w:tabs>
          <w:tab w:leader="none" w:pos="2615" w:val="left"/>
        </w:tabs>
        <w:numPr>
          <w:ilvl w:val="1"/>
          <w:numId w:val="72"/>
        </w:numPr>
        <w:rPr>
          <w:rFonts w:ascii="Arial" w:cs="Arial" w:eastAsia="Arial" w:hAnsi="Arial"/>
          <w:sz w:val="19"/>
          <w:szCs w:val="19"/>
          <w:color w:val="auto"/>
        </w:rPr>
      </w:pPr>
      <w:r>
        <w:rPr>
          <w:rFonts w:ascii="Arial" w:cs="Arial" w:eastAsia="Arial" w:hAnsi="Arial"/>
          <w:sz w:val="19"/>
          <w:szCs w:val="19"/>
          <w:color w:val="auto"/>
        </w:rPr>
        <w:t>Your Continuous Service with the Company or a Related Entity is not for any specified term and may be terminated by you or by the Company or a Related Entity at any time, for any reason, with or without cause and with or without notice. Nothing in this Agreement (including, but not limited to, the vesting of your Option pursuant to the schedule set forth in the Notice of Stock Option Grant or the issuance of the shares upon exercise of your option), the Plan or any covenant of good faith and fair dealing that may be found implicit in this Agreement or the Plan shall: (i) confer upon you any right to continue in the employ of, or affiliation with, the Company or a Related Entity; (ii) constitute any promise or commitment by the Company or a Related Entity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w:t>
      </w:r>
    </w:p>
    <w:p>
      <w:pPr>
        <w:spacing w:after="0" w:line="312"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20214.53-825659</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9" w:name="page90"/>
    <w:bookmarkEnd w:id="89"/>
    <w:p>
      <w:pPr>
        <w:ind w:right="60" w:firstLine="1735"/>
        <w:spacing w:after="0" w:line="272" w:lineRule="auto"/>
        <w:tabs>
          <w:tab w:leader="none" w:pos="2627" w:val="left"/>
        </w:tabs>
        <w:numPr>
          <w:ilvl w:val="1"/>
          <w:numId w:val="73"/>
        </w:numPr>
        <w:rPr>
          <w:rFonts w:ascii="Arial" w:cs="Arial" w:eastAsia="Arial" w:hAnsi="Arial"/>
          <w:sz w:val="19"/>
          <w:szCs w:val="19"/>
          <w:color w:val="auto"/>
        </w:rPr>
      </w:pPr>
      <w:r>
        <w:rPr>
          <w:rFonts w:ascii="Arial" w:cs="Arial" w:eastAsia="Arial" w:hAnsi="Arial"/>
          <w:sz w:val="19"/>
          <w:szCs w:val="19"/>
          <w:color w:val="auto"/>
        </w:rPr>
        <w:t>By accepting this Option, you acknowledge and agree that, subject to Section 8(b) of your Employment Agreement (as defined in the Notice of Stock Option Grant), the right to continue vesting in this Option pursuant to the schedule set forth in Notice of Stock Option Grant is earned only by Continuous Service (not through the act of being hired, being granted this option or any other award or benefit) and that the Company has the right to reorganize, sell, spin-out or otherwise restructure one or more of its businesses or Related Entity at any time or from time to time, as it deems appropriate (a “</w:t>
      </w:r>
      <w:r>
        <w:rPr>
          <w:rFonts w:ascii="Arial" w:cs="Arial" w:eastAsia="Arial" w:hAnsi="Arial"/>
          <w:sz w:val="19"/>
          <w:szCs w:val="19"/>
          <w:u w:val="single" w:color="auto"/>
          <w:color w:val="auto"/>
        </w:rPr>
        <w:t>reorganization</w:t>
      </w:r>
      <w:r>
        <w:rPr>
          <w:rFonts w:ascii="Arial" w:cs="Arial" w:eastAsia="Arial" w:hAnsi="Arial"/>
          <w:sz w:val="19"/>
          <w:szCs w:val="19"/>
          <w:color w:val="auto"/>
        </w:rPr>
        <w:t>”). You further acknowledge and agree that such a reorganization could result in the termination of your Continuous Service, or the termination of Related Entity status of your employer and the loss of benefits available to you under this Agreement, including but not limited to, the termination of the right to continue vesting in the option (subject to Section 8(b) of your Employment Agreement).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your right or the Company’s right to terminate your Continuous Service at any time, with or without Cause and with or without notice.</w:t>
      </w:r>
    </w:p>
    <w:p>
      <w:pPr>
        <w:spacing w:after="0" w:line="182" w:lineRule="exact"/>
        <w:rPr>
          <w:rFonts w:ascii="Arial" w:cs="Arial" w:eastAsia="Arial" w:hAnsi="Arial"/>
          <w:sz w:val="19"/>
          <w:szCs w:val="19"/>
          <w:color w:val="auto"/>
        </w:rPr>
      </w:pPr>
    </w:p>
    <w:p>
      <w:pPr>
        <w:ind w:right="80" w:firstLine="872"/>
        <w:spacing w:after="0" w:line="250" w:lineRule="auto"/>
        <w:tabs>
          <w:tab w:leader="none" w:pos="1782"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Further Instruments</w:t>
      </w:r>
      <w:r>
        <w:rPr>
          <w:rFonts w:ascii="Arial" w:cs="Arial" w:eastAsia="Arial" w:hAnsi="Arial"/>
          <w:sz w:val="22"/>
          <w:szCs w:val="22"/>
          <w:color w:val="auto"/>
        </w:rPr>
        <w:t>. The parties agree to execute such further instruments and to take such further action as may be reasonably necessary to carry out the purposes and intent of this Agreement.</w:t>
      </w:r>
    </w:p>
    <w:p>
      <w:pPr>
        <w:spacing w:after="0" w:line="201" w:lineRule="exact"/>
        <w:rPr>
          <w:rFonts w:ascii="Arial" w:cs="Arial" w:eastAsia="Arial" w:hAnsi="Arial"/>
          <w:sz w:val="22"/>
          <w:szCs w:val="22"/>
          <w:color w:val="auto"/>
        </w:rPr>
      </w:pPr>
    </w:p>
    <w:p>
      <w:pPr>
        <w:ind w:firstLine="872"/>
        <w:spacing w:after="0" w:line="277" w:lineRule="auto"/>
        <w:tabs>
          <w:tab w:leader="none" w:pos="1782"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2020 Inducement Award Plan</w:t>
      </w:r>
      <w:r>
        <w:rPr>
          <w:rFonts w:ascii="Arial" w:cs="Arial" w:eastAsia="Arial" w:hAnsi="Arial"/>
          <w:sz w:val="19"/>
          <w:szCs w:val="19"/>
          <w:color w:val="auto"/>
        </w:rPr>
        <w:t>. This Option shall be subject to and governed by the terms and conditions of the Plan in all respects, and to the extent of any inconsistency between this Option and the terms of the Plan, the terms of the Plan will control. Optionee acknowledges receipt of a copy of the Plan and represents that Optionee is familiar with the terms and provisions thereof, and hereby accepts this Option subject to all of the terms and provisions thereof. Optionee has reviewed the Plan and this Option in their entirety, has had an opportunity to obtain the advice of counsel prior to executing this Option and fully understands all provisions of this Option. Optionee hereby agrees to accept as binding, conclusive and final all decisions or interpretations of the Board or Committee upon any questions arising under the Plan or this Option.</w:t>
      </w:r>
    </w:p>
    <w:p>
      <w:pPr>
        <w:spacing w:after="0" w:line="178" w:lineRule="exact"/>
        <w:rPr>
          <w:rFonts w:ascii="Arial" w:cs="Arial" w:eastAsia="Arial" w:hAnsi="Arial"/>
          <w:sz w:val="19"/>
          <w:szCs w:val="19"/>
          <w:color w:val="auto"/>
        </w:rPr>
      </w:pPr>
    </w:p>
    <w:p>
      <w:pPr>
        <w:ind w:left="1780" w:hanging="908"/>
        <w:spacing w:after="0"/>
        <w:tabs>
          <w:tab w:leader="none" w:pos="1780"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Other Documents</w:t>
      </w:r>
      <w:r>
        <w:rPr>
          <w:rFonts w:ascii="Arial" w:cs="Arial" w:eastAsia="Arial" w:hAnsi="Arial"/>
          <w:sz w:val="19"/>
          <w:szCs w:val="19"/>
          <w:color w:val="auto"/>
        </w:rPr>
        <w:t>. You acknowledge receipt of the Company’s insider trading policy and agree to comply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600" w:val="left"/>
        </w:tabs>
        <w:rPr>
          <w:sz w:val="20"/>
          <w:szCs w:val="20"/>
          <w:color w:val="auto"/>
        </w:rPr>
      </w:pPr>
      <w:r>
        <w:rPr>
          <w:rFonts w:ascii="Arial" w:cs="Arial" w:eastAsia="Arial" w:hAnsi="Arial"/>
          <w:sz w:val="14"/>
          <w:szCs w:val="14"/>
          <w:color w:val="auto"/>
        </w:rPr>
        <w:t>20214.53-825659</w:t>
      </w:r>
      <w:r>
        <w:rPr>
          <w:sz w:val="20"/>
          <w:szCs w:val="20"/>
          <w:color w:val="auto"/>
        </w:rPr>
        <w:tab/>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ASSEMBLY BIOSCIENCES, INC.</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EXERCISE NOTICE</w:t>
      </w:r>
      <w:r>
        <w:rPr>
          <w:rFonts w:ascii="Arial" w:cs="Arial" w:eastAsia="Arial" w:hAnsi="Arial"/>
          <w:sz w:val="18"/>
          <w:szCs w:val="18"/>
          <w:b w:val="1"/>
          <w:bCs w:val="1"/>
          <w:color w:val="auto"/>
        </w:rPr>
        <w:t>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Assembly Biosciences, Inc.</w:t>
      </w:r>
    </w:p>
    <w:p>
      <w:pPr>
        <w:spacing w:after="0" w:line="238" w:lineRule="auto"/>
        <w:rPr>
          <w:sz w:val="20"/>
          <w:szCs w:val="20"/>
          <w:color w:val="auto"/>
        </w:rPr>
      </w:pPr>
      <w:r>
        <w:rPr>
          <w:rFonts w:ascii="Arial" w:cs="Arial" w:eastAsia="Arial" w:hAnsi="Arial"/>
          <w:sz w:val="22"/>
          <w:szCs w:val="22"/>
          <w:color w:val="auto"/>
        </w:rPr>
        <w:t>___________________________</w:t>
      </w:r>
    </w:p>
    <w:p>
      <w:pPr>
        <w:spacing w:after="0" w:line="230" w:lineRule="auto"/>
        <w:rPr>
          <w:sz w:val="20"/>
          <w:szCs w:val="20"/>
          <w:color w:val="auto"/>
        </w:rPr>
      </w:pPr>
      <w:r>
        <w:rPr>
          <w:rFonts w:ascii="Arial" w:cs="Arial" w:eastAsia="Arial" w:hAnsi="Arial"/>
          <w:sz w:val="22"/>
          <w:szCs w:val="22"/>
          <w:color w:val="auto"/>
        </w:rPr>
        <w:t>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Secretary</w:t>
      </w:r>
    </w:p>
    <w:p>
      <w:pPr>
        <w:spacing w:after="0" w:line="215" w:lineRule="exact"/>
        <w:rPr>
          <w:sz w:val="20"/>
          <w:szCs w:val="20"/>
          <w:color w:val="auto"/>
        </w:rPr>
      </w:pPr>
    </w:p>
    <w:p>
      <w:pPr>
        <w:ind w:right="40" w:firstLine="872"/>
        <w:spacing w:after="0" w:line="248" w:lineRule="auto"/>
        <w:tabs>
          <w:tab w:leader="none" w:pos="1674"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 Effective as of today, the undersigned (“</w:t>
      </w:r>
      <w:r>
        <w:rPr>
          <w:rFonts w:ascii="Arial" w:cs="Arial" w:eastAsia="Arial" w:hAnsi="Arial"/>
          <w:sz w:val="21"/>
          <w:szCs w:val="21"/>
          <w:u w:val="single" w:color="auto"/>
          <w:color w:val="auto"/>
        </w:rPr>
        <w:t>Optionee</w:t>
      </w:r>
      <w:r>
        <w:rPr>
          <w:rFonts w:ascii="Arial" w:cs="Arial" w:eastAsia="Arial" w:hAnsi="Arial"/>
          <w:sz w:val="21"/>
          <w:szCs w:val="21"/>
          <w:color w:val="auto"/>
        </w:rPr>
        <w:t>”) hereby elects to exercise Optionee's option to purchase _____________ shares of the Common Stock (the “</w:t>
      </w:r>
      <w:r>
        <w:rPr>
          <w:rFonts w:ascii="Arial" w:cs="Arial" w:eastAsia="Arial" w:hAnsi="Arial"/>
          <w:sz w:val="21"/>
          <w:szCs w:val="21"/>
          <w:u w:val="single" w:color="auto"/>
          <w:color w:val="auto"/>
        </w:rPr>
        <w:t>Shares</w:t>
      </w:r>
      <w:r>
        <w:rPr>
          <w:rFonts w:ascii="Arial" w:cs="Arial" w:eastAsia="Arial" w:hAnsi="Arial"/>
          <w:sz w:val="21"/>
          <w:szCs w:val="21"/>
          <w:color w:val="auto"/>
        </w:rPr>
        <w:t>”) of Assembly Biosciences, Inc. (the “</w:t>
      </w:r>
      <w:r>
        <w:rPr>
          <w:rFonts w:ascii="Arial" w:cs="Arial" w:eastAsia="Arial" w:hAnsi="Arial"/>
          <w:sz w:val="21"/>
          <w:szCs w:val="21"/>
          <w:u w:val="single" w:color="auto"/>
          <w:color w:val="auto"/>
        </w:rPr>
        <w:t>Company</w:t>
      </w:r>
      <w:r>
        <w:rPr>
          <w:rFonts w:ascii="Arial" w:cs="Arial" w:eastAsia="Arial" w:hAnsi="Arial"/>
          <w:sz w:val="21"/>
          <w:szCs w:val="21"/>
          <w:color w:val="auto"/>
        </w:rPr>
        <w:t>”) under and pursuant to the Company's 2020 Inducement Award Plan (as amended from time to time, the “</w:t>
      </w:r>
      <w:r>
        <w:rPr>
          <w:rFonts w:ascii="Arial" w:cs="Arial" w:eastAsia="Arial" w:hAnsi="Arial"/>
          <w:sz w:val="21"/>
          <w:szCs w:val="21"/>
          <w:u w:val="single" w:color="auto"/>
          <w:color w:val="auto"/>
        </w:rPr>
        <w:t>Plan</w:t>
      </w:r>
      <w:r>
        <w:rPr>
          <w:rFonts w:ascii="Arial" w:cs="Arial" w:eastAsia="Arial" w:hAnsi="Arial"/>
          <w:sz w:val="21"/>
          <w:szCs w:val="21"/>
          <w:color w:val="auto"/>
        </w:rPr>
        <w:t>”) and the Notice of Stock Option Grant dated __________, 20___ with its attached Stock Option Agreement (the “</w:t>
      </w:r>
      <w:r>
        <w:rPr>
          <w:rFonts w:ascii="Arial" w:cs="Arial" w:eastAsia="Arial" w:hAnsi="Arial"/>
          <w:sz w:val="21"/>
          <w:szCs w:val="21"/>
          <w:u w:val="single" w:color="auto"/>
          <w:color w:val="auto"/>
        </w:rPr>
        <w:t>Option Agreement</w:t>
      </w:r>
      <w:r>
        <w:rPr>
          <w:rFonts w:ascii="Arial" w:cs="Arial" w:eastAsia="Arial" w:hAnsi="Arial"/>
          <w:sz w:val="21"/>
          <w:szCs w:val="21"/>
          <w:color w:val="auto"/>
        </w:rPr>
        <w:t>”). The purchase price for the Shares shall be $__________ as required by this Option Agreement. Optionee herewith delivers to the Company the full Exercise Price for the Shares.</w:t>
      </w:r>
    </w:p>
    <w:p>
      <w:pPr>
        <w:spacing w:after="0" w:line="203" w:lineRule="exact"/>
        <w:rPr>
          <w:rFonts w:ascii="Arial" w:cs="Arial" w:eastAsia="Arial" w:hAnsi="Arial"/>
          <w:sz w:val="21"/>
          <w:szCs w:val="21"/>
          <w:color w:val="auto"/>
        </w:rPr>
      </w:pPr>
    </w:p>
    <w:p>
      <w:pPr>
        <w:jc w:val="both"/>
        <w:ind w:right="320" w:firstLine="872"/>
        <w:spacing w:after="0" w:line="238" w:lineRule="auto"/>
        <w:tabs>
          <w:tab w:leader="none" w:pos="167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Representations of Optionee</w:t>
      </w:r>
      <w:r>
        <w:rPr>
          <w:rFonts w:ascii="Arial" w:cs="Arial" w:eastAsia="Arial" w:hAnsi="Arial"/>
          <w:sz w:val="22"/>
          <w:szCs w:val="22"/>
          <w:color w:val="auto"/>
        </w:rPr>
        <w:t>. Optionee acknowledges that Optionee has received, read and understood the Plan and this Option Agreement and agrees to abide by and be bound by their terms and conditions. Optionee represents that Optionee is purchasing the Shares for Optionee's own account for investment and not with a view to, or for sale in connection with, a distribution of any of such Shares.</w:t>
      </w:r>
    </w:p>
    <w:p>
      <w:pPr>
        <w:spacing w:after="0" w:line="211" w:lineRule="exact"/>
        <w:rPr>
          <w:rFonts w:ascii="Arial" w:cs="Arial" w:eastAsia="Arial" w:hAnsi="Arial"/>
          <w:sz w:val="22"/>
          <w:szCs w:val="22"/>
          <w:color w:val="auto"/>
        </w:rPr>
      </w:pPr>
    </w:p>
    <w:p>
      <w:pPr>
        <w:ind w:firstLine="872"/>
        <w:spacing w:after="0" w:line="287" w:lineRule="auto"/>
        <w:tabs>
          <w:tab w:leader="none" w:pos="1674"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Rights as Stockholder</w:t>
      </w:r>
      <w:r>
        <w:rPr>
          <w:rFonts w:ascii="Arial" w:cs="Arial" w:eastAsia="Arial" w:hAnsi="Arial"/>
          <w:sz w:val="19"/>
          <w:szCs w:val="19"/>
          <w:color w:val="auto"/>
        </w:rPr>
        <w:t>. Until the stock certificate evidencing such Shares is issued (as evidenced by the appropriate entry on the books of the Company or of a duly authorized transfer agent of the Company), no right to vote or receive dividends or any other rights as a stockholder shall exist with respect to the optioned Shares, notwithstanding the exercise of the Option. The Company shall issue (or cause to be issued) such stock certificate promptly after the Option is exercised.</w:t>
      </w:r>
    </w:p>
    <w:p>
      <w:pPr>
        <w:spacing w:after="0" w:line="169" w:lineRule="exact"/>
        <w:rPr>
          <w:rFonts w:ascii="Arial" w:cs="Arial" w:eastAsia="Arial" w:hAnsi="Arial"/>
          <w:sz w:val="19"/>
          <w:szCs w:val="19"/>
          <w:color w:val="auto"/>
        </w:rPr>
      </w:pPr>
    </w:p>
    <w:p>
      <w:pPr>
        <w:ind w:right="360" w:firstLine="872"/>
        <w:spacing w:after="0" w:line="238" w:lineRule="auto"/>
        <w:tabs>
          <w:tab w:leader="none" w:pos="1674"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211" w:lineRule="exact"/>
        <w:rPr>
          <w:rFonts w:ascii="Arial" w:cs="Arial" w:eastAsia="Arial" w:hAnsi="Arial"/>
          <w:sz w:val="22"/>
          <w:szCs w:val="22"/>
          <w:color w:val="auto"/>
        </w:rPr>
      </w:pPr>
    </w:p>
    <w:p>
      <w:pPr>
        <w:jc w:val="both"/>
        <w:ind w:right="180" w:firstLine="872"/>
        <w:spacing w:after="0" w:line="252" w:lineRule="auto"/>
        <w:tabs>
          <w:tab w:leader="none" w:pos="1674"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The Plan and the Option Agreement are incorporated herein by reference. This Exercise Notice, the Plan and the Option Agreement shall constitute the entire agreement of the parties and supersede in their entirety all prior undertakings and agreements of the Company and Optionee with respect to the subject matter hereof, and is governed by Delaware law except for that body of law pertaining to conflict of laws.</w:t>
      </w:r>
    </w:p>
    <w:p>
      <w:pPr>
        <w:spacing w:after="0" w:line="127" w:lineRule="exact"/>
        <w:rPr>
          <w:sz w:val="20"/>
          <w:szCs w:val="20"/>
          <w:color w:val="auto"/>
        </w:rPr>
      </w:pPr>
    </w:p>
    <w:p>
      <w:pPr>
        <w:ind w:left="140" w:hanging="132"/>
        <w:spacing w:after="0"/>
        <w:tabs>
          <w:tab w:leader="none" w:pos="140" w:val="left"/>
        </w:tabs>
        <w:numPr>
          <w:ilvl w:val="0"/>
          <w:numId w:val="76"/>
        </w:numPr>
        <w:rPr>
          <w:rFonts w:ascii="Arial" w:cs="Arial" w:eastAsia="Arial" w:hAnsi="Arial"/>
          <w:sz w:val="15"/>
          <w:szCs w:val="15"/>
          <w:color w:val="auto"/>
        </w:rPr>
      </w:pPr>
      <w:r>
        <w:rPr>
          <w:rFonts w:ascii="Arial" w:cs="Arial" w:eastAsia="Arial" w:hAnsi="Arial"/>
          <w:sz w:val="18"/>
          <w:szCs w:val="18"/>
          <w:color w:val="auto"/>
        </w:rPr>
        <w:t>Exercises may be effected through the Company’s online equity award platform in lieu of this Exercise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74"/>
        </w:trPr>
        <w:tc>
          <w:tcPr>
            <w:tcW w:w="5880" w:type="dxa"/>
            <w:vAlign w:val="bottom"/>
            <w:gridSpan w:val="3"/>
          </w:tcPr>
          <w:p>
            <w:pPr>
              <w:spacing w:after="0"/>
              <w:rPr>
                <w:sz w:val="20"/>
                <w:szCs w:val="20"/>
                <w:color w:val="auto"/>
              </w:rPr>
            </w:pPr>
            <w:r>
              <w:rPr>
                <w:rFonts w:ascii="Arial" w:cs="Arial" w:eastAsia="Arial" w:hAnsi="Arial"/>
                <w:sz w:val="22"/>
                <w:szCs w:val="22"/>
                <w:color w:val="auto"/>
              </w:rPr>
              <w:t>Submitted by:</w:t>
            </w:r>
          </w:p>
        </w:tc>
        <w:tc>
          <w:tcPr>
            <w:tcW w:w="5360" w:type="dxa"/>
            <w:vAlign w:val="bottom"/>
            <w:gridSpan w:val="2"/>
          </w:tcPr>
          <w:p>
            <w:pPr>
              <w:spacing w:after="0"/>
              <w:rPr>
                <w:sz w:val="20"/>
                <w:szCs w:val="20"/>
                <w:color w:val="auto"/>
              </w:rPr>
            </w:pPr>
            <w:r>
              <w:rPr>
                <w:rFonts w:ascii="Arial" w:cs="Arial" w:eastAsia="Arial" w:hAnsi="Arial"/>
                <w:sz w:val="22"/>
                <w:szCs w:val="22"/>
                <w:color w:val="auto"/>
              </w:rPr>
              <w:t>Accepted by:</w:t>
            </w:r>
          </w:p>
        </w:tc>
      </w:tr>
      <w:tr>
        <w:trPr>
          <w:trHeight w:val="486"/>
        </w:trPr>
        <w:tc>
          <w:tcPr>
            <w:tcW w:w="5880" w:type="dxa"/>
            <w:vAlign w:val="bottom"/>
            <w:gridSpan w:val="3"/>
          </w:tcPr>
          <w:p>
            <w:pPr>
              <w:spacing w:after="0"/>
              <w:rPr>
                <w:sz w:val="20"/>
                <w:szCs w:val="20"/>
                <w:color w:val="auto"/>
              </w:rPr>
            </w:pPr>
            <w:r>
              <w:rPr>
                <w:rFonts w:ascii="Arial" w:cs="Arial" w:eastAsia="Arial" w:hAnsi="Arial"/>
                <w:sz w:val="22"/>
                <w:szCs w:val="22"/>
                <w:b w:val="1"/>
                <w:bCs w:val="1"/>
                <w:color w:val="auto"/>
              </w:rPr>
              <w:t>OPTIONEE:</w:t>
            </w:r>
          </w:p>
        </w:tc>
        <w:tc>
          <w:tcPr>
            <w:tcW w:w="5360" w:type="dxa"/>
            <w:vAlign w:val="bottom"/>
            <w:gridSpan w:val="2"/>
          </w:tcPr>
          <w:p>
            <w:pPr>
              <w:ind w:left="20"/>
              <w:spacing w:after="0"/>
              <w:rPr>
                <w:sz w:val="20"/>
                <w:szCs w:val="20"/>
                <w:color w:val="auto"/>
              </w:rPr>
            </w:pPr>
            <w:r>
              <w:rPr>
                <w:rFonts w:ascii="Arial" w:cs="Arial" w:eastAsia="Arial" w:hAnsi="Arial"/>
                <w:sz w:val="22"/>
                <w:szCs w:val="22"/>
                <w:b w:val="1"/>
                <w:bCs w:val="1"/>
                <w:color w:val="auto"/>
              </w:rPr>
              <w:t>Assembly Biosciences, Inc.</w:t>
            </w:r>
          </w:p>
        </w:tc>
      </w:tr>
      <w:tr>
        <w:trPr>
          <w:trHeight w:val="476"/>
        </w:trPr>
        <w:tc>
          <w:tcPr>
            <w:tcW w:w="10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By:</w:t>
            </w:r>
          </w:p>
        </w:tc>
        <w:tc>
          <w:tcPr>
            <w:tcW w:w="4340" w:type="dxa"/>
            <w:vAlign w:val="bottom"/>
            <w:tcBorders>
              <w:bottom w:val="single" w:sz="8" w:color="auto"/>
            </w:tcBorders>
          </w:tcPr>
          <w:p>
            <w:pPr>
              <w:spacing w:after="0"/>
              <w:rPr>
                <w:sz w:val="24"/>
                <w:szCs w:val="24"/>
                <w:color w:val="auto"/>
              </w:rPr>
            </w:pPr>
          </w:p>
        </w:tc>
      </w:tr>
      <w:tr>
        <w:trPr>
          <w:trHeight w:val="479"/>
        </w:trPr>
        <w:tc>
          <w:tcPr>
            <w:tcW w:w="10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Name:</w:t>
            </w:r>
          </w:p>
        </w:tc>
        <w:tc>
          <w:tcPr>
            <w:tcW w:w="4340" w:type="dxa"/>
            <w:vAlign w:val="bottom"/>
            <w:tcBorders>
              <w:bottom w:val="single" w:sz="8" w:color="auto"/>
            </w:tcBorders>
          </w:tcPr>
          <w:p>
            <w:pPr>
              <w:spacing w:after="0"/>
              <w:rPr>
                <w:sz w:val="24"/>
                <w:szCs w:val="24"/>
                <w:color w:val="auto"/>
              </w:rPr>
            </w:pPr>
          </w:p>
        </w:tc>
      </w:tr>
      <w:tr>
        <w:trPr>
          <w:trHeight w:val="480"/>
        </w:trPr>
        <w:tc>
          <w:tcPr>
            <w:tcW w:w="10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22"/>
                <w:szCs w:val="22"/>
                <w:color w:val="auto"/>
              </w:rPr>
              <w:t>Title:</w:t>
            </w:r>
          </w:p>
        </w:tc>
        <w:tc>
          <w:tcPr>
            <w:tcW w:w="4340" w:type="dxa"/>
            <w:vAlign w:val="bottom"/>
            <w:tcBorders>
              <w:bottom w:val="single" w:sz="8" w:color="auto"/>
            </w:tcBorders>
          </w:tcPr>
          <w:p>
            <w:pPr>
              <w:spacing w:after="0"/>
              <w:rPr>
                <w:sz w:val="24"/>
                <w:szCs w:val="24"/>
                <w:color w:val="auto"/>
              </w:rPr>
            </w:pPr>
          </w:p>
        </w:tc>
      </w:tr>
      <w:tr>
        <w:trPr>
          <w:trHeight w:val="479"/>
        </w:trPr>
        <w:tc>
          <w:tcPr>
            <w:tcW w:w="5880" w:type="dxa"/>
            <w:vAlign w:val="bottom"/>
            <w:gridSpan w:val="3"/>
          </w:tcPr>
          <w:p>
            <w:pPr>
              <w:spacing w:after="0"/>
              <w:rPr>
                <w:sz w:val="20"/>
                <w:szCs w:val="20"/>
                <w:color w:val="auto"/>
              </w:rPr>
            </w:pPr>
            <w:r>
              <w:rPr>
                <w:rFonts w:ascii="Arial" w:cs="Arial" w:eastAsia="Arial" w:hAnsi="Arial"/>
                <w:sz w:val="22"/>
                <w:szCs w:val="22"/>
                <w:color w:val="auto"/>
              </w:rPr>
              <w:t>Address:</w:t>
            </w:r>
          </w:p>
        </w:tc>
        <w:tc>
          <w:tcPr>
            <w:tcW w:w="5360" w:type="dxa"/>
            <w:vAlign w:val="bottom"/>
            <w:gridSpan w:val="2"/>
          </w:tcPr>
          <w:p>
            <w:pPr>
              <w:spacing w:after="0"/>
              <w:rPr>
                <w:sz w:val="20"/>
                <w:szCs w:val="20"/>
                <w:color w:val="auto"/>
              </w:rPr>
            </w:pPr>
            <w:r>
              <w:rPr>
                <w:rFonts w:ascii="Arial" w:cs="Arial" w:eastAsia="Arial" w:hAnsi="Arial"/>
                <w:sz w:val="22"/>
                <w:szCs w:val="22"/>
                <w:color w:val="auto"/>
              </w:rPr>
              <w:t>Address:</w:t>
            </w:r>
          </w:p>
        </w:tc>
      </w:tr>
      <w:tr>
        <w:trPr>
          <w:trHeight w:val="237"/>
        </w:trPr>
        <w:tc>
          <w:tcPr>
            <w:tcW w:w="1040" w:type="dxa"/>
            <w:vAlign w:val="bottom"/>
            <w:tcBorders>
              <w:bottom w:val="single" w:sz="8" w:color="auto"/>
            </w:tcBorders>
          </w:tcPr>
          <w:p>
            <w:pPr>
              <w:spacing w:after="0"/>
              <w:rPr>
                <w:sz w:val="20"/>
                <w:szCs w:val="20"/>
                <w:color w:val="auto"/>
              </w:rPr>
            </w:pPr>
          </w:p>
        </w:tc>
        <w:tc>
          <w:tcPr>
            <w:tcW w:w="458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340" w:type="dxa"/>
            <w:vAlign w:val="bottom"/>
            <w:tcBorders>
              <w:top w:val="single" w:sz="8" w:color="auto"/>
              <w:bottom w:val="single" w:sz="8" w:color="auto"/>
            </w:tcBorders>
          </w:tcPr>
          <w:p>
            <w:pPr>
              <w:spacing w:after="0"/>
              <w:rPr>
                <w:sz w:val="20"/>
                <w:szCs w:val="20"/>
                <w:color w:val="auto"/>
              </w:rPr>
            </w:pPr>
          </w:p>
        </w:tc>
      </w:tr>
      <w:tr>
        <w:trPr>
          <w:trHeight w:val="237"/>
        </w:trPr>
        <w:tc>
          <w:tcPr>
            <w:tcW w:w="104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p>
        </w:tc>
      </w:tr>
    </w:tbl>
    <w:p>
      <w:pPr>
        <w:sectPr>
          <w:pgSz w:w="11900" w:h="16838" w:orient="portrait"/>
          <w:cols w:equalWidth="0" w:num="1">
            <w:col w:w="11240"/>
          </w:cols>
          <w:pgMar w:left="320" w:top="604" w:right="339" w:bottom="1440" w:gutter="0" w:footer="0" w:header="0"/>
        </w:sectPr>
      </w:pPr>
    </w:p>
    <w:bookmarkStart w:id="92" w:name="page93"/>
    <w:bookmarkEnd w:id="92"/>
    <w:p>
      <w:pPr>
        <w:ind w:left="10160"/>
        <w:spacing w:after="0"/>
        <w:rPr>
          <w:sz w:val="20"/>
          <w:szCs w:val="20"/>
          <w:color w:val="auto"/>
        </w:rPr>
      </w:pPr>
      <w:r>
        <w:rPr>
          <w:rFonts w:ascii="Arial" w:cs="Arial" w:eastAsia="Arial" w:hAnsi="Arial"/>
          <w:sz w:val="19"/>
          <w:szCs w:val="19"/>
          <w:b w:val="1"/>
          <w:bCs w:val="1"/>
          <w:color w:val="auto"/>
        </w:rPr>
        <w:t>Exhibit 10.5</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ASSEMBLY BIOSCIENCES,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INDUCEMENT AWARD PLAN</w:t>
      </w:r>
    </w:p>
    <w:p>
      <w:pPr>
        <w:jc w:val="center"/>
        <w:ind w:right="20"/>
        <w:spacing w:after="0"/>
        <w:rPr>
          <w:sz w:val="20"/>
          <w:szCs w:val="20"/>
          <w:color w:val="auto"/>
        </w:rPr>
      </w:pPr>
      <w:r>
        <w:rPr>
          <w:rFonts w:ascii="Arial" w:cs="Arial" w:eastAsia="Arial" w:hAnsi="Arial"/>
          <w:sz w:val="22"/>
          <w:szCs w:val="22"/>
          <w:b w:val="1"/>
          <w:bCs w:val="1"/>
          <w:color w:val="auto"/>
        </w:rPr>
        <w:t>RESTRICTED STOCK UNIT AWARD NOTICE</w:t>
      </w:r>
    </w:p>
    <w:p>
      <w:pPr>
        <w:spacing w:after="0" w:line="229" w:lineRule="exact"/>
        <w:rPr>
          <w:sz w:val="20"/>
          <w:szCs w:val="20"/>
          <w:color w:val="auto"/>
        </w:rPr>
      </w:pPr>
    </w:p>
    <w:p>
      <w:pPr>
        <w:ind w:left="9660"/>
        <w:spacing w:after="0"/>
        <w:rPr>
          <w:sz w:val="20"/>
          <w:szCs w:val="20"/>
          <w:color w:val="auto"/>
        </w:rPr>
      </w:pPr>
      <w:r>
        <w:rPr>
          <w:rFonts w:ascii="Arial" w:cs="Arial" w:eastAsia="Arial" w:hAnsi="Arial"/>
          <w:sz w:val="22"/>
          <w:szCs w:val="22"/>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21431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2143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-154940</wp:posOffset>
            </wp:positionV>
            <wp:extent cx="12084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21431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60"/>
        <w:spacing w:after="0"/>
        <w:rPr>
          <w:sz w:val="20"/>
          <w:szCs w:val="20"/>
          <w:color w:val="auto"/>
        </w:rPr>
      </w:pPr>
      <w:r>
        <w:rPr>
          <w:rFonts w:ascii="Arial" w:cs="Arial" w:eastAsia="Arial" w:hAnsi="Arial"/>
          <w:sz w:val="19"/>
          <w:szCs w:val="19"/>
          <w:color w:val="auto"/>
        </w:rPr>
        <w:t>You have been granted Restricted Stock Units (“</w:t>
      </w:r>
      <w:r>
        <w:rPr>
          <w:rFonts w:ascii="Arial" w:cs="Arial" w:eastAsia="Arial" w:hAnsi="Arial"/>
          <w:sz w:val="19"/>
          <w:szCs w:val="19"/>
          <w:u w:val="single" w:color="auto"/>
          <w:color w:val="auto"/>
        </w:rPr>
        <w:t>RSUs</w:t>
      </w:r>
      <w:r>
        <w:rPr>
          <w:rFonts w:ascii="Arial" w:cs="Arial" w:eastAsia="Arial" w:hAnsi="Arial"/>
          <w:sz w:val="19"/>
          <w:szCs w:val="19"/>
          <w:color w:val="auto"/>
        </w:rPr>
        <w:t>”) of Assembly Biosciences, Inc. (the “</w:t>
      </w:r>
      <w:r>
        <w:rPr>
          <w:rFonts w:ascii="Arial" w:cs="Arial" w:eastAsia="Arial" w:hAnsi="Arial"/>
          <w:sz w:val="19"/>
          <w:szCs w:val="19"/>
          <w:u w:val="single" w:color="auto"/>
          <w:color w:val="auto"/>
        </w:rPr>
        <w:t>Company</w:t>
      </w:r>
      <w:r>
        <w:rPr>
          <w:rFonts w:ascii="Arial" w:cs="Arial" w:eastAsia="Arial" w:hAnsi="Arial"/>
          <w:sz w:val="19"/>
          <w:szCs w:val="19"/>
          <w:color w:val="auto"/>
        </w:rPr>
        <w:t>”),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660" w:type="dxa"/>
            <w:vAlign w:val="bottom"/>
          </w:tcPr>
          <w:p>
            <w:pPr>
              <w:spacing w:after="0"/>
              <w:rPr>
                <w:sz w:val="20"/>
                <w:szCs w:val="20"/>
                <w:color w:val="auto"/>
              </w:rPr>
            </w:pPr>
            <w:r>
              <w:rPr>
                <w:rFonts w:ascii="Arial" w:cs="Arial" w:eastAsia="Arial" w:hAnsi="Arial"/>
                <w:sz w:val="22"/>
                <w:szCs w:val="22"/>
                <w:color w:val="auto"/>
              </w:rPr>
              <w:t>Effective Date:</w:t>
            </w:r>
          </w:p>
        </w:tc>
        <w:tc>
          <w:tcPr>
            <w:tcW w:w="1000" w:type="dxa"/>
            <w:vAlign w:val="bottom"/>
          </w:tcPr>
          <w:p>
            <w:pPr>
              <w:ind w:left="840"/>
              <w:spacing w:after="0"/>
              <w:rPr>
                <w:sz w:val="20"/>
                <w:szCs w:val="20"/>
                <w:color w:val="auto"/>
              </w:rPr>
            </w:pPr>
            <w:r>
              <w:rPr>
                <w:rFonts w:ascii="Arial" w:cs="Arial" w:eastAsia="Arial" w:hAnsi="Arial"/>
                <w:sz w:val="22"/>
                <w:szCs w:val="22"/>
                <w:color w:val="auto"/>
              </w:rPr>
              <w:t>[</w:t>
            </w:r>
          </w:p>
        </w:tc>
        <w:tc>
          <w:tcPr>
            <w:tcW w:w="6600" w:type="dxa"/>
            <w:vAlign w:val="bottom"/>
          </w:tcPr>
          <w:p>
            <w:pPr>
              <w:jc w:val="right"/>
              <w:ind w:right="6352"/>
              <w:spacing w:after="0"/>
              <w:rPr>
                <w:sz w:val="20"/>
                <w:szCs w:val="20"/>
                <w:color w:val="auto"/>
              </w:rPr>
            </w:pPr>
            <w:r>
              <w:rPr>
                <w:rFonts w:ascii="Arial" w:cs="Arial" w:eastAsia="Arial" w:hAnsi="Arial"/>
                <w:sz w:val="22"/>
                <w:szCs w:val="22"/>
                <w:color w:val="auto"/>
              </w:rPr>
              <w:t>]</w:t>
            </w:r>
          </w:p>
        </w:tc>
      </w:tr>
      <w:tr>
        <w:trPr>
          <w:trHeight w:val="486"/>
        </w:trPr>
        <w:tc>
          <w:tcPr>
            <w:tcW w:w="3660" w:type="dxa"/>
            <w:vAlign w:val="bottom"/>
          </w:tcPr>
          <w:p>
            <w:pPr>
              <w:spacing w:after="0"/>
              <w:rPr>
                <w:sz w:val="20"/>
                <w:szCs w:val="20"/>
                <w:color w:val="auto"/>
              </w:rPr>
            </w:pPr>
            <w:r>
              <w:rPr>
                <w:rFonts w:ascii="Arial" w:cs="Arial" w:eastAsia="Arial" w:hAnsi="Arial"/>
                <w:sz w:val="22"/>
                <w:szCs w:val="22"/>
                <w:color w:val="auto"/>
              </w:rPr>
              <w:t>Vesting Commencement Date:</w:t>
            </w:r>
          </w:p>
        </w:tc>
        <w:tc>
          <w:tcPr>
            <w:tcW w:w="1000" w:type="dxa"/>
            <w:vAlign w:val="bottom"/>
          </w:tcPr>
          <w:p>
            <w:pPr>
              <w:ind w:left="840"/>
              <w:spacing w:after="0"/>
              <w:rPr>
                <w:sz w:val="20"/>
                <w:szCs w:val="20"/>
                <w:color w:val="auto"/>
              </w:rPr>
            </w:pPr>
            <w:r>
              <w:rPr>
                <w:rFonts w:ascii="Arial" w:cs="Arial" w:eastAsia="Arial" w:hAnsi="Arial"/>
                <w:sz w:val="22"/>
                <w:szCs w:val="22"/>
                <w:color w:val="auto"/>
              </w:rPr>
              <w:t>[</w:t>
            </w:r>
          </w:p>
        </w:tc>
        <w:tc>
          <w:tcPr>
            <w:tcW w:w="6600" w:type="dxa"/>
            <w:vAlign w:val="bottom"/>
          </w:tcPr>
          <w:p>
            <w:pPr>
              <w:jc w:val="right"/>
              <w:ind w:right="6352"/>
              <w:spacing w:after="0"/>
              <w:rPr>
                <w:sz w:val="20"/>
                <w:szCs w:val="20"/>
                <w:color w:val="auto"/>
              </w:rPr>
            </w:pPr>
            <w:r>
              <w:rPr>
                <w:rFonts w:ascii="Arial" w:cs="Arial" w:eastAsia="Arial" w:hAnsi="Arial"/>
                <w:sz w:val="22"/>
                <w:szCs w:val="22"/>
                <w:color w:val="auto"/>
              </w:rPr>
              <w:t>]</w:t>
            </w:r>
          </w:p>
        </w:tc>
      </w:tr>
      <w:tr>
        <w:trPr>
          <w:trHeight w:val="486"/>
        </w:trPr>
        <w:tc>
          <w:tcPr>
            <w:tcW w:w="3660" w:type="dxa"/>
            <w:vAlign w:val="bottom"/>
          </w:tcPr>
          <w:p>
            <w:pPr>
              <w:spacing w:after="0"/>
              <w:rPr>
                <w:sz w:val="20"/>
                <w:szCs w:val="20"/>
                <w:color w:val="auto"/>
              </w:rPr>
            </w:pPr>
            <w:r>
              <w:rPr>
                <w:rFonts w:ascii="Arial" w:cs="Arial" w:eastAsia="Arial" w:hAnsi="Arial"/>
                <w:sz w:val="22"/>
                <w:szCs w:val="22"/>
                <w:color w:val="auto"/>
              </w:rPr>
              <w:t>Total Number of RSUs Granted:</w:t>
            </w:r>
          </w:p>
        </w:tc>
        <w:tc>
          <w:tcPr>
            <w:tcW w:w="1000" w:type="dxa"/>
            <w:vAlign w:val="bottom"/>
          </w:tcPr>
          <w:p>
            <w:pPr>
              <w:ind w:left="840"/>
              <w:spacing w:after="0"/>
              <w:rPr>
                <w:sz w:val="20"/>
                <w:szCs w:val="20"/>
                <w:color w:val="auto"/>
              </w:rPr>
            </w:pPr>
            <w:r>
              <w:rPr>
                <w:rFonts w:ascii="Arial" w:cs="Arial" w:eastAsia="Arial" w:hAnsi="Arial"/>
                <w:sz w:val="22"/>
                <w:szCs w:val="22"/>
                <w:color w:val="auto"/>
              </w:rPr>
              <w:t>[</w:t>
            </w:r>
          </w:p>
        </w:tc>
        <w:tc>
          <w:tcPr>
            <w:tcW w:w="6600" w:type="dxa"/>
            <w:vAlign w:val="bottom"/>
          </w:tcPr>
          <w:p>
            <w:pPr>
              <w:jc w:val="right"/>
              <w:ind w:right="6352"/>
              <w:spacing w:after="0"/>
              <w:rPr>
                <w:sz w:val="20"/>
                <w:szCs w:val="20"/>
                <w:color w:val="auto"/>
              </w:rPr>
            </w:pPr>
            <w:r>
              <w:rPr>
                <w:rFonts w:ascii="Arial" w:cs="Arial" w:eastAsia="Arial" w:hAnsi="Arial"/>
                <w:sz w:val="22"/>
                <w:szCs w:val="22"/>
                <w:color w:val="auto"/>
              </w:rPr>
              <w:t>]</w:t>
            </w:r>
          </w:p>
        </w:tc>
      </w:tr>
      <w:tr>
        <w:trPr>
          <w:trHeight w:val="455"/>
        </w:trPr>
        <w:tc>
          <w:tcPr>
            <w:tcW w:w="3660" w:type="dxa"/>
            <w:vAlign w:val="bottom"/>
          </w:tcPr>
          <w:p>
            <w:pPr>
              <w:spacing w:after="0"/>
              <w:rPr>
                <w:sz w:val="20"/>
                <w:szCs w:val="20"/>
                <w:color w:val="auto"/>
              </w:rPr>
            </w:pPr>
            <w:r>
              <w:rPr>
                <w:rFonts w:ascii="Arial" w:cs="Arial" w:eastAsia="Arial" w:hAnsi="Arial"/>
                <w:sz w:val="22"/>
                <w:szCs w:val="22"/>
                <w:color w:val="auto"/>
              </w:rPr>
              <w:t>Term/Expiration Date:</w:t>
            </w:r>
          </w:p>
        </w:tc>
        <w:tc>
          <w:tcPr>
            <w:tcW w:w="7600" w:type="dxa"/>
            <w:vAlign w:val="bottom"/>
            <w:gridSpan w:val="2"/>
          </w:tcPr>
          <w:p>
            <w:pPr>
              <w:ind w:left="840"/>
              <w:spacing w:after="0"/>
              <w:rPr>
                <w:sz w:val="20"/>
                <w:szCs w:val="20"/>
                <w:color w:val="auto"/>
              </w:rPr>
            </w:pPr>
            <w:r>
              <w:rPr>
                <w:rFonts w:ascii="Arial" w:cs="Arial" w:eastAsia="Arial" w:hAnsi="Arial"/>
                <w:sz w:val="22"/>
                <w:szCs w:val="22"/>
                <w:color w:val="auto"/>
                <w:w w:val="94"/>
              </w:rPr>
              <w:t>The RSUs shall terminate immediately following the settlement date of all</w:t>
            </w:r>
          </w:p>
        </w:tc>
      </w:tr>
      <w:tr>
        <w:trPr>
          <w:trHeight w:val="243"/>
        </w:trPr>
        <w:tc>
          <w:tcPr>
            <w:tcW w:w="3660" w:type="dxa"/>
            <w:vAlign w:val="bottom"/>
          </w:tcPr>
          <w:p>
            <w:pPr>
              <w:spacing w:after="0"/>
              <w:rPr>
                <w:sz w:val="21"/>
                <w:szCs w:val="21"/>
                <w:color w:val="auto"/>
              </w:rPr>
            </w:pPr>
          </w:p>
        </w:tc>
        <w:tc>
          <w:tcPr>
            <w:tcW w:w="7600" w:type="dxa"/>
            <w:vAlign w:val="bottom"/>
            <w:gridSpan w:val="2"/>
          </w:tcPr>
          <w:p>
            <w:pPr>
              <w:ind w:left="840"/>
              <w:spacing w:after="0" w:line="243" w:lineRule="exact"/>
              <w:rPr>
                <w:sz w:val="20"/>
                <w:szCs w:val="20"/>
                <w:color w:val="auto"/>
              </w:rPr>
            </w:pPr>
            <w:r>
              <w:rPr>
                <w:rFonts w:ascii="Arial" w:cs="Arial" w:eastAsia="Arial" w:hAnsi="Arial"/>
                <w:sz w:val="22"/>
                <w:szCs w:val="22"/>
                <w:color w:val="auto"/>
                <w:w w:val="94"/>
              </w:rPr>
              <w:t>vested RSUs in connection with the Payment Date (as defined below). All</w:t>
            </w:r>
          </w:p>
        </w:tc>
      </w:tr>
      <w:tr>
        <w:trPr>
          <w:trHeight w:val="243"/>
        </w:trPr>
        <w:tc>
          <w:tcPr>
            <w:tcW w:w="3660" w:type="dxa"/>
            <w:vAlign w:val="bottom"/>
          </w:tcPr>
          <w:p>
            <w:pPr>
              <w:spacing w:after="0"/>
              <w:rPr>
                <w:sz w:val="21"/>
                <w:szCs w:val="21"/>
                <w:color w:val="auto"/>
              </w:rPr>
            </w:pPr>
          </w:p>
        </w:tc>
        <w:tc>
          <w:tcPr>
            <w:tcW w:w="7600" w:type="dxa"/>
            <w:vAlign w:val="bottom"/>
            <w:gridSpan w:val="2"/>
          </w:tcPr>
          <w:p>
            <w:pPr>
              <w:ind w:left="840"/>
              <w:spacing w:after="0" w:line="243" w:lineRule="exact"/>
              <w:rPr>
                <w:sz w:val="20"/>
                <w:szCs w:val="20"/>
                <w:color w:val="auto"/>
              </w:rPr>
            </w:pPr>
            <w:r>
              <w:rPr>
                <w:rFonts w:ascii="Arial" w:cs="Arial" w:eastAsia="Arial" w:hAnsi="Arial"/>
                <w:sz w:val="22"/>
                <w:szCs w:val="22"/>
                <w:color w:val="auto"/>
                <w:w w:val="99"/>
              </w:rPr>
              <w:t>unvested RSUs shall terminate immediately following the cessation of</w:t>
            </w:r>
          </w:p>
        </w:tc>
      </w:tr>
      <w:tr>
        <w:trPr>
          <w:trHeight w:val="274"/>
        </w:trPr>
        <w:tc>
          <w:tcPr>
            <w:tcW w:w="3660" w:type="dxa"/>
            <w:vAlign w:val="bottom"/>
          </w:tcPr>
          <w:p>
            <w:pPr>
              <w:spacing w:after="0"/>
              <w:rPr>
                <w:sz w:val="23"/>
                <w:szCs w:val="23"/>
                <w:color w:val="auto"/>
              </w:rPr>
            </w:pPr>
          </w:p>
        </w:tc>
        <w:tc>
          <w:tcPr>
            <w:tcW w:w="7600" w:type="dxa"/>
            <w:vAlign w:val="bottom"/>
            <w:gridSpan w:val="2"/>
          </w:tcPr>
          <w:p>
            <w:pPr>
              <w:ind w:left="840"/>
              <w:spacing w:after="0"/>
              <w:rPr>
                <w:sz w:val="20"/>
                <w:szCs w:val="20"/>
                <w:color w:val="auto"/>
              </w:rPr>
            </w:pPr>
            <w:r>
              <w:rPr>
                <w:rFonts w:ascii="Arial" w:cs="Arial" w:eastAsia="Arial" w:hAnsi="Arial"/>
                <w:sz w:val="22"/>
                <w:szCs w:val="22"/>
                <w:color w:val="auto"/>
              </w:rPr>
              <w:t>Continuous Service.</w:t>
            </w:r>
          </w:p>
        </w:tc>
      </w:tr>
      <w:tr>
        <w:trPr>
          <w:trHeight w:val="712"/>
        </w:trPr>
        <w:tc>
          <w:tcPr>
            <w:tcW w:w="3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40" w:hanging="132"/>
        <w:spacing w:after="0"/>
        <w:tabs>
          <w:tab w:leader="none" w:pos="140" w:val="left"/>
        </w:tabs>
        <w:numPr>
          <w:ilvl w:val="0"/>
          <w:numId w:val="77"/>
        </w:numPr>
        <w:rPr>
          <w:rFonts w:ascii="Arial" w:cs="Arial" w:eastAsia="Arial" w:hAnsi="Arial"/>
          <w:sz w:val="14"/>
          <w:szCs w:val="14"/>
          <w:color w:val="auto"/>
        </w:rPr>
      </w:pPr>
      <w:r>
        <w:rPr>
          <w:rFonts w:ascii="Arial" w:cs="Arial" w:eastAsia="Arial" w:hAnsi="Arial"/>
          <w:sz w:val="17"/>
          <w:szCs w:val="17"/>
          <w:color w:val="auto"/>
        </w:rPr>
        <w:t>Add if Participant is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4230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 w:lineRule="exact"/>
        <w:rPr>
          <w:sz w:val="20"/>
          <w:szCs w:val="20"/>
          <w:color w:val="auto"/>
        </w:rPr>
      </w:pPr>
    </w:p>
    <w:p>
      <w:pPr>
        <w:ind w:left="140" w:hanging="132"/>
        <w:spacing w:after="0"/>
        <w:tabs>
          <w:tab w:leader="none" w:pos="140" w:val="left"/>
        </w:tabs>
        <w:numPr>
          <w:ilvl w:val="0"/>
          <w:numId w:val="78"/>
        </w:numPr>
        <w:rPr>
          <w:rFonts w:ascii="Arial" w:cs="Arial" w:eastAsia="Arial" w:hAnsi="Arial"/>
          <w:sz w:val="13"/>
          <w:szCs w:val="13"/>
          <w:color w:val="auto"/>
        </w:rPr>
      </w:pPr>
      <w:r>
        <w:rPr>
          <w:rFonts w:ascii="Arial" w:cs="Arial" w:eastAsia="Arial" w:hAnsi="Arial"/>
          <w:sz w:val="16"/>
          <w:szCs w:val="16"/>
          <w:color w:val="auto"/>
        </w:rPr>
        <w:t>Add if Participant is a Non-executive officer</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9"/>
          <w:szCs w:val="19"/>
          <w:color w:val="auto"/>
        </w:rPr>
        <w:t>[One-fourth of the granted RSUs to vest on the first anniversary of the Vesting Commencement Date; One-fourth of the granted RSUs to vest on the second anniversary of the Vesting Commencement Date; One-fourth of the granted RSUs to vest on the third anniversary of the Vesting Commencement Date; One-fourth of the granted RSU to vest on the fourth anniversary of the Vesting Commencement Date , in each case subject to your Continuous Service through such vesting date and otherwise in accordance with the terms and conditions of the Plan (as defined below) and the Restricted Stock Unit Award Agreement attached hereto (each such date, a “</w:t>
      </w:r>
      <w:r>
        <w:rPr>
          <w:rFonts w:ascii="Arial" w:cs="Arial" w:eastAsia="Arial" w:hAnsi="Arial"/>
          <w:sz w:val="19"/>
          <w:szCs w:val="19"/>
          <w:u w:val="single" w:color="auto"/>
          <w:color w:val="auto"/>
        </w:rPr>
        <w:t>Vesting Date</w:t>
      </w:r>
      <w:r>
        <w:rPr>
          <w:rFonts w:ascii="Arial" w:cs="Arial" w:eastAsia="Arial" w:hAnsi="Arial"/>
          <w:sz w:val="19"/>
          <w:szCs w:val="19"/>
          <w:color w:val="auto"/>
        </w:rPr>
        <w:t>”)] [Alt: [performance milestones] [time-vesting] [combination]]. RSUs to vest on any vesting date shall be rounded down to nearest whole number. Each installment shall take into effect prior rounding so that each annual installment including the last installment is approximately the same. On the [fourth] anniversary of the Vesting Commencement Date, assuming Continuous Service through each Vesting Date, the RSUs shall be</w:t>
      </w:r>
    </w:p>
    <w:p>
      <w:pPr>
        <w:spacing w:after="0" w:line="3" w:lineRule="exact"/>
        <w:rPr>
          <w:sz w:val="20"/>
          <w:szCs w:val="20"/>
          <w:color w:val="auto"/>
        </w:rPr>
      </w:pPr>
    </w:p>
    <w:p>
      <w:pPr>
        <w:jc w:val="both"/>
        <w:ind w:right="60"/>
        <w:spacing w:after="0" w:line="287" w:lineRule="auto"/>
        <w:rPr>
          <w:sz w:val="20"/>
          <w:szCs w:val="20"/>
          <w:color w:val="auto"/>
        </w:rPr>
      </w:pPr>
      <w:r>
        <w:rPr>
          <w:rFonts w:ascii="Arial" w:cs="Arial" w:eastAsia="Arial" w:hAnsi="Arial"/>
          <w:sz w:val="19"/>
          <w:szCs w:val="19"/>
          <w:color w:val="auto"/>
        </w:rPr>
        <w:t>fully vested. Upon the termination of your employment by the Company for any reason other than for Cause within 6 months following the occurrence of a Corporate Transaction, all unvested RSUs shall immediately vest.</w:t>
      </w:r>
    </w:p>
    <w:p>
      <w:pPr>
        <w:spacing w:after="0" w:line="170"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[Notwithstanding the foregoing, the RSUs shall be subject to additional provisions relating to the acceleration of vesting of time-based vesting equity awards as set forth in Section [__] of your Employment Agreement executed on [__date__] and effective [__date__] (your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including the condition that you execute a release in form and substance reasonably satisfactory to the Company in connection with your termination of employment.]</w:t>
      </w:r>
      <w:r>
        <w:rPr>
          <w:rFonts w:ascii="Arial" w:cs="Arial" w:eastAsia="Arial" w:hAnsi="Arial"/>
          <w:sz w:val="17"/>
          <w:szCs w:val="17"/>
          <w:color w:val="auto"/>
        </w:rPr>
        <w:t>1</w:t>
      </w:r>
    </w:p>
    <w:p>
      <w:pPr>
        <w:spacing w:after="0" w:line="211"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[Notwithstanding the foregoing, the RSUs shall be subject to additional provisions relating to the acceleration of vesting of time-based vesting equity awards as set forth in the Non-Executive Officers Severance Benefit Plan (“</w:t>
      </w:r>
      <w:r>
        <w:rPr>
          <w:rFonts w:ascii="Arial" w:cs="Arial" w:eastAsia="Arial" w:hAnsi="Arial"/>
          <w:sz w:val="19"/>
          <w:szCs w:val="19"/>
          <w:u w:val="single" w:color="auto"/>
          <w:color w:val="auto"/>
        </w:rPr>
        <w:t>Severance Plan</w:t>
      </w:r>
      <w:r>
        <w:rPr>
          <w:rFonts w:ascii="Arial" w:cs="Arial" w:eastAsia="Arial" w:hAnsi="Arial"/>
          <w:sz w:val="19"/>
          <w:szCs w:val="19"/>
          <w:color w:val="auto"/>
        </w:rPr>
        <w:t>”), if you incur a “Change in Control Termination” (as defined in the Severance Plan) and satisfy the requirements of the Severance Plan. For avoidance of doubt and notwithstanding anything in an employment offer letter to the contrary, this award and the Severance Plan reflect the sole agreement governing acceleration of vesting under this award upon a termination of Continuous Service.]</w:t>
      </w:r>
      <w:r>
        <w:rPr>
          <w:rFonts w:ascii="Arial" w:cs="Arial" w:eastAsia="Arial" w:hAnsi="Arial"/>
          <w:sz w:val="16"/>
          <w:szCs w:val="16"/>
          <w:color w:val="auto"/>
        </w:rPr>
        <w:t>2</w:t>
      </w:r>
    </w:p>
    <w:p>
      <w:pPr>
        <w:spacing w:after="0" w:line="185"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The Company shall deliver, to you one Share (as defined in the Plan) in respect of each vested RSU. Delivery shall be made as soon as practicable following each vesting date and in no event later than 30 days following the applicable vesting date (the date of delivery, the “</w:t>
      </w:r>
      <w:r>
        <w:rPr>
          <w:rFonts w:ascii="Arial" w:cs="Arial" w:eastAsia="Arial" w:hAnsi="Arial"/>
          <w:sz w:val="19"/>
          <w:szCs w:val="19"/>
          <w:u w:val="single" w:color="auto"/>
          <w:color w:val="auto"/>
        </w:rPr>
        <w:t>Payment Date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798830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3780" w:space="720"/>
            <w:col w:w="6720"/>
          </w:cols>
          <w:pgMar w:left="320" w:top="334" w:right="359" w:bottom="1440" w:gutter="0" w:footer="0" w:header="0"/>
        </w:sectPr>
      </w:pPr>
    </w:p>
    <w:bookmarkStart w:id="94" w:name="page95"/>
    <w:bookmarkEnd w:id="94"/>
    <w:p>
      <w:pPr>
        <w:spacing w:after="0" w:line="238" w:lineRule="auto"/>
        <w:rPr>
          <w:sz w:val="20"/>
          <w:szCs w:val="20"/>
          <w:color w:val="auto"/>
        </w:rPr>
      </w:pPr>
      <w:r>
        <w:rPr>
          <w:rFonts w:ascii="Arial" w:cs="Arial" w:eastAsia="Arial" w:hAnsi="Arial"/>
          <w:sz w:val="22"/>
          <w:szCs w:val="22"/>
          <w:color w:val="auto"/>
        </w:rPr>
        <w:t>By your signature or your electronic acceptance of the RSUs and the signature of the Company’s representative below, you and the Company agree that the RSUs are granted under and governed by the terms and conditions of the Assembly Biosciences, Inc. 2020 Inducement Award Plan (the “</w:t>
      </w:r>
      <w:r>
        <w:rPr>
          <w:rFonts w:ascii="Arial" w:cs="Arial" w:eastAsia="Arial" w:hAnsi="Arial"/>
          <w:sz w:val="22"/>
          <w:szCs w:val="22"/>
          <w:u w:val="single" w:color="auto"/>
          <w:color w:val="auto"/>
        </w:rPr>
        <w:t>Plan</w:t>
      </w:r>
      <w:r>
        <w:rPr>
          <w:rFonts w:ascii="Arial" w:cs="Arial" w:eastAsia="Arial" w:hAnsi="Arial"/>
          <w:sz w:val="22"/>
          <w:szCs w:val="22"/>
          <w:color w:val="auto"/>
        </w:rPr>
        <w:t>”) and the Restricted Stock Unit Award Agreement, both of which are attached and made a part of this document.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6985</wp:posOffset>
            </wp:positionV>
            <wp:extent cx="21342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21" w:lineRule="exact"/>
        <w:rPr>
          <w:sz w:val="20"/>
          <w:szCs w:val="20"/>
          <w:color w:val="auto"/>
        </w:rPr>
      </w:pPr>
    </w:p>
    <w:p>
      <w:pPr>
        <w:spacing w:after="0"/>
        <w:tabs>
          <w:tab w:leader="none" w:pos="4480" w:val="left"/>
        </w:tabs>
        <w:rPr>
          <w:sz w:val="20"/>
          <w:szCs w:val="20"/>
          <w:color w:val="auto"/>
        </w:rPr>
      </w:pPr>
      <w:r>
        <w:rPr>
          <w:rFonts w:ascii="Arial" w:cs="Arial" w:eastAsia="Arial" w:hAnsi="Arial"/>
          <w:sz w:val="22"/>
          <w:szCs w:val="22"/>
          <w:b w:val="1"/>
          <w:bCs w:val="1"/>
          <w:color w:val="auto"/>
        </w:rPr>
        <w:t>GRANTEE:</w:t>
      </w:r>
      <w:r>
        <w:rPr>
          <w:sz w:val="20"/>
          <w:szCs w:val="20"/>
          <w:color w:val="auto"/>
        </w:rPr>
        <w:tab/>
      </w:r>
      <w:r>
        <w:rPr>
          <w:rFonts w:ascii="Arial" w:cs="Arial" w:eastAsia="Arial" w:hAnsi="Arial"/>
          <w:sz w:val="22"/>
          <w:szCs w:val="22"/>
          <w:b w:val="1"/>
          <w:bCs w:val="1"/>
          <w:color w:val="auto"/>
        </w:rPr>
        <w:t>ASSEMBLY BIOSCIENCES, INC.</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  ]</w:t>
      </w:r>
    </w:p>
    <w:p>
      <w:pPr>
        <w:ind w:left="450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-3810</wp:posOffset>
            </wp:positionV>
            <wp:extent cx="39090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0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39090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39090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22"/>
          <w:szCs w:val="22"/>
          <w:b w:val="1"/>
          <w:bCs w:val="1"/>
          <w:color w:val="auto"/>
        </w:rPr>
        <w:t>ASSEMBLY BIOSCIENCES,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 AWARD AGREEMENT</w:t>
      </w:r>
    </w:p>
    <w:p>
      <w:pPr>
        <w:jc w:val="center"/>
        <w:ind w:right="-19"/>
        <w:spacing w:after="0"/>
        <w:rPr>
          <w:sz w:val="20"/>
          <w:szCs w:val="20"/>
          <w:color w:val="auto"/>
        </w:rPr>
      </w:pPr>
      <w:r>
        <w:rPr>
          <w:rFonts w:ascii="Arial" w:cs="Arial" w:eastAsia="Arial" w:hAnsi="Arial"/>
          <w:sz w:val="22"/>
          <w:szCs w:val="22"/>
          <w:b w:val="1"/>
          <w:bCs w:val="1"/>
          <w:color w:val="auto"/>
        </w:rPr>
        <w:t>UNDER THE 2020 INDUCEMENT AWARD PLAN</w:t>
      </w:r>
    </w:p>
    <w:p>
      <w:pPr>
        <w:spacing w:after="0" w:line="188" w:lineRule="exact"/>
        <w:rPr>
          <w:sz w:val="20"/>
          <w:szCs w:val="20"/>
          <w:color w:val="auto"/>
        </w:rPr>
      </w:pPr>
    </w:p>
    <w:p>
      <w:pPr>
        <w:ind w:right="40" w:firstLine="856"/>
        <w:spacing w:after="0" w:line="236" w:lineRule="auto"/>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u w:val="single" w:color="auto"/>
          <w:color w:val="auto"/>
        </w:rPr>
        <w:t>Award Agreement</w:t>
      </w:r>
      <w:r>
        <w:rPr>
          <w:rFonts w:ascii="Arial" w:cs="Arial" w:eastAsia="Arial" w:hAnsi="Arial"/>
          <w:sz w:val="22"/>
          <w:szCs w:val="22"/>
          <w:color w:val="auto"/>
        </w:rPr>
        <w:t>”) is made and entered into by and between Assembly Biosciences,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the individual (the “</w:t>
      </w:r>
      <w:r>
        <w:rPr>
          <w:rFonts w:ascii="Arial" w:cs="Arial" w:eastAsia="Arial" w:hAnsi="Arial"/>
          <w:sz w:val="22"/>
          <w:szCs w:val="22"/>
          <w:u w:val="single" w:color="auto"/>
          <w:color w:val="auto"/>
        </w:rPr>
        <w:t>Grantee</w:t>
      </w:r>
      <w:r>
        <w:rPr>
          <w:rFonts w:ascii="Arial" w:cs="Arial" w:eastAsia="Arial" w:hAnsi="Arial"/>
          <w:sz w:val="22"/>
          <w:szCs w:val="22"/>
          <w:color w:val="auto"/>
        </w:rPr>
        <w:t>”) named in the Restricted Stock Unit Award Notice (the “</w:t>
      </w:r>
      <w:r>
        <w:rPr>
          <w:rFonts w:ascii="Arial" w:cs="Arial" w:eastAsia="Arial" w:hAnsi="Arial"/>
          <w:sz w:val="22"/>
          <w:szCs w:val="22"/>
          <w:u w:val="single" w:color="auto"/>
          <w:color w:val="auto"/>
        </w:rPr>
        <w:t>Award Notice</w:t>
      </w:r>
      <w:r>
        <w:rPr>
          <w:rFonts w:ascii="Arial" w:cs="Arial" w:eastAsia="Arial" w:hAnsi="Arial"/>
          <w:sz w:val="22"/>
          <w:szCs w:val="22"/>
          <w:color w:val="auto"/>
        </w:rPr>
        <w:t>”) under the Company’s 2020 Inducement Award Plan (the “</w:t>
      </w:r>
      <w:r>
        <w:rPr>
          <w:rFonts w:ascii="Arial" w:cs="Arial" w:eastAsia="Arial" w:hAnsi="Arial"/>
          <w:sz w:val="22"/>
          <w:szCs w:val="22"/>
          <w:u w:val="single" w:color="auto"/>
          <w:color w:val="auto"/>
        </w:rPr>
        <w:t>Plan</w:t>
      </w:r>
      <w:r>
        <w:rPr>
          <w:rFonts w:ascii="Arial" w:cs="Arial" w:eastAsia="Arial" w:hAnsi="Arial"/>
          <w:sz w:val="22"/>
          <w:szCs w:val="22"/>
          <w:color w:val="auto"/>
        </w:rPr>
        <w:t>”). The Award Notice also establishes the Effective Date of the Award, the number of Restricted Stock Units awarded, vesting conditions, and the Payment Date of the Award.</w:t>
      </w:r>
    </w:p>
    <w:p>
      <w:pPr>
        <w:spacing w:after="0" w:line="187" w:lineRule="exact"/>
        <w:rPr>
          <w:sz w:val="20"/>
          <w:szCs w:val="20"/>
          <w:color w:val="auto"/>
        </w:rPr>
      </w:pPr>
    </w:p>
    <w:p>
      <w:pPr>
        <w:ind w:left="860"/>
        <w:spacing w:after="0"/>
        <w:rPr>
          <w:sz w:val="20"/>
          <w:szCs w:val="20"/>
          <w:color w:val="auto"/>
        </w:rPr>
      </w:pPr>
      <w:r>
        <w:rPr>
          <w:rFonts w:ascii="Arial" w:cs="Arial" w:eastAsia="Arial" w:hAnsi="Arial"/>
          <w:sz w:val="22"/>
          <w:szCs w:val="22"/>
          <w:color w:val="auto"/>
        </w:rPr>
        <w:t>WHEREAS, the Grantee is expected to provide valuable services to the Company;</w:t>
      </w:r>
    </w:p>
    <w:p>
      <w:pPr>
        <w:spacing w:after="0" w:line="206" w:lineRule="exact"/>
        <w:rPr>
          <w:sz w:val="20"/>
          <w:szCs w:val="20"/>
          <w:color w:val="auto"/>
        </w:rPr>
      </w:pPr>
    </w:p>
    <w:p>
      <w:pPr>
        <w:ind w:right="160" w:firstLine="856"/>
        <w:spacing w:after="0" w:line="257" w:lineRule="auto"/>
        <w:rPr>
          <w:sz w:val="20"/>
          <w:szCs w:val="20"/>
          <w:color w:val="auto"/>
        </w:rPr>
      </w:pPr>
      <w:r>
        <w:rPr>
          <w:rFonts w:ascii="Arial" w:cs="Arial" w:eastAsia="Arial" w:hAnsi="Arial"/>
          <w:sz w:val="21"/>
          <w:szCs w:val="21"/>
          <w:color w:val="auto"/>
        </w:rPr>
        <w:t>WHEREAS, the Company considers it desirable and in the best interests of the Company that the Grantee be given an opportunity to acquire a proprietary interest in the Company as an incentive to advance the interests of the Company and to perform future services that will contribute materially to the successful operation of the Company</w:t>
      </w:r>
    </w:p>
    <w:p>
      <w:pPr>
        <w:spacing w:after="0" w:line="169" w:lineRule="exact"/>
        <w:rPr>
          <w:sz w:val="20"/>
          <w:szCs w:val="20"/>
          <w:color w:val="auto"/>
        </w:rPr>
      </w:pPr>
    </w:p>
    <w:p>
      <w:pPr>
        <w:ind w:right="460" w:firstLine="856"/>
        <w:spacing w:after="0" w:line="250" w:lineRule="auto"/>
        <w:rPr>
          <w:sz w:val="20"/>
          <w:szCs w:val="20"/>
          <w:color w:val="auto"/>
        </w:rPr>
      </w:pPr>
      <w:r>
        <w:rPr>
          <w:rFonts w:ascii="Arial" w:cs="Arial" w:eastAsia="Arial" w:hAnsi="Arial"/>
          <w:sz w:val="22"/>
          <w:szCs w:val="22"/>
          <w:color w:val="auto"/>
        </w:rPr>
        <w:t>WHEREAS, the Award granted hereby is a material inducement for the Grantee to enter into employment with the Company and to promote the success of the Company’s business; and</w:t>
      </w:r>
    </w:p>
    <w:p>
      <w:pPr>
        <w:spacing w:after="0" w:line="175" w:lineRule="exact"/>
        <w:rPr>
          <w:sz w:val="20"/>
          <w:szCs w:val="20"/>
          <w:color w:val="auto"/>
        </w:rPr>
      </w:pPr>
    </w:p>
    <w:p>
      <w:pPr>
        <w:jc w:val="both"/>
        <w:ind w:right="140" w:firstLine="856"/>
        <w:spacing w:after="0" w:line="287" w:lineRule="auto"/>
        <w:rPr>
          <w:sz w:val="20"/>
          <w:szCs w:val="20"/>
          <w:color w:val="auto"/>
        </w:rPr>
      </w:pPr>
      <w:r>
        <w:rPr>
          <w:rFonts w:ascii="Arial" w:cs="Arial" w:eastAsia="Arial" w:hAnsi="Arial"/>
          <w:sz w:val="19"/>
          <w:szCs w:val="19"/>
          <w:color w:val="auto"/>
        </w:rPr>
        <w:t>WHEREAS, the Company, acting through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or (ii) the Committee appointed by the Board under the Plan (the “</w:t>
      </w:r>
      <w:r>
        <w:rPr>
          <w:rFonts w:ascii="Arial" w:cs="Arial" w:eastAsia="Arial" w:hAnsi="Arial"/>
          <w:sz w:val="19"/>
          <w:szCs w:val="19"/>
          <w:u w:val="single" w:color="auto"/>
          <w:color w:val="auto"/>
        </w:rPr>
        <w:t>Committee</w:t>
      </w:r>
      <w:r>
        <w:rPr>
          <w:rFonts w:ascii="Arial" w:cs="Arial" w:eastAsia="Arial" w:hAnsi="Arial"/>
          <w:sz w:val="19"/>
          <w:szCs w:val="19"/>
          <w:color w:val="auto"/>
        </w:rPr>
        <w:t>”), desires to grant the Grantee a Restricted Stock Unit Award measured in shares of common stock of the Company (the “</w:t>
      </w:r>
      <w:r>
        <w:rPr>
          <w:rFonts w:ascii="Arial" w:cs="Arial" w:eastAsia="Arial" w:hAnsi="Arial"/>
          <w:sz w:val="19"/>
          <w:szCs w:val="19"/>
          <w:u w:val="single" w:color="auto"/>
          <w:color w:val="auto"/>
        </w:rPr>
        <w:t>Common Stock</w:t>
      </w:r>
      <w:r>
        <w:rPr>
          <w:rFonts w:ascii="Arial" w:cs="Arial" w:eastAsia="Arial" w:hAnsi="Arial"/>
          <w:sz w:val="19"/>
          <w:szCs w:val="19"/>
          <w:color w:val="auto"/>
        </w:rPr>
        <w:t>”), in accordance with the Plan. Capitalized terms used herein which are not otherwise defined herein shall have the meanings ascribed to them under the Plan.</w:t>
      </w:r>
    </w:p>
    <w:p>
      <w:pPr>
        <w:spacing w:after="0" w:line="14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NOW, THEREFORE, in consideration of the premises, it is agreed by and between the parties as follows:</w:t>
      </w:r>
    </w:p>
    <w:p>
      <w:pPr>
        <w:spacing w:after="0" w:line="206" w:lineRule="exact"/>
        <w:rPr>
          <w:sz w:val="20"/>
          <w:szCs w:val="20"/>
          <w:color w:val="auto"/>
        </w:rPr>
      </w:pPr>
    </w:p>
    <w:p>
      <w:pPr>
        <w:ind w:firstLine="864"/>
        <w:spacing w:after="0" w:line="234" w:lineRule="auto"/>
        <w:tabs>
          <w:tab w:leader="none" w:pos="1666"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 Award</w:t>
      </w:r>
      <w:r>
        <w:rPr>
          <w:rFonts w:ascii="Arial" w:cs="Arial" w:eastAsia="Arial" w:hAnsi="Arial"/>
          <w:sz w:val="22"/>
          <w:szCs w:val="22"/>
          <w:color w:val="auto"/>
        </w:rPr>
        <w:t>. The Company awards the Grantee Restricted Stock Units in a number that is specified in the Award Notice provided to the Grantee. The Award is subject to the vesting, payment and other provisions of this Award Agreement, the Award Notice and the Plan. Each Restricted Stock Unit represents one (1) Share of Common Stock of the Company. The Company will account for the Restricted Stock Units in a bookkeeping account on the Grantee’s behalf until they become payable or are forfeited. The number of Restricted Stock Units shall be adjusted if the Common Stock is split, combined, if stock dividends are paid on Common Stock, or upon a similar event in the same manner that the Common Stock is adjusted.</w:t>
      </w:r>
    </w:p>
    <w:p>
      <w:pPr>
        <w:spacing w:after="0" w:line="190" w:lineRule="exact"/>
        <w:rPr>
          <w:rFonts w:ascii="Arial" w:cs="Arial" w:eastAsia="Arial" w:hAnsi="Arial"/>
          <w:sz w:val="22"/>
          <w:szCs w:val="22"/>
          <w:color w:val="auto"/>
        </w:rPr>
      </w:pPr>
    </w:p>
    <w:p>
      <w:pPr>
        <w:ind w:right="40" w:firstLine="864"/>
        <w:spacing w:after="0" w:line="287" w:lineRule="auto"/>
        <w:tabs>
          <w:tab w:leader="none" w:pos="166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For each Restricted Stock Unit that is granted and credited to the Grantee’s account, the Grantee’s account will also be credited with a Dividend Equivalent Rights in an amount equal to any cash dividends paid by the Company upon one Share of Common Stock after the Effective Date and before the Payment Date (as provided in the Award Notice) for the Restricted Stock Unit, subject to the vesting and other provisions of this Award Agreement and the Award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96" w:name="page97"/>
    <w:bookmarkEnd w:id="96"/>
    <w:p>
      <w:pPr>
        <w:ind w:right="160" w:firstLine="864"/>
        <w:spacing w:after="0" w:line="252" w:lineRule="auto"/>
        <w:tabs>
          <w:tab w:leader="none" w:pos="1666"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The Restricted Stock Units (and Dividend Equivalent Rights associated with the Restricted Stock Units) shall be unvested and shall be subject to the restrictions set forth in this Award Agreement and the Award Notice. Unless sooner forfeited in accordance with Section 5, the Restricted Stock Units and Dividend Equivalent Rights associated with the Restricted Stock Unit shall vest as set forth in the Grantee’s Award Notice.</w:t>
      </w:r>
    </w:p>
    <w:p>
      <w:pPr>
        <w:spacing w:after="0" w:line="173" w:lineRule="exact"/>
        <w:rPr>
          <w:rFonts w:ascii="Arial" w:cs="Arial" w:eastAsia="Arial" w:hAnsi="Arial"/>
          <w:sz w:val="21"/>
          <w:szCs w:val="21"/>
          <w:color w:val="auto"/>
        </w:rPr>
      </w:pPr>
    </w:p>
    <w:p>
      <w:pPr>
        <w:ind w:right="220" w:firstLine="864"/>
        <w:spacing w:after="0" w:line="236" w:lineRule="auto"/>
        <w:tabs>
          <w:tab w:leader="none" w:pos="1666"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Settlement of Vested Restricted Stock Units and Restricted Dividend Equivalents</w:t>
      </w:r>
      <w:r>
        <w:rPr>
          <w:rFonts w:ascii="Arial" w:cs="Arial" w:eastAsia="Arial" w:hAnsi="Arial"/>
          <w:sz w:val="22"/>
          <w:szCs w:val="22"/>
          <w:color w:val="auto"/>
        </w:rPr>
        <w:t>. If any of the Restricted Stock Units vest on a vesting date, the Company shall settle such Restricted Stock Units (the “</w:t>
      </w:r>
      <w:r>
        <w:rPr>
          <w:rFonts w:ascii="Arial" w:cs="Arial" w:eastAsia="Arial" w:hAnsi="Arial"/>
          <w:sz w:val="22"/>
          <w:szCs w:val="22"/>
          <w:u w:val="single" w:color="auto"/>
          <w:color w:val="auto"/>
        </w:rPr>
        <w:t>Vested Restricted Stock Units</w:t>
      </w:r>
      <w:r>
        <w:rPr>
          <w:rFonts w:ascii="Arial" w:cs="Arial" w:eastAsia="Arial" w:hAnsi="Arial"/>
          <w:sz w:val="22"/>
          <w:szCs w:val="22"/>
          <w:color w:val="auto"/>
        </w:rPr>
        <w:t>”) and Dividend Equivalent Rights attributable to such Vested Restricted Stock Units (“</w:t>
      </w:r>
      <w:r>
        <w:rPr>
          <w:rFonts w:ascii="Arial" w:cs="Arial" w:eastAsia="Arial" w:hAnsi="Arial"/>
          <w:sz w:val="22"/>
          <w:szCs w:val="22"/>
          <w:u w:val="single" w:color="auto"/>
          <w:color w:val="auto"/>
        </w:rPr>
        <w:t>Vested Dividend Equivalents</w:t>
      </w:r>
      <w:r>
        <w:rPr>
          <w:rFonts w:ascii="Arial" w:cs="Arial" w:eastAsia="Arial" w:hAnsi="Arial"/>
          <w:sz w:val="22"/>
          <w:szCs w:val="22"/>
          <w:color w:val="auto"/>
        </w:rPr>
        <w:t>”) on the Payment Date established in the Award Notice (the “</w:t>
      </w:r>
      <w:r>
        <w:rPr>
          <w:rFonts w:ascii="Arial" w:cs="Arial" w:eastAsia="Arial" w:hAnsi="Arial"/>
          <w:sz w:val="22"/>
          <w:szCs w:val="22"/>
          <w:u w:val="single" w:color="auto"/>
          <w:color w:val="auto"/>
        </w:rPr>
        <w:t>Payment Date</w:t>
      </w:r>
      <w:r>
        <w:rPr>
          <w:rFonts w:ascii="Arial" w:cs="Arial" w:eastAsia="Arial" w:hAnsi="Arial"/>
          <w:sz w:val="22"/>
          <w:szCs w:val="22"/>
          <w:color w:val="auto"/>
        </w:rPr>
        <w:t>”) by delivering to the Grantee (a) shares of Common Stock of the Company and (b) cash, determined as follows:</w:t>
      </w:r>
    </w:p>
    <w:p>
      <w:pPr>
        <w:spacing w:after="0" w:line="187" w:lineRule="exact"/>
        <w:rPr>
          <w:sz w:val="20"/>
          <w:szCs w:val="20"/>
          <w:color w:val="auto"/>
        </w:rPr>
      </w:pPr>
    </w:p>
    <w:p>
      <w:pPr>
        <w:ind w:left="1280" w:hanging="422"/>
        <w:spacing w:after="0" w:line="246" w:lineRule="auto"/>
        <w:tabs>
          <w:tab w:leader="none" w:pos="1280" w:val="left"/>
        </w:tabs>
        <w:numPr>
          <w:ilvl w:val="0"/>
          <w:numId w:val="81"/>
        </w:numPr>
        <w:rPr>
          <w:rFonts w:ascii="Arial" w:cs="Arial" w:eastAsia="Arial" w:hAnsi="Arial"/>
          <w:sz w:val="21"/>
          <w:szCs w:val="21"/>
          <w:color w:val="auto"/>
        </w:rPr>
      </w:pPr>
      <w:r>
        <w:rPr>
          <w:rFonts w:ascii="Arial" w:cs="Arial" w:eastAsia="Arial" w:hAnsi="Arial"/>
          <w:sz w:val="21"/>
          <w:szCs w:val="21"/>
          <w:i w:val="1"/>
          <w:iCs w:val="1"/>
          <w:color w:val="auto"/>
        </w:rPr>
        <w:t>Number of Shares of Common Stock</w:t>
      </w:r>
      <w:r>
        <w:rPr>
          <w:rFonts w:ascii="Arial" w:cs="Arial" w:eastAsia="Arial" w:hAnsi="Arial"/>
          <w:sz w:val="21"/>
          <w:szCs w:val="21"/>
          <w:color w:val="auto"/>
        </w:rPr>
        <w:t>. The Company will determine the value as of the Payment Date of the Vested</w:t>
      </w:r>
      <w:r>
        <w:rPr>
          <w:rFonts w:ascii="Arial" w:cs="Arial" w:eastAsia="Arial" w:hAnsi="Arial"/>
          <w:sz w:val="21"/>
          <w:szCs w:val="21"/>
          <w:i w:val="1"/>
          <w:iCs w:val="1"/>
          <w:color w:val="auto"/>
        </w:rPr>
        <w:t xml:space="preserve"> </w:t>
      </w:r>
      <w:r>
        <w:rPr>
          <w:rFonts w:ascii="Arial" w:cs="Arial" w:eastAsia="Arial" w:hAnsi="Arial"/>
          <w:sz w:val="21"/>
          <w:szCs w:val="21"/>
          <w:color w:val="auto"/>
        </w:rPr>
        <w:t>Restricted Stock Units and the Vested Dividend Equivalent Rights (together, the “</w:t>
      </w:r>
      <w:r>
        <w:rPr>
          <w:rFonts w:ascii="Arial" w:cs="Arial" w:eastAsia="Arial" w:hAnsi="Arial"/>
          <w:sz w:val="21"/>
          <w:szCs w:val="21"/>
          <w:u w:val="single" w:color="auto"/>
          <w:color w:val="auto"/>
        </w:rPr>
        <w:t>Total Amount</w:t>
      </w:r>
      <w:r>
        <w:rPr>
          <w:rFonts w:ascii="Arial" w:cs="Arial" w:eastAsia="Arial" w:hAnsi="Arial"/>
          <w:sz w:val="21"/>
          <w:szCs w:val="21"/>
          <w:color w:val="auto"/>
        </w:rPr>
        <w:t>”). For this purpose, the Vested Dividend Equivalents shall be valued at their original value and shall not be increased or decreased by an interest or earnings factor. The Total Amount will be reduced by any tax withholding that is not paid by the Grantee under the procedure in Section 6 below (the amount after the reduction is the “</w:t>
      </w:r>
      <w:r>
        <w:rPr>
          <w:rFonts w:ascii="Arial" w:cs="Arial" w:eastAsia="Arial" w:hAnsi="Arial"/>
          <w:sz w:val="21"/>
          <w:szCs w:val="21"/>
          <w:u w:val="single" w:color="auto"/>
          <w:color w:val="auto"/>
        </w:rPr>
        <w:t>Net</w:t>
      </w:r>
      <w:r>
        <w:rPr>
          <w:rFonts w:ascii="Arial" w:cs="Arial" w:eastAsia="Arial" w:hAnsi="Arial"/>
          <w:sz w:val="21"/>
          <w:szCs w:val="21"/>
          <w:color w:val="auto"/>
        </w:rPr>
        <w:t xml:space="preserve"> </w:t>
      </w:r>
      <w:r>
        <w:rPr>
          <w:rFonts w:ascii="Arial" w:cs="Arial" w:eastAsia="Arial" w:hAnsi="Arial"/>
          <w:sz w:val="21"/>
          <w:szCs w:val="21"/>
          <w:u w:val="single" w:color="auto"/>
          <w:color w:val="auto"/>
        </w:rPr>
        <w:t>Amount</w:t>
      </w:r>
      <w:r>
        <w:rPr>
          <w:rFonts w:ascii="Arial" w:cs="Arial" w:eastAsia="Arial" w:hAnsi="Arial"/>
          <w:sz w:val="21"/>
          <w:szCs w:val="21"/>
          <w:color w:val="auto"/>
        </w:rPr>
        <w:t>”). The Net Amount will be divided by the value of one (1) Common Share of the Company as of the Vesting Date, and the resulting whole number (without remainder) shall be the number of shares of Common Stock that will be delivered to the Grantee, and</w:t>
      </w:r>
    </w:p>
    <w:p>
      <w:pPr>
        <w:spacing w:after="0" w:line="179" w:lineRule="exact"/>
        <w:rPr>
          <w:rFonts w:ascii="Arial" w:cs="Arial" w:eastAsia="Arial" w:hAnsi="Arial"/>
          <w:sz w:val="21"/>
          <w:szCs w:val="21"/>
          <w:color w:val="auto"/>
        </w:rPr>
      </w:pPr>
    </w:p>
    <w:p>
      <w:pPr>
        <w:ind w:left="1280" w:right="20" w:hanging="422"/>
        <w:spacing w:after="0"/>
        <w:tabs>
          <w:tab w:leader="none" w:pos="128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Cash</w:t>
      </w:r>
      <w:r>
        <w:rPr>
          <w:rFonts w:ascii="Arial" w:cs="Arial" w:eastAsia="Arial" w:hAnsi="Arial"/>
          <w:sz w:val="22"/>
          <w:szCs w:val="22"/>
          <w:color w:val="auto"/>
        </w:rPr>
        <w:t>. The remainder resulting from the division in (a) above to determine the number of shares of Common Stock</w:t>
      </w:r>
      <w:r>
        <w:rPr>
          <w:rFonts w:ascii="Arial" w:cs="Arial" w:eastAsia="Arial" w:hAnsi="Arial"/>
          <w:sz w:val="22"/>
          <w:szCs w:val="22"/>
          <w:i w:val="1"/>
          <w:iCs w:val="1"/>
          <w:color w:val="auto"/>
        </w:rPr>
        <w:t xml:space="preserve"> </w:t>
      </w:r>
      <w:r>
        <w:rPr>
          <w:rFonts w:ascii="Arial" w:cs="Arial" w:eastAsia="Arial" w:hAnsi="Arial"/>
          <w:sz w:val="22"/>
          <w:szCs w:val="22"/>
          <w:color w:val="auto"/>
        </w:rPr>
        <w:t>will be the dollar amount of the cash payable to the Grantee, and such amount shall be paid to the Grantee by check.</w:t>
      </w:r>
    </w:p>
    <w:p>
      <w:pPr>
        <w:spacing w:after="0" w:line="186" w:lineRule="exact"/>
        <w:rPr>
          <w:sz w:val="20"/>
          <w:szCs w:val="20"/>
          <w:color w:val="auto"/>
        </w:rPr>
      </w:pPr>
    </w:p>
    <w:p>
      <w:pPr>
        <w:ind w:right="200" w:firstLine="856"/>
        <w:spacing w:after="0" w:line="250" w:lineRule="auto"/>
        <w:rPr>
          <w:sz w:val="20"/>
          <w:szCs w:val="20"/>
          <w:color w:val="auto"/>
        </w:rPr>
      </w:pPr>
      <w:r>
        <w:rPr>
          <w:rFonts w:ascii="Arial" w:cs="Arial" w:eastAsia="Arial" w:hAnsi="Arial"/>
          <w:sz w:val="22"/>
          <w:szCs w:val="22"/>
          <w:color w:val="auto"/>
        </w:rPr>
        <w:t>The Vested Restricted Stock Units and Vested Dividend Equivalents will be settled by the Company within thirty (30) days of the applicable vesting date.</w:t>
      </w:r>
    </w:p>
    <w:p>
      <w:pPr>
        <w:spacing w:after="0" w:line="175" w:lineRule="exact"/>
        <w:rPr>
          <w:sz w:val="20"/>
          <w:szCs w:val="20"/>
          <w:color w:val="auto"/>
        </w:rPr>
      </w:pPr>
    </w:p>
    <w:p>
      <w:pPr>
        <w:ind w:right="200" w:firstLine="864"/>
        <w:spacing w:after="0" w:line="236" w:lineRule="auto"/>
        <w:tabs>
          <w:tab w:leader="none" w:pos="166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Forfeiture of Restricted Stock Units (and Dividend Equivalent Rights Attributable to Restricted Stock Units)</w:t>
      </w:r>
      <w:r>
        <w:rPr>
          <w:rFonts w:ascii="Arial" w:cs="Arial" w:eastAsia="Arial" w:hAnsi="Arial"/>
          <w:sz w:val="22"/>
          <w:szCs w:val="22"/>
          <w:color w:val="auto"/>
        </w:rPr>
        <w:t>. Except as set forth in Section 8(b) of your Employment Agreement (as defined in the Award Notice) or in the Award Notice, in the event of a termination of the Grantee’s Continuous Service for any reason (including Disability), any Restricted Stock Units and Dividend Equivalent Rights attributable to such Restricted Stock Units that were not already vested on the date of termination shall be forfeited on that date.</w:t>
      </w:r>
    </w:p>
    <w:p>
      <w:pPr>
        <w:spacing w:after="0" w:line="187" w:lineRule="exact"/>
        <w:rPr>
          <w:rFonts w:ascii="Arial" w:cs="Arial" w:eastAsia="Arial" w:hAnsi="Arial"/>
          <w:sz w:val="22"/>
          <w:szCs w:val="22"/>
          <w:color w:val="auto"/>
        </w:rPr>
      </w:pPr>
    </w:p>
    <w:p>
      <w:pPr>
        <w:ind w:right="200" w:firstLine="864"/>
        <w:spacing w:after="0"/>
        <w:tabs>
          <w:tab w:leader="none" w:pos="1666"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Certain Tax Matters</w:t>
      </w:r>
      <w:r>
        <w:rPr>
          <w:rFonts w:ascii="Arial" w:cs="Arial" w:eastAsia="Arial" w:hAnsi="Arial"/>
          <w:sz w:val="22"/>
          <w:szCs w:val="22"/>
          <w:color w:val="auto"/>
        </w:rPr>
        <w:t>. The Grantee acknowledges that the Grantee understands the federal, state and local income, employment and foreign (if applicable) tax consequences of the Restricted Stock Unit Award, and the issuance, vesting and forfeiture provisions relating to the Restricted Stock Unit Award.</w:t>
      </w:r>
    </w:p>
    <w:p>
      <w:pPr>
        <w:spacing w:after="0" w:line="186" w:lineRule="exact"/>
        <w:rPr>
          <w:sz w:val="20"/>
          <w:szCs w:val="20"/>
          <w:color w:val="auto"/>
        </w:rPr>
      </w:pPr>
    </w:p>
    <w:p>
      <w:pPr>
        <w:jc w:val="center"/>
        <w:spacing w:after="0" w:line="297" w:lineRule="auto"/>
        <w:rPr>
          <w:sz w:val="20"/>
          <w:szCs w:val="20"/>
          <w:color w:val="auto"/>
        </w:rPr>
      </w:pPr>
      <w:r>
        <w:rPr>
          <w:rFonts w:ascii="Arial" w:cs="Arial" w:eastAsia="Arial" w:hAnsi="Arial"/>
          <w:sz w:val="19"/>
          <w:szCs w:val="19"/>
          <w:color w:val="auto"/>
        </w:rPr>
        <w:t>The Grantee understands that, at the time that the Grantee realizes any compensation income in respect of the Restricted Stock Unit Award, the Company will be required to withhold federal, state and local income and employment taxes on the full amount of the compensation income realized by the Grantee, and if the Grantee is located outside of the United States,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7" w:name="page98"/>
    <w:bookmarkEnd w:id="97"/>
    <w:p>
      <w:pPr>
        <w:spacing w:after="0" w:line="235" w:lineRule="auto"/>
        <w:rPr>
          <w:sz w:val="20"/>
          <w:szCs w:val="20"/>
          <w:color w:val="auto"/>
        </w:rPr>
      </w:pPr>
      <w:r>
        <w:rPr>
          <w:rFonts w:ascii="Arial" w:cs="Arial" w:eastAsia="Arial" w:hAnsi="Arial"/>
          <w:sz w:val="22"/>
          <w:szCs w:val="22"/>
          <w:color w:val="auto"/>
        </w:rPr>
        <w:t>Company may be required to withhold to meet tax, employment, or other obligations imposed by the tax jurisdiction that may be applicable to the Grantee. It is understood that all matters with respect to the total amount of taxes to be withheld in respect of such compensation income shall be determined by the Board (or the Committee) in its reasonable discretion. It is understood that although the Company may pay withheld amounts for the taxing jurisdiction that may be credited to the Grantee against taxes due by the Grantee, the Grantee is responsible for payment of all taxes due as a result of compensation arising under this Award Agreement.</w:t>
      </w:r>
    </w:p>
    <w:p>
      <w:pPr>
        <w:spacing w:after="0" w:line="188" w:lineRule="exact"/>
        <w:rPr>
          <w:sz w:val="20"/>
          <w:szCs w:val="20"/>
          <w:color w:val="auto"/>
        </w:rPr>
      </w:pPr>
    </w:p>
    <w:p>
      <w:pPr>
        <w:ind w:right="40" w:firstLine="856"/>
        <w:spacing w:after="0" w:line="244" w:lineRule="auto"/>
        <w:rPr>
          <w:sz w:val="20"/>
          <w:szCs w:val="20"/>
          <w:color w:val="auto"/>
        </w:rPr>
      </w:pPr>
      <w:r>
        <w:rPr>
          <w:rFonts w:ascii="Arial" w:cs="Arial" w:eastAsia="Arial" w:hAnsi="Arial"/>
          <w:sz w:val="21"/>
          <w:szCs w:val="21"/>
          <w:color w:val="auto"/>
        </w:rPr>
        <w:t>The Board (or the Committee) may make such provisions and take such steps as it may deem necessary or appropriate for the withholding of taxes by the Company on compensation income the Grantee realizes. The Company shall accept payment by the Grantee of an amount in cash for all or part of the withholding obligation of the Company on the compensation income, so that the payment(s) to the Grantee under this Award Agreement are not reduced for tax withholding to the extent of the payment. Such payment by the Grantee must be made to the Company by the time that the Company is required to pay the withholding to the taxing authority, but in any event not later than thirty (30) days from the Payment Date. If the Grantee does not make a payment for the full withholding obligation, the Company shall withhold part of the payment due for redemption of the Vested Restricted Stock Units and Vested Dividend Equivalent Rights in the amount needed by the Company to meet its withholding obligations, with the result that the payment amount for the Vested Restricted Stock Units and Vested Dividend Equivalent Rights will be reduced as provided in Section 4(a) above by the amount needed to meet the Company’s withholding obligations.</w:t>
      </w:r>
    </w:p>
    <w:p>
      <w:pPr>
        <w:spacing w:after="0" w:line="188" w:lineRule="exact"/>
        <w:rPr>
          <w:sz w:val="20"/>
          <w:szCs w:val="20"/>
          <w:color w:val="auto"/>
        </w:rPr>
      </w:pPr>
    </w:p>
    <w:p>
      <w:pPr>
        <w:ind w:right="60" w:firstLine="864"/>
        <w:spacing w:after="0" w:line="236" w:lineRule="auto"/>
        <w:tabs>
          <w:tab w:leader="none" w:pos="166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Rights Prior to Vesting</w:t>
      </w:r>
      <w:r>
        <w:rPr>
          <w:rFonts w:ascii="Arial" w:cs="Arial" w:eastAsia="Arial" w:hAnsi="Arial"/>
          <w:sz w:val="22"/>
          <w:szCs w:val="22"/>
          <w:color w:val="auto"/>
        </w:rPr>
        <w:t>. The Restricted Stock Units and Dividend Equivalent Rights represent a right to payment from the Company if the conditions of this Award Agreement are met and do not give the Grantee ownership of any Common Stock prior to delivery as provided in Section 4. No assets have been set aside by the Company or otherwise to pay the amounts promised by this Award Agreement, the right to payment is unsecured, and the Grantee is a general creditor of the Company for payment under this Award Agreement.</w:t>
      </w:r>
    </w:p>
    <w:p>
      <w:pPr>
        <w:spacing w:after="0" w:line="187" w:lineRule="exact"/>
        <w:rPr>
          <w:rFonts w:ascii="Arial" w:cs="Arial" w:eastAsia="Arial" w:hAnsi="Arial"/>
          <w:sz w:val="22"/>
          <w:szCs w:val="22"/>
          <w:color w:val="auto"/>
        </w:rPr>
      </w:pPr>
    </w:p>
    <w:p>
      <w:pPr>
        <w:jc w:val="both"/>
        <w:ind w:right="300" w:firstLine="864"/>
        <w:spacing w:after="0"/>
        <w:tabs>
          <w:tab w:leader="none" w:pos="166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Investment Representation</w:t>
      </w:r>
      <w:r>
        <w:rPr>
          <w:rFonts w:ascii="Arial" w:cs="Arial" w:eastAsia="Arial" w:hAnsi="Arial"/>
          <w:sz w:val="22"/>
          <w:szCs w:val="22"/>
          <w:color w:val="auto"/>
        </w:rPr>
        <w:t>. The Grantee represents and warrants to the Company that the Grantee has read this Award Agreement carefully, and to the extent believed necessary, has discussed this Award Agreement and its impact and limitations upon the Grantee with counsel.</w:t>
      </w:r>
    </w:p>
    <w:p>
      <w:pPr>
        <w:spacing w:after="0" w:line="186" w:lineRule="exact"/>
        <w:rPr>
          <w:rFonts w:ascii="Arial" w:cs="Arial" w:eastAsia="Arial" w:hAnsi="Arial"/>
          <w:sz w:val="22"/>
          <w:szCs w:val="22"/>
          <w:color w:val="auto"/>
        </w:rPr>
      </w:pPr>
    </w:p>
    <w:p>
      <w:pPr>
        <w:jc w:val="both"/>
        <w:ind w:right="220" w:firstLine="864"/>
        <w:spacing w:after="0" w:line="238" w:lineRule="auto"/>
        <w:tabs>
          <w:tab w:leader="none" w:pos="166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The right to payment under this Award Agreement may not be sold, exchanged, transferred, pledged, hypothecated, encumbered or otherwise disposed of except as provided in the Plan. The Company shall have the right to assign to any of its affiliates any of its rights, or to delegate to any of its affiliates any of its obligations under this Award Agreement.</w:t>
      </w:r>
    </w:p>
    <w:p>
      <w:pPr>
        <w:spacing w:after="0" w:line="184" w:lineRule="exact"/>
        <w:rPr>
          <w:rFonts w:ascii="Arial" w:cs="Arial" w:eastAsia="Arial" w:hAnsi="Arial"/>
          <w:sz w:val="22"/>
          <w:szCs w:val="22"/>
          <w:color w:val="auto"/>
        </w:rPr>
      </w:pPr>
    </w:p>
    <w:p>
      <w:pPr>
        <w:ind w:right="260" w:firstLine="864"/>
        <w:spacing w:after="0" w:line="250" w:lineRule="auto"/>
        <w:tabs>
          <w:tab w:leader="none" w:pos="177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Award Agreement shall inure to the benefit of and be binding upon the parties hereto and their respective heirs, executors, administrators, successors and assigns.</w:t>
      </w:r>
    </w:p>
    <w:p>
      <w:pPr>
        <w:spacing w:after="0" w:line="174" w:lineRule="exact"/>
        <w:rPr>
          <w:rFonts w:ascii="Arial" w:cs="Arial" w:eastAsia="Arial" w:hAnsi="Arial"/>
          <w:sz w:val="22"/>
          <w:szCs w:val="22"/>
          <w:color w:val="auto"/>
        </w:rPr>
      </w:pPr>
    </w:p>
    <w:p>
      <w:pPr>
        <w:ind w:right="420" w:firstLine="864"/>
        <w:spacing w:after="0" w:line="250" w:lineRule="auto"/>
        <w:tabs>
          <w:tab w:leader="none" w:pos="176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Gender and Number</w:t>
      </w:r>
      <w:r>
        <w:rPr>
          <w:rFonts w:ascii="Arial" w:cs="Arial" w:eastAsia="Arial" w:hAnsi="Arial"/>
          <w:sz w:val="22"/>
          <w:szCs w:val="22"/>
          <w:color w:val="auto"/>
        </w:rPr>
        <w:t>. All terms used in this Award Agreement shall be deemed to refer to the masculine, feminine, neuter, singular or plural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8" w:name="page99"/>
    <w:bookmarkEnd w:id="98"/>
    <w:p>
      <w:pPr>
        <w:ind w:right="200" w:firstLine="864"/>
        <w:spacing w:after="0" w:line="297" w:lineRule="auto"/>
        <w:tabs>
          <w:tab w:leader="none" w:pos="177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Terms and Conditions of Plan</w:t>
      </w:r>
      <w:r>
        <w:rPr>
          <w:rFonts w:ascii="Arial" w:cs="Arial" w:eastAsia="Arial" w:hAnsi="Arial"/>
          <w:sz w:val="19"/>
          <w:szCs w:val="19"/>
          <w:color w:val="auto"/>
        </w:rPr>
        <w:t>. The terms and conditions included in the Plan and the Award Notice are incorporated by reference herein, and to the extent that any conflict may exist between any term or provision of this Award Agreement and any term or provision of the Plan as in effect from time to time, such term or provision of the Plan shall control.</w:t>
      </w:r>
    </w:p>
    <w:p>
      <w:pPr>
        <w:spacing w:after="0" w:line="133" w:lineRule="exact"/>
        <w:rPr>
          <w:rFonts w:ascii="Arial" w:cs="Arial" w:eastAsia="Arial" w:hAnsi="Arial"/>
          <w:sz w:val="19"/>
          <w:szCs w:val="19"/>
          <w:color w:val="auto"/>
        </w:rPr>
      </w:pPr>
    </w:p>
    <w:p>
      <w:pPr>
        <w:ind w:firstLine="864"/>
        <w:spacing w:after="0" w:line="287" w:lineRule="auto"/>
        <w:tabs>
          <w:tab w:leader="none" w:pos="177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Certain Remedies</w:t>
      </w:r>
      <w:r>
        <w:rPr>
          <w:rFonts w:ascii="Arial" w:cs="Arial" w:eastAsia="Arial" w:hAnsi="Arial"/>
          <w:sz w:val="19"/>
          <w:szCs w:val="19"/>
          <w:color w:val="auto"/>
        </w:rPr>
        <w:t>. Without intending to limit the remedies available to the Company, the Grantee agrees that damages at law will be an insufficient remedy in the event the Grantee violates the terms of this Award Agreement. The Grantee agrees that the Company may apply for and have injunctive or other equitable relief in any court of competent jurisdiction to restrain the breach or threatened breach of, or otherwise specifically to enforce, any of the provisions hereof.</w:t>
      </w:r>
    </w:p>
    <w:p>
      <w:pPr>
        <w:spacing w:after="0" w:line="142" w:lineRule="exact"/>
        <w:rPr>
          <w:rFonts w:ascii="Arial" w:cs="Arial" w:eastAsia="Arial" w:hAnsi="Arial"/>
          <w:sz w:val="19"/>
          <w:szCs w:val="19"/>
          <w:color w:val="auto"/>
        </w:rPr>
      </w:pPr>
    </w:p>
    <w:p>
      <w:pPr>
        <w:jc w:val="both"/>
        <w:ind w:right="120" w:firstLine="864"/>
        <w:spacing w:after="0"/>
        <w:tabs>
          <w:tab w:leader="none" w:pos="177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The waiver by either party of compliance with any provision of this Award Agreement by the other party shall not operate or be construed as a waiver of any other provision of this Award Agreement, or of any subsequent breach by such party of a provision of this Award Agreement.</w:t>
      </w:r>
    </w:p>
    <w:p>
      <w:pPr>
        <w:spacing w:after="0" w:line="186" w:lineRule="exact"/>
        <w:rPr>
          <w:sz w:val="20"/>
          <w:szCs w:val="20"/>
          <w:color w:val="auto"/>
        </w:rPr>
      </w:pPr>
    </w:p>
    <w:p>
      <w:pPr>
        <w:ind w:left="860"/>
        <w:spacing w:after="0"/>
        <w:tabs>
          <w:tab w:leader="none" w:pos="1760" w:val="left"/>
          <w:tab w:leader="none" w:pos="824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22"/>
          <w:szCs w:val="22"/>
          <w:u w:val="single" w:color="auto"/>
          <w:color w:val="auto"/>
        </w:rPr>
        <w:t>No Restriction on Right of Company to Effect Corporate Changes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Neither the Plan nor this Award</w:t>
      </w:r>
    </w:p>
    <w:p>
      <w:pPr>
        <w:spacing w:after="0" w:line="8"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Agreement shall affect in any way the right or power of the Company or its stockholders to make or authorize any or all adjustments, recapitalizations, reorganizations or other changes in the capital structure or business of the Company,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spacing w:after="0" w:line="187" w:lineRule="exact"/>
        <w:rPr>
          <w:sz w:val="20"/>
          <w:szCs w:val="20"/>
          <w:color w:val="auto"/>
        </w:rPr>
      </w:pPr>
    </w:p>
    <w:p>
      <w:pPr>
        <w:ind w:right="100" w:firstLine="864"/>
        <w:spacing w:after="0" w:line="245" w:lineRule="auto"/>
        <w:tabs>
          <w:tab w:leader="none" w:pos="177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Award Agreement (including, for all purposes of this Section 16, the Award Notice, and the Plan which are incorporated herein by reference and all additional riders incorporated herein) sets forth all of the promises, agreements, conditions and understandings between the parties hereto with respect to the Award, and there are no promises, agreements, conditions, understandings, warranties or representations, oral or written, express or implied, between them with respect to the Restricted Stock Unit Award other than as set forth therein or herein. This Award Agreement supersedes and replaces any and all prior agreements between the parties hereto with respect to Restricted Stock Units and Dividend Equivalent Rights. This Award Agreement is, and is intended by the parties to be, an integration of any and all prior agreements or understandings, oral or written, with respect to the Restricted Stock Units and Dividend Equivalent Rights subject to this Award Agreement. No modification, amendment or waiver of any of the provisions of this Award Agreement shall be effective unless approved in writing by both parties.</w:t>
      </w:r>
    </w:p>
    <w:p>
      <w:pPr>
        <w:spacing w:after="0" w:line="180" w:lineRule="exact"/>
        <w:rPr>
          <w:rFonts w:ascii="Arial" w:cs="Arial" w:eastAsia="Arial" w:hAnsi="Arial"/>
          <w:sz w:val="21"/>
          <w:szCs w:val="21"/>
          <w:color w:val="auto"/>
        </w:rPr>
      </w:pPr>
    </w:p>
    <w:p>
      <w:pPr>
        <w:ind w:right="240" w:firstLine="864"/>
        <w:spacing w:after="0"/>
        <w:tabs>
          <w:tab w:leader="none" w:pos="1774"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Invalid or Unenforceable Provision</w:t>
      </w:r>
      <w:r>
        <w:rPr>
          <w:rFonts w:ascii="Arial" w:cs="Arial" w:eastAsia="Arial" w:hAnsi="Arial"/>
          <w:sz w:val="22"/>
          <w:szCs w:val="22"/>
          <w:color w:val="auto"/>
        </w:rPr>
        <w:t>. The invalidity or unenforceability of any particular provision of this Award Agreement shall not affect the other provisions hereof, and this Award Agreement shall be construed in all respects as if such invalid or unenforceable provision was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99" w:name="page100"/>
    <w:bookmarkEnd w:id="99"/>
    <w:p>
      <w:pPr>
        <w:ind w:right="420" w:firstLine="864"/>
        <w:spacing w:after="0" w:line="250" w:lineRule="auto"/>
        <w:tabs>
          <w:tab w:leader="none" w:pos="1774"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construed and enforced in accordance with the laws of Delaware, without giving effect to principles of conflicts of laws.</w:t>
      </w:r>
    </w:p>
    <w:p>
      <w:pPr>
        <w:spacing w:after="0" w:line="174" w:lineRule="exact"/>
        <w:rPr>
          <w:rFonts w:ascii="Arial" w:cs="Arial" w:eastAsia="Arial" w:hAnsi="Arial"/>
          <w:sz w:val="22"/>
          <w:szCs w:val="22"/>
          <w:color w:val="auto"/>
        </w:rPr>
      </w:pPr>
    </w:p>
    <w:p>
      <w:pPr>
        <w:ind w:left="1780" w:hanging="916"/>
        <w:spacing w:after="0"/>
        <w:tabs>
          <w:tab w:leader="none" w:pos="178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1720"/>
        <w:spacing w:after="0" w:line="238" w:lineRule="auto"/>
        <w:tabs>
          <w:tab w:leader="none" w:pos="2599" w:val="left"/>
        </w:tabs>
        <w:numPr>
          <w:ilvl w:val="1"/>
          <w:numId w:val="86"/>
        </w:numPr>
        <w:rPr>
          <w:rFonts w:ascii="Arial" w:cs="Arial" w:eastAsia="Arial" w:hAnsi="Arial"/>
          <w:sz w:val="22"/>
          <w:szCs w:val="22"/>
          <w:color w:val="auto"/>
        </w:rPr>
      </w:pPr>
      <w:r>
        <w:rPr>
          <w:rFonts w:ascii="Arial" w:cs="Arial" w:eastAsia="Arial" w:hAnsi="Arial"/>
          <w:sz w:val="22"/>
          <w:szCs w:val="22"/>
          <w:color w:val="auto"/>
        </w:rPr>
        <w:t>Neither the granting or vesting of the Restricted Stock Units and Dividend Equivalent Rights nor any other provision of this Award Agreement shall be construed as conferring upon the Grantee any right to continue in the service of the Company, or as interfering with or restricting in any way the right of the Company to terminate such service at any time.</w:t>
      </w:r>
    </w:p>
    <w:p>
      <w:pPr>
        <w:spacing w:after="0" w:line="184" w:lineRule="exact"/>
        <w:rPr>
          <w:rFonts w:ascii="Arial" w:cs="Arial" w:eastAsia="Arial" w:hAnsi="Arial"/>
          <w:sz w:val="22"/>
          <w:szCs w:val="22"/>
          <w:color w:val="auto"/>
        </w:rPr>
      </w:pPr>
    </w:p>
    <w:p>
      <w:pPr>
        <w:ind w:right="80" w:firstLine="1720"/>
        <w:spacing w:after="0" w:line="282" w:lineRule="auto"/>
        <w:tabs>
          <w:tab w:leader="none" w:pos="2611"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The Company, the Board (or the Committee) and any employees or agents thereof are relieved from any liability for the non-issuance or non-transfer, or any delay in the issuance or transfer, of any Common Stock which results from the inability of the Company to obtain, or in any delay in obtaining, from each regulatory body having jurisdiction all requisite authority to issue or transfer the Common Stock in satisfaction of this Award Agreement if counsel for the Company deems such authorization necessary for the lawful issuance or transfer of any of the Common Stock.</w:t>
      </w:r>
    </w:p>
    <w:p>
      <w:pPr>
        <w:spacing w:after="0" w:line="147" w:lineRule="exact"/>
        <w:rPr>
          <w:rFonts w:ascii="Arial" w:cs="Arial" w:eastAsia="Arial" w:hAnsi="Arial"/>
          <w:sz w:val="19"/>
          <w:szCs w:val="19"/>
          <w:color w:val="auto"/>
        </w:rPr>
      </w:pPr>
    </w:p>
    <w:p>
      <w:pPr>
        <w:ind w:left="2600" w:hanging="880"/>
        <w:spacing w:after="0"/>
        <w:tabs>
          <w:tab w:leader="none" w:pos="2600" w:val="left"/>
        </w:tabs>
        <w:numPr>
          <w:ilvl w:val="1"/>
          <w:numId w:val="86"/>
        </w:numPr>
        <w:rPr>
          <w:rFonts w:ascii="Arial" w:cs="Arial" w:eastAsia="Arial" w:hAnsi="Arial"/>
          <w:sz w:val="21"/>
          <w:szCs w:val="21"/>
          <w:color w:val="auto"/>
        </w:rPr>
      </w:pPr>
      <w:r>
        <w:rPr>
          <w:rFonts w:ascii="Arial" w:cs="Arial" w:eastAsia="Arial" w:hAnsi="Arial"/>
          <w:sz w:val="21"/>
          <w:szCs w:val="21"/>
          <w:color w:val="auto"/>
        </w:rPr>
        <w:t>No Common Stock shall be sold or otherwise disposed of in violation of any federal or state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securities law or regulations.</w:t>
      </w:r>
    </w:p>
    <w:p>
      <w:pPr>
        <w:spacing w:after="0" w:line="188" w:lineRule="exact"/>
        <w:rPr>
          <w:rFonts w:ascii="Arial" w:cs="Arial" w:eastAsia="Arial" w:hAnsi="Arial"/>
          <w:sz w:val="21"/>
          <w:szCs w:val="21"/>
          <w:color w:val="auto"/>
        </w:rPr>
      </w:pPr>
    </w:p>
    <w:p>
      <w:pPr>
        <w:ind w:right="220" w:firstLine="1720"/>
        <w:spacing w:after="0" w:line="328" w:lineRule="auto"/>
        <w:tabs>
          <w:tab w:leader="none" w:pos="2611" w:val="left"/>
        </w:tabs>
        <w:numPr>
          <w:ilvl w:val="1"/>
          <w:numId w:val="86"/>
        </w:numPr>
        <w:rPr>
          <w:rFonts w:ascii="Arial" w:cs="Arial" w:eastAsia="Arial" w:hAnsi="Arial"/>
          <w:sz w:val="19"/>
          <w:szCs w:val="19"/>
          <w:color w:val="auto"/>
        </w:rPr>
      </w:pPr>
      <w:r>
        <w:rPr>
          <w:rFonts w:ascii="Arial" w:cs="Arial" w:eastAsia="Arial" w:hAnsi="Arial"/>
          <w:sz w:val="19"/>
          <w:szCs w:val="19"/>
          <w:color w:val="auto"/>
        </w:rPr>
        <w:t>All decisions of the Board (or the Committee) with respect to the interpretation, construction and application of the Plan and/or this Award Agreement shall be conclusive and binding upon the Grantee and all other persons.</w:t>
      </w:r>
    </w:p>
    <w:p>
      <w:pPr>
        <w:spacing w:after="0" w:line="104" w:lineRule="exact"/>
        <w:rPr>
          <w:rFonts w:ascii="Arial" w:cs="Arial" w:eastAsia="Arial" w:hAnsi="Arial"/>
          <w:sz w:val="19"/>
          <w:szCs w:val="19"/>
          <w:color w:val="auto"/>
        </w:rPr>
      </w:pPr>
    </w:p>
    <w:p>
      <w:pPr>
        <w:ind w:firstLine="1720"/>
        <w:spacing w:after="0" w:line="274" w:lineRule="auto"/>
        <w:tabs>
          <w:tab w:leader="none" w:pos="2599" w:val="left"/>
        </w:tabs>
        <w:numPr>
          <w:ilvl w:val="1"/>
          <w:numId w:val="86"/>
        </w:numPr>
        <w:rPr>
          <w:rFonts w:ascii="Arial" w:cs="Arial" w:eastAsia="Arial" w:hAnsi="Arial"/>
          <w:sz w:val="19"/>
          <w:szCs w:val="19"/>
          <w:color w:val="auto"/>
        </w:rPr>
      </w:pPr>
      <w:r>
        <w:rPr>
          <w:rFonts w:ascii="Arial" w:cs="Arial" w:eastAsia="Arial" w:hAnsi="Arial"/>
          <w:sz w:val="19"/>
          <w:szCs w:val="19"/>
          <w:color w:val="auto"/>
        </w:rPr>
        <w:t>This Award Agreement has been drafted with the intent that payments (and the right to payments) under it are exempt from or comply with the requirements of Section 409A of the Internal Revenue Code of 1986, as amended, and the regulations thereunder applicable to nonqualified deferred compensation. This Award Agreement shall be interpreted in a manner consistent with such intent. The parties agree that this Award Agreement may be amended, as reasonably requested by either party, and as may be necessary to fully comply with Section 409A of the Code and all related rules and regulations in order to preserve the payments and benefits provided hereunder without additional cost to either party. The Company makes no representation or warranty and shall have no liability to the Grantee or any other person if any provisions of this Award Agreement or the Award Notice are determined to constitute deferred compensation subject to Section 409A of the Code but do not satisfy an exemption from, or the conditions of, such Section.</w:t>
      </w:r>
    </w:p>
    <w:p>
      <w:pPr>
        <w:sectPr>
          <w:pgSz w:w="11900" w:h="16838" w:orient="portrait"/>
          <w:cols w:equalWidth="0" w:num="1">
            <w:col w:w="11220"/>
          </w:cols>
          <w:pgMar w:left="320" w:top="550" w:right="35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b w:val="1"/>
          <w:bCs w:val="1"/>
          <w:color w:val="auto"/>
        </w:rPr>
        <w:t>Exhibit 10.6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EMPLOYMENT AGREEMENT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Amendment No. 1 to Employment Agreement (this “</w:t>
      </w:r>
      <w:r>
        <w:rPr>
          <w:rFonts w:ascii="Arial" w:cs="Arial" w:eastAsia="Arial" w:hAnsi="Arial"/>
          <w:sz w:val="22"/>
          <w:szCs w:val="22"/>
          <w:b w:val="1"/>
          <w:bCs w:val="1"/>
          <w:color w:val="auto"/>
        </w:rPr>
        <w:t>Amendment No. 1</w:t>
      </w:r>
      <w:r>
        <w:rPr>
          <w:rFonts w:ascii="Arial" w:cs="Arial" w:eastAsia="Arial" w:hAnsi="Arial"/>
          <w:sz w:val="22"/>
          <w:szCs w:val="22"/>
          <w:color w:val="auto"/>
        </w:rPr>
        <w:t>”), is entered into on February 26, 2020 (the “</w:t>
      </w:r>
      <w:r>
        <w:rPr>
          <w:rFonts w:ascii="Arial" w:cs="Arial" w:eastAsia="Arial" w:hAnsi="Arial"/>
          <w:sz w:val="22"/>
          <w:szCs w:val="22"/>
          <w:b w:val="1"/>
          <w:bCs w:val="1"/>
          <w:color w:val="auto"/>
        </w:rPr>
        <w:t>Amendment No. 1 Effective Date</w:t>
      </w:r>
      <w:r>
        <w:rPr>
          <w:rFonts w:ascii="Arial" w:cs="Arial" w:eastAsia="Arial" w:hAnsi="Arial"/>
          <w:sz w:val="22"/>
          <w:szCs w:val="22"/>
          <w:color w:val="auto"/>
        </w:rPr>
        <w:t>“), by and between Assembly Biosciences, Inc., a Delaware corporation with principal executive offices at 331 Oyster Pt. Blvd, Fourth Floor, South San Francisco, CA 94080 (the “</w:t>
      </w:r>
      <w:r>
        <w:rPr>
          <w:rFonts w:ascii="Arial" w:cs="Arial" w:eastAsia="Arial" w:hAnsi="Arial"/>
          <w:sz w:val="22"/>
          <w:szCs w:val="22"/>
          <w:b w:val="1"/>
          <w:bCs w:val="1"/>
          <w:color w:val="auto"/>
        </w:rPr>
        <w:t>Company</w:t>
      </w:r>
      <w:r>
        <w:rPr>
          <w:rFonts w:ascii="Arial" w:cs="Arial" w:eastAsia="Arial" w:hAnsi="Arial"/>
          <w:sz w:val="22"/>
          <w:szCs w:val="22"/>
          <w:color w:val="auto"/>
        </w:rPr>
        <w:t>”), and Thomas J. Russo, CFA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12"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WHEREAS, the Company and Executive have entered into the Employment Agreement dated as of September 30, 2019 and effective as of October 28, 2019 (the “</w:t>
      </w:r>
      <w:r>
        <w:rPr>
          <w:rFonts w:ascii="Arial" w:cs="Arial" w:eastAsia="Arial" w:hAnsi="Arial"/>
          <w:sz w:val="22"/>
          <w:szCs w:val="22"/>
          <w:b w:val="1"/>
          <w:bCs w:val="1"/>
          <w:color w:val="auto"/>
        </w:rPr>
        <w:t>Existing Agreement</w:t>
      </w:r>
      <w:r>
        <w:rPr>
          <w:rFonts w:ascii="Arial" w:cs="Arial" w:eastAsia="Arial" w:hAnsi="Arial"/>
          <w:sz w:val="22"/>
          <w:szCs w:val="22"/>
          <w:color w:val="auto"/>
        </w:rPr>
        <w:t>”).</w:t>
      </w:r>
    </w:p>
    <w:p>
      <w:pPr>
        <w:spacing w:after="0" w:line="175"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WHEREAS, the Company and the Executive desire to amend the Existing Agreement as provided in this Amendment No. 1 to, among other things, modify the definition of “Good Reason” following a Change of Control (as defined in the Existing Agreement) to include certain adverse modifications to the Executive’s reporting lines.</w:t>
      </w:r>
    </w:p>
    <w:p>
      <w:pPr>
        <w:spacing w:after="0" w:line="186"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2"/>
          <w:szCs w:val="22"/>
          <w:color w:val="auto"/>
        </w:rPr>
        <w:t>NOW, THEREFORE, in consideration of the mutual covenants and agreements herein contained, the parties hereto hereby agree to amend the Existing Agreement as follows:</w:t>
      </w:r>
    </w:p>
    <w:p>
      <w:pPr>
        <w:spacing w:after="0" w:line="175" w:lineRule="exact"/>
        <w:rPr>
          <w:sz w:val="20"/>
          <w:szCs w:val="20"/>
          <w:color w:val="auto"/>
        </w:rPr>
      </w:pPr>
    </w:p>
    <w:p>
      <w:pPr>
        <w:ind w:firstLine="872"/>
        <w:spacing w:after="0" w:line="250" w:lineRule="auto"/>
        <w:tabs>
          <w:tab w:leader="none" w:pos="167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and not defined in this Amendment No.1, including the recitals, have the respective meanings assigned to them in the Existing Agreement.</w:t>
      </w:r>
    </w:p>
    <w:p>
      <w:pPr>
        <w:spacing w:after="0" w:line="174" w:lineRule="exact"/>
        <w:rPr>
          <w:rFonts w:ascii="Arial" w:cs="Arial" w:eastAsia="Arial" w:hAnsi="Arial"/>
          <w:sz w:val="22"/>
          <w:szCs w:val="22"/>
          <w:color w:val="auto"/>
        </w:rPr>
      </w:pPr>
    </w:p>
    <w:p>
      <w:pPr>
        <w:ind w:right="20" w:firstLine="872"/>
        <w:spacing w:after="0" w:line="250" w:lineRule="auto"/>
        <w:tabs>
          <w:tab w:leader="none" w:pos="167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Amendments to the Existing Agreement</w:t>
      </w:r>
      <w:r>
        <w:rPr>
          <w:rFonts w:ascii="Arial" w:cs="Arial" w:eastAsia="Arial" w:hAnsi="Arial"/>
          <w:sz w:val="22"/>
          <w:szCs w:val="22"/>
          <w:color w:val="auto"/>
        </w:rPr>
        <w:t>. As of the Amendment No. 1 Effective Date, Section 7(d) of the Existing Agreement is hereby amended and restated as follows:</w:t>
      </w:r>
    </w:p>
    <w:p>
      <w:pPr>
        <w:spacing w:after="0" w:line="175" w:lineRule="exact"/>
        <w:rPr>
          <w:sz w:val="20"/>
          <w:szCs w:val="20"/>
          <w:color w:val="auto"/>
        </w:rPr>
      </w:pPr>
    </w:p>
    <w:p>
      <w:pPr>
        <w:jc w:val="both"/>
        <w:ind w:left="1740"/>
        <w:spacing w:after="0" w:line="271" w:lineRule="auto"/>
        <w:rPr>
          <w:sz w:val="20"/>
          <w:szCs w:val="20"/>
          <w:color w:val="auto"/>
        </w:rPr>
      </w:pPr>
      <w:r>
        <w:rPr>
          <w:rFonts w:ascii="Arial" w:cs="Arial" w:eastAsia="Arial" w:hAnsi="Arial"/>
          <w:sz w:val="19"/>
          <w:szCs w:val="19"/>
          <w:color w:val="auto"/>
        </w:rPr>
        <w:t>“(d) The Executive’s employment hereunder may be voluntarily terminated by the Executive for Good Reason. For purposes of this Agreement, “Good Reason” shall mean any 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in connection with a Change of Control or within the COC Period following a Change of Control, a material adverse change in the reporting structure or title applicable to the Executive, including an adverse change arising from a material diminution in the authority, duties or responsibilities of the supervisor to whom the Executive is required to report (e.g., the Executive no longer reports to the Chief Executive Officer of the Company or its successor); (iv) any requirement by the Company, without the Executive’s prior written consent, that the Executive locate the Executive’s residence or primary place of employment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ACTIVE/102147565.1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01" w:name="page102"/>
    <w:bookmarkEnd w:id="101"/>
    <w:p>
      <w:pPr>
        <w:jc w:val="both"/>
        <w:ind w:left="1740"/>
        <w:spacing w:after="0" w:line="245" w:lineRule="auto"/>
        <w:rPr>
          <w:sz w:val="20"/>
          <w:szCs w:val="20"/>
          <w:color w:val="auto"/>
        </w:rPr>
      </w:pPr>
      <w:r>
        <w:rPr>
          <w:rFonts w:ascii="Arial" w:cs="Arial" w:eastAsia="Arial" w:hAnsi="Arial"/>
          <w:sz w:val="21"/>
          <w:szCs w:val="21"/>
          <w:color w:val="auto"/>
        </w:rPr>
        <w:t>to a location outside a 50-mile radius of such location mutually agreed upon between the Company and the Executive as of the Effective Date, or such other location that the Company and the Executive may mutually agree upon and designate from time to time during the Term; or (v) a material breach by the Company of Section 6(b) of this Agreement which is not cured by the Company within thirty (30) days after written notice thereof is given to the Company by the Executive. However, notwithstanding the above, Good Reason shall not exist unless: (x) the Executive notifies in writing the Chief Executive Officer within thirty (30) days of the initial existence of one of the adverse events described above, and (y) the Company fails to correct the adverse event within thirty (30) days of such written notice, and (z) the Executive’s voluntary termination because of the existence of one or more of the adverse events described above occurs within ninety (90) days of the initial existence of the event.”</w:t>
      </w:r>
    </w:p>
    <w:p>
      <w:pPr>
        <w:spacing w:after="0" w:line="181" w:lineRule="exact"/>
        <w:rPr>
          <w:sz w:val="20"/>
          <w:szCs w:val="20"/>
          <w:color w:val="auto"/>
        </w:rPr>
      </w:pPr>
    </w:p>
    <w:p>
      <w:pPr>
        <w:jc w:val="both"/>
        <w:ind w:firstLine="872"/>
        <w:spacing w:after="0" w:line="275" w:lineRule="auto"/>
        <w:tabs>
          <w:tab w:leader="none" w:pos="1674"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Date of Effectiveness; Limited Effect</w:t>
      </w:r>
      <w:r>
        <w:rPr>
          <w:rFonts w:ascii="Arial" w:cs="Arial" w:eastAsia="Arial" w:hAnsi="Arial"/>
          <w:sz w:val="19"/>
          <w:szCs w:val="19"/>
          <w:color w:val="auto"/>
        </w:rPr>
        <w:t>. This Amendment No.1 will become effective as of the Amendment No.1 Effective Date. Except as expressly provided in this Amendment No.1,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Amendment No.1 Effective Date, each reference in the Existing Agreement to "this Agreement," "the Agreement," "hereunder," "hereof," "herein," or words of like import shall mean the Existing Agreement as amended by this Amendment No.1.</w:t>
      </w:r>
    </w:p>
    <w:p>
      <w:pPr>
        <w:spacing w:after="0" w:line="157" w:lineRule="exact"/>
        <w:rPr>
          <w:rFonts w:ascii="Arial" w:cs="Arial" w:eastAsia="Arial" w:hAnsi="Arial"/>
          <w:sz w:val="19"/>
          <w:szCs w:val="19"/>
          <w:color w:val="auto"/>
        </w:rPr>
      </w:pPr>
    </w:p>
    <w:p>
      <w:pPr>
        <w:ind w:left="1680" w:hanging="808"/>
        <w:spacing w:after="0"/>
        <w:tabs>
          <w:tab w:leader="none" w:pos="168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firstLine="789"/>
        <w:spacing w:after="0" w:line="250" w:lineRule="auto"/>
        <w:tabs>
          <w:tab w:leader="none" w:pos="2565"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This Amendment No.1 is governed by and construed in accordance with, the laws of the State of California, without regard to the conflict of laws provisions of such State.</w:t>
      </w:r>
    </w:p>
    <w:p>
      <w:pPr>
        <w:spacing w:after="0" w:line="174" w:lineRule="exact"/>
        <w:rPr>
          <w:rFonts w:ascii="Arial" w:cs="Arial" w:eastAsia="Arial" w:hAnsi="Arial"/>
          <w:sz w:val="22"/>
          <w:szCs w:val="22"/>
          <w:color w:val="auto"/>
        </w:rPr>
      </w:pPr>
    </w:p>
    <w:p>
      <w:pPr>
        <w:ind w:left="880" w:firstLine="789"/>
        <w:spacing w:after="0" w:line="250" w:lineRule="auto"/>
        <w:tabs>
          <w:tab w:leader="none" w:pos="2577"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This Amendment No.1 shall inure to the benefit of and be binding upon each of the Parties and each of their respective permitted successors and permitted assigns.</w:t>
      </w:r>
    </w:p>
    <w:p>
      <w:pPr>
        <w:spacing w:after="0" w:line="174" w:lineRule="exact"/>
        <w:rPr>
          <w:rFonts w:ascii="Arial" w:cs="Arial" w:eastAsia="Arial" w:hAnsi="Arial"/>
          <w:sz w:val="22"/>
          <w:szCs w:val="22"/>
          <w:color w:val="auto"/>
        </w:rPr>
      </w:pPr>
    </w:p>
    <w:p>
      <w:pPr>
        <w:ind w:left="880" w:firstLine="789"/>
        <w:spacing w:after="0" w:line="250" w:lineRule="auto"/>
        <w:tabs>
          <w:tab w:leader="none" w:pos="2565"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headings in this Amendment No.1 are for reference only and do not affect the interpretation of this Amendment No.1.</w:t>
      </w:r>
    </w:p>
    <w:p>
      <w:pPr>
        <w:spacing w:after="0" w:line="174" w:lineRule="exact"/>
        <w:rPr>
          <w:rFonts w:ascii="Arial" w:cs="Arial" w:eastAsia="Arial" w:hAnsi="Arial"/>
          <w:sz w:val="22"/>
          <w:szCs w:val="22"/>
          <w:color w:val="auto"/>
        </w:rPr>
      </w:pPr>
    </w:p>
    <w:p>
      <w:pPr>
        <w:jc w:val="both"/>
        <w:ind w:left="880" w:firstLine="789"/>
        <w:spacing w:after="0" w:line="238" w:lineRule="auto"/>
        <w:tabs>
          <w:tab w:leader="none" w:pos="2577"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This Amendment No.1 may be executed in counterparts, each of which is deemed an original, but all of which constitute one and the same agreement. Delivery of an executed counterpart of this Amendment No.1 electronically or by facsimile shall be effective as delivery of an original executed counterpart of this Amendment No.1.</w:t>
      </w:r>
    </w:p>
    <w:p>
      <w:pPr>
        <w:spacing w:after="0" w:line="184" w:lineRule="exact"/>
        <w:rPr>
          <w:rFonts w:ascii="Arial" w:cs="Arial" w:eastAsia="Arial" w:hAnsi="Arial"/>
          <w:sz w:val="22"/>
          <w:szCs w:val="22"/>
          <w:color w:val="auto"/>
        </w:rPr>
      </w:pPr>
    </w:p>
    <w:p>
      <w:pPr>
        <w:jc w:val="both"/>
        <w:ind w:left="880" w:firstLine="789"/>
        <w:spacing w:after="0" w:line="238" w:lineRule="auto"/>
        <w:tabs>
          <w:tab w:leader="none" w:pos="2565" w:val="left"/>
        </w:tabs>
        <w:numPr>
          <w:ilvl w:val="1"/>
          <w:numId w:val="88"/>
        </w:numPr>
        <w:rPr>
          <w:rFonts w:ascii="Arial" w:cs="Arial" w:eastAsia="Arial" w:hAnsi="Arial"/>
          <w:sz w:val="22"/>
          <w:szCs w:val="22"/>
          <w:color w:val="auto"/>
        </w:rPr>
      </w:pPr>
      <w:r>
        <w:rPr>
          <w:rFonts w:ascii="Arial" w:cs="Arial" w:eastAsia="Arial" w:hAnsi="Arial"/>
          <w:sz w:val="22"/>
          <w:szCs w:val="22"/>
          <w:color w:val="auto"/>
        </w:rPr>
        <w:t>The Existing Agreement, as amended by this Amendment No.1,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ACTIVE/102147565.1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IN WITNESS WHEREOF, the Parties have executed this Amendment No.1 as of the date first written above.</w:t>
      </w:r>
    </w:p>
    <w:p>
      <w:pPr>
        <w:spacing w:after="0" w:line="36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ASSEMBLY BIOSCIENCES, INC.</w:t>
      </w:r>
    </w:p>
    <w:p>
      <w:pPr>
        <w:spacing w:after="0" w:line="382" w:lineRule="exact"/>
        <w:rPr>
          <w:sz w:val="20"/>
          <w:szCs w:val="20"/>
          <w:color w:val="auto"/>
        </w:rPr>
      </w:pPr>
    </w:p>
    <w:tbl>
      <w:tblPr>
        <w:tblLayout w:type="fixed"/>
        <w:tblInd w:w="5580" w:type="dxa"/>
        <w:tblCellMar>
          <w:top w:w="0" w:type="dxa"/>
          <w:left w:w="0" w:type="dxa"/>
          <w:bottom w:w="0" w:type="dxa"/>
          <w:right w:w="0" w:type="dxa"/>
        </w:tblCellMar>
      </w:tblPr>
      <w:tr>
        <w:trPr>
          <w:trHeight w:val="274"/>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Pr>
          <w:p>
            <w:pPr>
              <w:spacing w:after="0"/>
              <w:rPr>
                <w:sz w:val="20"/>
                <w:szCs w:val="20"/>
                <w:color w:val="auto"/>
              </w:rPr>
            </w:pPr>
            <w:r>
              <w:rPr>
                <w:rFonts w:ascii="Arial" w:cs="Arial" w:eastAsia="Arial" w:hAnsi="Arial"/>
                <w:sz w:val="22"/>
                <w:szCs w:val="22"/>
                <w:color w:val="auto"/>
              </w:rPr>
              <w:t>/s/ John G. McHutchison, A.O., M.D.</w:t>
            </w:r>
          </w:p>
        </w:tc>
        <w:tc>
          <w:tcPr>
            <w:tcW w:w="0" w:type="dxa"/>
            <w:vAlign w:val="bottom"/>
          </w:tcPr>
          <w:p>
            <w:pPr>
              <w:spacing w:after="0"/>
              <w:rPr>
                <w:sz w:val="1"/>
                <w:szCs w:val="1"/>
                <w:color w:val="auto"/>
              </w:rPr>
            </w:pPr>
          </w:p>
        </w:tc>
      </w:tr>
      <w:tr>
        <w:trPr>
          <w:trHeight w:val="138"/>
        </w:trPr>
        <w:tc>
          <w:tcPr>
            <w:tcW w:w="7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4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780" w:type="dxa"/>
            <w:vAlign w:val="bottom"/>
            <w:vMerge w:val="continue"/>
          </w:tcPr>
          <w:p>
            <w:pPr>
              <w:spacing w:after="0"/>
              <w:rPr>
                <w:sz w:val="23"/>
                <w:szCs w:val="23"/>
                <w:color w:val="auto"/>
              </w:rPr>
            </w:pPr>
          </w:p>
        </w:tc>
        <w:tc>
          <w:tcPr>
            <w:tcW w:w="4880" w:type="dxa"/>
            <w:vAlign w:val="bottom"/>
          </w:tcPr>
          <w:p>
            <w:pPr>
              <w:spacing w:after="0"/>
              <w:rPr>
                <w:sz w:val="20"/>
                <w:szCs w:val="20"/>
                <w:color w:val="auto"/>
              </w:rPr>
            </w:pPr>
            <w:r>
              <w:rPr>
                <w:rFonts w:ascii="Arial" w:cs="Arial" w:eastAsia="Arial" w:hAnsi="Arial"/>
                <w:sz w:val="22"/>
                <w:szCs w:val="22"/>
                <w:color w:val="auto"/>
              </w:rPr>
              <w:t>John G. McHutchison, A.O., M.D.</w:t>
            </w:r>
          </w:p>
        </w:tc>
        <w:tc>
          <w:tcPr>
            <w:tcW w:w="0" w:type="dxa"/>
            <w:vAlign w:val="bottom"/>
          </w:tcPr>
          <w:p>
            <w:pPr>
              <w:spacing w:after="0"/>
              <w:rPr>
                <w:sz w:val="1"/>
                <w:szCs w:val="1"/>
                <w:color w:val="auto"/>
              </w:rPr>
            </w:pPr>
          </w:p>
        </w:tc>
      </w:tr>
      <w:tr>
        <w:trPr>
          <w:trHeight w:val="370"/>
        </w:trPr>
        <w:tc>
          <w:tcPr>
            <w:tcW w:w="78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spacing w:after="0"/>
              <w:rPr>
                <w:sz w:val="20"/>
                <w:szCs w:val="20"/>
                <w:color w:val="auto"/>
              </w:rPr>
            </w:pPr>
            <w:r>
              <w:rPr>
                <w:rFonts w:ascii="Arial" w:cs="Arial" w:eastAsia="Arial" w:hAnsi="Arial"/>
                <w:sz w:val="22"/>
                <w:szCs w:val="22"/>
                <w:color w:val="auto"/>
              </w:rPr>
              <w:t>Chief Executive Officer and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/s/ Thomas J. Russo, CFA</w:t>
      </w:r>
    </w:p>
    <w:p>
      <w:pPr>
        <w:spacing w:after="0" w:line="152"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-154940</wp:posOffset>
            </wp:positionV>
            <wp:extent cx="35915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ACTIVE/102147565.1</w:t>
      </w:r>
    </w:p>
    <w:p>
      <w:pPr>
        <w:sectPr>
          <w:pgSz w:w="11900" w:h="16838" w:orient="portrait"/>
          <w:cols w:equalWidth="0" w:num="1">
            <w:col w:w="11240"/>
          </w:cols>
          <w:pgMar w:left="320" w:top="510"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10.7</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EMPLOYMENT AGREEMENT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Amendment No. 1 to Employment Agreement (this “</w:t>
      </w:r>
      <w:r>
        <w:rPr>
          <w:rFonts w:ascii="Arial" w:cs="Arial" w:eastAsia="Arial" w:hAnsi="Arial"/>
          <w:sz w:val="22"/>
          <w:szCs w:val="22"/>
          <w:b w:val="1"/>
          <w:bCs w:val="1"/>
          <w:color w:val="auto"/>
        </w:rPr>
        <w:t>Amendment No. 1</w:t>
      </w:r>
      <w:r>
        <w:rPr>
          <w:rFonts w:ascii="Arial" w:cs="Arial" w:eastAsia="Arial" w:hAnsi="Arial"/>
          <w:sz w:val="22"/>
          <w:szCs w:val="22"/>
          <w:color w:val="auto"/>
        </w:rPr>
        <w:t>”), is entered into on February ___, 2020 (the “</w:t>
      </w:r>
      <w:r>
        <w:rPr>
          <w:rFonts w:ascii="Arial" w:cs="Arial" w:eastAsia="Arial" w:hAnsi="Arial"/>
          <w:sz w:val="22"/>
          <w:szCs w:val="22"/>
          <w:b w:val="1"/>
          <w:bCs w:val="1"/>
          <w:color w:val="auto"/>
        </w:rPr>
        <w:t>Amendment No. 1 Effective Date</w:t>
      </w:r>
      <w:r>
        <w:rPr>
          <w:rFonts w:ascii="Arial" w:cs="Arial" w:eastAsia="Arial" w:hAnsi="Arial"/>
          <w:sz w:val="22"/>
          <w:szCs w:val="22"/>
          <w:color w:val="auto"/>
        </w:rPr>
        <w:t>“), by and between Assembly Biosciences, Inc., a Delaware corporation with principal executive offices at 331 Oyster Pt. Blvd, Fourth Floor, South San Francisco, CA 94080 (the “</w:t>
      </w:r>
      <w:r>
        <w:rPr>
          <w:rFonts w:ascii="Arial" w:cs="Arial" w:eastAsia="Arial" w:hAnsi="Arial"/>
          <w:sz w:val="22"/>
          <w:szCs w:val="22"/>
          <w:b w:val="1"/>
          <w:bCs w:val="1"/>
          <w:color w:val="auto"/>
        </w:rPr>
        <w:t>Company</w:t>
      </w:r>
      <w:r>
        <w:rPr>
          <w:rFonts w:ascii="Arial" w:cs="Arial" w:eastAsia="Arial" w:hAnsi="Arial"/>
          <w:sz w:val="22"/>
          <w:szCs w:val="22"/>
          <w:color w:val="auto"/>
        </w:rPr>
        <w:t>”), and Luisa M. Stamm, M.D., Ph.D. (the “</w:t>
      </w:r>
      <w:r>
        <w:rPr>
          <w:rFonts w:ascii="Arial" w:cs="Arial" w:eastAsia="Arial" w:hAnsi="Arial"/>
          <w:sz w:val="22"/>
          <w:szCs w:val="22"/>
          <w:b w:val="1"/>
          <w:bCs w:val="1"/>
          <w:color w:val="auto"/>
        </w:rPr>
        <w:t>Executive</w:t>
      </w:r>
      <w:r>
        <w:rPr>
          <w:rFonts w:ascii="Arial" w:cs="Arial" w:eastAsia="Arial" w:hAnsi="Arial"/>
          <w:sz w:val="22"/>
          <w:szCs w:val="22"/>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WITNESSETH:</w:t>
      </w:r>
    </w:p>
    <w:p>
      <w:pPr>
        <w:spacing w:after="0" w:line="222"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WHEREAS, the Company and Executive have entered into the Employment Agreement dated as of October 22, 2019 and effective as of November 6, 2019 (the “</w:t>
      </w:r>
      <w:r>
        <w:rPr>
          <w:rFonts w:ascii="Arial" w:cs="Arial" w:eastAsia="Arial" w:hAnsi="Arial"/>
          <w:sz w:val="20"/>
          <w:szCs w:val="20"/>
          <w:b w:val="1"/>
          <w:bCs w:val="1"/>
          <w:color w:val="auto"/>
        </w:rPr>
        <w:t>Existing Agreement</w:t>
      </w:r>
      <w:r>
        <w:rPr>
          <w:rFonts w:ascii="Arial" w:cs="Arial" w:eastAsia="Arial" w:hAnsi="Arial"/>
          <w:sz w:val="20"/>
          <w:szCs w:val="20"/>
          <w:color w:val="auto"/>
        </w:rPr>
        <w:t>”).</w:t>
      </w:r>
    </w:p>
    <w:p>
      <w:pPr>
        <w:spacing w:after="0" w:line="177"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WHEREAS, the Company and the Executive desire to amend the Existing Agreement as provided in this Amendment No. 1 to, among other things, modify the definition of “Good Reason” following a Change of Control (as defined in the Existing Agreement) to include certain adverse modifications to the Executive’s reporting lines.</w:t>
      </w:r>
    </w:p>
    <w:p>
      <w:pPr>
        <w:spacing w:after="0" w:line="18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0"/>
          <w:szCs w:val="20"/>
          <w:color w:val="auto"/>
        </w:rPr>
        <w:t>NOW, THEREFORE, in consideration of the mutual covenants and agreements herein contained, the parties hereto hereby agree to amend the Existing Agreement as follows:</w:t>
      </w:r>
    </w:p>
    <w:p>
      <w:pPr>
        <w:spacing w:after="0" w:line="172" w:lineRule="exact"/>
        <w:rPr>
          <w:sz w:val="20"/>
          <w:szCs w:val="20"/>
          <w:color w:val="auto"/>
        </w:rPr>
      </w:pPr>
    </w:p>
    <w:p>
      <w:pPr>
        <w:ind w:firstLine="872"/>
        <w:spacing w:after="0" w:line="250" w:lineRule="auto"/>
        <w:tabs>
          <w:tab w:leader="none" w:pos="167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Capitalized terms used and not defined in this Amendment No.1, including the recitals, have the respective meanings assigned to them in the Existing Agreement.</w:t>
      </w:r>
    </w:p>
    <w:p>
      <w:pPr>
        <w:spacing w:after="0" w:line="174" w:lineRule="exact"/>
        <w:rPr>
          <w:rFonts w:ascii="Arial" w:cs="Arial" w:eastAsia="Arial" w:hAnsi="Arial"/>
          <w:sz w:val="22"/>
          <w:szCs w:val="22"/>
          <w:color w:val="auto"/>
        </w:rPr>
      </w:pPr>
    </w:p>
    <w:p>
      <w:pPr>
        <w:ind w:right="20" w:firstLine="872"/>
        <w:spacing w:after="0" w:line="250" w:lineRule="auto"/>
        <w:tabs>
          <w:tab w:leader="none" w:pos="1674"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Amendments to the Existing Agreement</w:t>
      </w:r>
      <w:r>
        <w:rPr>
          <w:rFonts w:ascii="Arial" w:cs="Arial" w:eastAsia="Arial" w:hAnsi="Arial"/>
          <w:sz w:val="22"/>
          <w:szCs w:val="22"/>
          <w:color w:val="auto"/>
        </w:rPr>
        <w:t>. As of the Amendment No. 1 Effective Date, Section 7(d) of the Existing Agreement is hereby amended and restated as follows:</w:t>
      </w:r>
    </w:p>
    <w:p>
      <w:pPr>
        <w:spacing w:after="0" w:line="175" w:lineRule="exact"/>
        <w:rPr>
          <w:sz w:val="20"/>
          <w:szCs w:val="20"/>
          <w:color w:val="auto"/>
        </w:rPr>
      </w:pPr>
    </w:p>
    <w:p>
      <w:pPr>
        <w:jc w:val="both"/>
        <w:ind w:left="1740"/>
        <w:spacing w:after="0" w:line="271" w:lineRule="auto"/>
        <w:rPr>
          <w:sz w:val="20"/>
          <w:szCs w:val="20"/>
          <w:color w:val="auto"/>
        </w:rPr>
      </w:pPr>
      <w:r>
        <w:rPr>
          <w:rFonts w:ascii="Arial" w:cs="Arial" w:eastAsia="Arial" w:hAnsi="Arial"/>
          <w:sz w:val="19"/>
          <w:szCs w:val="19"/>
          <w:color w:val="auto"/>
        </w:rPr>
        <w:t>“(d) The Executive’s employment hereunder may be voluntarily terminated by the Executive for Good Reason. For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shall mean any of the following: (i) any material reduction by the Company of the Executive’s duties, or responsibilities or authority that, taken as a whole, results in a material diminution of position; provided, however, that a change in the Executive’s title or reporting relationship shall not by itself constitute a termination by the Executive for Good Reason under this clause (i); (ii) any material (meaning 10% or more) reduction by the Company of the Executive’s Base Salary and/or target Annual Performance Bonus payable hereunder (it being understood that an across-the-board reduction applicable to all similarly situated employees of the Company, including the Executive, shall not be deemed a reduction for purposes of this definition); (iii) in connection with a Change of Control or within the COC Period following a Change of Control, a material adverse change in the reporting structure or title applicable to the Executive, including an adverse change arising from a material diminution in the authority, duties or responsibilities of the supervisor to whom the Executive is required to report (e.g., the Executive no longer reports to the Chief Executive Officer of the Company or its successor); (iv) any requirement by the Company, without the Executive’s prior written consent, that the Executive locate the Executive’s residence or primary place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jc w:val="both"/>
        <w:ind w:left="868"/>
        <w:spacing w:after="0" w:line="245" w:lineRule="auto"/>
        <w:rPr>
          <w:sz w:val="20"/>
          <w:szCs w:val="20"/>
          <w:color w:val="auto"/>
        </w:rPr>
      </w:pPr>
      <w:r>
        <w:rPr>
          <w:rFonts w:ascii="Arial" w:cs="Arial" w:eastAsia="Arial" w:hAnsi="Arial"/>
          <w:sz w:val="21"/>
          <w:szCs w:val="21"/>
          <w:color w:val="auto"/>
        </w:rPr>
        <w:t>to a location outside a 50-mile radius of such location mutually agreed upon between the Company and the Executive as of the Effective Date, or such other location that the Company and the Executive may mutually agree upon and designate from time to time during the Term; or (v) a material breach by the Company of Section 6(b) of this Agreement which is not cured by the Company within thirty (30) days after written notice thereof is given to the Company by the Executive. However, notwithstanding the above, Good Reason shall not exist unless: (x) the Executive notifies in writing the Chief Executive Officer within thirty (30) days of the initial existence of one of the adverse events described above, and (y) the Company fails to correct the adverse event within thirty (30) days of such written notice, and (z) the Executive’s voluntary termination because of the existence of one or more of the adverse events described above occurs within ninety (90) days of the initial existence of the event.”</w:t>
      </w:r>
    </w:p>
    <w:p>
      <w:pPr>
        <w:spacing w:after="0" w:line="181" w:lineRule="exact"/>
        <w:rPr>
          <w:sz w:val="20"/>
          <w:szCs w:val="20"/>
          <w:color w:val="auto"/>
        </w:rPr>
      </w:pPr>
    </w:p>
    <w:p>
      <w:pPr>
        <w:jc w:val="both"/>
        <w:ind w:left="-872" w:firstLine="872"/>
        <w:spacing w:after="0" w:line="275" w:lineRule="auto"/>
        <w:tabs>
          <w:tab w:leader="none" w:pos="802"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Date of Effectiveness; Limited Effect</w:t>
      </w:r>
      <w:r>
        <w:rPr>
          <w:rFonts w:ascii="Arial" w:cs="Arial" w:eastAsia="Arial" w:hAnsi="Arial"/>
          <w:sz w:val="19"/>
          <w:szCs w:val="19"/>
          <w:color w:val="auto"/>
        </w:rPr>
        <w:t>. This Amendment No.1 will become effective as of the Amendment No.1 Effective Date. Except as expressly provided in this Amendment No.1,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Amendment No.1 Effective Date, each reference in the Existing Agreement to "this Agreement," "the Agreement," "hereunder," "hereof," "herein," or words of like import shall mean the Existing Agreement as amended by this Amendment No.1.</w:t>
      </w:r>
    </w:p>
    <w:p>
      <w:pPr>
        <w:spacing w:after="0" w:line="157" w:lineRule="exact"/>
        <w:rPr>
          <w:rFonts w:ascii="Arial" w:cs="Arial" w:eastAsia="Arial" w:hAnsi="Arial"/>
          <w:sz w:val="19"/>
          <w:szCs w:val="19"/>
          <w:color w:val="auto"/>
        </w:rPr>
      </w:pPr>
    </w:p>
    <w:p>
      <w:pPr>
        <w:ind w:left="808" w:hanging="808"/>
        <w:spacing w:after="0"/>
        <w:tabs>
          <w:tab w:leader="none" w:pos="808"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 w:firstLine="789"/>
        <w:spacing w:after="0" w:line="250" w:lineRule="auto"/>
        <w:tabs>
          <w:tab w:leader="none" w:pos="1693"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This Amendment No.1 is governed by and construed in accordance with, the laws of the State of California, without regard to the conflict of laws provisions of such State.</w:t>
      </w:r>
    </w:p>
    <w:p>
      <w:pPr>
        <w:spacing w:after="0" w:line="174" w:lineRule="exact"/>
        <w:rPr>
          <w:rFonts w:ascii="Arial" w:cs="Arial" w:eastAsia="Arial" w:hAnsi="Arial"/>
          <w:sz w:val="22"/>
          <w:szCs w:val="22"/>
          <w:color w:val="auto"/>
        </w:rPr>
      </w:pPr>
    </w:p>
    <w:p>
      <w:pPr>
        <w:ind w:left="8" w:firstLine="789"/>
        <w:spacing w:after="0" w:line="250" w:lineRule="auto"/>
        <w:tabs>
          <w:tab w:leader="none" w:pos="1705"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This Amendment No.1 shall inure to the benefit of and be binding upon each of the Parties and each of their respective permitted successors and permitted assigns.</w:t>
      </w:r>
    </w:p>
    <w:p>
      <w:pPr>
        <w:spacing w:after="0" w:line="174" w:lineRule="exact"/>
        <w:rPr>
          <w:rFonts w:ascii="Arial" w:cs="Arial" w:eastAsia="Arial" w:hAnsi="Arial"/>
          <w:sz w:val="22"/>
          <w:szCs w:val="22"/>
          <w:color w:val="auto"/>
        </w:rPr>
      </w:pPr>
    </w:p>
    <w:p>
      <w:pPr>
        <w:ind w:left="8" w:firstLine="789"/>
        <w:spacing w:after="0" w:line="250" w:lineRule="auto"/>
        <w:tabs>
          <w:tab w:leader="none" w:pos="1693"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headings in this Amendment No.1 are for reference only and do not affect the interpretation of this Amendment No.1.</w:t>
      </w:r>
    </w:p>
    <w:p>
      <w:pPr>
        <w:spacing w:after="0" w:line="174" w:lineRule="exact"/>
        <w:rPr>
          <w:rFonts w:ascii="Arial" w:cs="Arial" w:eastAsia="Arial" w:hAnsi="Arial"/>
          <w:sz w:val="22"/>
          <w:szCs w:val="22"/>
          <w:color w:val="auto"/>
        </w:rPr>
      </w:pPr>
    </w:p>
    <w:p>
      <w:pPr>
        <w:jc w:val="both"/>
        <w:ind w:left="8" w:firstLine="789"/>
        <w:spacing w:after="0" w:line="238" w:lineRule="auto"/>
        <w:tabs>
          <w:tab w:leader="none" w:pos="1705"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This Amendment No.1 may be executed in counterparts, each of which is deemed an original, but all of which constitute one and the same agreement. Delivery of an executed counterpart of this Amendment No.1 electronically or by facsimile shall be effective as delivery of an original executed counterpart of this Amendment No.1.</w:t>
      </w:r>
    </w:p>
    <w:p>
      <w:pPr>
        <w:spacing w:after="0" w:line="184" w:lineRule="exact"/>
        <w:rPr>
          <w:rFonts w:ascii="Arial" w:cs="Arial" w:eastAsia="Arial" w:hAnsi="Arial"/>
          <w:sz w:val="22"/>
          <w:szCs w:val="22"/>
          <w:color w:val="auto"/>
        </w:rPr>
      </w:pPr>
    </w:p>
    <w:p>
      <w:pPr>
        <w:jc w:val="both"/>
        <w:ind w:left="8" w:firstLine="789"/>
        <w:spacing w:after="0" w:line="257" w:lineRule="auto"/>
        <w:tabs>
          <w:tab w:leader="none" w:pos="1693" w:val="left"/>
        </w:tabs>
        <w:numPr>
          <w:ilvl w:val="1"/>
          <w:numId w:val="90"/>
        </w:numPr>
        <w:rPr>
          <w:rFonts w:ascii="Arial" w:cs="Arial" w:eastAsia="Arial" w:hAnsi="Arial"/>
          <w:sz w:val="21"/>
          <w:szCs w:val="21"/>
          <w:color w:val="auto"/>
        </w:rPr>
      </w:pPr>
      <w:r>
        <w:rPr>
          <w:rFonts w:ascii="Arial" w:cs="Arial" w:eastAsia="Arial" w:hAnsi="Arial"/>
          <w:sz w:val="21"/>
          <w:szCs w:val="21"/>
          <w:color w:val="auto"/>
        </w:rPr>
        <w:t>This Amendment No.1 constitutes the sole and entire agreement between the Parties with respect to the subject matter contained herein, and supersedes all prior and contemporaneous understandings, agreements, representations, and warranties, both written and oral,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121285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118" w:right="3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IN WITNESS WHEREOF, the Parties have executed this Amendment No.1 as of the date first written above.</w:t>
      </w:r>
    </w:p>
    <w:p>
      <w:pPr>
        <w:spacing w:after="0" w:line="38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ASSEMBLY BIOSCIENCES, INC.</w:t>
      </w:r>
    </w:p>
    <w:p>
      <w:pPr>
        <w:spacing w:after="0" w:line="233" w:lineRule="exact"/>
        <w:rPr>
          <w:sz w:val="20"/>
          <w:szCs w:val="20"/>
          <w:color w:val="auto"/>
        </w:rPr>
      </w:pPr>
    </w:p>
    <w:tbl>
      <w:tblPr>
        <w:tblLayout w:type="fixed"/>
        <w:tblInd w:w="5600" w:type="dxa"/>
        <w:tblCellMar>
          <w:top w:w="0" w:type="dxa"/>
          <w:left w:w="0" w:type="dxa"/>
          <w:bottom w:w="0" w:type="dxa"/>
          <w:right w:w="0" w:type="dxa"/>
        </w:tblCellMar>
      </w:tblPr>
      <w:tr>
        <w:trPr>
          <w:trHeight w:val="264"/>
        </w:trPr>
        <w:tc>
          <w:tcPr>
            <w:tcW w:w="84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 McHutchison, A.O., M.D.</w:t>
            </w:r>
          </w:p>
        </w:tc>
      </w:tr>
      <w:tr>
        <w:trPr>
          <w:trHeight w:val="215"/>
        </w:trPr>
        <w:tc>
          <w:tcPr>
            <w:tcW w:w="8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800" w:type="dxa"/>
            <w:vAlign w:val="bottom"/>
          </w:tcPr>
          <w:p>
            <w:pPr>
              <w:spacing w:after="0" w:line="216" w:lineRule="exact"/>
              <w:rPr>
                <w:sz w:val="20"/>
                <w:szCs w:val="20"/>
                <w:color w:val="auto"/>
              </w:rPr>
            </w:pPr>
            <w:r>
              <w:rPr>
                <w:rFonts w:ascii="Arial" w:cs="Arial" w:eastAsia="Arial" w:hAnsi="Arial"/>
                <w:sz w:val="22"/>
                <w:szCs w:val="22"/>
                <w:color w:val="auto"/>
              </w:rPr>
              <w:t>John G. McHutchison, A.O., M.D.</w:t>
            </w:r>
          </w:p>
        </w:tc>
      </w:tr>
      <w:tr>
        <w:trPr>
          <w:trHeight w:val="274"/>
        </w:trPr>
        <w:tc>
          <w:tcPr>
            <w:tcW w:w="84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tcPr>
          <w:p>
            <w:pPr>
              <w:spacing w:after="0"/>
              <w:rPr>
                <w:sz w:val="20"/>
                <w:szCs w:val="20"/>
                <w:color w:val="auto"/>
              </w:rPr>
            </w:pPr>
            <w:r>
              <w:rPr>
                <w:rFonts w:ascii="Arial" w:cs="Arial" w:eastAsia="Arial" w:hAnsi="Arial"/>
                <w:sz w:val="22"/>
                <w:szCs w:val="22"/>
                <w:color w:val="auto"/>
              </w:rPr>
              <w:t>Chief Executive Officer and President</w:t>
            </w:r>
          </w:p>
        </w:tc>
      </w:tr>
    </w:tbl>
    <w:p>
      <w:pPr>
        <w:spacing w:after="0" w:line="212"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/s/ Luisa M. Stamm,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6985</wp:posOffset>
            </wp:positionV>
            <wp:extent cx="3583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Luisa M. Stamm, M.D., Ph.D.</w:t>
      </w:r>
    </w:p>
    <w:p>
      <w:pPr>
        <w:sectPr>
          <w:pgSz w:w="11900" w:h="16838" w:orient="portrait"/>
          <w:cols w:equalWidth="0" w:num="1">
            <w:col w:w="11240"/>
          </w:cols>
          <w:pgMar w:left="320" w:top="118"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G. McHutchison, A.O., M.D.,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G. McHutchison, A.O., M.D.</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John G. McHutchison, A.O., M.D.</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Thomas J. Russo, CFA, certify that:</w:t>
      </w:r>
    </w:p>
    <w:p>
      <w:pPr>
        <w:spacing w:after="0" w:line="198" w:lineRule="exact"/>
        <w:rPr>
          <w:sz w:val="20"/>
          <w:szCs w:val="20"/>
          <w:color w:val="auto"/>
        </w:rPr>
      </w:pPr>
    </w:p>
    <w:p>
      <w:pPr>
        <w:ind w:left="580" w:hanging="572"/>
        <w:spacing w:after="0" w:line="207" w:lineRule="exact"/>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Assembly Biosciences, Inc.;</w:t>
      </w:r>
    </w:p>
    <w:p>
      <w:pPr>
        <w:spacing w:after="0" w:line="184"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580" w:hanging="572"/>
        <w:spacing w:after="0" w:line="224" w:lineRule="exact"/>
        <w:tabs>
          <w:tab w:leader="none" w:pos="5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w:t>
      </w:r>
    </w:p>
    <w:p>
      <w:pPr>
        <w:ind w:left="580"/>
        <w:spacing w:after="0" w:line="207" w:lineRule="exact"/>
        <w:rPr>
          <w:rFonts w:ascii="Arial" w:cs="Arial" w:eastAsia="Arial" w:hAnsi="Arial"/>
          <w:sz w:val="17"/>
          <w:szCs w:val="17"/>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170" w:lineRule="exact"/>
        <w:rPr>
          <w:rFonts w:ascii="Arial" w:cs="Arial" w:eastAsia="Arial" w:hAnsi="Arial"/>
          <w:sz w:val="17"/>
          <w:szCs w:val="17"/>
          <w:color w:val="auto"/>
        </w:rPr>
      </w:pPr>
    </w:p>
    <w:p>
      <w:pPr>
        <w:jc w:val="both"/>
        <w:ind w:left="1160" w:hanging="572"/>
        <w:spacing w:after="0" w:line="263"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jc w:val="both"/>
        <w:ind w:left="1160" w:hanging="572"/>
        <w:spacing w:after="0" w:line="263"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160" w:hanging="572"/>
        <w:spacing w:after="0" w:line="342" w:lineRule="auto"/>
        <w:tabs>
          <w:tab w:leader="none" w:pos="11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160" w:hanging="572"/>
        <w:spacing w:after="0" w:line="263"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60" w:hanging="572"/>
        <w:spacing w:after="0" w:line="308" w:lineRule="auto"/>
        <w:tabs>
          <w:tab w:leader="none" w:pos="11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160" w:hanging="572"/>
        <w:spacing w:after="0" w:line="277"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Russo, CFA</w:t>
            </w:r>
          </w:p>
        </w:tc>
      </w:tr>
      <w:tr>
        <w:trPr>
          <w:trHeight w:val="195"/>
        </w:trPr>
        <w:tc>
          <w:tcPr>
            <w:tcW w:w="56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Thomas J. Russo, CFA</w:t>
            </w:r>
          </w:p>
        </w:tc>
      </w:tr>
      <w:tr>
        <w:trPr>
          <w:trHeight w:val="216"/>
        </w:trPr>
        <w:tc>
          <w:tcPr>
            <w:tcW w:w="56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March 31, 2020 as filed with the Securities and Exchange Commission on or about the date hereof (the Report), I, John G. McHutchison, A.O., M.D., Chief Executive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G. McHutchison, A.O.,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G. McHutchison, A.O., M.D.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8, 2020</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spacing w:after="0" w:line="221" w:lineRule="exact"/>
        <w:rPr>
          <w:sz w:val="20"/>
          <w:szCs w:val="20"/>
          <w:color w:val="auto"/>
        </w:rPr>
      </w:pPr>
      <w:r>
        <w:rPr>
          <w:rFonts w:ascii="Arial" w:cs="Arial" w:eastAsia="Arial" w:hAnsi="Arial"/>
          <w:sz w:val="17"/>
          <w:szCs w:val="17"/>
          <w:color w:val="auto"/>
        </w:rPr>
        <w:t>In connection with the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of Assembly Biosciences, Inc. (the Company) for the period ended March 31, 2020 as filed with the Securities and Exchange Commission on or about the date hereof (the Report), I, Thomas J. Russo, CFA, Chief Financial Officer, hereby certify, pursuant to 18 U.S.C. Section 1350, as adopted pursuant to Section 906 of the Sarbanes-Oxley Act of 2002, that, to my knowledge:</w:t>
      </w:r>
    </w:p>
    <w:p>
      <w:pPr>
        <w:spacing w:after="0" w:line="175" w:lineRule="exact"/>
        <w:rPr>
          <w:sz w:val="20"/>
          <w:szCs w:val="20"/>
          <w:color w:val="auto"/>
        </w:rPr>
      </w:pPr>
    </w:p>
    <w:p>
      <w:pPr>
        <w:ind w:left="1160" w:hanging="572"/>
        <w:spacing w:after="0"/>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J. Russo, CFA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Thomas J. Russo, CFA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8,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o"/>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lvl w:ilvl="1">
      <w:lvlJc w:val="left"/>
      <w:lvlText w:val="o"/>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1."/>
      <w:numFmt w:val="decimal"/>
      <w:start w:val="1"/>
    </w:lvl>
    <w:lvl w:ilvl="1">
      <w:lvlJc w:val="left"/>
      <w:lvlText w:val="(%2)"/>
      <w:numFmt w:val="lowerLetter"/>
      <w:start w:val="1"/>
    </w:lvl>
  </w:abstractNum>
  <w:abstractNum w:abstractNumId="33">
    <w:nsid w:val="310C50B3"/>
    <w:multiLevelType w:val="hybridMultilevel"/>
    <w:lvl w:ilvl="0">
      <w:lvlJc w:val="left"/>
      <w:lvlText w:val="(%1)"/>
      <w:numFmt w:val="lowerLetter"/>
      <w:start w:val="3"/>
    </w:lvl>
  </w:abstractNum>
  <w:abstractNum w:abstractNumId="34">
    <w:nsid w:val="5FF87E05"/>
    <w:multiLevelType w:val="hybridMultilevel"/>
    <w:lvl w:ilvl="0">
      <w:lvlJc w:val="left"/>
      <w:lvlText w:val="(%1)"/>
      <w:numFmt w:val="lowerLetter"/>
      <w:start w:val="8"/>
    </w:lvl>
  </w:abstractNum>
  <w:abstractNum w:abstractNumId="35">
    <w:nsid w:val="2F305DEF"/>
    <w:multiLevelType w:val="hybridMultilevel"/>
    <w:lvl w:ilvl="0">
      <w:lvlJc w:val="left"/>
      <w:lvlText w:val="%1"/>
      <w:numFmt w:val="upperLetter"/>
      <w:start w:val="1"/>
    </w:lvl>
    <w:lvl w:ilvl="1">
      <w:lvlJc w:val="left"/>
      <w:lvlText w:val="(%2)"/>
      <w:numFmt w:val="lowerLetter"/>
      <w:start w:val="15"/>
    </w:lvl>
    <w:lvl w:ilvl="2">
      <w:lvlJc w:val="left"/>
      <w:lvlText w:val="(%3)"/>
      <w:numFmt w:val="lowerRoman"/>
      <w:start w:val="1"/>
    </w:lvl>
  </w:abstractNum>
  <w:abstractNum w:abstractNumId="36">
    <w:nsid w:val="25A70BF7"/>
    <w:multiLevelType w:val="hybridMultilevel"/>
    <w:lvl w:ilvl="0">
      <w:lvlJc w:val="left"/>
      <w:lvlText w:val="(%1)"/>
      <w:numFmt w:val="upperLetter"/>
      <w:start w:val="1"/>
    </w:lvl>
    <w:lvl w:ilvl="1">
      <w:lvlJc w:val="left"/>
      <w:lvlText w:val="(%2)"/>
      <w:numFmt w:val="lowerLetter"/>
      <w:start w:val="15"/>
    </w:lvl>
    <w:lvl w:ilvl="2">
      <w:lvlJc w:val="left"/>
      <w:lvlText w:val="(%3)"/>
      <w:numFmt w:val="lowerRoman"/>
      <w:start w:val="5"/>
    </w:lvl>
  </w:abstractNum>
  <w:abstractNum w:abstractNumId="37">
    <w:nsid w:val="1DBABF00"/>
    <w:multiLevelType w:val="hybridMultilevel"/>
    <w:lvl w:ilvl="0">
      <w:lvlJc w:val="left"/>
      <w:lvlText w:val="%1"/>
      <w:numFmt w:val="lowerLetter"/>
      <w:start w:val="1"/>
    </w:lvl>
    <w:lvl w:ilvl="1">
      <w:lvlJc w:val="left"/>
      <w:lvlText w:val="(%2)"/>
      <w:numFmt w:val="lowerLetter"/>
      <w:start w:val="19"/>
    </w:lvl>
    <w:lvl w:ilvl="2">
      <w:lvlJc w:val="left"/>
      <w:lvlText w:val="(%3)"/>
      <w:numFmt w:val="lowerRoman"/>
      <w:start w:val="1"/>
    </w:lvl>
  </w:abstractNum>
  <w:abstractNum w:abstractNumId="38">
    <w:nsid w:val="4AD084E9"/>
    <w:multiLevelType w:val="hybridMultilevel"/>
    <w:lvl w:ilvl="0">
      <w:lvlJc w:val="left"/>
      <w:lvlText w:val="(%1)"/>
      <w:numFmt w:val="lowerLetter"/>
      <w:start w:val="9"/>
    </w:lvl>
    <w:lvl w:ilvl="1">
      <w:lvlJc w:val="left"/>
      <w:lvlText w:val="(%2)"/>
      <w:numFmt w:val="lowerLetter"/>
      <w:start w:val="22"/>
    </w:lvl>
    <w:lvl w:ilvl="2">
      <w:lvlJc w:val="left"/>
      <w:lvlText w:val="%3"/>
      <w:numFmt w:val="lowerRoman"/>
      <w:start w:val="1"/>
    </w:lvl>
  </w:abstractNum>
  <w:abstractNum w:abstractNumId="39">
    <w:nsid w:val="1F48EAA1"/>
    <w:multiLevelType w:val="hybridMultilevel"/>
    <w:lvl w:ilvl="0">
      <w:lvlJc w:val="left"/>
      <w:lvlText w:val="%1"/>
      <w:numFmt w:val="decimal"/>
      <w:start w:val="1"/>
    </w:lvl>
    <w:lvl w:ilvl="1">
      <w:lvlJc w:val="left"/>
      <w:lvlText w:val="(%2)"/>
      <w:numFmt w:val="lowerLetter"/>
      <w:start w:val="27"/>
    </w:lvl>
  </w:abstractNum>
  <w:abstractNum w:abstractNumId="40">
    <w:nsid w:val="1381823A"/>
    <w:multiLevelType w:val="hybridMultilevel"/>
    <w:lvl w:ilvl="0">
      <w:lvlJc w:val="left"/>
      <w:lvlText w:val="%1."/>
      <w:numFmt w:val="decimal"/>
      <w:start w:val="3"/>
    </w:lvl>
    <w:lvl w:ilvl="1">
      <w:lvlJc w:val="left"/>
      <w:lvlText w:val="(%2)"/>
      <w:numFmt w:val="lowerLetter"/>
      <w:start w:val="1"/>
    </w:lvl>
  </w:abstractNum>
  <w:abstractNum w:abstractNumId="41">
    <w:nsid w:val="5DB70AE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2">
    <w:nsid w:val="100F8FC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
    <w:nsid w:val="6590700B"/>
    <w:multiLevelType w:val="hybridMultilevel"/>
    <w:lvl w:ilvl="0">
      <w:lvlJc w:val="left"/>
      <w:lvlText w:val="(%1)"/>
      <w:numFmt w:val="lowerLetter"/>
      <w:start w:val="2"/>
    </w:lvl>
    <w:lvl w:ilvl="1">
      <w:lvlJc w:val="left"/>
      <w:lvlText w:val="(%2)"/>
      <w:numFmt w:val="lowerLetter"/>
      <w:start w:val="9"/>
    </w:lvl>
  </w:abstractNum>
  <w:abstractNum w:abstractNumId="44">
    <w:nsid w:val="15014ACB"/>
    <w:multiLevelType w:val="hybridMultilevel"/>
    <w:lvl w:ilvl="0">
      <w:lvlJc w:val="left"/>
      <w:lvlText w:val="(%1)"/>
      <w:numFmt w:val="lowerRoman"/>
      <w:start w:val="2"/>
    </w:lvl>
  </w:abstractNum>
  <w:abstractNum w:abstractNumId="45">
    <w:nsid w:val="5F5E7FD0"/>
    <w:multiLevelType w:val="hybridMultilevel"/>
    <w:lvl w:ilvl="0">
      <w:lvlJc w:val="left"/>
      <w:lvlText w:val="(%1)"/>
      <w:numFmt w:val="lowerLetter"/>
      <w:start w:val="3"/>
    </w:lvl>
  </w:abstractNum>
  <w:abstractNum w:abstractNumId="46">
    <w:nsid w:val="98A3148"/>
    <w:multiLevelType w:val="hybridMultilevel"/>
    <w:lvl w:ilvl="0">
      <w:lvlJc w:val="left"/>
      <w:lvlText w:val="%1."/>
      <w:numFmt w:val="decimal"/>
      <w:start w:val="5"/>
    </w:lvl>
    <w:lvl w:ilvl="1">
      <w:lvlJc w:val="left"/>
      <w:lvlText w:val="(%2)"/>
      <w:numFmt w:val="lowerLetter"/>
      <w:start w:val="1"/>
    </w:lvl>
  </w:abstractNum>
  <w:abstractNum w:abstractNumId="47">
    <w:nsid w:val="799D0247"/>
    <w:multiLevelType w:val="hybridMultilevel"/>
    <w:lvl w:ilvl="0">
      <w:lvlJc w:val="left"/>
      <w:lvlText w:val="(%1)"/>
      <w:numFmt w:val="lowerLetter"/>
      <w:start w:val="4"/>
    </w:lvl>
  </w:abstractNum>
  <w:abstractNum w:abstractNumId="48">
    <w:nsid w:val="6B94764"/>
    <w:multiLevelType w:val="hybridMultilevel"/>
    <w:lvl w:ilvl="0">
      <w:lvlJc w:val="left"/>
      <w:lvlText w:val="(%1)"/>
      <w:numFmt w:val="lowerRoman"/>
      <w:start w:val="1"/>
    </w:lvl>
  </w:abstractNum>
  <w:abstractNum w:abstractNumId="49">
    <w:nsid w:val="42C296BD"/>
    <w:multiLevelType w:val="hybridMultilevel"/>
    <w:lvl w:ilvl="0">
      <w:lvlJc w:val="left"/>
      <w:lvlText w:val="%1"/>
      <w:numFmt w:val="decimal"/>
      <w:start w:val="1"/>
    </w:lvl>
    <w:lvl w:ilvl="1">
      <w:lvlJc w:val="left"/>
      <w:lvlText w:val="(%2)"/>
      <w:numFmt w:val="lowerLetter"/>
      <w:start w:val="13"/>
    </w:lvl>
    <w:lvl w:ilvl="2">
      <w:lvlJc w:val="left"/>
      <w:lvlText w:val="%3"/>
      <w:numFmt w:val="lowerRoman"/>
      <w:start w:val="1"/>
    </w:lvl>
  </w:abstractNum>
  <w:abstractNum w:abstractNumId="50">
    <w:nsid w:val="168E121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1">
    <w:nsid w:val="1EBA5D23"/>
    <w:multiLevelType w:val="hybridMultilevel"/>
    <w:lvl w:ilvl="0">
      <w:lvlJc w:val="left"/>
      <w:lvlText w:val="(%1)"/>
      <w:numFmt w:val="lowerRoman"/>
      <w:start w:val="5"/>
    </w:lvl>
  </w:abstractNum>
  <w:abstractNum w:abstractNumId="52">
    <w:nsid w:val="661E3F1E"/>
    <w:multiLevelType w:val="hybridMultilevel"/>
    <w:lvl w:ilvl="0">
      <w:lvlJc w:val="left"/>
      <w:lvlText w:val="%1."/>
      <w:numFmt w:val="decimal"/>
      <w:start w:val="8"/>
    </w:lvl>
    <w:lvl w:ilvl="1">
      <w:lvlJc w:val="left"/>
      <w:lvlText w:val="(%2)"/>
      <w:numFmt w:val="lowerLetter"/>
      <w:start w:val="1"/>
    </w:lvl>
  </w:abstractNum>
  <w:abstractNum w:abstractNumId="53">
    <w:nsid w:val="5DC79EA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4">
    <w:nsid w:val="540A471C"/>
    <w:multiLevelType w:val="hybridMultilevel"/>
    <w:lvl w:ilvl="0">
      <w:lvlJc w:val="left"/>
      <w:lvlText w:val="%1"/>
      <w:numFmt w:val="decimal"/>
      <w:start w:val="1"/>
    </w:lvl>
    <w:lvl w:ilvl="1">
      <w:lvlJc w:val="left"/>
      <w:lvlText w:val="(%2)"/>
      <w:numFmt w:val="lowerLetter"/>
      <w:start w:val="5"/>
    </w:lvl>
  </w:abstractNum>
  <w:abstractNum w:abstractNumId="55">
    <w:nsid w:val="7BD3EE7B"/>
    <w:multiLevelType w:val="hybridMultilevel"/>
    <w:lvl w:ilvl="0">
      <w:lvlJc w:val="left"/>
      <w:lvlText w:val="%1."/>
      <w:numFmt w:val="decimal"/>
      <w:start w:val="11"/>
    </w:lvl>
    <w:lvl w:ilvl="1">
      <w:lvlJc w:val="left"/>
      <w:lvlText w:val="(%2)"/>
      <w:numFmt w:val="lowerLetter"/>
      <w:start w:val="1"/>
    </w:lvl>
  </w:abstractNum>
  <w:abstractNum w:abstractNumId="56">
    <w:nsid w:val="51D9C564"/>
    <w:multiLevelType w:val="hybridMultilevel"/>
    <w:lvl w:ilvl="0">
      <w:lvlJc w:val="left"/>
      <w:lvlText w:val="%1."/>
      <w:numFmt w:val="decimal"/>
      <w:start w:val="13"/>
    </w:lvl>
    <w:lvl w:ilvl="1">
      <w:lvlJc w:val="left"/>
      <w:lvlText w:val="(%2)"/>
      <w:numFmt w:val="lowerLetter"/>
      <w:start w:val="1"/>
    </w:lvl>
  </w:abstractNum>
  <w:abstractNum w:abstractNumId="57">
    <w:nsid w:val="613EFDC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8">
    <w:nsid w:val="BF72B1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59">
    <w:nsid w:val="11447B73"/>
    <w:multiLevelType w:val="hybridMultilevel"/>
    <w:lvl w:ilvl="0">
      <w:lvlJc w:val="left"/>
      <w:lvlText w:val="%1"/>
      <w:numFmt w:val="decimal"/>
      <w:start w:val="1"/>
    </w:lvl>
    <w:lvl w:ilvl="1">
      <w:lvlJc w:val="left"/>
      <w:lvlText w:val="(%2)"/>
      <w:numFmt w:val="lowerLetter"/>
      <w:start w:val="3"/>
    </w:lvl>
  </w:abstractNum>
  <w:abstractNum w:abstractNumId="60">
    <w:nsid w:val="42963E5A"/>
    <w:multiLevelType w:val="hybridMultilevel"/>
    <w:lvl w:ilvl="0">
      <w:lvlJc w:val="left"/>
      <w:lvlText w:val="%1."/>
      <w:numFmt w:val="decimal"/>
      <w:start w:val="16"/>
    </w:lvl>
    <w:lvl w:ilvl="1">
      <w:lvlJc w:val="left"/>
      <w:lvlText w:val="(%2)"/>
      <w:numFmt w:val="lowerLetter"/>
      <w:start w:val="1"/>
    </w:lvl>
  </w:abstractNum>
  <w:abstractNum w:abstractNumId="61">
    <w:nsid w:val="A0382C5"/>
    <w:multiLevelType w:val="hybridMultilevel"/>
    <w:lvl w:ilvl="0">
      <w:lvlJc w:val="left"/>
      <w:lvlText w:val="%1."/>
      <w:numFmt w:val="decimal"/>
      <w:start w:val="21"/>
    </w:lvl>
  </w:abstractNum>
  <w:abstractNum w:abstractNumId="62">
    <w:nsid w:val="8F2B15E"/>
    <w:multiLevelType w:val="hybridMultilevel"/>
    <w:lvl w:ilvl="0">
      <w:lvlJc w:val="left"/>
      <w:lvlText w:val="1"/>
      <w:numFmt w:val="bullet"/>
      <w:start w:val="1"/>
    </w:lvl>
  </w:abstractNum>
  <w:abstractNum w:abstractNumId="63">
    <w:nsid w:val="1A32234B"/>
    <w:multiLevelType w:val="hybridMultilevel"/>
    <w:lvl w:ilvl="0">
      <w:lvlJc w:val="left"/>
      <w:lvlText w:val="2"/>
      <w:numFmt w:val="bullet"/>
      <w:start w:val="1"/>
    </w:lvl>
  </w:abstractNum>
  <w:abstractNum w:abstractNumId="64">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68EB2F63"/>
    <w:multiLevelType w:val="hybridMultilevel"/>
    <w:lvl w:ilvl="0">
      <w:lvlJc w:val="left"/>
      <w:lvlText w:val="%1."/>
      <w:numFmt w:val="decimal"/>
      <w:start w:val="3"/>
    </w:lvl>
    <w:lvl w:ilvl="1">
      <w:lvlJc w:val="left"/>
      <w:lvlText w:val="(%2)"/>
      <w:numFmt w:val="lowerRoman"/>
      <w:start w:val="1"/>
    </w:lvl>
  </w:abstractNum>
  <w:abstractNum w:abstractNumId="66">
    <w:nsid w:val="4962813B"/>
    <w:multiLevelType w:val="hybridMultilevel"/>
    <w:lvl w:ilvl="0">
      <w:lvlJc w:val="left"/>
      <w:lvlText w:val="%1."/>
      <w:numFmt w:val="decimal"/>
      <w:start w:val="9"/>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69">
    <w:nsid w:val="14330624"/>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70">
    <w:nsid w:val="7FFFCA11"/>
    <w:multiLevelType w:val="hybridMultilevel"/>
    <w:lvl w:ilvl="0">
      <w:lvlJc w:val="left"/>
      <w:lvlText w:val="%1"/>
      <w:numFmt w:val="decimal"/>
      <w:start w:val="1"/>
    </w:lvl>
    <w:lvl w:ilvl="1">
      <w:lvlJc w:val="left"/>
      <w:lvlText w:val="(%2)"/>
      <w:numFmt w:val="lowerLetter"/>
      <w:start w:val="2"/>
    </w:lvl>
  </w:abstractNum>
  <w:abstractNum w:abstractNumId="71">
    <w:nsid w:val="1A27709E"/>
    <w:multiLevelType w:val="hybridMultilevel"/>
    <w:lvl w:ilvl="0">
      <w:lvlJc w:val="left"/>
      <w:lvlText w:val="%1."/>
      <w:numFmt w:val="decimal"/>
      <w:start w:val="11"/>
    </w:lvl>
    <w:lvl w:ilvl="1">
      <w:lvlJc w:val="left"/>
      <w:lvlText w:val="(%2)"/>
      <w:numFmt w:val="lowerLetter"/>
      <w:start w:val="1"/>
    </w:lvl>
  </w:abstractNum>
  <w:abstractNum w:abstractNumId="72">
    <w:nsid w:val="71EA1109"/>
    <w:multiLevelType w:val="hybridMultilevel"/>
    <w:lvl w:ilvl="0">
      <w:lvlJc w:val="left"/>
      <w:lvlText w:val="%1"/>
      <w:numFmt w:val="decimal"/>
      <w:start w:val="1"/>
    </w:lvl>
    <w:lvl w:ilvl="1">
      <w:lvlJc w:val="left"/>
      <w:lvlText w:val="(%2)"/>
      <w:numFmt w:val="lowerLetter"/>
      <w:start w:val="2"/>
    </w:lvl>
  </w:abstractNum>
  <w:abstractNum w:abstractNumId="73">
    <w:nsid w:val="100F59DC"/>
    <w:multiLevelType w:val="hybridMultilevel"/>
    <w:lvl w:ilvl="0">
      <w:lvlJc w:val="left"/>
      <w:lvlText w:val="%1."/>
      <w:numFmt w:val="decimal"/>
      <w:start w:val="16"/>
    </w:lvl>
    <w:lvl w:ilvl="1">
      <w:lvlJc w:val="left"/>
      <w:lvlText w:val="%2"/>
      <w:numFmt w:val="lowerLetter"/>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3"/>
      <w:numFmt w:val="bullet"/>
      <w:start w:val="1"/>
    </w:lvl>
  </w:abstractNum>
  <w:abstractNum w:abstractNumId="76">
    <w:nsid w:val="6F6DD9AC"/>
    <w:multiLevelType w:val="hybridMultilevel"/>
    <w:lvl w:ilvl="0">
      <w:lvlJc w:val="left"/>
      <w:lvlText w:val="1"/>
      <w:numFmt w:val="bullet"/>
      <w:start w:val="1"/>
    </w:lvl>
  </w:abstractNum>
  <w:abstractNum w:abstractNumId="77">
    <w:nsid w:val="94211F2"/>
    <w:multiLevelType w:val="hybridMultilevel"/>
    <w:lvl w:ilvl="0">
      <w:lvlJc w:val="left"/>
      <w:lvlText w:val="2"/>
      <w:numFmt w:val="bullet"/>
      <w:start w:val="1"/>
    </w:lvl>
  </w:abstractNum>
  <w:abstractNum w:abstractNumId="78">
    <w:nsid w:val="885E1B"/>
    <w:multiLevelType w:val="hybridMultilevel"/>
    <w:lvl w:ilvl="0">
      <w:lvlJc w:val="left"/>
      <w:lvlText w:val="%1."/>
      <w:numFmt w:val="decimal"/>
      <w:start w:val="1"/>
    </w:lvl>
  </w:abstractNum>
  <w:abstractNum w:abstractNumId="79">
    <w:nsid w:val="76272110"/>
    <w:multiLevelType w:val="hybridMultilevel"/>
    <w:lvl w:ilvl="0">
      <w:lvlJc w:val="left"/>
      <w:lvlText w:val="%1."/>
      <w:numFmt w:val="decimal"/>
      <w:start w:val="3"/>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decimal"/>
      <w:start w:val="5"/>
    </w:lvl>
  </w:abstractNum>
  <w:abstractNum w:abstractNumId="82">
    <w:nsid w:val="14E17E33"/>
    <w:multiLevelType w:val="hybridMultilevel"/>
    <w:lvl w:ilvl="0">
      <w:lvlJc w:val="left"/>
      <w:lvlText w:val="%1."/>
      <w:numFmt w:val="decimal"/>
      <w:start w:val="7"/>
    </w:lvl>
  </w:abstractNum>
  <w:abstractNum w:abstractNumId="83">
    <w:nsid w:val="3222E7CD"/>
    <w:multiLevelType w:val="hybridMultilevel"/>
    <w:lvl w:ilvl="0">
      <w:lvlJc w:val="left"/>
      <w:lvlText w:val="%1."/>
      <w:numFmt w:val="decimal"/>
      <w:start w:val="12"/>
    </w:lvl>
  </w:abstractNum>
  <w:abstractNum w:abstractNumId="84">
    <w:nsid w:val="74DE0EE3"/>
    <w:multiLevelType w:val="hybridMultilevel"/>
    <w:lvl w:ilvl="0">
      <w:lvlJc w:val="left"/>
      <w:lvlText w:val="%1."/>
      <w:numFmt w:val="decimal"/>
      <w:start w:val="16"/>
    </w:lvl>
  </w:abstractNum>
  <w:abstractNum w:abstractNumId="85">
    <w:nsid w:val="68EBC550"/>
    <w:multiLevelType w:val="hybridMultilevel"/>
    <w:lvl w:ilvl="0">
      <w:lvlJc w:val="left"/>
      <w:lvlText w:val="%1."/>
      <w:numFmt w:val="decimal"/>
      <w:start w:val="18"/>
    </w:lvl>
    <w:lvl w:ilvl="1">
      <w:lvlJc w:val="left"/>
      <w:lvlText w:val="(%2)"/>
      <w:numFmt w:val="lowerLetter"/>
      <w:start w:val="1"/>
    </w:lvl>
  </w:abstractNum>
  <w:abstractNum w:abstractNumId="86">
    <w:nsid w:val="2DF6D648"/>
    <w:multiLevelType w:val="hybridMultilevel"/>
    <w:lvl w:ilvl="0">
      <w:lvlJc w:val="left"/>
      <w:lvlText w:val="%1."/>
      <w:numFmt w:val="decimal"/>
      <w:start w:val="1"/>
    </w:lvl>
  </w:abstractNum>
  <w:abstractNum w:abstractNumId="87">
    <w:nsid w:val="46B7D447"/>
    <w:multiLevelType w:val="hybridMultilevel"/>
    <w:lvl w:ilvl="0">
      <w:lvlJc w:val="left"/>
      <w:lvlText w:val="%1."/>
      <w:numFmt w:val="decimal"/>
      <w:start w:val="3"/>
    </w:lvl>
    <w:lvl w:ilvl="1">
      <w:lvlJc w:val="left"/>
      <w:lvlText w:val="(%2)"/>
      <w:numFmt w:val="lowerLetter"/>
      <w:start w:val="1"/>
    </w:lvl>
  </w:abstractNum>
  <w:abstractNum w:abstractNumId="88">
    <w:nsid w:val="4A2AC315"/>
    <w:multiLevelType w:val="hybridMultilevel"/>
    <w:lvl w:ilvl="0">
      <w:lvlJc w:val="left"/>
      <w:lvlText w:val="%1."/>
      <w:numFmt w:val="decimal"/>
      <w:start w:val="1"/>
    </w:lvl>
  </w:abstractNum>
  <w:abstractNum w:abstractNumId="89">
    <w:nsid w:val="39EE015C"/>
    <w:multiLevelType w:val="hybridMultilevel"/>
    <w:lvl w:ilvl="0">
      <w:lvlJc w:val="left"/>
      <w:lvlText w:val="%1."/>
      <w:numFmt w:val="decimal"/>
      <w:start w:val="3"/>
    </w:lvl>
    <w:lvl w:ilvl="1">
      <w:lvlJc w:val="left"/>
      <w:lvlText w:val="(%2)"/>
      <w:numFmt w:val="lowerLetter"/>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82" Type="http://schemas.openxmlformats.org/officeDocument/2006/relationships/hyperlink" Target="http://www.sec.gov/Archives/edgar/data/1426800/000156459020004234/asmb-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2020-05-08T15:21:47Z</dcterms:created>
  <dcterms:modified xsi:type="dcterms:W3CDTF">2020-05-08T15:21:47Z</dcterms:modified>
</cp:coreProperties>
</file>