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Schornstein Alexander</w:t>
              </w:r>
            </w:hyperlink>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ASSEMBLY BIOSCIENCES, INC. </w:t>
              </w:r>
            </w:hyperlink>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ASMB </w:t>
            </w:r>
            <w:r>
              <w:rPr>
                <w:rFonts w:ascii="Times New Roman" w:cs="Times New Roman" w:eastAsia="Times New Roman" w:hAnsi="Times New Roman"/>
                <w:sz w:val="21"/>
                <w:szCs w:val="21"/>
                <w:color w:val="000000"/>
              </w:rPr>
              <w:t>]</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5"/>
                <w:szCs w:val="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20" w:type="dxa"/>
            <w:vAlign w:val="bottom"/>
            <w:gridSpan w:val="3"/>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KAISER-FRIEDRICH-ALLEE 2</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11/22/2024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7"/>
                <w:szCs w:val="7"/>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AACHEN</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2M</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52074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4"/>
                <w:szCs w:val="14"/>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20" w:type="dxa"/>
            <w:vAlign w:val="bottom"/>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11/22/2024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17,024</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14.8675</w:t>
            </w:r>
            <w:r>
              <w:rPr>
                <w:rFonts w:ascii="Times New Roman" w:cs="Times New Roman" w:eastAsia="Times New Roman" w:hAnsi="Times New Roman"/>
                <w:sz w:val="22"/>
                <w:szCs w:val="22"/>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720,137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11/25/2024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2,976</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3"/>
          </w:tcPr>
          <w:p>
            <w:pPr>
              <w:jc w:val="center"/>
              <w:ind w:left="91"/>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w:t>
            </w:r>
            <w:r>
              <w:rPr>
                <w:rFonts w:ascii="Times New Roman" w:cs="Times New Roman" w:eastAsia="Times New Roman" w:hAnsi="Times New Roman"/>
                <w:sz w:val="22"/>
                <w:szCs w:val="22"/>
                <w:color w:val="008000"/>
                <w:w w:val="91"/>
                <w:vertAlign w:val="superscript"/>
              </w:rPr>
              <w:t>(4)</w:t>
            </w:r>
          </w:p>
        </w:tc>
        <w:tc>
          <w:tcPr>
            <w:tcW w:w="2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723,113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11/25/2024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(5)</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14.85</w:t>
            </w:r>
            <w:r>
              <w:rPr>
                <w:rFonts w:ascii="Times New Roman" w:cs="Times New Roman" w:eastAsia="Times New Roman" w:hAnsi="Times New Roman"/>
                <w:sz w:val="22"/>
                <w:szCs w:val="22"/>
                <w:color w:val="008000"/>
                <w:w w:val="95"/>
                <w:vertAlign w:val="superscript"/>
              </w:rPr>
              <w:t>(6)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728,113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20" w:type="dxa"/>
            <w:vAlign w:val="bottom"/>
            <w:gridSpan w:val="15"/>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purchased by the reporting person on November 22, 2024, from the open market using his personal funds.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midpoint at which the shares were purchased. 17,024 shares were purchased on November 22, 2024, in multiple transactions at prices ranging from $14.735 to $15.00. The reporting person undertakes to provide the Issuer, any security holder of the Issuer, or the staff of the Securities and Exchange Commission, upon request, full information regarding the number of shares sold at each separate price within.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purchased by the reporting person on November 25, 2024, from the open market using his personal funds.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2,976 shares were purchased on November 25, 2024 at $15.00.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purchased by the reporting person on November 25, 2024, from the open market using his personal funds.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midpoint at which the shares were purchased. 5,000 shares were purchased on November 25, 2024, in multiple transactions at prices ranging from $14.75 to 14.95. The reporting person undertakes to provide the Issuer, any security holder of the Issuer, or the staff of the Securities and Exchange Commission, upon request, full information regarding the number of shares sold at each separate price within.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Alexander Schornstein</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256"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2024-11-26T08:19:26Z</dcterms:created>
  <dcterms:modified xsi:type="dcterms:W3CDTF">2024-11-26T08:19:26Z</dcterms:modified>
</cp:coreProperties>
</file>