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94615</wp:posOffset>
            </wp:positionV>
            <wp:extent cx="13373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99060</wp:posOffset>
            </wp:positionV>
            <wp:extent cx="13373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56" w:lineRule="exact"/>
        <w:rPr>
          <w:sz w:val="24"/>
          <w:szCs w:val="24"/>
          <w:color w:val="auto"/>
        </w:rPr>
      </w:pPr>
    </w:p>
    <w:p>
      <w:pPr>
        <w:ind w:left="4060" w:right="2540" w:hanging="4052"/>
        <w:spacing w:after="0" w:line="459" w:lineRule="auto"/>
        <w:tabs>
          <w:tab w:leader="none" w:pos="469"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June 30, 2022</w:t>
      </w:r>
    </w:p>
    <w:p>
      <w:pPr>
        <w:spacing w:after="0" w:line="268" w:lineRule="exact"/>
        <w:rPr>
          <w:sz w:val="24"/>
          <w:szCs w:val="24"/>
          <w:color w:val="auto"/>
        </w:rPr>
      </w:pPr>
    </w:p>
    <w:p>
      <w:pPr>
        <w:ind w:left="3580" w:right="2520" w:hanging="3572"/>
        <w:spacing w:after="0" w:line="422" w:lineRule="auto"/>
        <w:tabs>
          <w:tab w:leader="none" w:pos="469"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___________to___________.</w:t>
      </w:r>
    </w:p>
    <w:p>
      <w:pPr>
        <w:ind w:left="43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001-35005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116205</wp:posOffset>
            </wp:positionV>
            <wp:extent cx="13373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53" w:lineRule="exact"/>
        <w:rPr>
          <w:sz w:val="24"/>
          <w:szCs w:val="24"/>
          <w:color w:val="auto"/>
        </w:rPr>
      </w:pPr>
    </w:p>
    <w:tbl>
      <w:tblPr>
        <w:tblLayout w:type="fixed"/>
        <w:tblInd w:w="10" w:type="dxa"/>
        <w:tblCellMar>
          <w:top w:w="0" w:type="dxa"/>
          <w:left w:w="0" w:type="dxa"/>
          <w:bottom w:w="0" w:type="dxa"/>
          <w:right w:w="0" w:type="dxa"/>
        </w:tblCellMar>
      </w:tblPr>
      <w:tr>
        <w:trPr>
          <w:trHeight w:val="261"/>
        </w:trPr>
        <w:tc>
          <w:tcPr>
            <w:tcW w:w="3840" w:type="dxa"/>
            <w:vAlign w:val="bottom"/>
          </w:tcPr>
          <w:p>
            <w:pPr>
              <w:spacing w:after="0"/>
              <w:rPr>
                <w:sz w:val="22"/>
                <w:szCs w:val="22"/>
                <w:color w:val="auto"/>
              </w:rPr>
            </w:pPr>
          </w:p>
        </w:tc>
        <w:tc>
          <w:tcPr>
            <w:tcW w:w="3420" w:type="dxa"/>
            <w:vAlign w:val="bottom"/>
            <w:gridSpan w:val="5"/>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ASSEMBLY BIOSCIENCES, INC.</w:t>
            </w: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7400" w:type="dxa"/>
            <w:vAlign w:val="bottom"/>
            <w:gridSpan w:val="6"/>
          </w:tcPr>
          <w:p>
            <w:pPr>
              <w:jc w:val="center"/>
              <w:ind w:right="3761"/>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0" w:type="dxa"/>
            <w:vAlign w:val="bottom"/>
          </w:tcPr>
          <w:p>
            <w:pPr>
              <w:spacing w:after="0"/>
              <w:rPr>
                <w:sz w:val="1"/>
                <w:szCs w:val="1"/>
                <w:color w:val="auto"/>
              </w:rPr>
            </w:pPr>
          </w:p>
        </w:tc>
      </w:tr>
      <w:tr>
        <w:trPr>
          <w:trHeight w:val="276"/>
        </w:trPr>
        <w:tc>
          <w:tcPr>
            <w:tcW w:w="3840" w:type="dxa"/>
            <w:vAlign w:val="bottom"/>
          </w:tcPr>
          <w:p>
            <w:pPr>
              <w:jc w:val="center"/>
              <w:ind w:left="170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980" w:type="dxa"/>
            <w:vAlign w:val="bottom"/>
          </w:tcPr>
          <w:p>
            <w:pPr>
              <w:jc w:val="right"/>
              <w:ind w:right="2341"/>
              <w:spacing w:after="0"/>
              <w:rPr>
                <w:sz w:val="20"/>
                <w:szCs w:val="20"/>
                <w:color w:val="auto"/>
              </w:rPr>
            </w:pPr>
            <w:r>
              <w:rPr>
                <w:rFonts w:ascii="Times New Roman" w:cs="Times New Roman" w:eastAsia="Times New Roman" w:hAnsi="Times New Roman"/>
                <w:sz w:val="16"/>
                <w:szCs w:val="16"/>
                <w:b w:val="1"/>
                <w:bCs w:val="1"/>
                <w:color w:val="auto"/>
              </w:rPr>
              <w:t>20-8729264</w:t>
            </w:r>
          </w:p>
        </w:tc>
        <w:tc>
          <w:tcPr>
            <w:tcW w:w="0" w:type="dxa"/>
            <w:vAlign w:val="bottom"/>
          </w:tcPr>
          <w:p>
            <w:pPr>
              <w:spacing w:after="0"/>
              <w:rPr>
                <w:sz w:val="1"/>
                <w:szCs w:val="1"/>
                <w:color w:val="auto"/>
              </w:rPr>
            </w:pPr>
          </w:p>
        </w:tc>
      </w:tr>
      <w:tr>
        <w:trPr>
          <w:trHeight w:val="203"/>
        </w:trPr>
        <w:tc>
          <w:tcPr>
            <w:tcW w:w="3840" w:type="dxa"/>
            <w:vAlign w:val="bottom"/>
          </w:tcPr>
          <w:p>
            <w:pPr>
              <w:jc w:val="center"/>
              <w:ind w:left="172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980" w:type="dxa"/>
            <w:vAlign w:val="bottom"/>
          </w:tcPr>
          <w:p>
            <w:pPr>
              <w:jc w:val="center"/>
              <w:ind w:right="1561"/>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210"/>
        </w:trPr>
        <w:tc>
          <w:tcPr>
            <w:tcW w:w="3840" w:type="dxa"/>
            <w:vAlign w:val="bottom"/>
          </w:tcPr>
          <w:p>
            <w:pPr>
              <w:jc w:val="center"/>
              <w:ind w:left="172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7260" w:type="dxa"/>
            <w:vAlign w:val="bottom"/>
            <w:gridSpan w:val="6"/>
          </w:tcPr>
          <w:p>
            <w:pPr>
              <w:jc w:val="center"/>
              <w:ind w:right="1620"/>
              <w:spacing w:after="0"/>
              <w:rPr>
                <w:sz w:val="20"/>
                <w:szCs w:val="20"/>
                <w:color w:val="auto"/>
              </w:rPr>
            </w:pPr>
            <w:r>
              <w:rPr>
                <w:rFonts w:ascii="Times New Roman" w:cs="Times New Roman" w:eastAsia="Times New Roman" w:hAnsi="Times New Roman"/>
                <w:sz w:val="16"/>
                <w:szCs w:val="16"/>
                <w:b w:val="1"/>
                <w:bCs w:val="1"/>
                <w:color w:val="auto"/>
              </w:rPr>
              <w:t>331 Oyster Point Blvd., Fourth Floor</w:t>
            </w:r>
          </w:p>
        </w:tc>
        <w:tc>
          <w:tcPr>
            <w:tcW w:w="3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7260" w:type="dxa"/>
            <w:vAlign w:val="bottom"/>
            <w:gridSpan w:val="6"/>
          </w:tcPr>
          <w:p>
            <w:pPr>
              <w:jc w:val="center"/>
              <w:ind w:right="1640"/>
              <w:spacing w:after="0"/>
              <w:rPr>
                <w:sz w:val="20"/>
                <w:szCs w:val="20"/>
                <w:color w:val="auto"/>
              </w:rPr>
            </w:pPr>
            <w:r>
              <w:rPr>
                <w:rFonts w:ascii="Times New Roman" w:cs="Times New Roman" w:eastAsia="Times New Roman" w:hAnsi="Times New Roman"/>
                <w:sz w:val="16"/>
                <w:szCs w:val="16"/>
                <w:b w:val="1"/>
                <w:bCs w:val="1"/>
                <w:color w:val="auto"/>
              </w:rPr>
              <w:t>South San Francisco, California</w:t>
            </w:r>
          </w:p>
        </w:tc>
        <w:tc>
          <w:tcPr>
            <w:tcW w:w="3980" w:type="dxa"/>
            <w:vAlign w:val="bottom"/>
          </w:tcPr>
          <w:p>
            <w:pPr>
              <w:jc w:val="right"/>
              <w:ind w:right="2521"/>
              <w:spacing w:after="0"/>
              <w:rPr>
                <w:sz w:val="20"/>
                <w:szCs w:val="20"/>
                <w:color w:val="auto"/>
              </w:rPr>
            </w:pPr>
            <w:r>
              <w:rPr>
                <w:rFonts w:ascii="Times New Roman" w:cs="Times New Roman" w:eastAsia="Times New Roman" w:hAnsi="Times New Roman"/>
                <w:sz w:val="16"/>
                <w:szCs w:val="16"/>
                <w:b w:val="1"/>
                <w:bCs w:val="1"/>
                <w:color w:val="auto"/>
              </w:rPr>
              <w:t>94080</w:t>
            </w:r>
          </w:p>
        </w:tc>
        <w:tc>
          <w:tcPr>
            <w:tcW w:w="0" w:type="dxa"/>
            <w:vAlign w:val="bottom"/>
          </w:tcPr>
          <w:p>
            <w:pPr>
              <w:spacing w:after="0"/>
              <w:rPr>
                <w:sz w:val="1"/>
                <w:szCs w:val="1"/>
                <w:color w:val="auto"/>
              </w:rPr>
            </w:pPr>
          </w:p>
        </w:tc>
      </w:tr>
      <w:tr>
        <w:trPr>
          <w:trHeight w:val="210"/>
        </w:trPr>
        <w:tc>
          <w:tcPr>
            <w:tcW w:w="7260" w:type="dxa"/>
            <w:vAlign w:val="bottom"/>
            <w:gridSpan w:val="6"/>
          </w:tcPr>
          <w:p>
            <w:pPr>
              <w:jc w:val="center"/>
              <w:ind w:right="162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980" w:type="dxa"/>
            <w:vAlign w:val="bottom"/>
          </w:tcPr>
          <w:p>
            <w:pPr>
              <w:jc w:val="center"/>
              <w:ind w:right="1561"/>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r>
        <w:trPr>
          <w:trHeight w:val="276"/>
        </w:trPr>
        <w:tc>
          <w:tcPr>
            <w:tcW w:w="3840" w:type="dxa"/>
            <w:vAlign w:val="bottom"/>
          </w:tcPr>
          <w:p>
            <w:pPr>
              <w:spacing w:after="0"/>
              <w:rPr>
                <w:sz w:val="23"/>
                <w:szCs w:val="23"/>
                <w:color w:val="auto"/>
              </w:rPr>
            </w:pPr>
          </w:p>
        </w:tc>
        <w:tc>
          <w:tcPr>
            <w:tcW w:w="2840" w:type="dxa"/>
            <w:vAlign w:val="bottom"/>
            <w:gridSpan w:val="3"/>
          </w:tcPr>
          <w:p>
            <w:pPr>
              <w:jc w:val="center"/>
              <w:ind w:left="652"/>
              <w:spacing w:after="0"/>
              <w:rPr>
                <w:sz w:val="20"/>
                <w:szCs w:val="20"/>
                <w:color w:val="auto"/>
              </w:rPr>
            </w:pPr>
            <w:r>
              <w:rPr>
                <w:rFonts w:ascii="Times New Roman" w:cs="Times New Roman" w:eastAsia="Times New Roman" w:hAnsi="Times New Roman"/>
                <w:sz w:val="16"/>
                <w:szCs w:val="16"/>
                <w:b w:val="1"/>
                <w:bCs w:val="1"/>
                <w:color w:val="auto"/>
              </w:rPr>
              <w:t>(833) 509-4583</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7400" w:type="dxa"/>
            <w:vAlign w:val="bottom"/>
            <w:gridSpan w:val="6"/>
          </w:tcPr>
          <w:p>
            <w:pPr>
              <w:jc w:val="center"/>
              <w:ind w:right="3761"/>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0" w:type="dxa"/>
            <w:vAlign w:val="bottom"/>
          </w:tcPr>
          <w:p>
            <w:pPr>
              <w:spacing w:after="0"/>
              <w:rPr>
                <w:sz w:val="1"/>
                <w:szCs w:val="1"/>
                <w:color w:val="auto"/>
              </w:rPr>
            </w:pPr>
          </w:p>
        </w:tc>
      </w:tr>
      <w:tr>
        <w:trPr>
          <w:trHeight w:val="141"/>
        </w:trPr>
        <w:tc>
          <w:tcPr>
            <w:tcW w:w="38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38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gridSpan w:val="2"/>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840" w:type="dxa"/>
            <w:vAlign w:val="bottom"/>
            <w:tcBorders>
              <w:left w:val="single" w:sz="8" w:color="auto"/>
              <w:bottom w:val="single" w:sz="8" w:color="auto"/>
            </w:tcBorders>
          </w:tcPr>
          <w:p>
            <w:pPr>
              <w:jc w:val="center"/>
              <w:ind w:left="600"/>
              <w:spacing w:after="0"/>
              <w:rPr>
                <w:sz w:val="20"/>
                <w:szCs w:val="20"/>
                <w:color w:val="auto"/>
              </w:rPr>
            </w:pPr>
            <w:r>
              <w:rPr>
                <w:rFonts w:ascii="Times New Roman" w:cs="Times New Roman" w:eastAsia="Times New Roman" w:hAnsi="Times New Roman"/>
                <w:sz w:val="14"/>
                <w:szCs w:val="14"/>
                <w:color w:val="auto"/>
              </w:rPr>
              <w:t>Title of each class</w:t>
            </w:r>
          </w:p>
        </w:tc>
        <w:tc>
          <w:tcPr>
            <w:tcW w:w="6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180" w:type="dxa"/>
            <w:vAlign w:val="bottom"/>
            <w:tcBorders>
              <w:bottom w:val="single" w:sz="8" w:color="auto"/>
              <w:righ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Trading Symbol(s)</w:t>
            </w:r>
          </w:p>
        </w:tc>
        <w:tc>
          <w:tcPr>
            <w:tcW w:w="500" w:type="dxa"/>
            <w:vAlign w:val="bottom"/>
            <w:tcBorders>
              <w:bottom w:val="single" w:sz="8" w:color="auto"/>
            </w:tcBorders>
          </w:tcPr>
          <w:p>
            <w:pPr>
              <w:spacing w:after="0"/>
              <w:rPr>
                <w:sz w:val="15"/>
                <w:szCs w:val="15"/>
                <w:color w:val="auto"/>
              </w:rPr>
            </w:pPr>
          </w:p>
        </w:tc>
        <w:tc>
          <w:tcPr>
            <w:tcW w:w="3980" w:type="dxa"/>
            <w:vAlign w:val="bottom"/>
            <w:tcBorders>
              <w:bottom w:val="single" w:sz="8" w:color="auto"/>
              <w:right w:val="single" w:sz="8" w:color="auto"/>
            </w:tcBorders>
          </w:tcPr>
          <w:p>
            <w:pPr>
              <w:jc w:val="center"/>
              <w:ind w:right="441"/>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233"/>
        </w:trPr>
        <w:tc>
          <w:tcPr>
            <w:tcW w:w="3840" w:type="dxa"/>
            <w:vAlign w:val="bottom"/>
            <w:tcBorders>
              <w:left w:val="single" w:sz="8" w:color="auto"/>
              <w:bottom w:val="single" w:sz="8" w:color="auto"/>
            </w:tcBorders>
          </w:tcPr>
          <w:p>
            <w:pPr>
              <w:jc w:val="center"/>
              <w:ind w:left="620"/>
              <w:spacing w:after="0"/>
              <w:rPr>
                <w:sz w:val="20"/>
                <w:szCs w:val="20"/>
                <w:color w:val="auto"/>
              </w:rPr>
            </w:pPr>
            <w:r>
              <w:rPr>
                <w:rFonts w:ascii="Times New Roman" w:cs="Times New Roman" w:eastAsia="Times New Roman" w:hAnsi="Times New Roman"/>
                <w:sz w:val="16"/>
                <w:szCs w:val="16"/>
                <w:color w:val="auto"/>
              </w:rPr>
              <w:t>Common Stock, par value $0.001</w:t>
            </w:r>
          </w:p>
        </w:tc>
        <w:tc>
          <w:tcPr>
            <w:tcW w:w="6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180" w:type="dxa"/>
            <w:vAlign w:val="bottom"/>
            <w:tcBorders>
              <w:bottom w:val="single" w:sz="8" w:color="auto"/>
              <w:righ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ASMB</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jc w:val="center"/>
              <w:ind w:right="421"/>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both"/>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6"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5"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Accelerated Filer</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800" w:type="dxa"/>
            <w:vAlign w:val="bottom"/>
          </w:tcPr>
          <w:p>
            <w:pPr>
              <w:spacing w:after="0"/>
              <w:rPr>
                <w:sz w:val="22"/>
                <w:szCs w:val="22"/>
                <w:color w:val="auto"/>
              </w:rPr>
            </w:pPr>
          </w:p>
        </w:tc>
      </w:tr>
    </w:tbl>
    <w:p>
      <w:pPr>
        <w:spacing w:after="0" w:line="69"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9" w:lineRule="exact"/>
        <w:rPr>
          <w:sz w:val="24"/>
          <w:szCs w:val="24"/>
          <w:color w:val="auto"/>
        </w:rPr>
      </w:pPr>
    </w:p>
    <w:p>
      <w:pPr>
        <w:ind w:right="2700"/>
        <w:spacing w:after="0" w:line="26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4, 2022, there were 48,436,880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3"/>
        </w:trPr>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22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728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7"/>
        </w:trPr>
        <w:tc>
          <w:tcPr>
            <w:tcW w:w="1020" w:type="dxa"/>
            <w:vAlign w:val="bottom"/>
          </w:tcPr>
          <w:p>
            <w:pPr>
              <w:spacing w:after="0"/>
              <w:rPr>
                <w:sz w:val="24"/>
                <w:szCs w:val="24"/>
                <w:color w:val="auto"/>
              </w:rPr>
            </w:pPr>
          </w:p>
        </w:tc>
        <w:tc>
          <w:tcPr>
            <w:tcW w:w="68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at June 30, 2022 (unaudited) and December 31, 2021</w:t>
            </w:r>
          </w:p>
        </w:tc>
        <w:tc>
          <w:tcPr>
            <w:tcW w:w="274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18"/>
        </w:trPr>
        <w:tc>
          <w:tcPr>
            <w:tcW w:w="1020" w:type="dxa"/>
            <w:vAlign w:val="bottom"/>
          </w:tcPr>
          <w:p>
            <w:pPr>
              <w:spacing w:after="0"/>
              <w:rPr>
                <w:sz w:val="24"/>
                <w:szCs w:val="24"/>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Three and Six Months Ended June 30, 2022</w:t>
            </w:r>
          </w:p>
        </w:tc>
        <w:tc>
          <w:tcPr>
            <w:tcW w:w="6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and 2021 (unaudited)</w:t>
            </w:r>
          </w:p>
        </w:tc>
        <w:tc>
          <w:tcPr>
            <w:tcW w:w="7700" w:type="dxa"/>
            <w:vAlign w:val="bottom"/>
            <w:tcBorders>
              <w:top w:val="single" w:sz="8" w:color="0000EE"/>
            </w:tcBorders>
            <w:gridSpan w:val="11"/>
          </w:tcPr>
          <w:p>
            <w:pPr>
              <w:spacing w:after="0"/>
              <w:rPr>
                <w:sz w:val="17"/>
                <w:szCs w:val="17"/>
                <w:color w:val="auto"/>
              </w:rPr>
            </w:pPr>
          </w:p>
        </w:tc>
        <w:tc>
          <w:tcPr>
            <w:tcW w:w="30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318"/>
        </w:trPr>
        <w:tc>
          <w:tcPr>
            <w:tcW w:w="1020" w:type="dxa"/>
            <w:vAlign w:val="bottom"/>
          </w:tcPr>
          <w:p>
            <w:pPr>
              <w:spacing w:after="0"/>
              <w:rPr>
                <w:sz w:val="24"/>
                <w:szCs w:val="24"/>
                <w:color w:val="auto"/>
              </w:rPr>
            </w:pPr>
          </w:p>
        </w:tc>
        <w:tc>
          <w:tcPr>
            <w:tcW w:w="92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for the Three and Six Months Ended June 30, 2022 and</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2021 (unaudited)</w:t>
            </w:r>
          </w:p>
        </w:tc>
        <w:tc>
          <w:tcPr>
            <w:tcW w:w="8300" w:type="dxa"/>
            <w:vAlign w:val="bottom"/>
            <w:gridSpan w:val="1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318"/>
        </w:trPr>
        <w:tc>
          <w:tcPr>
            <w:tcW w:w="1020" w:type="dxa"/>
            <w:vAlign w:val="bottom"/>
          </w:tcPr>
          <w:p>
            <w:pPr>
              <w:spacing w:after="0"/>
              <w:rPr>
                <w:sz w:val="24"/>
                <w:szCs w:val="24"/>
                <w:color w:val="auto"/>
              </w:rPr>
            </w:pPr>
          </w:p>
        </w:tc>
        <w:tc>
          <w:tcPr>
            <w:tcW w:w="82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Six Months Ended June 30, 2022 and 2021 (unaudited)</w:t>
            </w:r>
          </w:p>
        </w:tc>
        <w:tc>
          <w:tcPr>
            <w:tcW w:w="128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8"/>
        </w:trPr>
        <w:tc>
          <w:tcPr>
            <w:tcW w:w="1020" w:type="dxa"/>
            <w:vAlign w:val="bottom"/>
          </w:tcPr>
          <w:p>
            <w:pPr>
              <w:spacing w:after="0"/>
              <w:rPr>
                <w:sz w:val="24"/>
                <w:szCs w:val="24"/>
                <w:color w:val="auto"/>
              </w:rPr>
            </w:pPr>
          </w:p>
        </w:tc>
        <w:tc>
          <w:tcPr>
            <w:tcW w:w="51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Notes to the Condensed Consolidated Financial Statements (unaudited)</w:t>
            </w:r>
          </w:p>
        </w:tc>
        <w:tc>
          <w:tcPr>
            <w:tcW w:w="440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08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24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1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540" w:type="dxa"/>
            <w:vAlign w:val="bottom"/>
            <w:tcBorders>
              <w:top w:val="single" w:sz="8" w:color="0000EE"/>
            </w:tcBorders>
            <w:gridSpan w:val="4"/>
          </w:tcPr>
          <w:p>
            <w:pPr>
              <w:spacing w:after="0"/>
              <w:rPr>
                <w:sz w:val="24"/>
                <w:szCs w:val="24"/>
                <w:color w:val="auto"/>
              </w:rPr>
            </w:pPr>
          </w:p>
        </w:tc>
        <w:tc>
          <w:tcPr>
            <w:tcW w:w="7660" w:type="dxa"/>
            <w:vAlign w:val="bottom"/>
            <w:gridSpan w:val="11"/>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20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722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1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4"/>
          </w:tcPr>
          <w:p>
            <w:pPr>
              <w:spacing w:after="0"/>
              <w:rPr>
                <w:sz w:val="24"/>
                <w:szCs w:val="24"/>
                <w:color w:val="auto"/>
              </w:rPr>
            </w:pPr>
          </w:p>
        </w:tc>
        <w:tc>
          <w:tcPr>
            <w:tcW w:w="778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Exhibits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940" w:type="dxa"/>
            <w:vAlign w:val="bottom"/>
            <w:gridSpan w:val="1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784"/>
        </w:trPr>
        <w:tc>
          <w:tcPr>
            <w:tcW w:w="10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References to Assembly Biosciences, Inc.</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this Quarterly Report on Form 10-Q, the “Company,” “Assembly,” “we,” “us,” and “our,” except where the context requires otherwise, refer to Assembly Biosciences, Inc. and its consolidated subsidiaries, and “our board of directors” or “the Board” refers to the board of directors of Assembly Biosciences, Inc.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are subject to certain risks and uncertainties, including, without limitation, those set forth in Part I, Item 1A of our Annual Report on Form 10-K filed with the U.S. Securities and Exchanges Commission (SEC) on March 11, 2022 (2021 Annual Report) and Part II, Item 1A of this Quarterly Report on Form 10-Q under the heading “Risk Factors,” that could cause actual results to materially differ. Such risks and uncertainties include, among other things:</w:t>
      </w:r>
    </w:p>
    <w:p>
      <w:pPr>
        <w:spacing w:after="0" w:line="139" w:lineRule="exact"/>
        <w:rPr>
          <w:sz w:val="20"/>
          <w:szCs w:val="20"/>
          <w:color w:val="auto"/>
        </w:rPr>
      </w:pPr>
    </w:p>
    <w:p>
      <w:pPr>
        <w:jc w:val="both"/>
        <w:ind w:left="880" w:hanging="440"/>
        <w:spacing w:after="0" w:line="261"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our strategic plan announced on July 20, 2022 to (1) discontinue further development of our first-generation core inhibitor, vebicorvir; (2) advance our next generation core inhibitors, ABI-H3733 and ABI-4334, in clinical studies; (3) prioritize additional research activities, including a small molecule hepatitis B virus/hepatitis delta virus entry inhibitor, small molecule interferon-α receptor agonist and two additional undisclosed viral targets; and (4) reduce the size of our organization to align with the foregoing;</w:t>
      </w:r>
    </w:p>
    <w:p>
      <w:pPr>
        <w:spacing w:after="0" w:line="139"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initiate and complete clinical trials involving our therapeutic product candidates, including studies contemplated by our clinical collaboration agreements, in the currently anticipated timeframes;</w:t>
      </w:r>
    </w:p>
    <w:p>
      <w:pPr>
        <w:spacing w:after="0" w:line="12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data from clinical studies may not warrant further development of our product candidates;</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nonclinical data presented at conferences may not differentiate our product candidates from other companies’ candidates;</w:t>
      </w:r>
    </w:p>
    <w:p>
      <w:pPr>
        <w:spacing w:after="0" w:line="211"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nonclinical studies may not be representative of disease behavior in a clinical setting and may not be predictive of the outcomes of clinical studies;</w:t>
      </w:r>
    </w:p>
    <w:p>
      <w:pPr>
        <w:spacing w:after="0" w:line="12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financial resources necessary to continue our clinical studies and fund business operations;</w:t>
      </w:r>
    </w:p>
    <w:p>
      <w:pPr>
        <w:spacing w:after="0" w:line="211"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development and commercialization of our hepatitis B virus (HBV) product candidates, if successful, in the China territory will be dependent on, and subject to, our collaboration agreement governing our HBV-related activity in the China territory; and</w:t>
      </w:r>
    </w:p>
    <w:p>
      <w:pPr>
        <w:spacing w:after="0" w:line="121"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impact that the COVID-19 pandemic may have on our business and operations, including initiation, enrollment and continuation of our clinical studies or timing of discussions with regulatory authorities.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are urged to consider statements that include the words may, will, would, could, should, might, believes, hopes, estimates, projects, potential, expects, plans, anticipates, intends, continues, forecast, designed, goal or the negative of those words or other comparable words to be uncertain and forward-looking. In particular, forward-looking statements include, but are not limited to, statements regarding the timing of commencement of future clinical studies involving our therapeutic product candidates; our ability to successfully complete, and receive favorable results in, clinical trials for our product candidates; and the expected impact of the COVID-19 pandemic on our business and operations. We intend such forward-looking statements to be covered by the safe harbor provisions contained in Section 27A of the Securities Act of 1933, as amended (the Securities Act), and Section 21E of the Securities Exchange Act of 1934, as amended (the Exchange Act). Except as required by law, we assume no obligation to update publicly any forward-looking statements, whether as a result of new information, future events or otherwise.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amounts and par value)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200" w:type="dxa"/>
            <w:vAlign w:val="bottom"/>
          </w:tcPr>
          <w:p>
            <w:pPr>
              <w:spacing w:after="0"/>
              <w:rPr>
                <w:sz w:val="18"/>
                <w:szCs w:val="18"/>
                <w:color w:val="auto"/>
              </w:rPr>
            </w:pPr>
          </w:p>
        </w:tc>
        <w:tc>
          <w:tcPr>
            <w:tcW w:w="148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33"/>
        </w:trPr>
        <w:tc>
          <w:tcPr>
            <w:tcW w:w="7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3"/>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2"/>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43,063</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45,627</w:t>
            </w: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Marketable securities - short-term</w:t>
            </w:r>
          </w:p>
        </w:tc>
        <w:tc>
          <w:tcPr>
            <w:tcW w:w="2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73,626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101,000</w:t>
            </w: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from collaborations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523</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336</w:t>
            </w:r>
          </w:p>
        </w:tc>
      </w:tr>
      <w:tr>
        <w:trPr>
          <w:trHeight w:val="229"/>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7,082</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7,241</w:t>
            </w: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124,294</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154,204</w:t>
            </w:r>
          </w:p>
        </w:tc>
      </w:tr>
      <w:tr>
        <w:trPr>
          <w:trHeight w:val="223"/>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Marketable securities - long-term</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11,908</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27,972</w:t>
            </w: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899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1,139</w:t>
            </w: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right-of-use (ROU) assets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4,711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6,042</w:t>
            </w:r>
          </w:p>
        </w:tc>
      </w:tr>
      <w:tr>
        <w:trPr>
          <w:trHeight w:val="230"/>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1,635</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1,703</w:t>
            </w: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143,447</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191,060</w:t>
            </w: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2,454</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2,659</w:t>
            </w: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4,446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3,400</w:t>
            </w: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4,750</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6,863</w:t>
            </w:r>
          </w:p>
        </w:tc>
      </w:tr>
      <w:tr>
        <w:trPr>
          <w:trHeight w:val="230"/>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 short-term</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3,311</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3,151</w:t>
            </w: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14,961</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16,073</w:t>
            </w:r>
          </w:p>
        </w:tc>
      </w:tr>
      <w:tr>
        <w:trPr>
          <w:trHeight w:val="223"/>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2,733</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2,733</w:t>
            </w:r>
          </w:p>
        </w:tc>
      </w:tr>
      <w:tr>
        <w:trPr>
          <w:trHeight w:val="230"/>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 long-term</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1,773</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3,325</w:t>
            </w: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19,467</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22,131</w:t>
            </w:r>
          </w:p>
        </w:tc>
      </w:tr>
      <w:tr>
        <w:trPr>
          <w:trHeight w:val="223"/>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or outstanding</w:t>
            </w:r>
          </w:p>
        </w:tc>
        <w:tc>
          <w:tcPr>
            <w:tcW w:w="24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$0.001 par value; 150,000,000 and 100,000,000 shares authorized as of June 30,</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2022 and December 31, 2021, respectively; 48,362,736 and 48,120,437 shares issued and</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outstanding as of June 30, 2022 and December 31, 2021, respectively</w:t>
            </w: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803,910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800,728</w:t>
            </w: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30"/>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(678,980)</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(631,428)</w:t>
            </w:r>
          </w:p>
        </w:tc>
      </w:tr>
      <w:tr>
        <w:trPr>
          <w:trHeight w:val="223"/>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123,980</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168,929</w:t>
            </w: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143,447</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191,060</w:t>
            </w: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23"/>
        </w:trPr>
        <w:tc>
          <w:tcPr>
            <w:tcW w:w="49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30"/>
        </w:trPr>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17,792</w:t>
            </w:r>
          </w:p>
        </w:tc>
        <w:tc>
          <w:tcPr>
            <w:tcW w:w="14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16,749</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34,997</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35,303</w:t>
            </w:r>
          </w:p>
        </w:tc>
      </w:tr>
      <w:tr>
        <w:trPr>
          <w:trHeight w:val="229"/>
        </w:trPr>
        <w:tc>
          <w:tcPr>
            <w:tcW w:w="4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6,781</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6,917</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12,738</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15,621</w:t>
            </w:r>
          </w:p>
        </w:tc>
      </w:tr>
      <w:tr>
        <w:trPr>
          <w:trHeight w:val="223"/>
        </w:trPr>
        <w:tc>
          <w:tcPr>
            <w:tcW w:w="4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24,573</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23,666</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47,735</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50,924</w:t>
            </w:r>
          </w:p>
        </w:tc>
      </w:tr>
      <w:tr>
        <w:trPr>
          <w:trHeight w:val="223"/>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(24,573)</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(23,666)</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(47,735)</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(50,924)</w:t>
            </w:r>
          </w:p>
        </w:tc>
      </w:tr>
      <w:tr>
        <w:trPr>
          <w:trHeight w:val="223"/>
        </w:trPr>
        <w:tc>
          <w:tcPr>
            <w:tcW w:w="4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30"/>
        </w:trPr>
        <w:tc>
          <w:tcPr>
            <w:tcW w:w="49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129</w:t>
            </w:r>
          </w:p>
        </w:tc>
      </w:tr>
      <w:tr>
        <w:trPr>
          <w:trHeight w:val="263"/>
        </w:trPr>
        <w:tc>
          <w:tcPr>
            <w:tcW w:w="4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(24,461)</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(23,595)</w:t>
            </w:r>
          </w:p>
        </w:tc>
        <w:tc>
          <w:tcPr>
            <w:tcW w:w="1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(47,552)</w:t>
            </w:r>
          </w:p>
        </w:tc>
        <w:tc>
          <w:tcPr>
            <w:tcW w:w="1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(50,795)</w:t>
            </w:r>
          </w:p>
        </w:tc>
      </w:tr>
      <w:tr>
        <w:trPr>
          <w:trHeight w:val="210"/>
        </w:trPr>
        <w:tc>
          <w:tcPr>
            <w:tcW w:w="4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29"/>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4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6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(24,551)</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(23,597)</w:t>
            </w:r>
          </w:p>
        </w:tc>
        <w:tc>
          <w:tcPr>
            <w:tcW w:w="1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(48,131)</w:t>
            </w:r>
          </w:p>
        </w:tc>
        <w:tc>
          <w:tcPr>
            <w:tcW w:w="1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(50,798)</w:t>
            </w:r>
          </w:p>
        </w:tc>
      </w:tr>
      <w:tr>
        <w:trPr>
          <w:trHeight w:val="210"/>
        </w:trPr>
        <w:tc>
          <w:tcPr>
            <w:tcW w:w="4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6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tcPr>
          <w:p>
            <w:pPr>
              <w:spacing w:after="0"/>
              <w:rPr>
                <w:sz w:val="23"/>
                <w:szCs w:val="23"/>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0"/>
        </w:trPr>
        <w:tc>
          <w:tcPr>
            <w:tcW w:w="49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48,293,495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42,876,268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48,208,735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41,286,831</w:t>
            </w:r>
          </w:p>
        </w:tc>
      </w:tr>
      <w:tr>
        <w:trPr>
          <w:trHeight w:val="20"/>
        </w:trPr>
        <w:tc>
          <w:tcPr>
            <w:tcW w:w="4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For the Three Month Period</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197"/>
        </w:trPr>
        <w:tc>
          <w:tcPr>
            <w:tcW w:w="3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3800" w:type="dxa"/>
            <w:vAlign w:val="bottom"/>
          </w:tcPr>
          <w:p>
            <w:pPr>
              <w:spacing w:after="0"/>
              <w:rPr>
                <w:sz w:val="18"/>
                <w:szCs w:val="18"/>
                <w:color w:val="auto"/>
              </w:rPr>
            </w:pPr>
          </w:p>
        </w:tc>
        <w:tc>
          <w:tcPr>
            <w:tcW w:w="2280" w:type="dxa"/>
            <w:vAlign w:val="bottom"/>
            <w:gridSpan w:val="7"/>
          </w:tcPr>
          <w:p>
            <w:pPr>
              <w:ind w:left="5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0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0"/>
        </w:trPr>
        <w:tc>
          <w:tcPr>
            <w:tcW w:w="38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7"/>
                <w:szCs w:val="17"/>
                <w:color w:val="auto"/>
              </w:rPr>
            </w:pPr>
          </w:p>
        </w:tc>
        <w:tc>
          <w:tcPr>
            <w:tcW w:w="128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15"/>
        </w:trPr>
        <w:tc>
          <w:tcPr>
            <w:tcW w:w="380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0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26"/>
        </w:trPr>
        <w:tc>
          <w:tcPr>
            <w:tcW w:w="3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48,132,937</w:t>
            </w: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802,170</w:t>
            </w: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(908)</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(654,519)</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146,791</w:t>
            </w:r>
          </w:p>
        </w:tc>
        <w:tc>
          <w:tcPr>
            <w:tcW w:w="100" w:type="dxa"/>
            <w:vAlign w:val="bottom"/>
            <w:tcBorders>
              <w:top w:val="single" w:sz="8" w:color="auto"/>
            </w:tcBorders>
            <w:shd w:val="clear" w:color="auto" w:fill="CFF0FC"/>
          </w:tcPr>
          <w:p>
            <w:pPr>
              <w:spacing w:after="0"/>
              <w:rPr>
                <w:sz w:val="19"/>
                <w:szCs w:val="19"/>
                <w:color w:val="auto"/>
              </w:rPr>
            </w:pPr>
          </w:p>
        </w:tc>
      </w:tr>
      <w:tr>
        <w:trPr>
          <w:trHeight w:val="211"/>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 Employee Stock</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Purchase Plan (ESPP)</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134,888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0"/>
                <w:szCs w:val="20"/>
                <w:color w:val="auto"/>
              </w:rPr>
            </w:pPr>
          </w:p>
        </w:tc>
      </w:tr>
      <w:tr>
        <w:trPr>
          <w:trHeight w:val="211"/>
        </w:trPr>
        <w:tc>
          <w:tcPr>
            <w:tcW w:w="3800" w:type="dxa"/>
            <w:vAlign w:val="bottom"/>
            <w:shd w:val="clear" w:color="auto" w:fill="CEF1FE"/>
          </w:tcPr>
          <w:p>
            <w:pPr>
              <w:spacing w:after="0"/>
              <w:rPr>
                <w:sz w:val="20"/>
                <w:szCs w:val="20"/>
                <w:color w:val="auto"/>
              </w:rPr>
            </w:pPr>
            <w:r>
              <w:rPr>
                <w:rFonts w:ascii="Times New Roman" w:cs="Times New Roman" w:eastAsia="Times New Roman" w:hAnsi="Times New Roman"/>
                <w:sz w:val="18"/>
                <w:szCs w:val="18"/>
                <w:color w:val="auto"/>
              </w:rPr>
              <w:t>Issuance of common stock for settlement of</w:t>
            </w:r>
          </w:p>
        </w:tc>
        <w:tc>
          <w:tcPr>
            <w:tcW w:w="960" w:type="dxa"/>
            <w:vAlign w:val="bottom"/>
            <w:shd w:val="clear" w:color="auto" w:fill="CEF1FE"/>
          </w:tcPr>
          <w:p>
            <w:pPr>
              <w:spacing w:after="0"/>
              <w:rPr>
                <w:sz w:val="18"/>
                <w:szCs w:val="18"/>
                <w:color w:val="auto"/>
              </w:rPr>
            </w:pPr>
          </w:p>
        </w:tc>
        <w:tc>
          <w:tcPr>
            <w:tcW w:w="120" w:type="dxa"/>
            <w:vAlign w:val="bottom"/>
            <w:shd w:val="clear" w:color="auto" w:fill="CEF1FE"/>
          </w:tcPr>
          <w:p>
            <w:pPr>
              <w:spacing w:after="0"/>
              <w:rPr>
                <w:sz w:val="18"/>
                <w:szCs w:val="18"/>
                <w:color w:val="auto"/>
              </w:rPr>
            </w:pPr>
          </w:p>
        </w:tc>
        <w:tc>
          <w:tcPr>
            <w:tcW w:w="100" w:type="dxa"/>
            <w:vAlign w:val="bottom"/>
            <w:shd w:val="clear" w:color="auto" w:fill="CEF1FE"/>
          </w:tcPr>
          <w:p>
            <w:pPr>
              <w:spacing w:after="0"/>
              <w:rPr>
                <w:sz w:val="18"/>
                <w:szCs w:val="18"/>
                <w:color w:val="auto"/>
              </w:rPr>
            </w:pPr>
          </w:p>
        </w:tc>
        <w:tc>
          <w:tcPr>
            <w:tcW w:w="120" w:type="dxa"/>
            <w:vAlign w:val="bottom"/>
            <w:shd w:val="clear" w:color="auto" w:fill="CEF1FE"/>
          </w:tcPr>
          <w:p>
            <w:pPr>
              <w:spacing w:after="0"/>
              <w:rPr>
                <w:sz w:val="18"/>
                <w:szCs w:val="18"/>
                <w:color w:val="auto"/>
              </w:rPr>
            </w:pPr>
          </w:p>
        </w:tc>
        <w:tc>
          <w:tcPr>
            <w:tcW w:w="760" w:type="dxa"/>
            <w:vAlign w:val="bottom"/>
            <w:shd w:val="clear" w:color="auto" w:fill="CEF1FE"/>
          </w:tcPr>
          <w:p>
            <w:pPr>
              <w:spacing w:after="0"/>
              <w:rPr>
                <w:sz w:val="18"/>
                <w:szCs w:val="18"/>
                <w:color w:val="auto"/>
              </w:rPr>
            </w:pPr>
          </w:p>
        </w:tc>
        <w:tc>
          <w:tcPr>
            <w:tcW w:w="120" w:type="dxa"/>
            <w:vAlign w:val="bottom"/>
            <w:shd w:val="clear" w:color="auto" w:fill="CEF1FE"/>
          </w:tcPr>
          <w:p>
            <w:pPr>
              <w:spacing w:after="0"/>
              <w:rPr>
                <w:sz w:val="18"/>
                <w:szCs w:val="18"/>
                <w:color w:val="auto"/>
              </w:rPr>
            </w:pPr>
          </w:p>
        </w:tc>
        <w:tc>
          <w:tcPr>
            <w:tcW w:w="100" w:type="dxa"/>
            <w:vAlign w:val="bottom"/>
            <w:shd w:val="clear" w:color="auto" w:fill="CEF1FE"/>
          </w:tcPr>
          <w:p>
            <w:pPr>
              <w:spacing w:after="0"/>
              <w:rPr>
                <w:sz w:val="18"/>
                <w:szCs w:val="18"/>
                <w:color w:val="auto"/>
              </w:rPr>
            </w:pPr>
          </w:p>
        </w:tc>
        <w:tc>
          <w:tcPr>
            <w:tcW w:w="100" w:type="dxa"/>
            <w:vAlign w:val="bottom"/>
            <w:shd w:val="clear" w:color="auto" w:fill="CEF1FE"/>
          </w:tcPr>
          <w:p>
            <w:pPr>
              <w:spacing w:after="0"/>
              <w:rPr>
                <w:sz w:val="18"/>
                <w:szCs w:val="18"/>
                <w:color w:val="auto"/>
              </w:rPr>
            </w:pPr>
          </w:p>
        </w:tc>
        <w:tc>
          <w:tcPr>
            <w:tcW w:w="840" w:type="dxa"/>
            <w:vAlign w:val="bottom"/>
            <w:shd w:val="clear" w:color="auto" w:fill="CEF1FE"/>
          </w:tcPr>
          <w:p>
            <w:pPr>
              <w:spacing w:after="0"/>
              <w:rPr>
                <w:sz w:val="18"/>
                <w:szCs w:val="18"/>
                <w:color w:val="auto"/>
              </w:rPr>
            </w:pPr>
          </w:p>
        </w:tc>
        <w:tc>
          <w:tcPr>
            <w:tcW w:w="120" w:type="dxa"/>
            <w:vAlign w:val="bottom"/>
            <w:shd w:val="clear" w:color="auto" w:fill="CEF1FE"/>
          </w:tcPr>
          <w:p>
            <w:pPr>
              <w:spacing w:after="0"/>
              <w:rPr>
                <w:sz w:val="18"/>
                <w:szCs w:val="18"/>
                <w:color w:val="auto"/>
              </w:rPr>
            </w:pPr>
          </w:p>
        </w:tc>
        <w:tc>
          <w:tcPr>
            <w:tcW w:w="100" w:type="dxa"/>
            <w:vAlign w:val="bottom"/>
            <w:shd w:val="clear" w:color="auto" w:fill="CEF1FE"/>
          </w:tcPr>
          <w:p>
            <w:pPr>
              <w:spacing w:after="0"/>
              <w:rPr>
                <w:sz w:val="18"/>
                <w:szCs w:val="18"/>
                <w:color w:val="auto"/>
              </w:rPr>
            </w:pPr>
          </w:p>
        </w:tc>
        <w:tc>
          <w:tcPr>
            <w:tcW w:w="140" w:type="dxa"/>
            <w:vAlign w:val="bottom"/>
            <w:shd w:val="clear" w:color="auto" w:fill="CEF1FE"/>
          </w:tcPr>
          <w:p>
            <w:pPr>
              <w:spacing w:after="0"/>
              <w:rPr>
                <w:sz w:val="18"/>
                <w:szCs w:val="18"/>
                <w:color w:val="auto"/>
              </w:rPr>
            </w:pPr>
          </w:p>
        </w:tc>
        <w:tc>
          <w:tcPr>
            <w:tcW w:w="1120" w:type="dxa"/>
            <w:vAlign w:val="bottom"/>
            <w:shd w:val="clear" w:color="auto" w:fill="CEF1FE"/>
          </w:tcPr>
          <w:p>
            <w:pPr>
              <w:spacing w:after="0"/>
              <w:rPr>
                <w:sz w:val="18"/>
                <w:szCs w:val="18"/>
                <w:color w:val="auto"/>
              </w:rPr>
            </w:pPr>
          </w:p>
        </w:tc>
        <w:tc>
          <w:tcPr>
            <w:tcW w:w="100" w:type="dxa"/>
            <w:vAlign w:val="bottom"/>
            <w:shd w:val="clear" w:color="auto" w:fill="CEF1FE"/>
          </w:tcPr>
          <w:p>
            <w:pPr>
              <w:spacing w:after="0"/>
              <w:rPr>
                <w:sz w:val="18"/>
                <w:szCs w:val="18"/>
                <w:color w:val="auto"/>
              </w:rPr>
            </w:pPr>
          </w:p>
        </w:tc>
        <w:tc>
          <w:tcPr>
            <w:tcW w:w="120" w:type="dxa"/>
            <w:vAlign w:val="bottom"/>
            <w:shd w:val="clear" w:color="auto" w:fill="CEF1FE"/>
          </w:tcPr>
          <w:p>
            <w:pPr>
              <w:spacing w:after="0"/>
              <w:rPr>
                <w:sz w:val="18"/>
                <w:szCs w:val="18"/>
                <w:color w:val="auto"/>
              </w:rPr>
            </w:pPr>
          </w:p>
        </w:tc>
        <w:tc>
          <w:tcPr>
            <w:tcW w:w="180" w:type="dxa"/>
            <w:vAlign w:val="bottom"/>
            <w:shd w:val="clear" w:color="auto" w:fill="CEF1FE"/>
          </w:tcPr>
          <w:p>
            <w:pPr>
              <w:spacing w:after="0"/>
              <w:rPr>
                <w:sz w:val="18"/>
                <w:szCs w:val="18"/>
                <w:color w:val="auto"/>
              </w:rPr>
            </w:pPr>
          </w:p>
        </w:tc>
        <w:tc>
          <w:tcPr>
            <w:tcW w:w="880" w:type="dxa"/>
            <w:vAlign w:val="bottom"/>
            <w:shd w:val="clear" w:color="auto" w:fill="CEF1FE"/>
          </w:tcPr>
          <w:p>
            <w:pPr>
              <w:spacing w:after="0"/>
              <w:rPr>
                <w:sz w:val="18"/>
                <w:szCs w:val="18"/>
                <w:color w:val="auto"/>
              </w:rPr>
            </w:pPr>
          </w:p>
        </w:tc>
        <w:tc>
          <w:tcPr>
            <w:tcW w:w="100" w:type="dxa"/>
            <w:vAlign w:val="bottom"/>
            <w:shd w:val="clear" w:color="auto" w:fill="CEF1FE"/>
          </w:tcPr>
          <w:p>
            <w:pPr>
              <w:spacing w:after="0"/>
              <w:rPr>
                <w:sz w:val="18"/>
                <w:szCs w:val="18"/>
                <w:color w:val="auto"/>
              </w:rPr>
            </w:pPr>
          </w:p>
        </w:tc>
        <w:tc>
          <w:tcPr>
            <w:tcW w:w="120" w:type="dxa"/>
            <w:vAlign w:val="bottom"/>
            <w:shd w:val="clear" w:color="auto" w:fill="CEF1FE"/>
          </w:tcPr>
          <w:p>
            <w:pPr>
              <w:spacing w:after="0"/>
              <w:rPr>
                <w:sz w:val="18"/>
                <w:szCs w:val="18"/>
                <w:color w:val="auto"/>
              </w:rPr>
            </w:pPr>
          </w:p>
        </w:tc>
        <w:tc>
          <w:tcPr>
            <w:tcW w:w="200" w:type="dxa"/>
            <w:vAlign w:val="bottom"/>
            <w:shd w:val="clear" w:color="auto" w:fill="CEF1FE"/>
          </w:tcPr>
          <w:p>
            <w:pPr>
              <w:spacing w:after="0"/>
              <w:rPr>
                <w:sz w:val="18"/>
                <w:szCs w:val="18"/>
                <w:color w:val="auto"/>
              </w:rPr>
            </w:pPr>
          </w:p>
        </w:tc>
        <w:tc>
          <w:tcPr>
            <w:tcW w:w="940" w:type="dxa"/>
            <w:vAlign w:val="bottom"/>
            <w:shd w:val="clear" w:color="auto" w:fill="CEF1FE"/>
          </w:tcPr>
          <w:p>
            <w:pPr>
              <w:spacing w:after="0"/>
              <w:rPr>
                <w:sz w:val="18"/>
                <w:szCs w:val="18"/>
                <w:color w:val="auto"/>
              </w:rPr>
            </w:pPr>
          </w:p>
        </w:tc>
        <w:tc>
          <w:tcPr>
            <w:tcW w:w="100" w:type="dxa"/>
            <w:vAlign w:val="bottom"/>
            <w:shd w:val="clear" w:color="auto" w:fill="CEF1FE"/>
          </w:tcPr>
          <w:p>
            <w:pPr>
              <w:spacing w:after="0"/>
              <w:rPr>
                <w:sz w:val="18"/>
                <w:szCs w:val="18"/>
                <w:color w:val="auto"/>
              </w:rPr>
            </w:pPr>
          </w:p>
        </w:tc>
      </w:tr>
      <w:tr>
        <w:trPr>
          <w:trHeight w:val="234"/>
        </w:trPr>
        <w:tc>
          <w:tcPr>
            <w:tcW w:w="3800" w:type="dxa"/>
            <w:vAlign w:val="bottom"/>
            <w:shd w:val="clear" w:color="auto" w:fill="CEF1FE"/>
          </w:tcPr>
          <w:p>
            <w:pPr>
              <w:spacing w:after="0"/>
              <w:rPr>
                <w:sz w:val="20"/>
                <w:szCs w:val="20"/>
                <w:color w:val="auto"/>
              </w:rPr>
            </w:pPr>
            <w:r>
              <w:rPr>
                <w:rFonts w:ascii="Times New Roman" w:cs="Times New Roman" w:eastAsia="Times New Roman" w:hAnsi="Times New Roman"/>
                <w:sz w:val="18"/>
                <w:szCs w:val="18"/>
                <w:color w:val="auto"/>
              </w:rPr>
              <w:t>restricted stock units (RSUs)</w:t>
            </w:r>
          </w:p>
        </w:tc>
        <w:tc>
          <w:tcPr>
            <w:tcW w:w="960" w:type="dxa"/>
            <w:vAlign w:val="bottom"/>
            <w:shd w:val="clear" w:color="auto" w:fill="CEF1FE"/>
          </w:tcPr>
          <w:p>
            <w:pPr>
              <w:jc w:val="right"/>
              <w:spacing w:after="0"/>
              <w:rPr>
                <w:sz w:val="20"/>
                <w:szCs w:val="20"/>
                <w:color w:val="auto"/>
              </w:rPr>
            </w:pPr>
            <w:r>
              <w:rPr>
                <w:rFonts w:ascii="Times New Roman" w:cs="Times New Roman" w:eastAsia="Times New Roman" w:hAnsi="Times New Roman"/>
                <w:sz w:val="18"/>
                <w:szCs w:val="18"/>
                <w:color w:val="auto"/>
              </w:rPr>
              <w:t>94,911</w:t>
            </w:r>
          </w:p>
        </w:tc>
        <w:tc>
          <w:tcPr>
            <w:tcW w:w="120" w:type="dxa"/>
            <w:vAlign w:val="bottom"/>
            <w:shd w:val="clear" w:color="auto" w:fill="CEF1FE"/>
          </w:tcPr>
          <w:p>
            <w:pPr>
              <w:spacing w:after="0"/>
              <w:rPr>
                <w:sz w:val="20"/>
                <w:szCs w:val="20"/>
                <w:color w:val="auto"/>
              </w:rPr>
            </w:pPr>
          </w:p>
        </w:tc>
        <w:tc>
          <w:tcPr>
            <w:tcW w:w="100" w:type="dxa"/>
            <w:vAlign w:val="bottom"/>
            <w:shd w:val="clear" w:color="auto" w:fill="CEF1FE"/>
          </w:tcPr>
          <w:p>
            <w:pPr>
              <w:spacing w:after="0"/>
              <w:rPr>
                <w:sz w:val="20"/>
                <w:szCs w:val="20"/>
                <w:color w:val="auto"/>
              </w:rPr>
            </w:pPr>
          </w:p>
        </w:tc>
        <w:tc>
          <w:tcPr>
            <w:tcW w:w="120" w:type="dxa"/>
            <w:vAlign w:val="bottom"/>
            <w:shd w:val="clear" w:color="auto" w:fill="CEF1FE"/>
          </w:tcPr>
          <w:p>
            <w:pPr>
              <w:spacing w:after="0"/>
              <w:rPr>
                <w:sz w:val="20"/>
                <w:szCs w:val="20"/>
                <w:color w:val="auto"/>
              </w:rPr>
            </w:pPr>
          </w:p>
        </w:tc>
        <w:tc>
          <w:tcPr>
            <w:tcW w:w="980" w:type="dxa"/>
            <w:vAlign w:val="bottom"/>
            <w:gridSpan w:val="3"/>
            <w:shd w:val="clear" w:color="auto" w:fill="CEF1F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EF1FE"/>
          </w:tcPr>
          <w:p>
            <w:pPr>
              <w:spacing w:after="0"/>
              <w:rPr>
                <w:sz w:val="20"/>
                <w:szCs w:val="20"/>
                <w:color w:val="auto"/>
              </w:rPr>
            </w:pPr>
          </w:p>
        </w:tc>
        <w:tc>
          <w:tcPr>
            <w:tcW w:w="1060" w:type="dxa"/>
            <w:vAlign w:val="bottom"/>
            <w:gridSpan w:val="3"/>
            <w:shd w:val="clear" w:color="auto" w:fill="CEF1F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EF1FE"/>
          </w:tcPr>
          <w:p>
            <w:pPr>
              <w:spacing w:after="0"/>
              <w:rPr>
                <w:sz w:val="20"/>
                <w:szCs w:val="20"/>
                <w:color w:val="auto"/>
              </w:rPr>
            </w:pPr>
          </w:p>
        </w:tc>
        <w:tc>
          <w:tcPr>
            <w:tcW w:w="1220" w:type="dxa"/>
            <w:vAlign w:val="bottom"/>
            <w:gridSpan w:val="2"/>
            <w:shd w:val="clear" w:color="auto" w:fill="CEF1F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EF1FE"/>
          </w:tcPr>
          <w:p>
            <w:pPr>
              <w:spacing w:after="0"/>
              <w:rPr>
                <w:sz w:val="20"/>
                <w:szCs w:val="20"/>
                <w:color w:val="auto"/>
              </w:rPr>
            </w:pPr>
          </w:p>
        </w:tc>
        <w:tc>
          <w:tcPr>
            <w:tcW w:w="180" w:type="dxa"/>
            <w:vAlign w:val="bottom"/>
            <w:shd w:val="clear" w:color="auto" w:fill="CEF1FE"/>
          </w:tcPr>
          <w:p>
            <w:pPr>
              <w:spacing w:after="0"/>
              <w:rPr>
                <w:sz w:val="20"/>
                <w:szCs w:val="20"/>
                <w:color w:val="auto"/>
              </w:rPr>
            </w:pPr>
          </w:p>
        </w:tc>
        <w:tc>
          <w:tcPr>
            <w:tcW w:w="1100" w:type="dxa"/>
            <w:vAlign w:val="bottom"/>
            <w:gridSpan w:val="3"/>
            <w:shd w:val="clear" w:color="auto" w:fill="CEF1F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EF1FE"/>
          </w:tcPr>
          <w:p>
            <w:pPr>
              <w:spacing w:after="0"/>
              <w:rPr>
                <w:sz w:val="20"/>
                <w:szCs w:val="20"/>
                <w:color w:val="auto"/>
              </w:rPr>
            </w:pPr>
          </w:p>
        </w:tc>
        <w:tc>
          <w:tcPr>
            <w:tcW w:w="1040" w:type="dxa"/>
            <w:vAlign w:val="bottom"/>
            <w:gridSpan w:val="2"/>
            <w:shd w:val="clear" w:color="auto" w:fill="CEF1F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marketable debt securities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3800" w:type="dxa"/>
            <w:vAlign w:val="bottom"/>
            <w:shd w:val="clear" w:color="auto" w:fill="CEF1FE"/>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shd w:val="clear" w:color="auto" w:fill="CEF1F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EF1FE"/>
          </w:tcPr>
          <w:p>
            <w:pPr>
              <w:spacing w:after="0"/>
              <w:rPr>
                <w:sz w:val="19"/>
                <w:szCs w:val="19"/>
                <w:color w:val="auto"/>
              </w:rPr>
            </w:pPr>
          </w:p>
        </w:tc>
        <w:tc>
          <w:tcPr>
            <w:tcW w:w="120" w:type="dxa"/>
            <w:vAlign w:val="bottom"/>
            <w:shd w:val="clear" w:color="auto" w:fill="CEF1FE"/>
          </w:tcPr>
          <w:p>
            <w:pPr>
              <w:spacing w:after="0"/>
              <w:rPr>
                <w:sz w:val="19"/>
                <w:szCs w:val="19"/>
                <w:color w:val="auto"/>
              </w:rPr>
            </w:pPr>
          </w:p>
        </w:tc>
        <w:tc>
          <w:tcPr>
            <w:tcW w:w="980" w:type="dxa"/>
            <w:vAlign w:val="bottom"/>
            <w:gridSpan w:val="3"/>
            <w:shd w:val="clear" w:color="auto" w:fill="CEF1F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EF1FE"/>
          </w:tcPr>
          <w:p>
            <w:pPr>
              <w:spacing w:after="0"/>
              <w:rPr>
                <w:sz w:val="19"/>
                <w:szCs w:val="19"/>
                <w:color w:val="auto"/>
              </w:rPr>
            </w:pPr>
          </w:p>
        </w:tc>
        <w:tc>
          <w:tcPr>
            <w:tcW w:w="840" w:type="dxa"/>
            <w:vAlign w:val="bottom"/>
            <w:shd w:val="clear" w:color="auto" w:fill="CEF1FE"/>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20" w:type="dxa"/>
            <w:vAlign w:val="bottom"/>
            <w:shd w:val="clear" w:color="auto" w:fill="CEF1FE"/>
          </w:tcPr>
          <w:p>
            <w:pPr>
              <w:spacing w:after="0"/>
              <w:rPr>
                <w:sz w:val="19"/>
                <w:szCs w:val="19"/>
                <w:color w:val="auto"/>
              </w:rPr>
            </w:pPr>
          </w:p>
        </w:tc>
        <w:tc>
          <w:tcPr>
            <w:tcW w:w="100" w:type="dxa"/>
            <w:vAlign w:val="bottom"/>
            <w:shd w:val="clear" w:color="auto" w:fill="CEF1FE"/>
          </w:tcPr>
          <w:p>
            <w:pPr>
              <w:spacing w:after="0"/>
              <w:rPr>
                <w:sz w:val="19"/>
                <w:szCs w:val="19"/>
                <w:color w:val="auto"/>
              </w:rPr>
            </w:pPr>
          </w:p>
        </w:tc>
        <w:tc>
          <w:tcPr>
            <w:tcW w:w="140" w:type="dxa"/>
            <w:vAlign w:val="bottom"/>
            <w:shd w:val="clear" w:color="auto" w:fill="CEF1FE"/>
          </w:tcPr>
          <w:p>
            <w:pPr>
              <w:spacing w:after="0"/>
              <w:rPr>
                <w:sz w:val="19"/>
                <w:szCs w:val="19"/>
                <w:color w:val="auto"/>
              </w:rPr>
            </w:pPr>
          </w:p>
        </w:tc>
        <w:tc>
          <w:tcPr>
            <w:tcW w:w="1220" w:type="dxa"/>
            <w:vAlign w:val="bottom"/>
            <w:gridSpan w:val="2"/>
            <w:shd w:val="clear" w:color="auto" w:fill="CEF1F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EF1FE"/>
          </w:tcPr>
          <w:p>
            <w:pPr>
              <w:spacing w:after="0"/>
              <w:rPr>
                <w:sz w:val="19"/>
                <w:szCs w:val="19"/>
                <w:color w:val="auto"/>
              </w:rPr>
            </w:pPr>
          </w:p>
        </w:tc>
        <w:tc>
          <w:tcPr>
            <w:tcW w:w="180" w:type="dxa"/>
            <w:vAlign w:val="bottom"/>
            <w:shd w:val="clear" w:color="auto" w:fill="CEF1FE"/>
          </w:tcPr>
          <w:p>
            <w:pPr>
              <w:spacing w:after="0"/>
              <w:rPr>
                <w:sz w:val="19"/>
                <w:szCs w:val="19"/>
                <w:color w:val="auto"/>
              </w:rPr>
            </w:pPr>
          </w:p>
        </w:tc>
        <w:tc>
          <w:tcPr>
            <w:tcW w:w="1100" w:type="dxa"/>
            <w:vAlign w:val="bottom"/>
            <w:gridSpan w:val="3"/>
            <w:shd w:val="clear" w:color="auto" w:fill="CEF1F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EF1FE"/>
          </w:tcPr>
          <w:p>
            <w:pPr>
              <w:spacing w:after="0"/>
              <w:rPr>
                <w:sz w:val="19"/>
                <w:szCs w:val="19"/>
                <w:color w:val="auto"/>
              </w:rPr>
            </w:pPr>
          </w:p>
        </w:tc>
        <w:tc>
          <w:tcPr>
            <w:tcW w:w="940" w:type="dxa"/>
            <w:vAlign w:val="bottom"/>
            <w:shd w:val="clear" w:color="auto" w:fill="CEF1FE"/>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shd w:val="clear" w:color="auto" w:fill="CEF1FE"/>
          </w:tcPr>
          <w:p>
            <w:pPr>
              <w:spacing w:after="0"/>
              <w:rPr>
                <w:sz w:val="19"/>
                <w:szCs w:val="19"/>
                <w:color w:val="auto"/>
              </w:rPr>
            </w:pP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(24,461)</w:t>
            </w:r>
          </w:p>
        </w:tc>
      </w:tr>
      <w:tr>
        <w:trPr>
          <w:trHeight w:val="223"/>
        </w:trPr>
        <w:tc>
          <w:tcPr>
            <w:tcW w:w="3800" w:type="dxa"/>
            <w:vAlign w:val="bottom"/>
            <w:tcBorders>
              <w:top w:val="single" w:sz="8" w:color="CEF1FE"/>
              <w:bottom w:val="single" w:sz="8" w:color="CEF1FE"/>
            </w:tcBorders>
            <w:shd w:val="clear" w:color="auto" w:fill="CEF1FE"/>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960" w:type="dxa"/>
            <w:vAlign w:val="bottom"/>
            <w:tcBorders>
              <w:top w:val="single" w:sz="8" w:color="auto"/>
              <w:bottom w:val="single" w:sz="8" w:color="auto"/>
            </w:tcBorders>
            <w:shd w:val="clear" w:color="auto" w:fill="CEF1FE"/>
          </w:tcPr>
          <w:p>
            <w:pPr>
              <w:jc w:val="right"/>
              <w:spacing w:after="0"/>
              <w:rPr>
                <w:sz w:val="20"/>
                <w:szCs w:val="20"/>
                <w:color w:val="auto"/>
              </w:rPr>
            </w:pPr>
            <w:r>
              <w:rPr>
                <w:rFonts w:ascii="Times New Roman" w:cs="Times New Roman" w:eastAsia="Times New Roman" w:hAnsi="Times New Roman"/>
                <w:sz w:val="18"/>
                <w:szCs w:val="18"/>
                <w:b w:val="1"/>
                <w:bCs w:val="1"/>
                <w:color w:val="auto"/>
              </w:rPr>
              <w:t>48,362,736</w:t>
            </w:r>
          </w:p>
        </w:tc>
        <w:tc>
          <w:tcPr>
            <w:tcW w:w="120" w:type="dxa"/>
            <w:vAlign w:val="bottom"/>
            <w:tcBorders>
              <w:top w:val="single" w:sz="8" w:color="auto"/>
              <w:bottom w:val="single" w:sz="8" w:color="auto"/>
            </w:tcBorders>
            <w:shd w:val="clear" w:color="auto" w:fill="CEF1FE"/>
          </w:tcPr>
          <w:p>
            <w:pPr>
              <w:spacing w:after="0"/>
              <w:rPr>
                <w:sz w:val="19"/>
                <w:szCs w:val="19"/>
                <w:color w:val="auto"/>
              </w:rPr>
            </w:pPr>
          </w:p>
        </w:tc>
        <w:tc>
          <w:tcPr>
            <w:tcW w:w="100" w:type="dxa"/>
            <w:vAlign w:val="bottom"/>
            <w:tcBorders>
              <w:top w:val="single" w:sz="8" w:color="CEF1FE"/>
              <w:bottom w:val="single" w:sz="8" w:color="CEF1FE"/>
            </w:tcBorders>
            <w:shd w:val="clear" w:color="auto" w:fill="CEF1FE"/>
          </w:tcPr>
          <w:p>
            <w:pPr>
              <w:spacing w:after="0"/>
              <w:rPr>
                <w:sz w:val="19"/>
                <w:szCs w:val="19"/>
                <w:color w:val="auto"/>
              </w:rPr>
            </w:pPr>
          </w:p>
        </w:tc>
        <w:tc>
          <w:tcPr>
            <w:tcW w:w="120" w:type="dxa"/>
            <w:vAlign w:val="bottom"/>
            <w:tcBorders>
              <w:top w:val="single" w:sz="8" w:color="auto"/>
              <w:bottom w:val="single" w:sz="8" w:color="auto"/>
            </w:tcBorders>
            <w:shd w:val="clear" w:color="auto" w:fill="CEF1FE"/>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EF1FE"/>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20" w:type="dxa"/>
            <w:vAlign w:val="bottom"/>
            <w:tcBorders>
              <w:top w:val="single" w:sz="8" w:color="auto"/>
              <w:bottom w:val="single" w:sz="8" w:color="auto"/>
            </w:tcBorders>
            <w:shd w:val="clear" w:color="auto" w:fill="CEF1FE"/>
          </w:tcPr>
          <w:p>
            <w:pPr>
              <w:spacing w:after="0"/>
              <w:rPr>
                <w:sz w:val="19"/>
                <w:szCs w:val="19"/>
                <w:color w:val="auto"/>
              </w:rPr>
            </w:pPr>
          </w:p>
        </w:tc>
        <w:tc>
          <w:tcPr>
            <w:tcW w:w="100" w:type="dxa"/>
            <w:vAlign w:val="bottom"/>
            <w:tcBorders>
              <w:top w:val="single" w:sz="8" w:color="CEF1FE"/>
              <w:bottom w:val="single" w:sz="8" w:color="CEF1FE"/>
            </w:tcBorders>
            <w:shd w:val="clear" w:color="auto" w:fill="CEF1FE"/>
          </w:tcPr>
          <w:p>
            <w:pPr>
              <w:spacing w:after="0"/>
              <w:rPr>
                <w:sz w:val="19"/>
                <w:szCs w:val="19"/>
                <w:color w:val="auto"/>
              </w:rPr>
            </w:pPr>
          </w:p>
        </w:tc>
        <w:tc>
          <w:tcPr>
            <w:tcW w:w="100" w:type="dxa"/>
            <w:vAlign w:val="bottom"/>
            <w:tcBorders>
              <w:top w:val="single" w:sz="8" w:color="auto"/>
              <w:bottom w:val="single" w:sz="8" w:color="auto"/>
            </w:tcBorders>
            <w:shd w:val="clear" w:color="auto" w:fill="CEF1FE"/>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EF1FE"/>
          </w:tcPr>
          <w:p>
            <w:pPr>
              <w:jc w:val="right"/>
              <w:spacing w:after="0"/>
              <w:rPr>
                <w:sz w:val="20"/>
                <w:szCs w:val="20"/>
                <w:color w:val="auto"/>
              </w:rPr>
            </w:pPr>
            <w:r>
              <w:rPr>
                <w:rFonts w:ascii="Times New Roman" w:cs="Times New Roman" w:eastAsia="Times New Roman" w:hAnsi="Times New Roman"/>
                <w:sz w:val="18"/>
                <w:szCs w:val="18"/>
                <w:b w:val="1"/>
                <w:bCs w:val="1"/>
                <w:color w:val="auto"/>
              </w:rPr>
              <w:t>803,910</w:t>
            </w:r>
          </w:p>
        </w:tc>
        <w:tc>
          <w:tcPr>
            <w:tcW w:w="120" w:type="dxa"/>
            <w:vAlign w:val="bottom"/>
            <w:tcBorders>
              <w:top w:val="single" w:sz="8" w:color="auto"/>
              <w:bottom w:val="single" w:sz="8" w:color="auto"/>
            </w:tcBorders>
            <w:shd w:val="clear" w:color="auto" w:fill="CEF1FE"/>
          </w:tcPr>
          <w:p>
            <w:pPr>
              <w:spacing w:after="0"/>
              <w:rPr>
                <w:sz w:val="19"/>
                <w:szCs w:val="19"/>
                <w:color w:val="auto"/>
              </w:rPr>
            </w:pPr>
          </w:p>
        </w:tc>
        <w:tc>
          <w:tcPr>
            <w:tcW w:w="100" w:type="dxa"/>
            <w:vAlign w:val="bottom"/>
            <w:tcBorders>
              <w:top w:val="single" w:sz="8" w:color="CEF1FE"/>
              <w:bottom w:val="single" w:sz="8" w:color="CEF1FE"/>
            </w:tcBorders>
            <w:shd w:val="clear" w:color="auto" w:fill="CEF1FE"/>
          </w:tcPr>
          <w:p>
            <w:pPr>
              <w:spacing w:after="0"/>
              <w:rPr>
                <w:sz w:val="19"/>
                <w:szCs w:val="19"/>
                <w:color w:val="auto"/>
              </w:rPr>
            </w:pPr>
          </w:p>
        </w:tc>
        <w:tc>
          <w:tcPr>
            <w:tcW w:w="140" w:type="dxa"/>
            <w:vAlign w:val="bottom"/>
            <w:tcBorders>
              <w:top w:val="single" w:sz="8" w:color="auto"/>
              <w:bottom w:val="single" w:sz="8" w:color="auto"/>
            </w:tcBorders>
            <w:shd w:val="clear" w:color="auto" w:fill="CEF1FE"/>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gridSpan w:val="2"/>
            <w:shd w:val="clear" w:color="auto" w:fill="CEF1FE"/>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(998)</w:t>
            </w:r>
          </w:p>
        </w:tc>
        <w:tc>
          <w:tcPr>
            <w:tcW w:w="120" w:type="dxa"/>
            <w:vAlign w:val="bottom"/>
            <w:tcBorders>
              <w:top w:val="single" w:sz="8" w:color="CEF1FE"/>
              <w:bottom w:val="single" w:sz="8" w:color="CEF1FE"/>
            </w:tcBorders>
            <w:shd w:val="clear" w:color="auto" w:fill="CEF1FE"/>
          </w:tcPr>
          <w:p>
            <w:pPr>
              <w:spacing w:after="0"/>
              <w:rPr>
                <w:sz w:val="19"/>
                <w:szCs w:val="19"/>
                <w:color w:val="auto"/>
              </w:rPr>
            </w:pPr>
          </w:p>
        </w:tc>
        <w:tc>
          <w:tcPr>
            <w:tcW w:w="180" w:type="dxa"/>
            <w:vAlign w:val="bottom"/>
            <w:tcBorders>
              <w:top w:val="single" w:sz="8" w:color="auto"/>
              <w:bottom w:val="single" w:sz="8" w:color="auto"/>
            </w:tcBorders>
            <w:shd w:val="clear" w:color="auto" w:fill="CEF1FE"/>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gridSpan w:val="2"/>
            <w:shd w:val="clear" w:color="auto" w:fill="CEF1FE"/>
          </w:tcPr>
          <w:p>
            <w:pPr>
              <w:jc w:val="right"/>
              <w:spacing w:after="0"/>
              <w:rPr>
                <w:sz w:val="20"/>
                <w:szCs w:val="20"/>
                <w:color w:val="auto"/>
              </w:rPr>
            </w:pPr>
            <w:r>
              <w:rPr>
                <w:rFonts w:ascii="Times New Roman" w:cs="Times New Roman" w:eastAsia="Times New Roman" w:hAnsi="Times New Roman"/>
                <w:sz w:val="18"/>
                <w:szCs w:val="18"/>
                <w:b w:val="1"/>
                <w:bCs w:val="1"/>
                <w:color w:val="auto"/>
              </w:rPr>
              <w:t>(678,980)</w:t>
            </w:r>
          </w:p>
        </w:tc>
        <w:tc>
          <w:tcPr>
            <w:tcW w:w="120" w:type="dxa"/>
            <w:vAlign w:val="bottom"/>
            <w:tcBorders>
              <w:top w:val="single" w:sz="8" w:color="CEF1FE"/>
              <w:bottom w:val="single" w:sz="8" w:color="CEF1FE"/>
            </w:tcBorders>
            <w:shd w:val="clear" w:color="auto" w:fill="CEF1FE"/>
          </w:tcPr>
          <w:p>
            <w:pPr>
              <w:spacing w:after="0"/>
              <w:rPr>
                <w:sz w:val="19"/>
                <w:szCs w:val="19"/>
                <w:color w:val="auto"/>
              </w:rPr>
            </w:pPr>
          </w:p>
        </w:tc>
        <w:tc>
          <w:tcPr>
            <w:tcW w:w="200" w:type="dxa"/>
            <w:vAlign w:val="bottom"/>
            <w:tcBorders>
              <w:top w:val="single" w:sz="8" w:color="auto"/>
              <w:bottom w:val="single" w:sz="8" w:color="auto"/>
            </w:tcBorders>
            <w:shd w:val="clear" w:color="auto" w:fill="CEF1FE"/>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EF1FE"/>
          </w:tcPr>
          <w:p>
            <w:pPr>
              <w:jc w:val="right"/>
              <w:spacing w:after="0"/>
              <w:rPr>
                <w:sz w:val="20"/>
                <w:szCs w:val="20"/>
                <w:color w:val="auto"/>
              </w:rPr>
            </w:pPr>
            <w:r>
              <w:rPr>
                <w:rFonts w:ascii="Times New Roman" w:cs="Times New Roman" w:eastAsia="Times New Roman" w:hAnsi="Times New Roman"/>
                <w:sz w:val="18"/>
                <w:szCs w:val="18"/>
                <w:b w:val="1"/>
                <w:bCs w:val="1"/>
                <w:color w:val="auto"/>
              </w:rPr>
              <w:t>123,980</w:t>
            </w:r>
          </w:p>
        </w:tc>
        <w:tc>
          <w:tcPr>
            <w:tcW w:w="100" w:type="dxa"/>
            <w:vAlign w:val="bottom"/>
            <w:tcBorders>
              <w:top w:val="single" w:sz="8" w:color="auto"/>
              <w:bottom w:val="single" w:sz="8" w:color="auto"/>
            </w:tcBorders>
            <w:shd w:val="clear" w:color="auto" w:fill="CEF1FE"/>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397"/>
        </w:trPr>
        <w:tc>
          <w:tcPr>
            <w:tcW w:w="3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3800" w:type="dxa"/>
            <w:vAlign w:val="bottom"/>
          </w:tcPr>
          <w:p>
            <w:pPr>
              <w:spacing w:after="0"/>
              <w:rPr>
                <w:sz w:val="18"/>
                <w:szCs w:val="18"/>
                <w:color w:val="auto"/>
              </w:rPr>
            </w:pPr>
          </w:p>
        </w:tc>
        <w:tc>
          <w:tcPr>
            <w:tcW w:w="2280" w:type="dxa"/>
            <w:vAlign w:val="bottom"/>
            <w:gridSpan w:val="7"/>
          </w:tcPr>
          <w:p>
            <w:pPr>
              <w:ind w:left="5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0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0"/>
        </w:trPr>
        <w:tc>
          <w:tcPr>
            <w:tcW w:w="38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7"/>
                <w:szCs w:val="17"/>
                <w:color w:val="auto"/>
              </w:rPr>
            </w:pPr>
          </w:p>
        </w:tc>
        <w:tc>
          <w:tcPr>
            <w:tcW w:w="128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15"/>
        </w:trPr>
        <w:tc>
          <w:tcPr>
            <w:tcW w:w="380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0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26"/>
        </w:trPr>
        <w:tc>
          <w:tcPr>
            <w:tcW w:w="3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2021</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40,104,684</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776,248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(271)</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(528,773)</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247,244</w:t>
            </w:r>
          </w:p>
        </w:tc>
        <w:tc>
          <w:tcPr>
            <w:tcW w:w="100" w:type="dxa"/>
            <w:vAlign w:val="bottom"/>
            <w:tcBorders>
              <w:top w:val="single" w:sz="8" w:color="CFF0FC"/>
            </w:tcBorders>
            <w:shd w:val="clear" w:color="auto" w:fill="CFF0FC"/>
          </w:tcPr>
          <w:p>
            <w:pPr>
              <w:spacing w:after="0"/>
              <w:rPr>
                <w:sz w:val="19"/>
                <w:szCs w:val="19"/>
                <w:color w:val="auto"/>
              </w:rPr>
            </w:pPr>
          </w:p>
        </w:tc>
      </w:tr>
      <w:tr>
        <w:trPr>
          <w:trHeight w:val="211"/>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 at-the-market</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(ATM) equity offering program, net of issuance</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costs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1,458,043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100" w:type="dxa"/>
            <w:vAlign w:val="bottom"/>
          </w:tcPr>
          <w:p>
            <w:pPr>
              <w:spacing w:after="0"/>
              <w:rPr>
                <w:sz w:val="20"/>
                <w:szCs w:val="20"/>
                <w:color w:val="auto"/>
              </w:rPr>
            </w:pPr>
          </w:p>
        </w:tc>
      </w:tr>
      <w:tr>
        <w:trPr>
          <w:trHeight w:val="230"/>
        </w:trPr>
        <w:tc>
          <w:tcPr>
            <w:tcW w:w="3800" w:type="dxa"/>
            <w:vAlign w:val="bottom"/>
            <w:shd w:val="clear" w:color="auto" w:fill="CEF1FE"/>
          </w:tcPr>
          <w:p>
            <w:pPr>
              <w:spacing w:after="0"/>
              <w:rPr>
                <w:sz w:val="20"/>
                <w:szCs w:val="20"/>
                <w:color w:val="auto"/>
              </w:rPr>
            </w:pPr>
            <w:r>
              <w:rPr>
                <w:rFonts w:ascii="Times New Roman" w:cs="Times New Roman" w:eastAsia="Times New Roman" w:hAnsi="Times New Roman"/>
                <w:sz w:val="18"/>
                <w:szCs w:val="18"/>
                <w:color w:val="auto"/>
              </w:rPr>
              <w:t>Issuance of common stock under ESPP</w:t>
            </w:r>
          </w:p>
        </w:tc>
        <w:tc>
          <w:tcPr>
            <w:tcW w:w="960" w:type="dxa"/>
            <w:vAlign w:val="bottom"/>
            <w:shd w:val="clear" w:color="auto" w:fill="CEF1FE"/>
          </w:tcPr>
          <w:p>
            <w:pPr>
              <w:jc w:val="right"/>
              <w:spacing w:after="0"/>
              <w:rPr>
                <w:sz w:val="20"/>
                <w:szCs w:val="20"/>
                <w:color w:val="auto"/>
              </w:rPr>
            </w:pPr>
            <w:r>
              <w:rPr>
                <w:rFonts w:ascii="Times New Roman" w:cs="Times New Roman" w:eastAsia="Times New Roman" w:hAnsi="Times New Roman"/>
                <w:sz w:val="18"/>
                <w:szCs w:val="18"/>
                <w:color w:val="auto"/>
              </w:rPr>
              <w:t>42,803</w:t>
            </w:r>
          </w:p>
        </w:tc>
        <w:tc>
          <w:tcPr>
            <w:tcW w:w="120" w:type="dxa"/>
            <w:vAlign w:val="bottom"/>
            <w:shd w:val="clear" w:color="auto" w:fill="CEF1FE"/>
          </w:tcPr>
          <w:p>
            <w:pPr>
              <w:spacing w:after="0"/>
              <w:rPr>
                <w:sz w:val="19"/>
                <w:szCs w:val="19"/>
                <w:color w:val="auto"/>
              </w:rPr>
            </w:pPr>
          </w:p>
        </w:tc>
        <w:tc>
          <w:tcPr>
            <w:tcW w:w="100" w:type="dxa"/>
            <w:vAlign w:val="bottom"/>
            <w:shd w:val="clear" w:color="auto" w:fill="CEF1FE"/>
          </w:tcPr>
          <w:p>
            <w:pPr>
              <w:spacing w:after="0"/>
              <w:rPr>
                <w:sz w:val="19"/>
                <w:szCs w:val="19"/>
                <w:color w:val="auto"/>
              </w:rPr>
            </w:pPr>
          </w:p>
        </w:tc>
        <w:tc>
          <w:tcPr>
            <w:tcW w:w="120" w:type="dxa"/>
            <w:vAlign w:val="bottom"/>
            <w:shd w:val="clear" w:color="auto" w:fill="CEF1FE"/>
          </w:tcPr>
          <w:p>
            <w:pPr>
              <w:spacing w:after="0"/>
              <w:rPr>
                <w:sz w:val="19"/>
                <w:szCs w:val="19"/>
                <w:color w:val="auto"/>
              </w:rPr>
            </w:pPr>
          </w:p>
        </w:tc>
        <w:tc>
          <w:tcPr>
            <w:tcW w:w="980" w:type="dxa"/>
            <w:vAlign w:val="bottom"/>
            <w:gridSpan w:val="3"/>
            <w:shd w:val="clear" w:color="auto" w:fill="CEF1F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EF1FE"/>
          </w:tcPr>
          <w:p>
            <w:pPr>
              <w:spacing w:after="0"/>
              <w:rPr>
                <w:sz w:val="19"/>
                <w:szCs w:val="19"/>
                <w:color w:val="auto"/>
              </w:rPr>
            </w:pPr>
          </w:p>
        </w:tc>
        <w:tc>
          <w:tcPr>
            <w:tcW w:w="840" w:type="dxa"/>
            <w:vAlign w:val="bottom"/>
            <w:shd w:val="clear" w:color="auto" w:fill="CEF1FE"/>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EF1FE"/>
          </w:tcPr>
          <w:p>
            <w:pPr>
              <w:spacing w:after="0"/>
              <w:rPr>
                <w:sz w:val="19"/>
                <w:szCs w:val="19"/>
                <w:color w:val="auto"/>
              </w:rPr>
            </w:pPr>
          </w:p>
        </w:tc>
        <w:tc>
          <w:tcPr>
            <w:tcW w:w="100" w:type="dxa"/>
            <w:vAlign w:val="bottom"/>
            <w:shd w:val="clear" w:color="auto" w:fill="CEF1FE"/>
          </w:tcPr>
          <w:p>
            <w:pPr>
              <w:spacing w:after="0"/>
              <w:rPr>
                <w:sz w:val="19"/>
                <w:szCs w:val="19"/>
                <w:color w:val="auto"/>
              </w:rPr>
            </w:pPr>
          </w:p>
        </w:tc>
        <w:tc>
          <w:tcPr>
            <w:tcW w:w="140" w:type="dxa"/>
            <w:vAlign w:val="bottom"/>
            <w:shd w:val="clear" w:color="auto" w:fill="CEF1FE"/>
          </w:tcPr>
          <w:p>
            <w:pPr>
              <w:spacing w:after="0"/>
              <w:rPr>
                <w:sz w:val="19"/>
                <w:szCs w:val="19"/>
                <w:color w:val="auto"/>
              </w:rPr>
            </w:pPr>
          </w:p>
        </w:tc>
        <w:tc>
          <w:tcPr>
            <w:tcW w:w="1220" w:type="dxa"/>
            <w:vAlign w:val="bottom"/>
            <w:gridSpan w:val="2"/>
            <w:shd w:val="clear" w:color="auto" w:fill="CEF1F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EF1FE"/>
          </w:tcPr>
          <w:p>
            <w:pPr>
              <w:spacing w:after="0"/>
              <w:rPr>
                <w:sz w:val="19"/>
                <w:szCs w:val="19"/>
                <w:color w:val="auto"/>
              </w:rPr>
            </w:pPr>
          </w:p>
        </w:tc>
        <w:tc>
          <w:tcPr>
            <w:tcW w:w="180" w:type="dxa"/>
            <w:vAlign w:val="bottom"/>
            <w:shd w:val="clear" w:color="auto" w:fill="CEF1FE"/>
          </w:tcPr>
          <w:p>
            <w:pPr>
              <w:spacing w:after="0"/>
              <w:rPr>
                <w:sz w:val="19"/>
                <w:szCs w:val="19"/>
                <w:color w:val="auto"/>
              </w:rPr>
            </w:pPr>
          </w:p>
        </w:tc>
        <w:tc>
          <w:tcPr>
            <w:tcW w:w="1100" w:type="dxa"/>
            <w:vAlign w:val="bottom"/>
            <w:gridSpan w:val="3"/>
            <w:shd w:val="clear" w:color="auto" w:fill="CEF1F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EF1FE"/>
          </w:tcPr>
          <w:p>
            <w:pPr>
              <w:spacing w:after="0"/>
              <w:rPr>
                <w:sz w:val="19"/>
                <w:szCs w:val="19"/>
                <w:color w:val="auto"/>
              </w:rPr>
            </w:pPr>
          </w:p>
        </w:tc>
        <w:tc>
          <w:tcPr>
            <w:tcW w:w="940" w:type="dxa"/>
            <w:vAlign w:val="bottom"/>
            <w:shd w:val="clear" w:color="auto" w:fill="CEF1FE"/>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EF1FE"/>
          </w:tcPr>
          <w:p>
            <w:pPr>
              <w:spacing w:after="0"/>
              <w:rPr>
                <w:sz w:val="19"/>
                <w:szCs w:val="19"/>
                <w:color w:val="auto"/>
              </w:rPr>
            </w:pP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for settlement of RSUs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800" w:type="dxa"/>
            <w:vAlign w:val="bottom"/>
            <w:shd w:val="clear" w:color="auto" w:fill="CEF1FE"/>
          </w:tcPr>
          <w:p>
            <w:pPr>
              <w:spacing w:after="0"/>
              <w:rPr>
                <w:sz w:val="20"/>
                <w:szCs w:val="20"/>
                <w:color w:val="auto"/>
              </w:rPr>
            </w:pPr>
            <w:r>
              <w:rPr>
                <w:rFonts w:ascii="Times New Roman" w:cs="Times New Roman" w:eastAsia="Times New Roman" w:hAnsi="Times New Roman"/>
                <w:sz w:val="18"/>
                <w:szCs w:val="18"/>
                <w:color w:val="auto"/>
              </w:rPr>
              <w:t>Issuance of common stock upon cashless exercise</w:t>
            </w:r>
          </w:p>
        </w:tc>
        <w:tc>
          <w:tcPr>
            <w:tcW w:w="960" w:type="dxa"/>
            <w:vAlign w:val="bottom"/>
            <w:shd w:val="clear" w:color="auto" w:fill="CEF1FE"/>
          </w:tcPr>
          <w:p>
            <w:pPr>
              <w:spacing w:after="0"/>
              <w:rPr>
                <w:sz w:val="18"/>
                <w:szCs w:val="18"/>
                <w:color w:val="auto"/>
              </w:rPr>
            </w:pPr>
          </w:p>
        </w:tc>
        <w:tc>
          <w:tcPr>
            <w:tcW w:w="120" w:type="dxa"/>
            <w:vAlign w:val="bottom"/>
            <w:shd w:val="clear" w:color="auto" w:fill="CEF1FE"/>
          </w:tcPr>
          <w:p>
            <w:pPr>
              <w:spacing w:after="0"/>
              <w:rPr>
                <w:sz w:val="18"/>
                <w:szCs w:val="18"/>
                <w:color w:val="auto"/>
              </w:rPr>
            </w:pPr>
          </w:p>
        </w:tc>
        <w:tc>
          <w:tcPr>
            <w:tcW w:w="100" w:type="dxa"/>
            <w:vAlign w:val="bottom"/>
            <w:shd w:val="clear" w:color="auto" w:fill="CEF1FE"/>
          </w:tcPr>
          <w:p>
            <w:pPr>
              <w:spacing w:after="0"/>
              <w:rPr>
                <w:sz w:val="18"/>
                <w:szCs w:val="18"/>
                <w:color w:val="auto"/>
              </w:rPr>
            </w:pPr>
          </w:p>
        </w:tc>
        <w:tc>
          <w:tcPr>
            <w:tcW w:w="120" w:type="dxa"/>
            <w:vAlign w:val="bottom"/>
            <w:shd w:val="clear" w:color="auto" w:fill="CEF1FE"/>
          </w:tcPr>
          <w:p>
            <w:pPr>
              <w:spacing w:after="0"/>
              <w:rPr>
                <w:sz w:val="18"/>
                <w:szCs w:val="18"/>
                <w:color w:val="auto"/>
              </w:rPr>
            </w:pPr>
          </w:p>
        </w:tc>
        <w:tc>
          <w:tcPr>
            <w:tcW w:w="760" w:type="dxa"/>
            <w:vAlign w:val="bottom"/>
            <w:shd w:val="clear" w:color="auto" w:fill="CEF1FE"/>
          </w:tcPr>
          <w:p>
            <w:pPr>
              <w:spacing w:after="0"/>
              <w:rPr>
                <w:sz w:val="18"/>
                <w:szCs w:val="18"/>
                <w:color w:val="auto"/>
              </w:rPr>
            </w:pPr>
          </w:p>
        </w:tc>
        <w:tc>
          <w:tcPr>
            <w:tcW w:w="120" w:type="dxa"/>
            <w:vAlign w:val="bottom"/>
            <w:shd w:val="clear" w:color="auto" w:fill="CEF1FE"/>
          </w:tcPr>
          <w:p>
            <w:pPr>
              <w:spacing w:after="0"/>
              <w:rPr>
                <w:sz w:val="18"/>
                <w:szCs w:val="18"/>
                <w:color w:val="auto"/>
              </w:rPr>
            </w:pPr>
          </w:p>
        </w:tc>
        <w:tc>
          <w:tcPr>
            <w:tcW w:w="100" w:type="dxa"/>
            <w:vAlign w:val="bottom"/>
            <w:shd w:val="clear" w:color="auto" w:fill="CEF1FE"/>
          </w:tcPr>
          <w:p>
            <w:pPr>
              <w:spacing w:after="0"/>
              <w:rPr>
                <w:sz w:val="18"/>
                <w:szCs w:val="18"/>
                <w:color w:val="auto"/>
              </w:rPr>
            </w:pPr>
          </w:p>
        </w:tc>
        <w:tc>
          <w:tcPr>
            <w:tcW w:w="100" w:type="dxa"/>
            <w:vAlign w:val="bottom"/>
            <w:shd w:val="clear" w:color="auto" w:fill="CEF1FE"/>
          </w:tcPr>
          <w:p>
            <w:pPr>
              <w:spacing w:after="0"/>
              <w:rPr>
                <w:sz w:val="18"/>
                <w:szCs w:val="18"/>
                <w:color w:val="auto"/>
              </w:rPr>
            </w:pPr>
          </w:p>
        </w:tc>
        <w:tc>
          <w:tcPr>
            <w:tcW w:w="840" w:type="dxa"/>
            <w:vAlign w:val="bottom"/>
            <w:shd w:val="clear" w:color="auto" w:fill="CEF1FE"/>
          </w:tcPr>
          <w:p>
            <w:pPr>
              <w:spacing w:after="0"/>
              <w:rPr>
                <w:sz w:val="18"/>
                <w:szCs w:val="18"/>
                <w:color w:val="auto"/>
              </w:rPr>
            </w:pPr>
          </w:p>
        </w:tc>
        <w:tc>
          <w:tcPr>
            <w:tcW w:w="120" w:type="dxa"/>
            <w:vAlign w:val="bottom"/>
            <w:shd w:val="clear" w:color="auto" w:fill="CEF1FE"/>
          </w:tcPr>
          <w:p>
            <w:pPr>
              <w:spacing w:after="0"/>
              <w:rPr>
                <w:sz w:val="18"/>
                <w:szCs w:val="18"/>
                <w:color w:val="auto"/>
              </w:rPr>
            </w:pPr>
          </w:p>
        </w:tc>
        <w:tc>
          <w:tcPr>
            <w:tcW w:w="100" w:type="dxa"/>
            <w:vAlign w:val="bottom"/>
            <w:shd w:val="clear" w:color="auto" w:fill="CEF1FE"/>
          </w:tcPr>
          <w:p>
            <w:pPr>
              <w:spacing w:after="0"/>
              <w:rPr>
                <w:sz w:val="18"/>
                <w:szCs w:val="18"/>
                <w:color w:val="auto"/>
              </w:rPr>
            </w:pPr>
          </w:p>
        </w:tc>
        <w:tc>
          <w:tcPr>
            <w:tcW w:w="140" w:type="dxa"/>
            <w:vAlign w:val="bottom"/>
            <w:shd w:val="clear" w:color="auto" w:fill="CEF1FE"/>
          </w:tcPr>
          <w:p>
            <w:pPr>
              <w:spacing w:after="0"/>
              <w:rPr>
                <w:sz w:val="18"/>
                <w:szCs w:val="18"/>
                <w:color w:val="auto"/>
              </w:rPr>
            </w:pPr>
          </w:p>
        </w:tc>
        <w:tc>
          <w:tcPr>
            <w:tcW w:w="1120" w:type="dxa"/>
            <w:vAlign w:val="bottom"/>
            <w:shd w:val="clear" w:color="auto" w:fill="CEF1FE"/>
          </w:tcPr>
          <w:p>
            <w:pPr>
              <w:spacing w:after="0"/>
              <w:rPr>
                <w:sz w:val="18"/>
                <w:szCs w:val="18"/>
                <w:color w:val="auto"/>
              </w:rPr>
            </w:pPr>
          </w:p>
        </w:tc>
        <w:tc>
          <w:tcPr>
            <w:tcW w:w="100" w:type="dxa"/>
            <w:vAlign w:val="bottom"/>
            <w:shd w:val="clear" w:color="auto" w:fill="CEF1FE"/>
          </w:tcPr>
          <w:p>
            <w:pPr>
              <w:spacing w:after="0"/>
              <w:rPr>
                <w:sz w:val="18"/>
                <w:szCs w:val="18"/>
                <w:color w:val="auto"/>
              </w:rPr>
            </w:pPr>
          </w:p>
        </w:tc>
        <w:tc>
          <w:tcPr>
            <w:tcW w:w="120" w:type="dxa"/>
            <w:vAlign w:val="bottom"/>
            <w:shd w:val="clear" w:color="auto" w:fill="CEF1FE"/>
          </w:tcPr>
          <w:p>
            <w:pPr>
              <w:spacing w:after="0"/>
              <w:rPr>
                <w:sz w:val="18"/>
                <w:szCs w:val="18"/>
                <w:color w:val="auto"/>
              </w:rPr>
            </w:pPr>
          </w:p>
        </w:tc>
        <w:tc>
          <w:tcPr>
            <w:tcW w:w="180" w:type="dxa"/>
            <w:vAlign w:val="bottom"/>
            <w:shd w:val="clear" w:color="auto" w:fill="CEF1FE"/>
          </w:tcPr>
          <w:p>
            <w:pPr>
              <w:spacing w:after="0"/>
              <w:rPr>
                <w:sz w:val="18"/>
                <w:szCs w:val="18"/>
                <w:color w:val="auto"/>
              </w:rPr>
            </w:pPr>
          </w:p>
        </w:tc>
        <w:tc>
          <w:tcPr>
            <w:tcW w:w="880" w:type="dxa"/>
            <w:vAlign w:val="bottom"/>
            <w:shd w:val="clear" w:color="auto" w:fill="CEF1FE"/>
          </w:tcPr>
          <w:p>
            <w:pPr>
              <w:spacing w:after="0"/>
              <w:rPr>
                <w:sz w:val="18"/>
                <w:szCs w:val="18"/>
                <w:color w:val="auto"/>
              </w:rPr>
            </w:pPr>
          </w:p>
        </w:tc>
        <w:tc>
          <w:tcPr>
            <w:tcW w:w="100" w:type="dxa"/>
            <w:vAlign w:val="bottom"/>
            <w:shd w:val="clear" w:color="auto" w:fill="CEF1FE"/>
          </w:tcPr>
          <w:p>
            <w:pPr>
              <w:spacing w:after="0"/>
              <w:rPr>
                <w:sz w:val="18"/>
                <w:szCs w:val="18"/>
                <w:color w:val="auto"/>
              </w:rPr>
            </w:pPr>
          </w:p>
        </w:tc>
        <w:tc>
          <w:tcPr>
            <w:tcW w:w="120" w:type="dxa"/>
            <w:vAlign w:val="bottom"/>
            <w:shd w:val="clear" w:color="auto" w:fill="CEF1FE"/>
          </w:tcPr>
          <w:p>
            <w:pPr>
              <w:spacing w:after="0"/>
              <w:rPr>
                <w:sz w:val="18"/>
                <w:szCs w:val="18"/>
                <w:color w:val="auto"/>
              </w:rPr>
            </w:pPr>
          </w:p>
        </w:tc>
        <w:tc>
          <w:tcPr>
            <w:tcW w:w="200" w:type="dxa"/>
            <w:vAlign w:val="bottom"/>
            <w:shd w:val="clear" w:color="auto" w:fill="CEF1FE"/>
          </w:tcPr>
          <w:p>
            <w:pPr>
              <w:spacing w:after="0"/>
              <w:rPr>
                <w:sz w:val="18"/>
                <w:szCs w:val="18"/>
                <w:color w:val="auto"/>
              </w:rPr>
            </w:pPr>
          </w:p>
        </w:tc>
        <w:tc>
          <w:tcPr>
            <w:tcW w:w="940" w:type="dxa"/>
            <w:vAlign w:val="bottom"/>
            <w:shd w:val="clear" w:color="auto" w:fill="CEF1FE"/>
          </w:tcPr>
          <w:p>
            <w:pPr>
              <w:spacing w:after="0"/>
              <w:rPr>
                <w:sz w:val="18"/>
                <w:szCs w:val="18"/>
                <w:color w:val="auto"/>
              </w:rPr>
            </w:pPr>
          </w:p>
        </w:tc>
        <w:tc>
          <w:tcPr>
            <w:tcW w:w="100" w:type="dxa"/>
            <w:vAlign w:val="bottom"/>
            <w:shd w:val="clear" w:color="auto" w:fill="CEF1FE"/>
          </w:tcPr>
          <w:p>
            <w:pPr>
              <w:spacing w:after="0"/>
              <w:rPr>
                <w:sz w:val="18"/>
                <w:szCs w:val="18"/>
                <w:color w:val="auto"/>
              </w:rPr>
            </w:pPr>
          </w:p>
        </w:tc>
      </w:tr>
      <w:tr>
        <w:trPr>
          <w:trHeight w:val="234"/>
        </w:trPr>
        <w:tc>
          <w:tcPr>
            <w:tcW w:w="3800" w:type="dxa"/>
            <w:vAlign w:val="bottom"/>
            <w:shd w:val="clear" w:color="auto" w:fill="CEF1FE"/>
          </w:tcPr>
          <w:p>
            <w:pPr>
              <w:spacing w:after="0"/>
              <w:rPr>
                <w:sz w:val="20"/>
                <w:szCs w:val="20"/>
                <w:color w:val="auto"/>
              </w:rPr>
            </w:pPr>
            <w:r>
              <w:rPr>
                <w:rFonts w:ascii="Times New Roman" w:cs="Times New Roman" w:eastAsia="Times New Roman" w:hAnsi="Times New Roman"/>
                <w:sz w:val="18"/>
                <w:szCs w:val="18"/>
                <w:color w:val="auto"/>
              </w:rPr>
              <w:t>of pre-funded warrants</w:t>
            </w:r>
          </w:p>
        </w:tc>
        <w:tc>
          <w:tcPr>
            <w:tcW w:w="960" w:type="dxa"/>
            <w:vAlign w:val="bottom"/>
            <w:shd w:val="clear" w:color="auto" w:fill="CEF1FE"/>
          </w:tcPr>
          <w:p>
            <w:pPr>
              <w:jc w:val="right"/>
              <w:spacing w:after="0"/>
              <w:rPr>
                <w:sz w:val="20"/>
                <w:szCs w:val="20"/>
                <w:color w:val="auto"/>
              </w:rPr>
            </w:pPr>
            <w:r>
              <w:rPr>
                <w:rFonts w:ascii="Times New Roman" w:cs="Times New Roman" w:eastAsia="Times New Roman" w:hAnsi="Times New Roman"/>
                <w:sz w:val="18"/>
                <w:szCs w:val="18"/>
                <w:color w:val="auto"/>
              </w:rPr>
              <w:t>2,108,621</w:t>
            </w:r>
          </w:p>
        </w:tc>
        <w:tc>
          <w:tcPr>
            <w:tcW w:w="120" w:type="dxa"/>
            <w:vAlign w:val="bottom"/>
            <w:shd w:val="clear" w:color="auto" w:fill="CEF1FE"/>
          </w:tcPr>
          <w:p>
            <w:pPr>
              <w:spacing w:after="0"/>
              <w:rPr>
                <w:sz w:val="20"/>
                <w:szCs w:val="20"/>
                <w:color w:val="auto"/>
              </w:rPr>
            </w:pPr>
          </w:p>
        </w:tc>
        <w:tc>
          <w:tcPr>
            <w:tcW w:w="100" w:type="dxa"/>
            <w:vAlign w:val="bottom"/>
            <w:shd w:val="clear" w:color="auto" w:fill="CEF1FE"/>
          </w:tcPr>
          <w:p>
            <w:pPr>
              <w:spacing w:after="0"/>
              <w:rPr>
                <w:sz w:val="20"/>
                <w:szCs w:val="20"/>
                <w:color w:val="auto"/>
              </w:rPr>
            </w:pPr>
          </w:p>
        </w:tc>
        <w:tc>
          <w:tcPr>
            <w:tcW w:w="120" w:type="dxa"/>
            <w:vAlign w:val="bottom"/>
            <w:shd w:val="clear" w:color="auto" w:fill="CEF1FE"/>
          </w:tcPr>
          <w:p>
            <w:pPr>
              <w:spacing w:after="0"/>
              <w:rPr>
                <w:sz w:val="20"/>
                <w:szCs w:val="20"/>
                <w:color w:val="auto"/>
              </w:rPr>
            </w:pPr>
          </w:p>
        </w:tc>
        <w:tc>
          <w:tcPr>
            <w:tcW w:w="760" w:type="dxa"/>
            <w:vAlign w:val="bottom"/>
            <w:shd w:val="clear" w:color="auto" w:fill="CEF1FE"/>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EF1FE"/>
          </w:tcPr>
          <w:p>
            <w:pPr>
              <w:spacing w:after="0"/>
              <w:rPr>
                <w:sz w:val="20"/>
                <w:szCs w:val="20"/>
                <w:color w:val="auto"/>
              </w:rPr>
            </w:pPr>
          </w:p>
        </w:tc>
        <w:tc>
          <w:tcPr>
            <w:tcW w:w="100" w:type="dxa"/>
            <w:vAlign w:val="bottom"/>
            <w:shd w:val="clear" w:color="auto" w:fill="CEF1FE"/>
          </w:tcPr>
          <w:p>
            <w:pPr>
              <w:spacing w:after="0"/>
              <w:rPr>
                <w:sz w:val="20"/>
                <w:szCs w:val="20"/>
                <w:color w:val="auto"/>
              </w:rPr>
            </w:pPr>
          </w:p>
        </w:tc>
        <w:tc>
          <w:tcPr>
            <w:tcW w:w="100" w:type="dxa"/>
            <w:vAlign w:val="bottom"/>
            <w:shd w:val="clear" w:color="auto" w:fill="CEF1FE"/>
          </w:tcPr>
          <w:p>
            <w:pPr>
              <w:spacing w:after="0"/>
              <w:rPr>
                <w:sz w:val="20"/>
                <w:szCs w:val="20"/>
                <w:color w:val="auto"/>
              </w:rPr>
            </w:pPr>
          </w:p>
        </w:tc>
        <w:tc>
          <w:tcPr>
            <w:tcW w:w="960" w:type="dxa"/>
            <w:vAlign w:val="bottom"/>
            <w:gridSpan w:val="2"/>
            <w:shd w:val="clear" w:color="auto" w:fill="CEF1FE"/>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EF1FE"/>
          </w:tcPr>
          <w:p>
            <w:pPr>
              <w:spacing w:after="0"/>
              <w:rPr>
                <w:sz w:val="20"/>
                <w:szCs w:val="20"/>
                <w:color w:val="auto"/>
              </w:rPr>
            </w:pPr>
          </w:p>
        </w:tc>
        <w:tc>
          <w:tcPr>
            <w:tcW w:w="140" w:type="dxa"/>
            <w:vAlign w:val="bottom"/>
            <w:shd w:val="clear" w:color="auto" w:fill="CEF1FE"/>
          </w:tcPr>
          <w:p>
            <w:pPr>
              <w:spacing w:after="0"/>
              <w:rPr>
                <w:sz w:val="20"/>
                <w:szCs w:val="20"/>
                <w:color w:val="auto"/>
              </w:rPr>
            </w:pPr>
          </w:p>
        </w:tc>
        <w:tc>
          <w:tcPr>
            <w:tcW w:w="1220" w:type="dxa"/>
            <w:vAlign w:val="bottom"/>
            <w:gridSpan w:val="2"/>
            <w:shd w:val="clear" w:color="auto" w:fill="CEF1F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EF1FE"/>
          </w:tcPr>
          <w:p>
            <w:pPr>
              <w:spacing w:after="0"/>
              <w:rPr>
                <w:sz w:val="20"/>
                <w:szCs w:val="20"/>
                <w:color w:val="auto"/>
              </w:rPr>
            </w:pPr>
          </w:p>
        </w:tc>
        <w:tc>
          <w:tcPr>
            <w:tcW w:w="180" w:type="dxa"/>
            <w:vAlign w:val="bottom"/>
            <w:shd w:val="clear" w:color="auto" w:fill="CEF1FE"/>
          </w:tcPr>
          <w:p>
            <w:pPr>
              <w:spacing w:after="0"/>
              <w:rPr>
                <w:sz w:val="20"/>
                <w:szCs w:val="20"/>
                <w:color w:val="auto"/>
              </w:rPr>
            </w:pPr>
          </w:p>
        </w:tc>
        <w:tc>
          <w:tcPr>
            <w:tcW w:w="1100" w:type="dxa"/>
            <w:vAlign w:val="bottom"/>
            <w:gridSpan w:val="3"/>
            <w:shd w:val="clear" w:color="auto" w:fill="CEF1F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EF1FE"/>
          </w:tcPr>
          <w:p>
            <w:pPr>
              <w:spacing w:after="0"/>
              <w:rPr>
                <w:sz w:val="20"/>
                <w:szCs w:val="20"/>
                <w:color w:val="auto"/>
              </w:rPr>
            </w:pPr>
          </w:p>
        </w:tc>
        <w:tc>
          <w:tcPr>
            <w:tcW w:w="1040" w:type="dxa"/>
            <w:vAlign w:val="bottom"/>
            <w:gridSpan w:val="2"/>
            <w:shd w:val="clear" w:color="auto" w:fill="CEF1F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marketable debt securities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3800" w:type="dxa"/>
            <w:vAlign w:val="bottom"/>
            <w:shd w:val="clear" w:color="auto" w:fill="CEF1FE"/>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shd w:val="clear" w:color="auto" w:fill="CEF1F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EF1FE"/>
          </w:tcPr>
          <w:p>
            <w:pPr>
              <w:spacing w:after="0"/>
              <w:rPr>
                <w:sz w:val="19"/>
                <w:szCs w:val="19"/>
                <w:color w:val="auto"/>
              </w:rPr>
            </w:pPr>
          </w:p>
        </w:tc>
        <w:tc>
          <w:tcPr>
            <w:tcW w:w="120" w:type="dxa"/>
            <w:vAlign w:val="bottom"/>
            <w:shd w:val="clear" w:color="auto" w:fill="CEF1FE"/>
          </w:tcPr>
          <w:p>
            <w:pPr>
              <w:spacing w:after="0"/>
              <w:rPr>
                <w:sz w:val="19"/>
                <w:szCs w:val="19"/>
                <w:color w:val="auto"/>
              </w:rPr>
            </w:pPr>
          </w:p>
        </w:tc>
        <w:tc>
          <w:tcPr>
            <w:tcW w:w="980" w:type="dxa"/>
            <w:vAlign w:val="bottom"/>
            <w:gridSpan w:val="3"/>
            <w:shd w:val="clear" w:color="auto" w:fill="CEF1F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EF1FE"/>
          </w:tcPr>
          <w:p>
            <w:pPr>
              <w:spacing w:after="0"/>
              <w:rPr>
                <w:sz w:val="19"/>
                <w:szCs w:val="19"/>
                <w:color w:val="auto"/>
              </w:rPr>
            </w:pPr>
          </w:p>
        </w:tc>
        <w:tc>
          <w:tcPr>
            <w:tcW w:w="840" w:type="dxa"/>
            <w:vAlign w:val="bottom"/>
            <w:shd w:val="clear" w:color="auto" w:fill="CEF1FE"/>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20" w:type="dxa"/>
            <w:vAlign w:val="bottom"/>
            <w:shd w:val="clear" w:color="auto" w:fill="CEF1FE"/>
          </w:tcPr>
          <w:p>
            <w:pPr>
              <w:spacing w:after="0"/>
              <w:rPr>
                <w:sz w:val="19"/>
                <w:szCs w:val="19"/>
                <w:color w:val="auto"/>
              </w:rPr>
            </w:pPr>
          </w:p>
        </w:tc>
        <w:tc>
          <w:tcPr>
            <w:tcW w:w="100" w:type="dxa"/>
            <w:vAlign w:val="bottom"/>
            <w:shd w:val="clear" w:color="auto" w:fill="CEF1FE"/>
          </w:tcPr>
          <w:p>
            <w:pPr>
              <w:spacing w:after="0"/>
              <w:rPr>
                <w:sz w:val="19"/>
                <w:szCs w:val="19"/>
                <w:color w:val="auto"/>
              </w:rPr>
            </w:pPr>
          </w:p>
        </w:tc>
        <w:tc>
          <w:tcPr>
            <w:tcW w:w="140" w:type="dxa"/>
            <w:vAlign w:val="bottom"/>
            <w:shd w:val="clear" w:color="auto" w:fill="CEF1FE"/>
          </w:tcPr>
          <w:p>
            <w:pPr>
              <w:spacing w:after="0"/>
              <w:rPr>
                <w:sz w:val="19"/>
                <w:szCs w:val="19"/>
                <w:color w:val="auto"/>
              </w:rPr>
            </w:pPr>
          </w:p>
        </w:tc>
        <w:tc>
          <w:tcPr>
            <w:tcW w:w="1220" w:type="dxa"/>
            <w:vAlign w:val="bottom"/>
            <w:gridSpan w:val="2"/>
            <w:shd w:val="clear" w:color="auto" w:fill="CEF1F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EF1FE"/>
          </w:tcPr>
          <w:p>
            <w:pPr>
              <w:spacing w:after="0"/>
              <w:rPr>
                <w:sz w:val="19"/>
                <w:szCs w:val="19"/>
                <w:color w:val="auto"/>
              </w:rPr>
            </w:pPr>
          </w:p>
        </w:tc>
        <w:tc>
          <w:tcPr>
            <w:tcW w:w="180" w:type="dxa"/>
            <w:vAlign w:val="bottom"/>
            <w:shd w:val="clear" w:color="auto" w:fill="CEF1FE"/>
          </w:tcPr>
          <w:p>
            <w:pPr>
              <w:spacing w:after="0"/>
              <w:rPr>
                <w:sz w:val="19"/>
                <w:szCs w:val="19"/>
                <w:color w:val="auto"/>
              </w:rPr>
            </w:pPr>
          </w:p>
        </w:tc>
        <w:tc>
          <w:tcPr>
            <w:tcW w:w="1100" w:type="dxa"/>
            <w:vAlign w:val="bottom"/>
            <w:gridSpan w:val="3"/>
            <w:shd w:val="clear" w:color="auto" w:fill="CEF1F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EF1FE"/>
          </w:tcPr>
          <w:p>
            <w:pPr>
              <w:spacing w:after="0"/>
              <w:rPr>
                <w:sz w:val="19"/>
                <w:szCs w:val="19"/>
                <w:color w:val="auto"/>
              </w:rPr>
            </w:pPr>
          </w:p>
        </w:tc>
        <w:tc>
          <w:tcPr>
            <w:tcW w:w="940" w:type="dxa"/>
            <w:vAlign w:val="bottom"/>
            <w:shd w:val="clear" w:color="auto" w:fill="CEF1FE"/>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shd w:val="clear" w:color="auto" w:fill="CEF1FE"/>
          </w:tcPr>
          <w:p>
            <w:pPr>
              <w:spacing w:after="0"/>
              <w:rPr>
                <w:sz w:val="19"/>
                <w:szCs w:val="19"/>
                <w:color w:val="auto"/>
              </w:rPr>
            </w:pP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(23,595)</w:t>
            </w:r>
          </w:p>
        </w:tc>
      </w:tr>
      <w:tr>
        <w:trPr>
          <w:trHeight w:val="223"/>
        </w:trPr>
        <w:tc>
          <w:tcPr>
            <w:tcW w:w="3800" w:type="dxa"/>
            <w:vAlign w:val="bottom"/>
            <w:tcBorders>
              <w:top w:val="single" w:sz="8" w:color="CEF1FE"/>
              <w:bottom w:val="single" w:sz="8" w:color="CEF1FE"/>
            </w:tcBorders>
            <w:shd w:val="clear" w:color="auto" w:fill="CEF1FE"/>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2021</w:t>
            </w:r>
          </w:p>
        </w:tc>
        <w:tc>
          <w:tcPr>
            <w:tcW w:w="960" w:type="dxa"/>
            <w:vAlign w:val="bottom"/>
            <w:tcBorders>
              <w:top w:val="single" w:sz="8" w:color="auto"/>
              <w:bottom w:val="single" w:sz="8" w:color="auto"/>
            </w:tcBorders>
            <w:shd w:val="clear" w:color="auto" w:fill="CEF1FE"/>
          </w:tcPr>
          <w:p>
            <w:pPr>
              <w:jc w:val="right"/>
              <w:spacing w:after="0"/>
              <w:rPr>
                <w:sz w:val="20"/>
                <w:szCs w:val="20"/>
                <w:color w:val="auto"/>
              </w:rPr>
            </w:pPr>
            <w:r>
              <w:rPr>
                <w:rFonts w:ascii="Times New Roman" w:cs="Times New Roman" w:eastAsia="Times New Roman" w:hAnsi="Times New Roman"/>
                <w:sz w:val="18"/>
                <w:szCs w:val="18"/>
                <w:b w:val="1"/>
                <w:bCs w:val="1"/>
                <w:color w:val="auto"/>
              </w:rPr>
              <w:t>43,779,059</w:t>
            </w:r>
          </w:p>
        </w:tc>
        <w:tc>
          <w:tcPr>
            <w:tcW w:w="120" w:type="dxa"/>
            <w:vAlign w:val="bottom"/>
            <w:tcBorders>
              <w:top w:val="single" w:sz="8" w:color="CEF1FE"/>
              <w:bottom w:val="single" w:sz="8" w:color="CEF1FE"/>
            </w:tcBorders>
            <w:shd w:val="clear" w:color="auto" w:fill="CEF1FE"/>
          </w:tcPr>
          <w:p>
            <w:pPr>
              <w:spacing w:after="0"/>
              <w:rPr>
                <w:sz w:val="19"/>
                <w:szCs w:val="19"/>
                <w:color w:val="auto"/>
              </w:rPr>
            </w:pPr>
          </w:p>
        </w:tc>
        <w:tc>
          <w:tcPr>
            <w:tcW w:w="100" w:type="dxa"/>
            <w:vAlign w:val="bottom"/>
            <w:tcBorders>
              <w:top w:val="single" w:sz="8" w:color="CEF1FE"/>
              <w:bottom w:val="single" w:sz="8" w:color="CEF1FE"/>
            </w:tcBorders>
            <w:shd w:val="clear" w:color="auto" w:fill="CEF1FE"/>
          </w:tcPr>
          <w:p>
            <w:pPr>
              <w:spacing w:after="0"/>
              <w:rPr>
                <w:sz w:val="19"/>
                <w:szCs w:val="19"/>
                <w:color w:val="auto"/>
              </w:rPr>
            </w:pPr>
          </w:p>
        </w:tc>
        <w:tc>
          <w:tcPr>
            <w:tcW w:w="120" w:type="dxa"/>
            <w:vAlign w:val="bottom"/>
            <w:tcBorders>
              <w:top w:val="single" w:sz="8" w:color="auto"/>
              <w:bottom w:val="single" w:sz="8" w:color="auto"/>
            </w:tcBorders>
            <w:shd w:val="clear" w:color="auto" w:fill="CEF1FE"/>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EF1FE"/>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20" w:type="dxa"/>
            <w:vAlign w:val="bottom"/>
            <w:tcBorders>
              <w:top w:val="single" w:sz="8" w:color="CEF1FE"/>
              <w:bottom w:val="single" w:sz="8" w:color="CEF1FE"/>
            </w:tcBorders>
            <w:shd w:val="clear" w:color="auto" w:fill="CEF1FE"/>
          </w:tcPr>
          <w:p>
            <w:pPr>
              <w:spacing w:after="0"/>
              <w:rPr>
                <w:sz w:val="19"/>
                <w:szCs w:val="19"/>
                <w:color w:val="auto"/>
              </w:rPr>
            </w:pPr>
          </w:p>
        </w:tc>
        <w:tc>
          <w:tcPr>
            <w:tcW w:w="100" w:type="dxa"/>
            <w:vAlign w:val="bottom"/>
            <w:tcBorders>
              <w:top w:val="single" w:sz="8" w:color="CEF1FE"/>
              <w:bottom w:val="single" w:sz="8" w:color="CEF1FE"/>
            </w:tcBorders>
            <w:shd w:val="clear" w:color="auto" w:fill="CEF1FE"/>
          </w:tcPr>
          <w:p>
            <w:pPr>
              <w:spacing w:after="0"/>
              <w:rPr>
                <w:sz w:val="19"/>
                <w:szCs w:val="19"/>
                <w:color w:val="auto"/>
              </w:rPr>
            </w:pPr>
          </w:p>
        </w:tc>
        <w:tc>
          <w:tcPr>
            <w:tcW w:w="100" w:type="dxa"/>
            <w:vAlign w:val="bottom"/>
            <w:tcBorders>
              <w:top w:val="single" w:sz="8" w:color="auto"/>
              <w:bottom w:val="single" w:sz="8" w:color="auto"/>
            </w:tcBorders>
            <w:shd w:val="clear" w:color="auto" w:fill="CEF1FE"/>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EF1FE"/>
          </w:tcPr>
          <w:p>
            <w:pPr>
              <w:jc w:val="right"/>
              <w:spacing w:after="0"/>
              <w:rPr>
                <w:sz w:val="20"/>
                <w:szCs w:val="20"/>
                <w:color w:val="auto"/>
              </w:rPr>
            </w:pPr>
            <w:r>
              <w:rPr>
                <w:rFonts w:ascii="Times New Roman" w:cs="Times New Roman" w:eastAsia="Times New Roman" w:hAnsi="Times New Roman"/>
                <w:sz w:val="18"/>
                <w:szCs w:val="18"/>
                <w:b w:val="1"/>
                <w:bCs w:val="1"/>
                <w:color w:val="auto"/>
              </w:rPr>
              <w:t>784,391</w:t>
            </w:r>
          </w:p>
        </w:tc>
        <w:tc>
          <w:tcPr>
            <w:tcW w:w="120" w:type="dxa"/>
            <w:vAlign w:val="bottom"/>
            <w:tcBorders>
              <w:top w:val="single" w:sz="8" w:color="CEF1FE"/>
              <w:bottom w:val="single" w:sz="8" w:color="CEF1FE"/>
            </w:tcBorders>
            <w:shd w:val="clear" w:color="auto" w:fill="CEF1FE"/>
          </w:tcPr>
          <w:p>
            <w:pPr>
              <w:spacing w:after="0"/>
              <w:rPr>
                <w:sz w:val="19"/>
                <w:szCs w:val="19"/>
                <w:color w:val="auto"/>
              </w:rPr>
            </w:pPr>
          </w:p>
        </w:tc>
        <w:tc>
          <w:tcPr>
            <w:tcW w:w="100" w:type="dxa"/>
            <w:vAlign w:val="bottom"/>
            <w:tcBorders>
              <w:top w:val="single" w:sz="8" w:color="CEF1FE"/>
              <w:bottom w:val="single" w:sz="8" w:color="CEF1FE"/>
            </w:tcBorders>
            <w:shd w:val="clear" w:color="auto" w:fill="CEF1FE"/>
          </w:tcPr>
          <w:p>
            <w:pPr>
              <w:spacing w:after="0"/>
              <w:rPr>
                <w:sz w:val="19"/>
                <w:szCs w:val="19"/>
                <w:color w:val="auto"/>
              </w:rPr>
            </w:pPr>
          </w:p>
        </w:tc>
        <w:tc>
          <w:tcPr>
            <w:tcW w:w="140" w:type="dxa"/>
            <w:vAlign w:val="bottom"/>
            <w:tcBorders>
              <w:top w:val="single" w:sz="8" w:color="auto"/>
              <w:bottom w:val="single" w:sz="8" w:color="auto"/>
            </w:tcBorders>
            <w:shd w:val="clear" w:color="auto" w:fill="CEF1FE"/>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EF1FE"/>
          </w:tcPr>
          <w:p>
            <w:pPr>
              <w:jc w:val="right"/>
              <w:spacing w:after="0"/>
              <w:rPr>
                <w:sz w:val="20"/>
                <w:szCs w:val="20"/>
                <w:color w:val="auto"/>
              </w:rPr>
            </w:pPr>
            <w:r>
              <w:rPr>
                <w:rFonts w:ascii="Times New Roman" w:cs="Times New Roman" w:eastAsia="Times New Roman" w:hAnsi="Times New Roman"/>
                <w:sz w:val="18"/>
                <w:szCs w:val="18"/>
                <w:b w:val="1"/>
                <w:bCs w:val="1"/>
                <w:color w:val="auto"/>
              </w:rPr>
              <w:t>(273)</w:t>
            </w:r>
          </w:p>
        </w:tc>
        <w:tc>
          <w:tcPr>
            <w:tcW w:w="100" w:type="dxa"/>
            <w:vAlign w:val="bottom"/>
            <w:tcBorders>
              <w:top w:val="single" w:sz="8" w:color="CEF1FE"/>
              <w:bottom w:val="single" w:sz="8" w:color="CEF1FE"/>
            </w:tcBorders>
            <w:shd w:val="clear" w:color="auto" w:fill="CEF1FE"/>
          </w:tcPr>
          <w:p>
            <w:pPr>
              <w:spacing w:after="0"/>
              <w:rPr>
                <w:sz w:val="19"/>
                <w:szCs w:val="19"/>
                <w:color w:val="auto"/>
              </w:rPr>
            </w:pPr>
          </w:p>
        </w:tc>
        <w:tc>
          <w:tcPr>
            <w:tcW w:w="120" w:type="dxa"/>
            <w:vAlign w:val="bottom"/>
            <w:tcBorders>
              <w:top w:val="single" w:sz="8" w:color="CEF1FE"/>
              <w:bottom w:val="single" w:sz="8" w:color="CEF1FE"/>
            </w:tcBorders>
            <w:shd w:val="clear" w:color="auto" w:fill="CEF1FE"/>
          </w:tcPr>
          <w:p>
            <w:pPr>
              <w:spacing w:after="0"/>
              <w:rPr>
                <w:sz w:val="19"/>
                <w:szCs w:val="19"/>
                <w:color w:val="auto"/>
              </w:rPr>
            </w:pPr>
          </w:p>
        </w:tc>
        <w:tc>
          <w:tcPr>
            <w:tcW w:w="180" w:type="dxa"/>
            <w:vAlign w:val="bottom"/>
            <w:tcBorders>
              <w:top w:val="single" w:sz="8" w:color="auto"/>
              <w:bottom w:val="single" w:sz="8" w:color="auto"/>
            </w:tcBorders>
            <w:shd w:val="clear" w:color="auto" w:fill="CEF1FE"/>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EF1FE"/>
          </w:tcPr>
          <w:p>
            <w:pPr>
              <w:jc w:val="right"/>
              <w:spacing w:after="0"/>
              <w:rPr>
                <w:sz w:val="20"/>
                <w:szCs w:val="20"/>
                <w:color w:val="auto"/>
              </w:rPr>
            </w:pPr>
            <w:r>
              <w:rPr>
                <w:rFonts w:ascii="Times New Roman" w:cs="Times New Roman" w:eastAsia="Times New Roman" w:hAnsi="Times New Roman"/>
                <w:sz w:val="18"/>
                <w:szCs w:val="18"/>
                <w:b w:val="1"/>
                <w:bCs w:val="1"/>
                <w:color w:val="auto"/>
              </w:rPr>
              <w:t>(552,368</w:t>
            </w:r>
          </w:p>
        </w:tc>
        <w:tc>
          <w:tcPr>
            <w:tcW w:w="100" w:type="dxa"/>
            <w:vAlign w:val="bottom"/>
            <w:tcBorders>
              <w:top w:val="single" w:sz="8" w:color="CEF1FE"/>
              <w:bottom w:val="single" w:sz="8" w:color="CEF1FE"/>
            </w:tcBorders>
            <w:shd w:val="clear" w:color="auto" w:fill="CEF1FE"/>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CEF1FE"/>
              <w:bottom w:val="single" w:sz="8" w:color="CEF1FE"/>
            </w:tcBorders>
            <w:shd w:val="clear" w:color="auto" w:fill="CEF1FE"/>
          </w:tcPr>
          <w:p>
            <w:pPr>
              <w:spacing w:after="0"/>
              <w:rPr>
                <w:sz w:val="19"/>
                <w:szCs w:val="19"/>
                <w:color w:val="auto"/>
              </w:rPr>
            </w:pPr>
          </w:p>
        </w:tc>
        <w:tc>
          <w:tcPr>
            <w:tcW w:w="200" w:type="dxa"/>
            <w:vAlign w:val="bottom"/>
            <w:tcBorders>
              <w:top w:val="single" w:sz="8" w:color="auto"/>
              <w:bottom w:val="single" w:sz="8" w:color="auto"/>
            </w:tcBorders>
            <w:shd w:val="clear" w:color="auto" w:fill="CEF1FE"/>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EF1FE"/>
          </w:tcPr>
          <w:p>
            <w:pPr>
              <w:jc w:val="right"/>
              <w:spacing w:after="0"/>
              <w:rPr>
                <w:sz w:val="20"/>
                <w:szCs w:val="20"/>
                <w:color w:val="auto"/>
              </w:rPr>
            </w:pPr>
            <w:r>
              <w:rPr>
                <w:rFonts w:ascii="Times New Roman" w:cs="Times New Roman" w:eastAsia="Times New Roman" w:hAnsi="Times New Roman"/>
                <w:sz w:val="18"/>
                <w:szCs w:val="18"/>
                <w:b w:val="1"/>
                <w:bCs w:val="1"/>
                <w:color w:val="auto"/>
              </w:rPr>
              <w:t>231,794</w:t>
            </w:r>
          </w:p>
        </w:tc>
        <w:tc>
          <w:tcPr>
            <w:tcW w:w="100" w:type="dxa"/>
            <w:vAlign w:val="bottom"/>
            <w:tcBorders>
              <w:top w:val="single" w:sz="8" w:color="CEF1FE"/>
              <w:bottom w:val="single" w:sz="8" w:color="CEF1FE"/>
            </w:tcBorders>
            <w:shd w:val="clear" w:color="auto" w:fill="CEF1FE"/>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5"/>
        </w:trPr>
        <w:tc>
          <w:tcPr>
            <w:tcW w:w="38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For the Six Month Period</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97"/>
        </w:trPr>
        <w:tc>
          <w:tcPr>
            <w:tcW w:w="3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2"/>
        </w:trPr>
        <w:tc>
          <w:tcPr>
            <w:tcW w:w="3800" w:type="dxa"/>
            <w:vAlign w:val="bottom"/>
          </w:tcPr>
          <w:p>
            <w:pPr>
              <w:spacing w:after="0"/>
              <w:rPr>
                <w:sz w:val="18"/>
                <w:szCs w:val="18"/>
                <w:color w:val="auto"/>
              </w:rPr>
            </w:pPr>
          </w:p>
        </w:tc>
        <w:tc>
          <w:tcPr>
            <w:tcW w:w="228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8"/>
                <w:szCs w:val="18"/>
                <w:color w:val="auto"/>
              </w:rPr>
            </w:pPr>
          </w:p>
        </w:tc>
        <w:tc>
          <w:tcPr>
            <w:tcW w:w="122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0"/>
        </w:trPr>
        <w:tc>
          <w:tcPr>
            <w:tcW w:w="38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360" w:type="dxa"/>
            <w:vAlign w:val="bottom"/>
            <w:gridSpan w:val="2"/>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7"/>
                <w:szCs w:val="17"/>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40" w:type="dxa"/>
            <w:vAlign w:val="bottom"/>
            <w:gridSpan w:val="2"/>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15"/>
        </w:trPr>
        <w:tc>
          <w:tcPr>
            <w:tcW w:w="3800" w:type="dxa"/>
            <w:vAlign w:val="bottom"/>
          </w:tcPr>
          <w:p>
            <w:pPr>
              <w:spacing w:after="0"/>
              <w:rPr>
                <w:sz w:val="18"/>
                <w:szCs w:val="18"/>
                <w:color w:val="auto"/>
              </w:rPr>
            </w:pP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40" w:type="dxa"/>
            <w:vAlign w:val="bottom"/>
          </w:tcPr>
          <w:p>
            <w:pPr>
              <w:spacing w:after="0"/>
              <w:rPr>
                <w:sz w:val="18"/>
                <w:szCs w:val="18"/>
                <w:color w:val="auto"/>
              </w:rPr>
            </w:pPr>
          </w:p>
        </w:tc>
        <w:tc>
          <w:tcPr>
            <w:tcW w:w="1220" w:type="dxa"/>
            <w:vAlign w:val="bottom"/>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Loss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1040" w:type="dxa"/>
            <w:vAlign w:val="bottom"/>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26"/>
        </w:trPr>
        <w:tc>
          <w:tcPr>
            <w:tcW w:w="3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080" w:type="dxa"/>
            <w:vAlign w:val="bottom"/>
            <w:tcBorders>
              <w:top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48,120,437</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800,728</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(419)</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(631,428)</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168,929</w:t>
            </w:r>
          </w:p>
        </w:tc>
      </w:tr>
      <w:tr>
        <w:trPr>
          <w:trHeight w:val="22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 ESPP</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134,888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for settlement of RSUs</w:t>
            </w:r>
          </w:p>
        </w:tc>
        <w:tc>
          <w:tcPr>
            <w:tcW w:w="10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107,411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marketable debt securities</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2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3,005</w:t>
            </w: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(47,552)</w:t>
            </w:r>
          </w:p>
        </w:tc>
      </w:tr>
      <w:tr>
        <w:trPr>
          <w:trHeight w:val="223"/>
        </w:trPr>
        <w:tc>
          <w:tcPr>
            <w:tcW w:w="3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108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48,362,736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803,910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(678,980)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123,980</w:t>
            </w:r>
          </w:p>
        </w:tc>
      </w:tr>
      <w:tr>
        <w:trPr>
          <w:trHeight w:val="20"/>
        </w:trPr>
        <w:tc>
          <w:tcPr>
            <w:tcW w:w="3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97"/>
        </w:trPr>
        <w:tc>
          <w:tcPr>
            <w:tcW w:w="3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2"/>
        </w:trPr>
        <w:tc>
          <w:tcPr>
            <w:tcW w:w="3800" w:type="dxa"/>
            <w:vAlign w:val="bottom"/>
          </w:tcPr>
          <w:p>
            <w:pPr>
              <w:spacing w:after="0"/>
              <w:rPr>
                <w:sz w:val="18"/>
                <w:szCs w:val="18"/>
                <w:color w:val="auto"/>
              </w:rPr>
            </w:pPr>
          </w:p>
        </w:tc>
        <w:tc>
          <w:tcPr>
            <w:tcW w:w="228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8"/>
                <w:szCs w:val="18"/>
                <w:color w:val="auto"/>
              </w:rPr>
            </w:pPr>
          </w:p>
        </w:tc>
        <w:tc>
          <w:tcPr>
            <w:tcW w:w="122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0"/>
        </w:trPr>
        <w:tc>
          <w:tcPr>
            <w:tcW w:w="38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360" w:type="dxa"/>
            <w:vAlign w:val="bottom"/>
            <w:gridSpan w:val="2"/>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7"/>
                <w:szCs w:val="17"/>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40" w:type="dxa"/>
            <w:vAlign w:val="bottom"/>
            <w:gridSpan w:val="2"/>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15"/>
        </w:trPr>
        <w:tc>
          <w:tcPr>
            <w:tcW w:w="3800" w:type="dxa"/>
            <w:vAlign w:val="bottom"/>
          </w:tcPr>
          <w:p>
            <w:pPr>
              <w:spacing w:after="0"/>
              <w:rPr>
                <w:sz w:val="18"/>
                <w:szCs w:val="18"/>
                <w:color w:val="auto"/>
              </w:rPr>
            </w:pP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40" w:type="dxa"/>
            <w:vAlign w:val="bottom"/>
          </w:tcPr>
          <w:p>
            <w:pPr>
              <w:spacing w:after="0"/>
              <w:rPr>
                <w:sz w:val="18"/>
                <w:szCs w:val="18"/>
                <w:color w:val="auto"/>
              </w:rPr>
            </w:pPr>
          </w:p>
        </w:tc>
        <w:tc>
          <w:tcPr>
            <w:tcW w:w="1220" w:type="dxa"/>
            <w:vAlign w:val="bottom"/>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Loss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1040" w:type="dxa"/>
            <w:vAlign w:val="bottom"/>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26"/>
        </w:trPr>
        <w:tc>
          <w:tcPr>
            <w:tcW w:w="3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080" w:type="dxa"/>
            <w:vAlign w:val="bottom"/>
            <w:tcBorders>
              <w:top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34,026,680</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742,387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(501,573)</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240,578</w:t>
            </w:r>
          </w:p>
        </w:tc>
      </w:tr>
      <w:tr>
        <w:trPr>
          <w:trHeight w:val="211"/>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 ATM equity</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offering program, net of issuance costs</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7,449,901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40,144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40,152</w:t>
            </w:r>
          </w:p>
        </w:tc>
      </w:tr>
      <w:tr>
        <w:trPr>
          <w:trHeight w:val="22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under ESPP</w:t>
            </w:r>
          </w:p>
        </w:tc>
        <w:tc>
          <w:tcPr>
            <w:tcW w:w="10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42,803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for settlement of RSUs</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151,054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upon cashless exercise</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34"/>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 pre-funded warrants</w:t>
            </w:r>
          </w:p>
        </w:tc>
        <w:tc>
          <w:tcPr>
            <w:tcW w:w="10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2,108,621</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marketable debt securities</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1,718</w:t>
            </w: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(50,795)</w:t>
            </w:r>
          </w:p>
        </w:tc>
      </w:tr>
      <w:tr>
        <w:trPr>
          <w:trHeight w:val="223"/>
        </w:trPr>
        <w:tc>
          <w:tcPr>
            <w:tcW w:w="3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2021</w:t>
            </w:r>
          </w:p>
        </w:tc>
        <w:tc>
          <w:tcPr>
            <w:tcW w:w="108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43,779,059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784,391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(552,368)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231,794</w:t>
            </w:r>
          </w:p>
        </w:tc>
      </w:tr>
      <w:tr>
        <w:trPr>
          <w:trHeight w:val="20"/>
        </w:trPr>
        <w:tc>
          <w:tcPr>
            <w:tcW w:w="3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82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(47,552)</w:t>
            </w:r>
          </w:p>
        </w:tc>
        <w:tc>
          <w:tcPr>
            <w:tcW w:w="4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(50,795)</w:t>
            </w:r>
          </w:p>
        </w:tc>
      </w:tr>
      <w:tr>
        <w:trPr>
          <w:trHeight w:val="229"/>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29"/>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227</w:t>
            </w:r>
          </w:p>
        </w:tc>
      </w:tr>
      <w:tr>
        <w:trPr>
          <w:trHeight w:val="230"/>
        </w:trPr>
        <w:tc>
          <w:tcPr>
            <w:tcW w:w="8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3,024</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1,700</w:t>
            </w:r>
          </w:p>
        </w:tc>
      </w:tr>
      <w:tr>
        <w:trPr>
          <w:trHeight w:val="229"/>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amortization of investments in marketable debt securities</w:t>
            </w:r>
          </w:p>
        </w:tc>
        <w:tc>
          <w:tcPr>
            <w:tcW w:w="28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249</w:t>
            </w:r>
          </w:p>
        </w:tc>
      </w:tr>
      <w:tr>
        <w:trPr>
          <w:trHeight w:val="229"/>
        </w:trPr>
        <w:tc>
          <w:tcPr>
            <w:tcW w:w="8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Non-cash rent expense</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1,784</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2,037</w:t>
            </w:r>
          </w:p>
        </w:tc>
      </w:tr>
      <w:tr>
        <w:trPr>
          <w:trHeight w:val="230"/>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8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1,625</w:t>
            </w:r>
          </w:p>
        </w:tc>
      </w:tr>
      <w:tr>
        <w:trPr>
          <w:trHeight w:val="229"/>
        </w:trPr>
        <w:tc>
          <w:tcPr>
            <w:tcW w:w="8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30"/>
        </w:trPr>
        <w:tc>
          <w:tcPr>
            <w:tcW w:w="8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 from collaboration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933</w:t>
            </w:r>
          </w:p>
        </w:tc>
      </w:tr>
      <w:tr>
        <w:trPr>
          <w:trHeight w:val="229"/>
        </w:trPr>
        <w:tc>
          <w:tcPr>
            <w:tcW w:w="8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666</w:t>
            </w:r>
          </w:p>
        </w:tc>
      </w:tr>
      <w:tr>
        <w:trPr>
          <w:trHeight w:val="229"/>
        </w:trPr>
        <w:tc>
          <w:tcPr>
            <w:tcW w:w="8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299</w:t>
            </w:r>
          </w:p>
        </w:tc>
      </w:tr>
      <w:tr>
        <w:trPr>
          <w:trHeight w:val="230"/>
        </w:trPr>
        <w:tc>
          <w:tcPr>
            <w:tcW w:w="8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w:t>
            </w:r>
          </w:p>
        </w:tc>
      </w:tr>
      <w:tr>
        <w:trPr>
          <w:trHeight w:val="229"/>
        </w:trPr>
        <w:tc>
          <w:tcPr>
            <w:tcW w:w="8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8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29"/>
        </w:trPr>
        <w:tc>
          <w:tcPr>
            <w:tcW w:w="8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accrued expenses</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(7,649)</w:t>
            </w:r>
          </w:p>
        </w:tc>
      </w:tr>
      <w:tr>
        <w:trPr>
          <w:trHeight w:val="230"/>
        </w:trPr>
        <w:tc>
          <w:tcPr>
            <w:tcW w:w="82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w:t>
            </w:r>
          </w:p>
        </w:tc>
      </w:tr>
      <w:tr>
        <w:trPr>
          <w:trHeight w:val="223"/>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(45,387)</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(55,152)</w:t>
            </w:r>
          </w:p>
        </w:tc>
      </w:tr>
      <w:tr>
        <w:trPr>
          <w:trHeight w:val="230"/>
        </w:trPr>
        <w:tc>
          <w:tcPr>
            <w:tcW w:w="8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30"/>
        </w:trPr>
        <w:tc>
          <w:tcPr>
            <w:tcW w:w="8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(84,800)</w:t>
            </w:r>
          </w:p>
        </w:tc>
      </w:tr>
      <w:tr>
        <w:trPr>
          <w:trHeight w:val="229"/>
        </w:trPr>
        <w:tc>
          <w:tcPr>
            <w:tcW w:w="8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46,500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98,950</w:t>
            </w:r>
          </w:p>
        </w:tc>
      </w:tr>
      <w:tr>
        <w:trPr>
          <w:trHeight w:val="230"/>
        </w:trPr>
        <w:tc>
          <w:tcPr>
            <w:tcW w:w="8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28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12,000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8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(3,078)</w:t>
            </w:r>
          </w:p>
        </w:tc>
      </w:tr>
      <w:tr>
        <w:trPr>
          <w:trHeight w:val="230"/>
        </w:trPr>
        <w:tc>
          <w:tcPr>
            <w:tcW w:w="82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857</w:t>
            </w:r>
          </w:p>
        </w:tc>
      </w:tr>
      <w:tr>
        <w:trPr>
          <w:trHeight w:val="223"/>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42,646</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14,929</w:t>
            </w:r>
          </w:p>
        </w:tc>
      </w:tr>
      <w:tr>
        <w:trPr>
          <w:trHeight w:val="230"/>
        </w:trPr>
        <w:tc>
          <w:tcPr>
            <w:tcW w:w="8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30"/>
        </w:trPr>
        <w:tc>
          <w:tcPr>
            <w:tcW w:w="8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Proceeds from the issuance of common stock under ESPP</w:t>
            </w:r>
          </w:p>
        </w:tc>
        <w:tc>
          <w:tcPr>
            <w:tcW w:w="28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8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Proceeds from the issuance of common stock under ATM equity offering program, net of issuance costs</w:t>
            </w: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40,152</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40,296</w:t>
            </w:r>
          </w:p>
        </w:tc>
      </w:tr>
      <w:tr>
        <w:trPr>
          <w:trHeight w:val="230"/>
        </w:trPr>
        <w:tc>
          <w:tcPr>
            <w:tcW w:w="8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45,627</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59,444</w:t>
            </w:r>
          </w:p>
        </w:tc>
      </w:tr>
      <w:tr>
        <w:trPr>
          <w:trHeight w:val="263"/>
        </w:trPr>
        <w:tc>
          <w:tcPr>
            <w:tcW w:w="8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43,063</w:t>
            </w:r>
          </w:p>
        </w:tc>
        <w:tc>
          <w:tcPr>
            <w:tcW w:w="16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59,517</w:t>
            </w:r>
          </w:p>
        </w:tc>
      </w:tr>
      <w:tr>
        <w:trPr>
          <w:trHeight w:val="210"/>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arising from obtaining ROU assets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171</w:t>
            </w:r>
          </w:p>
        </w:tc>
        <w:tc>
          <w:tcPr>
            <w:tcW w:w="4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126</w:t>
            </w:r>
          </w:p>
        </w:tc>
      </w:tr>
      <w:tr>
        <w:trPr>
          <w:trHeight w:val="229"/>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Remeasurement of lease liabilities arising from modification of ROU assets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Assembly Biosciences, Inc. (together with its subsidiaries, Assembly or the Company), incorporated in Delaware in October 2005, is a clinical-stage biotechnology company advancing a novel class of oral therapeutic candidates for the treatment of chronic hepatitis B virus (HBV) infection and other viral diseases. The Company operates in one segment and is headquartered in South San Francisco, California, with operations in California and China.</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research and development programs are pursuing multiple drug candidates that inhibit the HBV replication cycle and block the generation of covalently closed circular DNA (cccDNA), with the aim of discovering and developing finite and curative therapies for patients with HBV. The Company has discovered several novel core inhibitors, which are small molecules that directly target and allosterically modify the HBV core (HBc) protein in a way that affects assembly and stability of HBV nucleocapsids and is currently advancing early-stage programs evaluating (1) a novel small molecule approach to inhibit entry for both HBV and hepatitis delta viruses (HDV), (2) a novel, small molecule interferon-α receptor (IFNAR) agonist designed to selectively activate the interferon-α pathway within the liver and offer the convenience of oral dosing and (3) two additional undisclosed viral targets.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not derived any revenue from product sales to date and currently has no approved products. Once a product has been developed, it will need to be approved for sale by the U.S. Food and Drug Administration or an applicable foreign regulatory agency. Since inception, the Company’s operations have been financed primarily through the sale of equity securities, proceeds from the exercise of warrants and stock options, issuance of debt, and upfront payments related to collaboration agreements. The Company has incurred losses from operations since inception and expects to continue to incur substantial losses for the next several years as it continues its product development efforts. Management believes the Company currently has sufficient funds to meet its operating requirements for at least the next twelve months following the date these unaudited condensed consolidated financial statements are issued. If the Company cannot generate significant cash from its operations, it intends to obtain any additional funding it requires through strategic relationships, public or private equity or debt financings, grants or other arrangements. The Company cannot assure such funding will be available on reasonable terms, if at all. Market volatility resulting from the global novel coronavirus disease (COVID-19) pandemic or other factors could also adversely impact the Company’s ability to access capital when and as needed.</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is unable to generate enough revenue from its collaborations, secure additional sources of funding or receive full and timely collections of amounts due, it may be necessary to significantly reduce the current rate of spending through reductions in staff and delaying, scaling back, or stopping certain research and development programs, including more costly clinical trials.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subsidiaries. All intercompany balances and transactions have been eliminated in consolidation.</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Rule 10-01 of Regulation S-X of the SEC. In management’s opinion, the unaudited condensed consolidated financial statements have been prepared on the same basis as the annual audited consolidated financial statements and include normal recurring adjustments necessary for the fair presentation of the Company’s financial position and its results of operations and comprehensive loss and its cash flows for the periods presented. These statements do not include all disclosures required by U.S. GAAP and should be read in conjunction with the Company’s audited consolidated financial statements and accompanying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notes for the fiscal year ended December 31, 2021, which are contained in the 2021 Annual Report. The results for the three and six months ended June 30, 2022 are not necessarily indicative of results to be expected for the entire year ending December 31, 2022 or future operating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Estimates inherent in the preparation of the accompanying unaudited condensed consolidated financial statements include estimates of costs incurred but not yet invoiced for research and development accruals, recoverability and useful lives of our long-lived assets, amounts receivable under collaboration agreements, measurement of operating lease liabilities, and the fair value of stock options, stock appreciation rights, and RSUs granted to employees, directors, and consultants.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estimates could be affected by external conditions, including those unique to the Company and general economic conditions. It is reasonably possible these external factors could have an effect on the Company’s estimates and could cause actual results to differ materially from those estimates and assumptions.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and Uncertainties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2020, the World Health Organization declared the COVID-19 outbreak a pandemic. The ongoing COVID-19 pandemic and its broad, global impacts, including supply chain disruptions, have impacted certain aspects of the Company’s business, including where and how the Company’s employees work in its labs and offices and how and when the Company’s nonclinical and clinical studies are conducted. Early in the pandemic, the Company’s clinical and nonclinical studies were largely unaffected, but as the pandemic has continued, its impacts have increased. Certain nonclinical animal studies and shipping of compounds necessary for the Company’s research programs have been delayed, and conduct of Study 203, which is currently in the process of being closed, has also been impacted by the shutdowns occurring in the first half of 2022 in China.</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relies on contract research organizations (CROs), some of which are in China and India, and these CROs have experienced pandemic-related impacts from time to time. The Company cannot at this time predict the specific extent, duration, or full impact the COVID-19 pandemic will have on its business, operations, strategy, prospects and financial condition and results. The impact of the COVID-19 pandemic on the Company’s financial performance will depend on future developments, including the duration and spread of the outbreak and related governmental advisories and restrictions. These developments and the impact of the COVID-19 pandemic on the financial markets and the overall economy are highly uncertain. If the financial markets and/or the overall economy continue to be impacted for an extended period, the Company’s results may be adversely affected.</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Company’s CROs in China and India, the Company also contracts with a CRO in Ukraine, which shut down operations due to Russia’s invasion of Ukraine. Though this CRO has resumed operations, the Company has reallocated certain work to other global CROs incase the CRO shuts down operations again.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January 1, 2022, a provision of the Tax Cuts and Jobs Act (TCJA) took effect creating a significant change to the treatment of research and experimental expenditures under Section 174 of the IRC (Sec. 174 expenses). Historically, businesses have had the option of deducting Sec. 174 expenses in the year incurred or capitalizing and amortizing the costs over five years. The new TCJA provision, however, eliminates this option and will require Sec. 174 expenses associated with research conducted in the U.S to be capitalized and amortized over a five-year period. For expenses associated with research outside of the United States, Sec. 174 expenses will be capitalized and amortized over a 15-year period. This provision is not expected to have a significant impact to the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loss per share of common stock excludes dilution and is computed by dividing net loss by the weighted average number of shares of common stock outstanding during the period. Diluted net loss per share of common stock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numerators and the denominators of the basic and diluted net loss per common share computations is as follows (in thousands, except per share amounts):</w:t>
      </w:r>
    </w:p>
    <w:p>
      <w:pPr>
        <w:sectPr>
          <w:pgSz w:w="11900" w:h="16838" w:orient="portrait"/>
          <w:cols w:equalWidth="0" w:num="1">
            <w:col w:w="11240"/>
          </w:cols>
          <w:pgMar w:left="320" w:top="509" w:right="339" w:bottom="1440" w:gutter="0" w:footer="0" w:header="0"/>
        </w:sectPr>
      </w:pPr>
    </w:p>
    <w:p>
      <w:pPr>
        <w:spacing w:after="0" w:line="155"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7620</wp:posOffset>
            </wp:positionV>
            <wp:extent cx="1688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49" w:lineRule="exact"/>
        <w:rPr>
          <w:sz w:val="20"/>
          <w:szCs w:val="20"/>
          <w:color w:val="auto"/>
        </w:rPr>
      </w:pPr>
    </w:p>
    <w:p>
      <w:pPr>
        <w:ind w:left="5240"/>
        <w:spacing w:after="0"/>
        <w:tabs>
          <w:tab w:leader="none" w:pos="65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7620</wp:posOffset>
            </wp:positionV>
            <wp:extent cx="19462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46275" cy="8255"/>
                    </a:xfrm>
                    <a:prstGeom prst="rect">
                      <a:avLst/>
                    </a:prstGeom>
                    <a:noFill/>
                  </pic:spPr>
                </pic:pic>
              </a:graphicData>
            </a:graphic>
          </wp:anchor>
        </w:drawing>
      </w:r>
    </w:p>
    <w:p>
      <w:pPr>
        <w:spacing w:after="0" w:line="49"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12" w:lineRule="exact"/>
        <w:rPr>
          <w:sz w:val="20"/>
          <w:szCs w:val="20"/>
          <w:color w:val="auto"/>
        </w:rPr>
      </w:pPr>
    </w:p>
    <w:p>
      <w:pPr>
        <w:sectPr>
          <w:pgSz w:w="11900" w:h="16838" w:orient="portrait"/>
          <w:cols w:equalWidth="0" w:num="2">
            <w:col w:w="7320" w:space="720"/>
            <w:col w:w="3200"/>
          </w:cols>
          <w:pgMar w:left="320" w:top="509" w:right="339" w:bottom="1440" w:gutter="0" w:footer="0" w:header="0"/>
          <w:type w:val="continuous"/>
        </w:sectPr>
      </w:pPr>
    </w:p>
    <w:tbl>
      <w:tblPr>
        <w:tblLayout w:type="fixed"/>
        <w:tblInd w:w="560" w:type="dxa"/>
        <w:tblCellMar>
          <w:top w:w="0" w:type="dxa"/>
          <w:left w:w="0" w:type="dxa"/>
          <w:bottom w:w="0" w:type="dxa"/>
          <w:right w:w="0" w:type="dxa"/>
        </w:tblCellMar>
      </w:tblPr>
      <w:tr>
        <w:trPr>
          <w:trHeight w:val="223"/>
        </w:trPr>
        <w:tc>
          <w:tcPr>
            <w:tcW w:w="4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(24,461)</w:t>
            </w: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(23,595)</w:t>
            </w:r>
          </w:p>
        </w:tc>
        <w:tc>
          <w:tcPr>
            <w:tcW w:w="18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(47,552)</w:t>
            </w:r>
          </w:p>
        </w:tc>
        <w:tc>
          <w:tcPr>
            <w:tcW w:w="4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(50,795)</w:t>
            </w:r>
          </w:p>
        </w:tc>
        <w:tc>
          <w:tcPr>
            <w:tcW w:w="0" w:type="dxa"/>
            <w:vAlign w:val="bottom"/>
          </w:tcPr>
          <w:p>
            <w:pPr>
              <w:spacing w:after="0"/>
              <w:rPr>
                <w:sz w:val="1"/>
                <w:szCs w:val="1"/>
                <w:color w:val="auto"/>
              </w:rPr>
            </w:pPr>
          </w:p>
        </w:tc>
      </w:tr>
      <w:tr>
        <w:trPr>
          <w:trHeight w:val="210"/>
        </w:trPr>
        <w:tc>
          <w:tcPr>
            <w:tcW w:w="4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and</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pre-funded warrants outstanding - basic and diluted</w:t>
            </w:r>
          </w:p>
        </w:tc>
        <w:tc>
          <w:tcPr>
            <w:tcW w:w="240" w:type="dxa"/>
            <w:vAlign w:val="bottom"/>
          </w:tcPr>
          <w:p>
            <w:pPr>
              <w:spacing w:after="0"/>
              <w:rPr>
                <w:sz w:val="18"/>
                <w:szCs w:val="18"/>
                <w:color w:val="auto"/>
              </w:rPr>
            </w:pPr>
          </w:p>
        </w:tc>
        <w:tc>
          <w:tcPr>
            <w:tcW w:w="10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48,293,495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42,876,268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48,208,735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41,286,831</w:t>
            </w:r>
          </w:p>
        </w:tc>
        <w:tc>
          <w:tcPr>
            <w:tcW w:w="0" w:type="dxa"/>
            <w:vAlign w:val="bottom"/>
          </w:tcPr>
          <w:p>
            <w:pPr>
              <w:spacing w:after="0"/>
              <w:rPr>
                <w:sz w:val="1"/>
                <w:szCs w:val="1"/>
                <w:color w:val="auto"/>
              </w:rPr>
            </w:pPr>
          </w:p>
        </w:tc>
      </w:tr>
      <w:tr>
        <w:trPr>
          <w:trHeight w:val="246"/>
        </w:trPr>
        <w:tc>
          <w:tcPr>
            <w:tcW w:w="42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 xml:space="preserve">(1) </w:t>
      </w:r>
      <w:r>
        <w:rPr>
          <w:rFonts w:ascii="Times New Roman" w:cs="Times New Roman" w:eastAsia="Times New Roman" w:hAnsi="Times New Roman"/>
          <w:sz w:val="17"/>
          <w:szCs w:val="17"/>
          <w:color w:val="auto"/>
        </w:rPr>
        <w:t>All pre-funded warrants were exercised in 2021.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excluded from the computation of diluted net loss per share because including them would have been antidilutive are as follows:</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2280" w:type="dxa"/>
            <w:vAlign w:val="bottom"/>
            <w:tcBorders>
              <w:bottom w:val="single" w:sz="8" w:color="auto"/>
            </w:tcBorders>
            <w:gridSpan w:val="3"/>
          </w:tcPr>
          <w:p>
            <w:pPr>
              <w:ind w:left="14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20" w:type="dxa"/>
            <w:vAlign w:val="bottom"/>
            <w:tcBorders>
              <w:bottom w:val="single" w:sz="8" w:color="auto"/>
            </w:tcBorders>
          </w:tcPr>
          <w:p>
            <w:pPr>
              <w:spacing w:after="0"/>
              <w:rPr>
                <w:sz w:val="15"/>
                <w:szCs w:val="15"/>
                <w:color w:val="auto"/>
              </w:rPr>
            </w:pPr>
          </w:p>
        </w:tc>
      </w:tr>
      <w:tr>
        <w:trPr>
          <w:trHeight w:val="223"/>
        </w:trPr>
        <w:tc>
          <w:tcPr>
            <w:tcW w:w="6500" w:type="dxa"/>
            <w:vAlign w:val="bottom"/>
            <w:tcBorders>
              <w:bottom w:val="single" w:sz="8" w:color="CFF0FC"/>
            </w:tcBorders>
          </w:tcPr>
          <w:p>
            <w:pPr>
              <w:spacing w:after="0"/>
              <w:rPr>
                <w:sz w:val="19"/>
                <w:szCs w:val="19"/>
                <w:color w:val="auto"/>
              </w:rPr>
            </w:pPr>
          </w:p>
        </w:tc>
        <w:tc>
          <w:tcPr>
            <w:tcW w:w="16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6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7,370,204</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6,538,401</w:t>
            </w:r>
          </w:p>
        </w:tc>
      </w:tr>
      <w:tr>
        <w:trPr>
          <w:trHeight w:val="229"/>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subject to purchase under ESPP</w:t>
            </w:r>
          </w:p>
        </w:tc>
        <w:tc>
          <w:tcPr>
            <w:tcW w:w="1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92,555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40,690</w:t>
            </w:r>
          </w:p>
        </w:tc>
      </w:tr>
      <w:tr>
        <w:trPr>
          <w:trHeight w:val="23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16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1,516,609</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607,788</w:t>
            </w:r>
          </w:p>
        </w:tc>
      </w:tr>
      <w:tr>
        <w:trPr>
          <w:trHeight w:val="22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8,979,368</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7,186,879</w:t>
            </w:r>
          </w:p>
        </w:tc>
      </w:tr>
      <w:tr>
        <w:trPr>
          <w:trHeight w:val="20"/>
        </w:trPr>
        <w:tc>
          <w:tcPr>
            <w:tcW w:w="65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 and Investments in Marketable Securities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amounts of cash equivalents and marketable securities approximate their fair value based upon quoted market prices. Certain of the Company’s financial instruments are not measured at fair value on a recurring basis, but are recorded at amounts that approximate their fair value due to their liquid or short-term nature, such as cash, accounts receivable, accounts payable and accrued expenses.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uses the following three-level hierarchy that maximizes the use of observable inputs and minimizes the use of unobservable inputs to value its financial instruments: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Observable inputs such as unadjusted quoted prices in active markets for identical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Quoted prices for similar instruments that are directly or indirectly observable in the marketplace.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3: Significant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Investments in marketable securities consisted of the following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980" w:type="dxa"/>
            <w:vAlign w:val="bottom"/>
          </w:tcPr>
          <w:p>
            <w:pPr>
              <w:jc w:val="center"/>
              <w:ind w:left="221"/>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80" w:type="dxa"/>
            <w:vAlign w:val="bottom"/>
          </w:tcPr>
          <w:p>
            <w:pPr>
              <w:jc w:val="center"/>
              <w:ind w:left="20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18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80" w:type="dxa"/>
            <w:vAlign w:val="bottom"/>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Gain</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market fund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39,718</w:t>
            </w:r>
          </w:p>
        </w:tc>
        <w:tc>
          <w:tcPr>
            <w:tcW w:w="120" w:type="dxa"/>
            <w:vAlign w:val="bottom"/>
          </w:tcPr>
          <w:p>
            <w:pPr>
              <w:spacing w:after="0"/>
              <w:rPr>
                <w:sz w:val="19"/>
                <w:szCs w:val="19"/>
                <w:color w:val="auto"/>
              </w:rPr>
            </w:pP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39,718</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39,718</w:t>
            </w: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39,718</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and foreign corporate debt securities</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15,736</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15,410</w:t>
            </w:r>
          </w:p>
        </w:tc>
        <w:tc>
          <w:tcPr>
            <w:tcW w:w="0" w:type="dxa"/>
            <w:vAlign w:val="bottom"/>
          </w:tcPr>
          <w:p>
            <w:pPr>
              <w:spacing w:after="0"/>
              <w:rPr>
                <w:sz w:val="1"/>
                <w:szCs w:val="1"/>
                <w:color w:val="auto"/>
              </w:rPr>
            </w:pPr>
          </w:p>
        </w:tc>
      </w:tr>
      <w:tr>
        <w:trPr>
          <w:trHeight w:val="229"/>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16,882</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16,822</w:t>
            </w: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and foreign commercial paper</w:t>
            </w: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41,395</w:t>
            </w:r>
          </w:p>
        </w:tc>
        <w:tc>
          <w:tcPr>
            <w:tcW w:w="1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41,394</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74,013</w:t>
            </w:r>
          </w:p>
        </w:tc>
        <w:tc>
          <w:tcPr>
            <w:tcW w:w="1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73,626</w:t>
            </w: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and foreign corporate debt securities</w:t>
            </w:r>
          </w:p>
        </w:tc>
        <w:tc>
          <w:tcPr>
            <w:tcW w:w="20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3,273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3,178</w:t>
            </w: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8,973</w:t>
            </w:r>
          </w:p>
        </w:tc>
        <w:tc>
          <w:tcPr>
            <w:tcW w:w="1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8,730</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long-term marketable securities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12,246</w:t>
            </w:r>
          </w:p>
        </w:tc>
        <w:tc>
          <w:tcPr>
            <w:tcW w:w="1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11,908</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125,977</w:t>
            </w:r>
          </w:p>
        </w:tc>
        <w:tc>
          <w:tcPr>
            <w:tcW w:w="1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0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125,252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980" w:type="dxa"/>
            <w:vAlign w:val="bottom"/>
          </w:tcPr>
          <w:p>
            <w:pPr>
              <w:jc w:val="center"/>
              <w:ind w:left="221"/>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80" w:type="dxa"/>
            <w:vAlign w:val="bottom"/>
          </w:tcPr>
          <w:p>
            <w:pPr>
              <w:jc w:val="center"/>
              <w:ind w:left="20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18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80" w:type="dxa"/>
            <w:vAlign w:val="bottom"/>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Gain</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market fund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42,507</w:t>
            </w:r>
          </w:p>
        </w:tc>
        <w:tc>
          <w:tcPr>
            <w:tcW w:w="120" w:type="dxa"/>
            <w:vAlign w:val="bottom"/>
          </w:tcPr>
          <w:p>
            <w:pPr>
              <w:spacing w:after="0"/>
              <w:rPr>
                <w:sz w:val="19"/>
                <w:szCs w:val="19"/>
                <w:color w:val="auto"/>
              </w:rPr>
            </w:pP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42,507</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42,507</w:t>
            </w: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42,507</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and foreign corporate debt securities</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7,015</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7,013</w:t>
            </w:r>
          </w:p>
        </w:tc>
        <w:tc>
          <w:tcPr>
            <w:tcW w:w="0" w:type="dxa"/>
            <w:vAlign w:val="bottom"/>
          </w:tcPr>
          <w:p>
            <w:pPr>
              <w:spacing w:after="0"/>
              <w:rPr>
                <w:sz w:val="1"/>
                <w:szCs w:val="1"/>
                <w:color w:val="auto"/>
              </w:rPr>
            </w:pPr>
          </w:p>
        </w:tc>
      </w:tr>
      <w:tr>
        <w:trPr>
          <w:trHeight w:val="229"/>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29,097</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29,059</w:t>
            </w: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and foreign commercial paper</w:t>
            </w: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64,929</w:t>
            </w:r>
          </w:p>
        </w:tc>
        <w:tc>
          <w:tcPr>
            <w:tcW w:w="1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64,928</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101,041</w:t>
            </w:r>
          </w:p>
        </w:tc>
        <w:tc>
          <w:tcPr>
            <w:tcW w:w="1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101,000</w:t>
            </w: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and foreign corporate debt securities</w:t>
            </w:r>
          </w:p>
        </w:tc>
        <w:tc>
          <w:tcPr>
            <w:tcW w:w="20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19,117</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19,043</w:t>
            </w: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8,960</w:t>
            </w:r>
          </w:p>
        </w:tc>
        <w:tc>
          <w:tcPr>
            <w:tcW w:w="1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8,929</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long-term marketable securities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28,077</w:t>
            </w:r>
          </w:p>
        </w:tc>
        <w:tc>
          <w:tcPr>
            <w:tcW w:w="1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27,972</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171,625</w:t>
            </w:r>
          </w:p>
        </w:tc>
        <w:tc>
          <w:tcPr>
            <w:tcW w:w="1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0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171,479</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Short-term marketable securities held as of June 30, 2022 had contractual maturities of less than one year. Long-term marketable securities held as of June 30, 2022 had contractual maturities of at least one year but less than two years.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Realized gains and losses for the three and six months ended June 30, 2022 and 2021 were not significant. None of the Company’s investments have been in a continuous unrealized loss position for more than 12 months as of June 30,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following tables present the fair value of the Company’s financial assets measured at fair value on a recurring basis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56"/>
        </w:trPr>
        <w:tc>
          <w:tcPr>
            <w:tcW w:w="5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3"/>
                <w:szCs w:val="13"/>
                <w:color w:val="auto"/>
              </w:rPr>
            </w:pPr>
          </w:p>
        </w:tc>
        <w:tc>
          <w:tcPr>
            <w:tcW w:w="1120" w:type="dxa"/>
            <w:vAlign w:val="bottom"/>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3"/>
                <w:szCs w:val="13"/>
                <w:color w:val="auto"/>
              </w:rPr>
            </w:pPr>
          </w:p>
        </w:tc>
        <w:tc>
          <w:tcPr>
            <w:tcW w:w="960" w:type="dxa"/>
            <w:vAlign w:val="bottom"/>
          </w:tcPr>
          <w:p>
            <w:pPr>
              <w:jc w:val="right"/>
              <w:ind w:right="19"/>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r>
      <w:tr>
        <w:trPr>
          <w:trHeight w:val="230"/>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market fund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39,718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39,718</w:t>
            </w: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39,718</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39,718</w:t>
            </w: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and foreign corporate debt securities</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15,410</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15,410</w:t>
            </w:r>
          </w:p>
        </w:tc>
      </w:tr>
      <w:tr>
        <w:trPr>
          <w:trHeight w:val="230"/>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16,822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16,822</w:t>
            </w:r>
          </w:p>
        </w:tc>
      </w:tr>
      <w:tr>
        <w:trPr>
          <w:trHeight w:val="229"/>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and foreign commercial paper</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41,394</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41,394</w:t>
            </w:r>
          </w:p>
        </w:tc>
      </w:tr>
      <w:tr>
        <w:trPr>
          <w:trHeight w:val="223"/>
        </w:trPr>
        <w:tc>
          <w:tcPr>
            <w:tcW w:w="5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73,626</w:t>
            </w:r>
          </w:p>
        </w:tc>
        <w:tc>
          <w:tcPr>
            <w:tcW w:w="1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73,626</w:t>
            </w:r>
          </w:p>
        </w:tc>
      </w:tr>
      <w:tr>
        <w:trPr>
          <w:trHeight w:val="22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30"/>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and foreign corporate debt securities</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3,178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3,178</w:t>
            </w:r>
          </w:p>
        </w:tc>
      </w:tr>
      <w:tr>
        <w:trPr>
          <w:trHeight w:val="229"/>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8,730</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8,730</w:t>
            </w:r>
          </w:p>
        </w:tc>
      </w:tr>
      <w:tr>
        <w:trPr>
          <w:trHeight w:val="223"/>
        </w:trPr>
        <w:tc>
          <w:tcPr>
            <w:tcW w:w="5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long-term marketable securities</w:t>
            </w: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11,908</w:t>
            </w:r>
          </w:p>
        </w:tc>
        <w:tc>
          <w:tcPr>
            <w:tcW w:w="1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11,908</w:t>
            </w:r>
          </w:p>
        </w:tc>
      </w:tr>
      <w:tr>
        <w:trPr>
          <w:trHeight w:val="223"/>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39,718</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85,534</w:t>
            </w:r>
          </w:p>
        </w:tc>
        <w:tc>
          <w:tcPr>
            <w:tcW w:w="1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125,252</w:t>
            </w: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53"/>
        </w:trPr>
        <w:tc>
          <w:tcPr>
            <w:tcW w:w="5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55"/>
        </w:trPr>
        <w:tc>
          <w:tcPr>
            <w:tcW w:w="5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3"/>
                <w:szCs w:val="13"/>
                <w:color w:val="auto"/>
              </w:rPr>
            </w:pPr>
          </w:p>
        </w:tc>
        <w:tc>
          <w:tcPr>
            <w:tcW w:w="1120" w:type="dxa"/>
            <w:vAlign w:val="bottom"/>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3"/>
                <w:szCs w:val="13"/>
                <w:color w:val="auto"/>
              </w:rPr>
            </w:pPr>
          </w:p>
        </w:tc>
        <w:tc>
          <w:tcPr>
            <w:tcW w:w="960" w:type="dxa"/>
            <w:vAlign w:val="bottom"/>
          </w:tcPr>
          <w:p>
            <w:pPr>
              <w:jc w:val="right"/>
              <w:ind w:right="19"/>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r>
      <w:tr>
        <w:trPr>
          <w:trHeight w:val="229"/>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market fund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42,507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42,507</w:t>
            </w: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42,507</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42,507</w:t>
            </w: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and foreign corporate debt securities</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7,013</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7,013</w:t>
            </w:r>
          </w:p>
        </w:tc>
      </w:tr>
      <w:tr>
        <w:trPr>
          <w:trHeight w:val="229"/>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29,059</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29,059</w:t>
            </w:r>
          </w:p>
        </w:tc>
      </w:tr>
      <w:tr>
        <w:trPr>
          <w:trHeight w:val="230"/>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and foreign commercial paper</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64,928</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64,928</w:t>
            </w:r>
          </w:p>
        </w:tc>
      </w:tr>
      <w:tr>
        <w:trPr>
          <w:trHeight w:val="223"/>
        </w:trPr>
        <w:tc>
          <w:tcPr>
            <w:tcW w:w="5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101,000</w:t>
            </w:r>
          </w:p>
        </w:tc>
        <w:tc>
          <w:tcPr>
            <w:tcW w:w="1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101,000</w:t>
            </w:r>
          </w:p>
        </w:tc>
      </w:tr>
      <w:tr>
        <w:trPr>
          <w:trHeight w:val="22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29"/>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and foreign corporate debt securities</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19,043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19,043</w:t>
            </w:r>
          </w:p>
        </w:tc>
      </w:tr>
      <w:tr>
        <w:trPr>
          <w:trHeight w:val="230"/>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8,929</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8,929</w:t>
            </w:r>
          </w:p>
        </w:tc>
      </w:tr>
      <w:tr>
        <w:trPr>
          <w:trHeight w:val="223"/>
        </w:trPr>
        <w:tc>
          <w:tcPr>
            <w:tcW w:w="5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long-term marketable securities</w:t>
            </w: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27,972</w:t>
            </w:r>
          </w:p>
        </w:tc>
        <w:tc>
          <w:tcPr>
            <w:tcW w:w="1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27,972</w:t>
            </w:r>
          </w:p>
        </w:tc>
      </w:tr>
      <w:tr>
        <w:trPr>
          <w:trHeight w:val="223"/>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42,507</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128,972</w:t>
            </w:r>
          </w:p>
        </w:tc>
        <w:tc>
          <w:tcPr>
            <w:tcW w:w="1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171,479</w:t>
            </w: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its investments in marketable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during the periods presented.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Other Accrued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expenses consist of the following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78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6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compensation</w:t>
            </w:r>
          </w:p>
        </w:tc>
        <w:tc>
          <w:tcPr>
            <w:tcW w:w="3780" w:type="dxa"/>
            <w:vAlign w:val="bottom"/>
            <w:gridSpan w:val="2"/>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4,406</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6,426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professional fees and other</w:t>
            </w:r>
          </w:p>
        </w:tc>
        <w:tc>
          <w:tcPr>
            <w:tcW w:w="264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437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640" w:type="dxa"/>
            <w:vAlign w:val="bottom"/>
          </w:tcPr>
          <w:p>
            <w:pPr>
              <w:spacing w:after="0"/>
              <w:rPr>
                <w:sz w:val="19"/>
                <w:szCs w:val="19"/>
                <w:color w:val="auto"/>
              </w:rPr>
            </w:pPr>
          </w:p>
        </w:tc>
        <w:tc>
          <w:tcPr>
            <w:tcW w:w="114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4,750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6,863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40" w:type="dxa"/>
            <w:vAlign w:val="bottom"/>
            <w:vMerge w:val="restart"/>
          </w:tcPr>
          <w:p>
            <w:pPr>
              <w:jc w:val="right"/>
              <w:ind w:right="1316"/>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5 – Sale of Common Stock</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2020, the Company filed a shelf registration statement on Form S-3 with the SEC, File No. 333-248469, that became effective on September 4, 2020 (the 2020 Registration Statement). The Company may from time to time sell any combination of the securities described in the 2020 Registration Statement in one or more offerings up to an aggregate offering price of $300.0 million. In connection with the filing of the 2020 Registration Statement, the Company entered into a sales agreement under which the Company may offer and sell shares of its common stock having an aggregate offering price of up to $100.0 million through “at-the-market” offerings (2020 ATM), which shares are included in the $300.0 million of securities registered pursuant to the 2020 Registration Statement. The Company did not sell any shares of common stock under the 2020 ATM during the six months ended June 30, 2022. During the six months ended June 30, 2021, the Company sold 7,449,901 shares of common stock under the 2020 ATM, for which the Company received net proceeds of $40.2 million, after deducting commissions, fees and expenses.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 Plans and Stock-Based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2022, the Company’s stockholders approved an amendment to the Assembly Biosciences, Inc. 2018 Stock Incentive Plan (2018 Plan) that increased the aggregate number of shares of common stock reserved under the 2018 Plan to 8,600,000 and an amendment and restatement to the Fifth Amended and Restated Certificate of Incorporation to increase the authorized number of shares of common stock to 150,000,000.</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2022, the Company had awards outstanding under the following shareholder-approved plans: the 2010 Equity Incentive Plan (the 2010 Plan), which has been frozen; the Amended and Restated 2014 Stock Incentive Plan (the 2014 Plan); and the 2018 Plan. Shares of common stock underlying awards that are forfeited under the 2010 Plan on or after June 2, 2016 will become available for issuance under the 2014 Plan. As of June 30, 2022, the Company also had awards outstanding under the Assembly Biosciences, Inc. 2017 Inducement Award Plan, the Assembly Biosciences, Inc. 2019 Inducement Award Plan and the Assembly Biosciences, Inc. 2020 Inducement Award Plan.</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issues new shares of common stock to settle options exercised and vested RSUs. The Company also issues new shares of common stock in connection with purchases of shares of common stock by eligible employees under the Company’s Amended and Restated Assembly Biosciences, Inc. 2018 Employee Stock Purchase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Plan Activity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option activity and related information for the six months ended June 30, 2022 is as follows:</w:t>
      </w:r>
    </w:p>
    <w:p>
      <w:pPr>
        <w:spacing w:after="0" w:line="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20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2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20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6,161,901</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11.77</w:t>
            </w:r>
          </w:p>
        </w:tc>
        <w:tc>
          <w:tcPr>
            <w:tcW w:w="16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1,736,150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(527,847)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18.08</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as of June 30, 2022</w:t>
            </w: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7,370,204</w:t>
            </w:r>
          </w:p>
        </w:tc>
        <w:tc>
          <w:tcPr>
            <w:tcW w:w="30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tcPr>
          <w:p>
            <w:pPr>
              <w:jc w:val="right"/>
              <w:ind w:right="19"/>
              <w:spacing w:after="0"/>
              <w:rPr>
                <w:sz w:val="20"/>
                <w:szCs w:val="20"/>
                <w:color w:val="auto"/>
              </w:rPr>
            </w:pPr>
            <w:r>
              <w:rPr>
                <w:rFonts w:ascii="Times New Roman" w:cs="Times New Roman" w:eastAsia="Times New Roman" w:hAnsi="Times New Roman"/>
                <w:sz w:val="18"/>
                <w:szCs w:val="18"/>
                <w:color w:val="auto"/>
              </w:rPr>
              <w:t>9.07</w:t>
            </w:r>
          </w:p>
        </w:tc>
        <w:tc>
          <w:tcPr>
            <w:tcW w:w="16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jc w:val="right"/>
              <w:ind w:right="22"/>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vested and exercisable as of June 30, 2022</w:t>
            </w:r>
          </w:p>
        </w:tc>
        <w:tc>
          <w:tcPr>
            <w:tcW w:w="12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4,126,895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12.05</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grant-date fair value of options granted was $1.57 and $3.12 during the six months ended June 30, 2022 and 2021,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options exercised during the three and six months ended June 30, 2022 or 2021.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RSUs and related information for the six months ended June 30, 2022 is as follows:</w:t>
      </w:r>
    </w:p>
    <w:p>
      <w:pPr>
        <w:spacing w:after="0" w:line="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2"/>
                <w:szCs w:val="12"/>
                <w:color w:val="auto"/>
              </w:rPr>
            </w:pPr>
          </w:p>
        </w:tc>
        <w:tc>
          <w:tcPr>
            <w:tcW w:w="1500" w:type="dxa"/>
            <w:vAlign w:val="bottom"/>
          </w:tcPr>
          <w:p>
            <w:pPr>
              <w:jc w:val="center"/>
              <w:ind w:right="258"/>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258"/>
              <w:spacing w:after="0" w:line="149" w:lineRule="exact"/>
              <w:rPr>
                <w:sz w:val="20"/>
                <w:szCs w:val="20"/>
                <w:color w:val="auto"/>
              </w:rPr>
            </w:pPr>
            <w:r>
              <w:rPr>
                <w:rFonts w:ascii="Times New Roman" w:cs="Times New Roman" w:eastAsia="Times New Roman" w:hAnsi="Times New Roman"/>
                <w:sz w:val="14"/>
                <w:szCs w:val="14"/>
                <w:b w:val="1"/>
                <w:bCs w:val="1"/>
                <w:color w:val="auto"/>
              </w:rPr>
              <w:t>Value Per RSU</w:t>
            </w:r>
          </w:p>
        </w:tc>
        <w:tc>
          <w:tcPr>
            <w:tcW w:w="0" w:type="dxa"/>
            <w:vAlign w:val="bottom"/>
          </w:tcPr>
          <w:p>
            <w:pPr>
              <w:spacing w:after="0"/>
              <w:rPr>
                <w:sz w:val="1"/>
                <w:szCs w:val="1"/>
                <w:color w:val="auto"/>
              </w:rPr>
            </w:pPr>
          </w:p>
        </w:tc>
      </w:tr>
      <w:tr>
        <w:trPr>
          <w:trHeight w:val="173"/>
        </w:trPr>
        <w:tc>
          <w:tcPr>
            <w:tcW w:w="6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of RSUs</w:t>
            </w:r>
          </w:p>
        </w:tc>
        <w:tc>
          <w:tcPr>
            <w:tcW w:w="200" w:type="dxa"/>
            <w:vAlign w:val="bottom"/>
          </w:tcPr>
          <w:p>
            <w:pPr>
              <w:spacing w:after="0"/>
              <w:rPr>
                <w:sz w:val="15"/>
                <w:szCs w:val="15"/>
                <w:color w:val="auto"/>
              </w:rPr>
            </w:pPr>
          </w:p>
        </w:tc>
        <w:tc>
          <w:tcPr>
            <w:tcW w:w="1500" w:type="dxa"/>
            <w:vAlign w:val="bottom"/>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at Grant Price</w:t>
            </w:r>
          </w:p>
        </w:tc>
        <w:tc>
          <w:tcPr>
            <w:tcW w:w="0" w:type="dxa"/>
            <w:vAlign w:val="bottom"/>
          </w:tcPr>
          <w:p>
            <w:pPr>
              <w:spacing w:after="0"/>
              <w:rPr>
                <w:sz w:val="1"/>
                <w:szCs w:val="1"/>
                <w:color w:val="auto"/>
              </w:rPr>
            </w:pPr>
          </w:p>
        </w:tc>
      </w:tr>
      <w:tr>
        <w:trPr>
          <w:trHeight w:val="223"/>
        </w:trPr>
        <w:tc>
          <w:tcPr>
            <w:tcW w:w="6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as of December 31, 2021</w:t>
            </w:r>
          </w:p>
        </w:tc>
        <w:tc>
          <w:tcPr>
            <w:tcW w:w="14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970,339</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29"/>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730,275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9"/>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(107,411)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(76,594)</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as of June 30, 2022</w:t>
            </w:r>
          </w:p>
        </w:tc>
        <w:tc>
          <w:tcPr>
            <w:tcW w:w="1800" w:type="dxa"/>
            <w:vAlign w:val="bottom"/>
            <w:tcBorders>
              <w:bottom w:val="single" w:sz="8" w:color="auto"/>
            </w:tcBorders>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1,516,609</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fair value of RSUs vested and settled during the six months ended June 30, 2022 and 2021 was $1.4 million and $2.8 million, respectively. The total intrinsic value of RSUs vested and settled during the six months ended June 30, 2022 and 2021 was $0.2 million and $0.7 million, respectively.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2019, the Company granted 100,000 RSUs with performance-based vesting conditions to its chief executive officer. On March 31, 2021, 25,000 of these awards were forfeited back to the Company due to the expiration of the time period to complete one of the performance conditions. On July 31, 2021, an additional 25,000 of these awards were forfeited back to the Company due to the expiration of the time period to complete one of the performance conditions. The outstanding 50,000 awards with an aggregate fair value of $0.4 million vest upon performance conditions not yet deemed probable. Accordingly, no stock-based compensation expense has been recognized as of June 30, 2022.</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2021, the Company granted a total of 324,214 RSUs with performance-based vesting conditions upon the achievement of clinical milestones to the majority of employees, including its executive officers. The awards had a grant date fair value of $1.2 million and vest upon performance conditions not yet deemed probable. Accordingly, no stock-based compensation expense has been recognized as of June 30, 2022.</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2022, the Company granted 255,000 RSUs with market-based vesting conditions to members of management, including its executive officers. The awards had a grant date fair value of $0.4 million and are being recognized over the derived service period of 1.5 years and vest upon the achievement of certain market-based conditions which have not been achieved as of June 30, 2022. The Company recognized stock-based compensation expense of $0.1 million for these RSUs during the three and six months ended June 30, 2022.</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ESPP</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Employees purchased 134,888 and 42,803 shares of common stock under the 2018 ESPP during the six months ended June 30, 2022 and 2021,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Assumptions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stock options granted or modified during the periods indicated was estimated using the Black-Scholes option pricing model, based on the following assumptions:</w:t>
      </w:r>
    </w:p>
    <w:p>
      <w:pPr>
        <w:spacing w:after="0" w:line="4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80" w:type="dxa"/>
            <w:vAlign w:val="bottom"/>
          </w:tcPr>
          <w:p>
            <w:pPr>
              <w:spacing w:after="0"/>
              <w:rPr>
                <w:sz w:val="15"/>
                <w:szCs w:val="15"/>
                <w:color w:val="auto"/>
              </w:rPr>
            </w:pPr>
          </w:p>
        </w:tc>
        <w:tc>
          <w:tcPr>
            <w:tcW w:w="18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00" w:type="dxa"/>
            <w:vAlign w:val="bottom"/>
          </w:tcPr>
          <w:p>
            <w:pPr>
              <w:spacing w:after="0"/>
              <w:rPr>
                <w:sz w:val="15"/>
                <w:szCs w:val="15"/>
                <w:color w:val="auto"/>
              </w:rPr>
            </w:pPr>
          </w:p>
        </w:tc>
      </w:tr>
      <w:tr>
        <w:trPr>
          <w:trHeight w:val="155"/>
        </w:trPr>
        <w:tc>
          <w:tcPr>
            <w:tcW w:w="3160" w:type="dxa"/>
            <w:vAlign w:val="bottom"/>
            <w:tcBorders>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gridSpan w:val="2"/>
          </w:tcPr>
          <w:p>
            <w:pPr>
              <w:jc w:val="right"/>
              <w:ind w:right="62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gridSpan w:val="2"/>
          </w:tcPr>
          <w:p>
            <w:pPr>
              <w:jc w:val="right"/>
              <w:ind w:right="619"/>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gridSpan w:val="2"/>
          </w:tcPr>
          <w:p>
            <w:pPr>
              <w:jc w:val="right"/>
              <w:ind w:right="62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gridSpan w:val="2"/>
          </w:tcPr>
          <w:p>
            <w:pPr>
              <w:jc w:val="right"/>
              <w:ind w:right="619"/>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9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 $2.06</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$4.16</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$2.45</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$5.79</w:t>
            </w: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- 81.7%</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- 88.9%</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- 81.7%</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- 91.2%</w:t>
            </w:r>
          </w:p>
        </w:tc>
      </w:tr>
      <w:tr>
        <w:trPr>
          <w:trHeight w:val="22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9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- 3.02%</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- 1.34%</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- 3.02%</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- 1.37%</w:t>
            </w: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- 7.5</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- 7.5</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- 7.5</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- 7.5</w:t>
            </w:r>
          </w:p>
        </w:tc>
      </w:tr>
      <w:tr>
        <w:trPr>
          <w:trHeight w:val="230"/>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80" w:type="dxa"/>
            <w:vAlign w:val="bottom"/>
            <w:gridSpan w:val="2"/>
            <w:shd w:val="clear" w:color="auto" w:fill="CFF0FC"/>
          </w:tcPr>
          <w:p>
            <w:pPr>
              <w:jc w:val="right"/>
              <w:ind w:right="641"/>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61"/>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rPr>
              <w:t>0%</w:t>
            </w: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 of RSUs granted is determined based on the price of the Company’s common stock on the date of grant. The fair value of market-based RSUs granted is determined using the Monte-Carlo simulation model.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ESPP purchase rights and stock appreciation rights was not material for any period presented.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total stock-based compensation expense included in the condensed consolidated statements of operations and comprehensive loss (in thousands):</w:t>
      </w:r>
    </w:p>
    <w:p>
      <w:pPr>
        <w:spacing w:after="0" w:line="4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240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2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3700" w:type="dxa"/>
            <w:vAlign w:val="bottom"/>
          </w:tcPr>
          <w:p>
            <w:pPr>
              <w:spacing w:after="0"/>
              <w:rPr>
                <w:sz w:val="13"/>
                <w:szCs w:val="13"/>
                <w:color w:val="auto"/>
              </w:rPr>
            </w:pPr>
          </w:p>
        </w:tc>
        <w:tc>
          <w:tcPr>
            <w:tcW w:w="840" w:type="dxa"/>
            <w:vAlign w:val="bottom"/>
          </w:tcPr>
          <w:p>
            <w:pPr>
              <w:ind w:left="50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3"/>
                <w:szCs w:val="13"/>
                <w:color w:val="auto"/>
              </w:rPr>
            </w:pPr>
          </w:p>
        </w:tc>
        <w:tc>
          <w:tcPr>
            <w:tcW w:w="10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3"/>
                <w:szCs w:val="13"/>
                <w:color w:val="auto"/>
              </w:rPr>
            </w:pPr>
          </w:p>
        </w:tc>
        <w:tc>
          <w:tcPr>
            <w:tcW w:w="10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tcBorders>
              <w:top w:val="single" w:sz="8" w:color="auto"/>
            </w:tcBorders>
            <w:shd w:val="clear" w:color="auto" w:fill="CFF0FC"/>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654</w:t>
            </w:r>
          </w:p>
        </w:tc>
        <w:tc>
          <w:tcPr>
            <w:tcW w:w="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743</w:t>
            </w: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1,431</w:t>
            </w:r>
          </w:p>
        </w:tc>
        <w:tc>
          <w:tcPr>
            <w:tcW w:w="1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30"/>
        </w:trPr>
        <w:tc>
          <w:tcPr>
            <w:tcW w:w="3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927</w:t>
            </w:r>
          </w:p>
        </w:tc>
        <w:tc>
          <w:tcPr>
            <w:tcW w:w="1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1,243</w:t>
            </w:r>
          </w:p>
        </w:tc>
        <w:tc>
          <w:tcPr>
            <w:tcW w:w="2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1,593</w:t>
            </w:r>
          </w:p>
        </w:tc>
        <w:tc>
          <w:tcPr>
            <w:tcW w:w="1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3,048</w:t>
            </w:r>
          </w:p>
        </w:tc>
        <w:tc>
          <w:tcPr>
            <w:tcW w:w="220" w:type="dxa"/>
            <w:vAlign w:val="bottom"/>
            <w:tcBorders>
              <w:bottom w:val="single" w:sz="8" w:color="CFF0FC"/>
            </w:tcBorders>
          </w:tcPr>
          <w:p>
            <w:pPr>
              <w:spacing w:after="0"/>
              <w:rPr>
                <w:sz w:val="19"/>
                <w:szCs w:val="19"/>
                <w:color w:val="auto"/>
              </w:rPr>
            </w:pPr>
          </w:p>
        </w:tc>
      </w:tr>
      <w:tr>
        <w:trPr>
          <w:trHeight w:val="223"/>
        </w:trPr>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40" w:type="dxa"/>
            <w:vAlign w:val="bottom"/>
            <w:tcBorders>
              <w:bottom w:val="single" w:sz="8" w:color="auto"/>
            </w:tcBorders>
            <w:shd w:val="clear" w:color="auto" w:fill="CFF0FC"/>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1,581</w:t>
            </w:r>
          </w:p>
        </w:tc>
        <w:tc>
          <w:tcPr>
            <w:tcW w:w="1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1,986</w:t>
            </w:r>
          </w:p>
        </w:tc>
        <w:tc>
          <w:tcPr>
            <w:tcW w:w="2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3,024</w:t>
            </w: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1,700</w:t>
            </w:r>
          </w:p>
        </w:tc>
        <w:tc>
          <w:tcPr>
            <w:tcW w:w="220" w:type="dxa"/>
            <w:vAlign w:val="bottom"/>
            <w:tcBorders>
              <w:bottom w:val="single" w:sz="8" w:color="CFF0FC"/>
            </w:tcBorders>
            <w:shd w:val="clear" w:color="auto" w:fill="CFF0FC"/>
          </w:tcPr>
          <w:p>
            <w:pPr>
              <w:spacing w:after="0"/>
              <w:rPr>
                <w:sz w:val="19"/>
                <w:szCs w:val="19"/>
                <w:color w:val="auto"/>
              </w:rPr>
            </w:pPr>
          </w:p>
        </w:tc>
      </w:tr>
    </w:tbl>
    <w:p>
      <w:pPr>
        <w:spacing w:after="0" w:line="9" w:lineRule="exact"/>
        <w:rPr>
          <w:sz w:val="20"/>
          <w:szCs w:val="20"/>
          <w:color w:val="auto"/>
        </w:rPr>
      </w:pPr>
    </w:p>
    <w:p>
      <w:pPr>
        <w:ind w:left="440" w:right="20" w:hanging="432"/>
        <w:spacing w:after="0" w:line="282" w:lineRule="auto"/>
        <w:tabs>
          <w:tab w:leader="none" w:pos="4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the reversal of previously recognized stock-based compensation expense of $4.1 million related to forfeited awards of terminated employees, $2.7 million of which resulted from the wind-down of the Company’s Microbiome program in January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-305435</wp:posOffset>
            </wp:positionV>
            <wp:extent cx="39262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there was $9.2 million of total unrecognized stock-based compensation related to outstanding equity awards, which is expected to be recognized over a weighted average remaining amortization period of 1.6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Collaboration Agreements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BeiGene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2020, the Company and BeiGene, Ltd. (BeiGene) entered into a Collaboration Agreement (the BeiGene Agreement) to develop and commercialize the Company’s novel core inhibitor product candidates vebicorvir (VBR), ABI-H2158 and ABI-H3733 (the Licensed Product Candidates) for chronic HBV infection in the People’s Republic of China, Hong Kong, Taiwan and Macau.</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2022, the only remaining performance obligation under the BeiGene Agreement not considered to be complete is the transfer of the ABI-H3733 License. The transaction price allocated to ABI-H3733 of $2.7 million was recognized as a long-term deferred revenue contract liability as of both June 30, 2022 and December 31, 2021, and will be recognized as revenue when the Company provides pre-Phase 3 clinical study know-how and development results for ABI-H3733 to BeiGene or a termination of the BeiGene Agreement for ABI-H3733. During the three and six months ended June 30, 2022 and 2021, the Company did not recognize any revenue or increase or reduction of research and development expense under the BeiGene Agreement.</w:t>
      </w:r>
    </w:p>
    <w:p>
      <w:pPr>
        <w:spacing w:after="0" w:line="1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Company incurred $3.5 million in incremental costs of obtaining the BeiGene Agreement in 2020. These contract costs have been capitalized and are being recognized consistent with the pattern of recognition of revenue associated with the Licensed Product Candidates. As of June 30, 2022 and December 31, 2021, the remaining unamortized contract costs are $0.2 million and are included in other assets on the condensed consolidated balance sheet.</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Arbutus Biopharma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2020, the Company and Arbutus Biopharma Corporation (Arbutus Biopharma) entered into a Clinical Trial Collaboration Agreement (the Arbutus Biopharma Agreement) to conduct a randomized, multi-center, open-label Phase 2 clinical trial to explore the safety, pharmacokinetics and antiviral activity of the triple combination of VBR, AB-729 and an NrtI compared to the double combinations of VBR with an NrtI and AB-729 with an NrtI. Under the Arbutus Biopharma Agreement, Assembly and Arbutus Biopharma share responsibility for the costs of the trial equally, excluding manufacturing supply which are the burden of each company to supply their respective drugs, VBR and AB-729. Assembly is responsible for conducting this clinical trial with Arbutus reimbursing Assembly its share of expenses.</w:t>
      </w:r>
    </w:p>
    <w:p>
      <w:pPr>
        <w:spacing w:after="0" w:line="1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Reimbursements and cost-sharing portions from Arbutus are reflected as a reduction of research and development expense when realized in the Company’s condensed consolidated statements of operations. During the three and six months ended June 30, 2022, the Company recognized a reduction of research and development expenses of $0.6 million and $1.2 million, respectively, under the Arbutus Biopharma Agreement. During the three and six months ended June 30, 2021, the Company recognized a reduction of research and development expenses of $0.4 million and $0.8 million, respectively, under the Arbutus Biopharma Agreement.</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Antios Agreement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2021, the Company and Antios Therapeutics, Inc. (Antios) entered into a Clinical Trial Collaboration Agreement (the Antios Agreement) to collaborate on a triple combination therapy using VBR and Antios’s active site polymerase inhibitor nucleotide ATI-2173 for the treatment of HBV. Assembly and Antios were individually responsible for the study’s manufacturing costs but equally shared the remaining costs of the study. Antios was responsible for conducting the clinical trial with Assembly reimbursing Antios its share of expenses. In May 2022, the Company was notified by Antios that ATI-2173 had been placed on clinical hold by the FDA following submission of a safety report involving a patient who received a triple combination of VBR, ATI-2173 and a nucleos(t)ide analog reverse transcriptase inhibitor. Due to the clinical hold, the Company terminated the Antios Agreement effective May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incurred $0.2 million and $0.3 million, respectively, in research and development expenses under the Antios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Milestones and Research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HBV Research Agreement with Indiana University</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September 2013, the Company has been party to an exclusive License Agreement dated September 3, 2013 with Indiana University Research and Technology Corporation (IURTC) from whom it has licensed aspects of the Company’s HBV program held by IURTC. The license agreement requires the Company to make milestone payments based upon the successful accomplishment of clinical and regulatory milestones. The aggregate amount of all performance milestone payments under the IURTC license agreement, should all milestones through development be met, is $0.8 million, with a portion related to the first performance milestone having been paid. The Company is obligated to pay IURTC royalty payments based on net sales of the licensed technology as well as a portion of any sublicensing revenue Assembly receives. The Company is also required to pay diligence maintenance fees each year to the extent that the royalty, sublicensing, and milestone payments to IURTC are less than such fees for that year. The Company paid IURTC $0.1 million in diligence maintenance fees during the six months ended June 30, 2022. No amounts were paid during the six months ended June 30, 2021.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Door Pharma Agreement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2020, the Company and Door Pharmaceuticals, LLC (Door Pharma) entered into an exclusive, two-year Collaboration Agreement and Sublicense Agreement (collectively, the Door Pharma Agreement) focused on the development of a novel class of HBV inhibitors. The Company terminated the Door Pharma Agreement in May 2022, effective September 2022, to focus its resources on its other internal HBV programs and its programs targeting other viruses. Under the terms of the Door Pharma Agreement, the Company is obligated to continue to reimburse Door Pharma for certain research and development costs through September 2022. Upon effectiveness of the termination, such reimbursements will cease.</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incurred research and development funding of $0.5 million and $1.2 million, respectively, under the Door Pharma Agreement. During the three and six months ended June 30, 2021, the Company incurred research and development funding of $0.5 million and $0.8 million, respectively, under the Door Pharma Agreement. No success-based milestones were determined to have occurred under this agreement during the six months ended June 30, 2022 or 2021.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9 – Subsequent Events</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July 2022, the Company’s Board of Directors approved a strategic plan to discontinue clinical development of the Company’s first-generation core inhibitor, VBR, and prioritize its resources on its next-generation core inhibitors, ABI-H3733 and ABI-4334, and research activities, including a small molecule HBV and HDV entry inhibitor, a small molecule interferon-α receptor agonist and two additional undisclosed viral targets. The Company intends to align the organization to reflect its refocused pipeline and reduce its workforce by approximately 30%. The Company accrued restructuring charges of $1.0 million as of June 30, 2022 related to severance benefits to executive officers impacted by the restructuring as the severance benefits in their employment agreements were deemed to be probable of being paid. The Company expects to incur an additional $0.7 million in one-time termination severance payments and other employee-related costs associated with the restructuring, which the Company expects to recognize in the second half of 2022. This total of $1.7 million represents the total amount expected to be incurred in connection with the restructuring and is expected to be fully paid by mid-2023. In July 2022, the Company's Board of Directors also approved $2.5 million in retention bonuses to non-executive officers, 525,000 RSUs with performance-based vesting conditions with a grant date fair value of $1.1 million to executive officers and 2,288,200 options with a grant date fair value of $3.2 million to all retained employees, all of which will be recognized in future quarters. The $1.0 million accrued restructuring charges as of June 30, 2022 are included in other accrued expenses on the Company’s condensed consolidated balance sheet, of which $0.5 million are included in research and development expenses and $0.5 million in general and administrative expenses in the condensed consolidated statement of operations and comprehensive loss for the three and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condensed consolidated financial statements and this Management’s Discussion and Analysis of Financial Condition and Results of Operations should be read in conjunction with the consolidated financial statements and notes thereto for the year ended December 31, 2021 and the related Management’s Discussion and Analysis of Financial Condition and Results of Operations, both of which are contained in our Annual Report on Form 10-K for the fiscal year ended December 31, 2021 filed with the U.S. Securities and Exchange Commission on March 11, 2022 (2021 Annual Report). In addition to historical information, this discussion and analysis contains forward-looking statements that involve risks and uncertainties. Our actual results could differ materially from those expressed or implied in any forward-looking statements as a result of various factors, including those set forth under “Part I. Item 1A. Risk Factors” in our 2021 Annual Report and “Part II. Item 1A. Risk Factors” in this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clinical-stage biotechnology company focused on discovery and development of innovative therapeutics targeting hepatitis B virus (HBV) and other viral diseases.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World Health Organization (WHO) estimates that 296 million people worldwide are chronically infected with HBV as of 2019. Our research and development organizations are pursuing multiple drug candidates designed to inhibit the HBV replication cycle and block the generation of covalently closed circular DNA (cccDNA), with the aim of discovering and developing finite and curative therapies for patients with chronic HBV infection. We have discovered several novel core inhibitors, which are small molecules that directly target and allosterically modulate the HBV core protein in a way that affects assembly and stability of HBV nucleocapsids and we are currently advancing an early-stage program evaluating a novel small molecule approach to inhibit entry for HBV and hepatitis delta virus (HDV). HDV is estimated to impact approximately 5% of those chronically infected with HBV, or approximately 12 million people. In addition, our research organization is working on discovering and developing a novel, small molecule interferon-α receptor (IFNAR) agonist designed to selectively activate the interferon-α pathway within the liver and offer the convenience of oral dosing.</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continue our efforts to develop finite and curative therapies for patients with chronic HBV and improved chronic therapy for HDV infection, our research organization is advancing early-stage programs evaluating two additional undisclosed virus targets. These targets, which we currently expect to disclose in the third quarter of 2022, were selected to leverage the deep antiviral expertise and experience of our research and development organizations against diseases with significant unmet medical need.</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ongoing COVID-19 pandemic and its broad, global impacts, including supply chain disruptions, have impacted certain aspects of our business, including where and how our employees work in its labs and offices and how and when our nonclinical and clinical studies are conducted. Early in the pandemic, our clinical and nonclinical studies were largely unaffected, but as the pandemic has continued, its impacts have increased. Certain nonclinical animal studies and shipping of compounds necessary for our research programs have each been delayed, and conduct of a clinical study in China (Study 203), which is currently in the process of being closed, has been impacted by the shutdowns occurring in the first half of 2022 in China.</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contract research organizations (CROs), some of which are in China and India. While these CROs have experienced pandemic-related impacts from time to time. In addition to the Company’s CROs in China and India, the Company also contracts with a CRO in Ukraine, which shut down operations due to Russia’s invasion of Ukraine. Though this CRO has resumed operations, we have reallocated certain work to other global CROs incase it shuts down again.</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announced, in January 2021, we wound down our Microbiome program to prioritize and focus our resources on our virology programs. Our Microbiome program had been developing a novel class of oral live microbial biotherapeutics candidates designed to treat disorders associated with the microbiome.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19, 2022, our Board of Directors approved a strategic plan (the Plan) to: (1) discontinue development of our first-generation core inhibitor, vebicorvir (VBR), based on review of interim on-treatment efficacy data from on-going triple combination studies that do not support additional clinical studies; (2) advance our next-generation core inhibitors, ABI-H3733 (3733) and ABI-4334 (4334), in clinical studies; and (3) prioritize research activities, including our HBV/HDV entry inhibitor and IFNAR agonist programs, as well as two additional undisclosed viral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targets. The Plan included a reduction of our workforce by 30 employees, resulting in a total of approximately 70 remaining employees. Implementation of the Plan is expected to preserve capital while appropriately resourcing the advancement of 3733, 4334 and our novel research pipeline and to optimize manufacturing of all candidates.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Primary Focus: Targeting HBV Core Protein to Achieve a Cure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HBV is a DNA virus that infects hepatocytes and establishes a reservoir of cccDNA, a unique viral DNA moiety that resides in the cell nucleus of HBV-infected hepatocytes and is associated with viral persistence and chronic infection. No currently approved oral therapies target cccDNA activity directly, which makes molecules that can modulate cccDNA generation or disrupt its function highly sought in the HBV field. As a result, most of our HBV research and development efforts to date have focused on discovering and developing compounds targeting the core protein, a viral protein involved in numerous aspects of the HBV replication cycle, including the generation of HBV cccDNA. Through our research efforts, we have discovered several chemically distinct series of small molecule core inhibitors that directly target and allosterically inhibit core protein functions.</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Vebicorvir</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VBR, is licensed from Indiana University. The conduct of our initial Phase 2 studies, Study 201, 202 and 211, is complete. In Study 201 and 202, VBR administered with NrtI therapy demonstrated a favorable safety profile and led to greater viral suppression of both HBV DNA and viral pgRNA than NrtI therapy alone. However, patients who stopped therapy in Study 211 did not achieve sustained virologic response as all patients relapsed, meaning they had detectable HBV off therapy, and the dual combination therapy of VBR + NrtI was insufficient to cure chronic HBV infection in the studied population.</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American Association for the Study of Liver Diseases (AASLD) Annual Meeting in November 2021 (AASLD 2021), we presented additional follow-up data from Study 211 demonstrating that patients had increases of HBV DNA and pgRNA after discontinuation of VBR despite continued NrtI treatment, further supporting that core inhibitors deepen viral suppression in combination with NrtIs. At the EASL International Liver Congress</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in June 2022 (EASL 2022), we presented additional VBR data related to the correlation between deeper virologic suppression and fibrosis-4 index in treatment naïve patients with HBeAg positive chronic HBV infection, an evaluation of the drug-drug interaction profile of VBR and an evaluation of the disposition and mass balance recovery of VBR in rats and humans.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discussions with leading viral hepatitis experts, global regulatory discussions and feedback, and, with respect to the China territory, discussions and agreement with our collaboration partner, BeiGene, Ltd. (BeiGene), in early 2021, we decided to not move forward with the global registrational studies for VBR as a chronic suppressive therapy (CST) in combination with NrtI. The decision was made to focus on the greatest unmet medical need of patients, which lies predominantly in cure, rather than CST. As a result, we began to focus our efforts with VBR in combination with NrtI and additional mechanisms targeting finite and curative combination therapy.</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have three Phase 2 triple combination studies involving VBR ongoing, two of which have been terminated early. These studies are detailed below. See “—Multi-Drug Combination Studies.” In July 2022, we announced that we have discontinued further clinical development of VBR based on review of interim on-treatment efficacy from two triple combination studies.</w:t>
      </w:r>
    </w:p>
    <w:p>
      <w:pPr>
        <w:spacing w:after="0" w:line="1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Next Generation Core Inhibitors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our discontinuation of the development of VBR, we have prioritized clinical development of the next-generation core inhibitors, 3733 and 4334.</w:t>
      </w:r>
    </w:p>
    <w:p>
      <w:pPr>
        <w:spacing w:after="0" w:line="1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u w:val="single" w:color="auto"/>
          <w:color w:val="auto"/>
        </w:rPr>
        <w:t>ABI-H3733</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first of two next-generation core inhibitor product candidates, 3733, was internally discovered and developed. The chemical scaffold of 3733 is novel and distinct from each of 4334 and both of our discontinued core inhibitor product candidates, VBR and ABI-H2158 (2158).</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2020, we initiated and completed a Phase 1a clinical study of 3733 to evaluate safety, tolerability and pharmacokinetics (PK) following single ascending dose and multiple ascending dose administration in healthy subjects in New Zealand. Preliminary data indicate that 3733 was generally well-tolerated and had favorable PK. Results detailing 3733’s safety and PK from this study were presented in a poster presentation at AASLD 2021.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In June 2022, we initiated a randomized, multi-center, double-blind and placebo-controlled Phase 1b trial of 3733 evaluating the safety, PK and antiviral activity of 3733 in adults with chronic HBV (cHBV) infection. Initial data from this study are anticipated in the second half of 2022.</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at EASL 2021, we presented observations on 3733’s enhanced potency and target coverage for both antiviral activity and inhibition of cccDNA generation as compared to VBR and 2158. At EASL 2022, we presented 3733’s improved PK profile resulting from new formulation activities.</w:t>
      </w:r>
    </w:p>
    <w:p>
      <w:pPr>
        <w:spacing w:after="0" w:line="1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u w:val="single" w:color="auto"/>
          <w:color w:val="auto"/>
        </w:rPr>
        <w:t>ABI-4334</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mid-2021, we announced the selection of 4334, our other next-generation core inhibitor product candidate. As with all of our core inhibitor product candidates nominated after VBR, 4334 was internally discovered and developed. In addition, the chemical scaffold of 4334 is also novel and distinct from each of VBR, 3733 and 2158.</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nominated 4334 based on a preclinical target drug profile that indicates enhanced target coverage and potency to prevent both formation of new virus and cccDNA, which is responsible for maintaining the HBV viral reservoir. We believe that 4334 has a best-in-class preclinical profile, with single-digit nanomolar potency against the production of new virus and the formation of cccDNA. Preclinically to date, 4334 has also demonstrated pan-genotypic activity, an improved resistance profile and a favorable safety profile. Preclinical characterization of 4334 was shared in a poster presentation at AASLD in November 2021. At EASL 2022, we presented preclinical data demonstrating that 4334 promotes formation of empty capsids and prevents cccDNA formation by disrupting incoming capsids.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preclinical work on 4334 is ongoing, with the aim of completing nonclinical studies to support regulatory filings for clinical studies and initiating a Phase 1a clinical study in the second half of 2022 to evaluate safety, tolerability, and PK following single ascending dose and multiple ascending dose administrations in healthy participants.</w:t>
      </w:r>
    </w:p>
    <w:p>
      <w:pPr>
        <w:spacing w:after="0" w:line="1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ABI-H2158</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2021, we discontinued development of 2158 following the observation of elevated alanine transaminase levels in the Phase 2 clinical study consistent with drug-induced hepatotoxicity.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Multi-Drug Combination Studies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core inhibitors and NrtI will be central to finite and curative therapies for chronic HBV infection. Therefore, as we have continued to develop and advance our current and future next-generation core inhibitors through clinical studies, we initiated multi-drug combination studies in parallel that add additional drugs (or compounds) with nonoverlapping mechanisms of action to the first-generation core inhibitor + NrtI antiviral backbone. We currently have three ongoing triple combination studies with VBR, two of which have been discontinued early, as described in more detail below.</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first triple combination study, Study 204, is being conducted pursuant to a Clinical Trial Agreement with Arbutus Biopharma Corporation (Arbutus Biopharma) and consists of a randomized, multi-center, open-label Phase 2 clinical study to explore the safety, PK and antiviral activity of the triple combination of VBR, NrtI and AB-729 (Arbutus Biopharma’s investigational RNAi candidate) compared to the double combinations of VBR + NrtI and AB-729 + NrtI in virologically suppressed patients. This clinical study initiated in the first quarter of 2021 and completed enrollment in February 2022. Our second triple combination study, Study 203, was designed to evaluate VBR and NrtI in combination with interferon in treatment-naïve HBeAg positive subjects. This study was also initiated in the first quarter of 2021 and completed enrollment in March 2022.</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interim data from Study 204 and Study 203 indicate that the triple combinations do not show a benefit in multiple key viral parameters compared to the dual combinations without VBR in either study and informed our decision to discontinue further development of VBR. We announced the early termination of Study 203 in July 2022. In consultation with Arbutus Biopharma, our two companies intend to continue Study 204 and evaluate the primary endpoints of safety and tolerability of the combination regimen.</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third triple combination study was initiated in April 2022 pursuant to a Clinical Trial Collaboration Agreement with Antios Therapeutics, Inc. (Antios) to evaluate ATI-2173, Antios’s investigational proprietary active site polymerase inhibitor nucleotide (ASPIN), VBR and tenofovir disoproxil fumarate, an NrtI. This multi-center, double-blinded, placebo-controlled study was designed to explore the safety, PK and antiviral activity of this all-oral triple combination. This study, which was expected to enroll ten treatment-naïve or off-treatment HBeAg negative or positive patients in a 12-week treatment study, was initiated in April 2022. On May 18, 2022, we were notified by Antios that ATI-2173, Antios’s ASPIN, had been placed on clinical hold by the FDA following submission of 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safety report involving a patient who received a triple combination of the VBR + ATI-2173 + NrtI. Effective May 20, 2022, because of the clinical hold, we terminated the Clinical Trial Collaboration Agreement and Antios, as the sponsor, is closing the study.</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Study 204 and Study 203 both experienced enrollment delays due to the ongoing COVID-19 pandemic, and conduct of Study 203 has been impacted by the COVID-related shutdowns occurring in the first half of 2022 in China. The pandemic has impacted patients and study sites through patient screening delays, travel restrictions and hesitancy to travel to study sites. The pandemic has also impacted our vendors, as our central laboratories have been unable to meet their contractual obligations, and our vendors have experienced staffing constraints and supply chain challenges as they seek to obtain lab kits, reagents and other items necessary to enroll patients in our studies. Enrollment for both of these studies was completed in the first quarter of 2022, and we do not believe these delays will impact the data readouts for the ongoing Study 204.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Beyond Core Inhibitors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development and advancement of our core inhibitor portfolio and our current and future multi-drug combination studies, our research and development team is working on discovering and developing small molecules to inhibit HBV and HDV viral entry and small molecule interferon-α receptor (IFNAR) agonists, to complement our HBV cure strategy.</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HBV/HDV Entry Inhibitor</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2022, we announced our new research program focused on a novel, orally bioavailable small molecule approach to inhibit entry of HBV and HDV. While HDV is less well known in the U.S., it is a significant and serious health problem with inadequate treatment in many parts of Europe, Africa, the Middle East, East Asia and parts of South America. HDV is a “satellite virus,” because it can only infect people (1) that are already infected with HBV or (2) at the same time as a person is infected with HBV. HDV is known to accelerate disease progression and increase the incidence of liver cirrhosis and liver cancer, which results in higher morbidity and mortality rates than HBV alone. The current standard of care treatment for HDV off-label pegylated interferon injected weekly or, in some regions, a large, complex molecule that requires daily injections. Our research team has identified a potential opportunity to develop a safe and effective oral small molecule, which could significantly improve convenience and potentially enhance treatment uptake and diagnosis rates. Based on current progress, our research team’s aim is to nominate a product candidate for development in the first half of 2023.</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IFNAR</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2022, we introduced our new research program advancing a novel, small molecule IFNAR agonist designed to selectively activate the interferon-α pathway within the liver and offer the convenience of oral dosing. Interferon-α (IFN-α) is a subcutaneous injectable therapy approved for HBV that has demonstrated functional cure of HBV in some HBV patients, but its poor tolerability profile significantly limits its use. Substantial side effects include flu-like symptoms, cytopenias, serious depression and psychiatric effects. In addition, multiple contraindications limit its use, and it requires weekly injections that result in systemic exposure for up to a year.</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By focusing exposure on the liver, our investigational IFNAR agonist program aims to engage interferon-α’s validated antiviral and immune modulatory mechanisms, retaining the efficacy of IFN-α while reducing systemic exposure to improve tolerability.</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cccDNA Disruptors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2020, we entered into an exclusive, two-year collaboration and option agreement with Door Pharmaceuticals, LLC (Door Pharma) focused on the development of a novel class of HBV inhibitors, which we terminated in May 2022. The termination will be effective September 2022. Prior to the termination of collaboration with Door Pharma, we worked with Door Pharma on identifying cccDNA disruptors aimed at inhibiting different intra-nuclear steps in the viral replication cycle that complement the activity of our core inhibitors.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terminated this collaboration to focus resources on our other internal HBV programs and programs targeting other viruses.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Additional Antiviral Opportunities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our work toward developing finite and curative therapies for patients with chronic HBV infection, our research organization is advancing early-stage programs evaluating two additional undisclosed virus targets. These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targets were selected to leverage the deep antiviral expertise and experience of our research and development organizations against diseases with significant unmet medical need.</w:t>
      </w:r>
    </w:p>
    <w:p>
      <w:pPr>
        <w:spacing w:after="0" w:line="135" w:lineRule="exact"/>
        <w:rPr>
          <w:sz w:val="20"/>
          <w:szCs w:val="20"/>
          <w:color w:val="auto"/>
        </w:rPr>
      </w:pPr>
    </w:p>
    <w:p>
      <w:pPr>
        <w:ind w:right="1820"/>
        <w:spacing w:after="0" w:line="453" w:lineRule="auto"/>
        <w:rPr>
          <w:sz w:val="20"/>
          <w:szCs w:val="20"/>
          <w:color w:val="auto"/>
        </w:rPr>
      </w:pPr>
      <w:r>
        <w:rPr>
          <w:rFonts w:ascii="Times New Roman" w:cs="Times New Roman" w:eastAsia="Times New Roman" w:hAnsi="Times New Roman"/>
          <w:sz w:val="18"/>
          <w:szCs w:val="18"/>
          <w:color w:val="auto"/>
        </w:rPr>
        <w:t xml:space="preserve">We expect to disclose more information regarding these discovery programs on additional viral targets in the third quarter of 2022. </w:t>
      </w:r>
      <w:r>
        <w:rPr>
          <w:rFonts w:ascii="Times New Roman" w:cs="Times New Roman" w:eastAsia="Times New Roman" w:hAnsi="Times New Roman"/>
          <w:sz w:val="18"/>
          <w:szCs w:val="18"/>
          <w:b w:val="1"/>
          <w:bCs w:val="1"/>
          <w:i w:val="1"/>
          <w:iCs w:val="1"/>
          <w:color w:val="auto"/>
        </w:rPr>
        <w:t>Operations</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have corporate and administrative offices and research laboratory space in South San Francisco, California as well as registrational offices in China.</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inception, we have had no revenue from product sales and have funded our operations principally through debt financings prior to our initial public offering in 2010 and through equity financings and collaborations since then. Our operations to date have been primarily limited to organizing and staffing our company, licensing our product candidates, discovering and developing our product candidates, maintaining and improving our patent portfolio and raising capital.</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generated significant losses to date, and we expect to continue to generate losses as we develop our product candidates. As of June 30, 2022, we had an accumulated deficit of $679.0 million. Because we do not generate revenue from any of our product candidates, our losses will continue as we further develop and seek regulatory approval for, and commercialize, our product candidates. As a result, our operating losses are likely to be substantial over the next several years as we continue the development of our product candidates and thereafter if none are approved or successfully launched. We are unable to predict the extent of any future losses or when we will become profitable, if at all.</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pandemic resulted in substantially all of our U.S.-based non-research employees working from their homes beginning in mid-March 2020. In addition, we took the additional step of requiring all of our employees be fully vaccinated against COVID-19. As government restrictions have relaxed, our employees began returning to the office during the first quarter of 2022. We have adopted a hybrid working model, which allows our employees flexibility regarding when and how frequently to return to the office.</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has not been any significant interruption to date of essential activities at our offices, including work in our laboratories with proper protections and procedures in place. While we have experienced some shipping delays or shortages of personal protective equipment (PPE) that are important to maintaining normal workflows in our laboratories, we have been able to continue our critical research activities through schedule shifts, use of PPE on-hand and reallocation of certain resources that allow our employees to practice “social distancing” and comply with applicable laws. Early in the pandemic, our clinical and nonclinical studies were largely unaffected, but as the pandemic has continued, its impacts have increased. Certain nonclinical animal studies and shipping of compounds necessary for our research programs have each been delayed, and conduct of Study 203, which is currently in the process of being closed, has been impacted by the shutdowns occurring in the first half of 2022 in China.</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continually work with our CROs and other vendors to ensure, to the extent possible, that services are provided in a timely manner while also identifying alternative vendors and strategies to utilize in the event that COVID- or third party-related delays threaten our ability to meet our timelines. However, some of our CROs are in China and India, and these CROs have experienced pandemic-related impacts from time to time. We cannot currently predict the specific extent, duration or full impact the COVID-19 pandemic will have on our ongoing and planned research efforts, clinical studies and other business operations. We continue to monitor the situation regularly for additional potential delays, or modifications to our ongoing and planned studies and, if circumstances warrant, we may adjust our budget and operating plan.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condensed consolidated financial statements, which have been prepared in accordance with accounting principles generally accepted in the United States (U.S. GAAP). The preparation of these financial statements requires us to make estimates and assumptions that affect the reported amounts of assets, liabilities, revenues, and expenses.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our estimates and judgments, including those related to research and development expense and accruals and stock-based compensation,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critical accounting policies and significant estimates are detailed in our 2021 Annual Report. Our critical accounting policies and significant estimates have not changed from those previously disclosed in our 2021 Annual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2022 and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research and development expenses (in thousands, except for percentages):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rPr>
                <w:sz w:val="15"/>
                <w:szCs w:val="15"/>
                <w:color w:val="auto"/>
              </w:rPr>
            </w:pPr>
          </w:p>
        </w:tc>
        <w:tc>
          <w:tcPr>
            <w:tcW w:w="15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3"/>
        </w:trPr>
        <w:tc>
          <w:tcPr>
            <w:tcW w:w="4680" w:type="dxa"/>
            <w:vAlign w:val="bottom"/>
            <w:tcBorders>
              <w:bottom w:val="single" w:sz="8" w:color="CCEC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CCEC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9"/>
                <w:szCs w:val="19"/>
                <w:color w:val="auto"/>
              </w:rPr>
            </w:pPr>
          </w:p>
        </w:tc>
        <w:tc>
          <w:tcPr>
            <w:tcW w:w="36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40" w:type="dxa"/>
            <w:vAlign w:val="bottom"/>
            <w:tcBorders>
              <w:bottom w:val="single" w:sz="8" w:color="CCECFF"/>
            </w:tcBorders>
          </w:tcPr>
          <w:p>
            <w:pPr>
              <w:spacing w:after="0"/>
              <w:rPr>
                <w:sz w:val="19"/>
                <w:szCs w:val="19"/>
                <w:color w:val="auto"/>
              </w:rPr>
            </w:pPr>
          </w:p>
        </w:tc>
        <w:tc>
          <w:tcPr>
            <w:tcW w:w="15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 vs. 2021</w:t>
            </w:r>
          </w:p>
        </w:tc>
      </w:tr>
      <w:tr>
        <w:trPr>
          <w:trHeight w:val="223"/>
        </w:trPr>
        <w:tc>
          <w:tcPr>
            <w:tcW w:w="46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External expenses:</w:t>
            </w:r>
          </w:p>
        </w:tc>
        <w:tc>
          <w:tcPr>
            <w:tcW w:w="840" w:type="dxa"/>
            <w:vAlign w:val="bottom"/>
            <w:shd w:val="clear" w:color="auto" w:fill="CCECFF"/>
          </w:tcPr>
          <w:p>
            <w:pPr>
              <w:spacing w:after="0"/>
              <w:rPr>
                <w:sz w:val="19"/>
                <w:szCs w:val="19"/>
                <w:color w:val="auto"/>
              </w:rPr>
            </w:pPr>
          </w:p>
        </w:tc>
        <w:tc>
          <w:tcPr>
            <w:tcW w:w="64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860" w:type="dxa"/>
            <w:vAlign w:val="bottom"/>
            <w:shd w:val="clear" w:color="auto" w:fill="CCECFF"/>
          </w:tcPr>
          <w:p>
            <w:pPr>
              <w:spacing w:after="0"/>
              <w:rPr>
                <w:sz w:val="19"/>
                <w:szCs w:val="19"/>
                <w:color w:val="auto"/>
              </w:rPr>
            </w:pPr>
          </w:p>
        </w:tc>
        <w:tc>
          <w:tcPr>
            <w:tcW w:w="64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2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500" w:type="dxa"/>
            <w:vAlign w:val="bottom"/>
            <w:shd w:val="clear" w:color="auto" w:fill="CCECFF"/>
          </w:tcPr>
          <w:p>
            <w:pPr>
              <w:spacing w:after="0"/>
              <w:rPr>
                <w:sz w:val="19"/>
                <w:szCs w:val="19"/>
                <w:color w:val="auto"/>
              </w:rPr>
            </w:pPr>
          </w:p>
        </w:tc>
      </w:tr>
      <w:tr>
        <w:trPr>
          <w:trHeight w:val="230"/>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VBR</w:t>
            </w:r>
          </w:p>
        </w:tc>
        <w:tc>
          <w:tcPr>
            <w:tcW w:w="840" w:type="dxa"/>
            <w:vAlign w:val="bottom"/>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1,385</w:t>
            </w:r>
          </w:p>
        </w:tc>
        <w:tc>
          <w:tcPr>
            <w:tcW w:w="200" w:type="dxa"/>
            <w:vAlign w:val="bottom"/>
          </w:tcPr>
          <w:p>
            <w:pPr>
              <w:spacing w:after="0"/>
              <w:rPr>
                <w:sz w:val="19"/>
                <w:szCs w:val="19"/>
                <w:color w:val="auto"/>
              </w:rPr>
            </w:pPr>
          </w:p>
        </w:tc>
        <w:tc>
          <w:tcPr>
            <w:tcW w:w="860" w:type="dxa"/>
            <w:vAlign w:val="bottom"/>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4,142</w:t>
            </w:r>
          </w:p>
        </w:tc>
        <w:tc>
          <w:tcPr>
            <w:tcW w:w="3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46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8"/>
                <w:szCs w:val="18"/>
                <w:color w:val="auto"/>
              </w:rPr>
              <w:t>2158</w:t>
            </w:r>
          </w:p>
        </w:tc>
        <w:tc>
          <w:tcPr>
            <w:tcW w:w="840" w:type="dxa"/>
            <w:vAlign w:val="bottom"/>
            <w:shd w:val="clear" w:color="auto" w:fill="CCECFF"/>
          </w:tcPr>
          <w:p>
            <w:pPr>
              <w:spacing w:after="0"/>
              <w:rPr>
                <w:sz w:val="19"/>
                <w:szCs w:val="19"/>
                <w:color w:val="auto"/>
              </w:rPr>
            </w:pPr>
          </w:p>
        </w:tc>
        <w:tc>
          <w:tcPr>
            <w:tcW w:w="6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264</w:t>
            </w:r>
          </w:p>
        </w:tc>
        <w:tc>
          <w:tcPr>
            <w:tcW w:w="200" w:type="dxa"/>
            <w:vAlign w:val="bottom"/>
            <w:shd w:val="clear" w:color="auto" w:fill="CCECFF"/>
          </w:tcPr>
          <w:p>
            <w:pPr>
              <w:spacing w:after="0"/>
              <w:rPr>
                <w:sz w:val="19"/>
                <w:szCs w:val="19"/>
                <w:color w:val="auto"/>
              </w:rPr>
            </w:pPr>
          </w:p>
        </w:tc>
        <w:tc>
          <w:tcPr>
            <w:tcW w:w="860" w:type="dxa"/>
            <w:vAlign w:val="bottom"/>
            <w:shd w:val="clear" w:color="auto" w:fill="CCECFF"/>
          </w:tcPr>
          <w:p>
            <w:pPr>
              <w:spacing w:after="0"/>
              <w:rPr>
                <w:sz w:val="19"/>
                <w:szCs w:val="19"/>
                <w:color w:val="auto"/>
              </w:rPr>
            </w:pPr>
          </w:p>
        </w:tc>
        <w:tc>
          <w:tcPr>
            <w:tcW w:w="6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2,171</w:t>
            </w:r>
          </w:p>
        </w:tc>
        <w:tc>
          <w:tcPr>
            <w:tcW w:w="3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3733</w:t>
            </w:r>
          </w:p>
        </w:tc>
        <w:tc>
          <w:tcPr>
            <w:tcW w:w="8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2,259</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2,063</w:t>
            </w:r>
          </w:p>
        </w:tc>
        <w:tc>
          <w:tcPr>
            <w:tcW w:w="16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1053%</w:t>
            </w:r>
          </w:p>
        </w:tc>
      </w:tr>
      <w:tr>
        <w:trPr>
          <w:trHeight w:val="230"/>
        </w:trPr>
        <w:tc>
          <w:tcPr>
            <w:tcW w:w="46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8"/>
                <w:szCs w:val="18"/>
                <w:color w:val="auto"/>
              </w:rPr>
              <w:t>4334</w:t>
            </w:r>
          </w:p>
        </w:tc>
        <w:tc>
          <w:tcPr>
            <w:tcW w:w="840" w:type="dxa"/>
            <w:vAlign w:val="bottom"/>
            <w:shd w:val="clear" w:color="auto" w:fill="CCECFF"/>
          </w:tcPr>
          <w:p>
            <w:pPr>
              <w:spacing w:after="0"/>
              <w:rPr>
                <w:sz w:val="19"/>
                <w:szCs w:val="19"/>
                <w:color w:val="auto"/>
              </w:rPr>
            </w:pPr>
          </w:p>
        </w:tc>
        <w:tc>
          <w:tcPr>
            <w:tcW w:w="6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2,143</w:t>
            </w:r>
          </w:p>
        </w:tc>
        <w:tc>
          <w:tcPr>
            <w:tcW w:w="200" w:type="dxa"/>
            <w:vAlign w:val="bottom"/>
            <w:shd w:val="clear" w:color="auto" w:fill="CCECFF"/>
          </w:tcPr>
          <w:p>
            <w:pPr>
              <w:spacing w:after="0"/>
              <w:rPr>
                <w:sz w:val="19"/>
                <w:szCs w:val="19"/>
                <w:color w:val="auto"/>
              </w:rPr>
            </w:pPr>
          </w:p>
        </w:tc>
        <w:tc>
          <w:tcPr>
            <w:tcW w:w="860" w:type="dxa"/>
            <w:vAlign w:val="bottom"/>
            <w:shd w:val="clear" w:color="auto" w:fill="CCECFF"/>
          </w:tcPr>
          <w:p>
            <w:pPr>
              <w:spacing w:after="0"/>
              <w:rPr>
                <w:sz w:val="19"/>
                <w:szCs w:val="19"/>
                <w:color w:val="auto"/>
              </w:rPr>
            </w:pPr>
          </w:p>
        </w:tc>
        <w:tc>
          <w:tcPr>
            <w:tcW w:w="6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760</w:t>
            </w:r>
          </w:p>
        </w:tc>
        <w:tc>
          <w:tcPr>
            <w:tcW w:w="3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220" w:type="dxa"/>
            <w:vAlign w:val="bottom"/>
            <w:shd w:val="clear" w:color="auto" w:fill="CCECFF"/>
          </w:tcPr>
          <w:p>
            <w:pPr>
              <w:jc w:val="right"/>
              <w:ind w:right="33"/>
              <w:spacing w:after="0"/>
              <w:rPr>
                <w:sz w:val="20"/>
                <w:szCs w:val="20"/>
                <w:color w:val="auto"/>
              </w:rPr>
            </w:pPr>
            <w:r>
              <w:rPr>
                <w:rFonts w:ascii="Times New Roman" w:cs="Times New Roman" w:eastAsia="Times New Roman" w:hAnsi="Times New Roman"/>
                <w:sz w:val="18"/>
                <w:szCs w:val="18"/>
                <w:color w:val="auto"/>
              </w:rPr>
              <w:t>1,383</w:t>
            </w:r>
          </w:p>
        </w:tc>
        <w:tc>
          <w:tcPr>
            <w:tcW w:w="1640" w:type="dxa"/>
            <w:vAlign w:val="bottom"/>
            <w:gridSpan w:val="2"/>
            <w:shd w:val="clear" w:color="auto" w:fill="CCECFF"/>
          </w:tcPr>
          <w:p>
            <w:pPr>
              <w:jc w:val="right"/>
              <w:ind w:right="8"/>
              <w:spacing w:after="0"/>
              <w:rPr>
                <w:sz w:val="20"/>
                <w:szCs w:val="20"/>
                <w:color w:val="auto"/>
              </w:rPr>
            </w:pPr>
            <w:r>
              <w:rPr>
                <w:rFonts w:ascii="Times New Roman" w:cs="Times New Roman" w:eastAsia="Times New Roman" w:hAnsi="Times New Roman"/>
                <w:sz w:val="18"/>
                <w:szCs w:val="18"/>
                <w:color w:val="auto"/>
              </w:rPr>
              <w:t>182%</w:t>
            </w:r>
          </w:p>
        </w:tc>
      </w:tr>
      <w:tr>
        <w:trPr>
          <w:trHeight w:val="229"/>
        </w:trPr>
        <w:tc>
          <w:tcPr>
            <w:tcW w:w="4680" w:type="dxa"/>
            <w:vAlign w:val="bottom"/>
            <w:tcBorders>
              <w:bottom w:val="single" w:sz="8" w:color="CCECFF"/>
            </w:tcBorders>
          </w:tcPr>
          <w:p>
            <w:pPr>
              <w:ind w:left="260"/>
              <w:spacing w:after="0"/>
              <w:rPr>
                <w:sz w:val="20"/>
                <w:szCs w:val="20"/>
                <w:color w:val="auto"/>
              </w:rPr>
            </w:pPr>
            <w:r>
              <w:rPr>
                <w:rFonts w:ascii="Times New Roman" w:cs="Times New Roman" w:eastAsia="Times New Roman" w:hAnsi="Times New Roman"/>
                <w:sz w:val="18"/>
                <w:szCs w:val="18"/>
                <w:color w:val="auto"/>
              </w:rPr>
              <w:t>Research and discovery</w:t>
            </w:r>
          </w:p>
        </w:tc>
        <w:tc>
          <w:tcPr>
            <w:tcW w:w="8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2,404</w:t>
            </w:r>
          </w:p>
        </w:tc>
        <w:tc>
          <w:tcPr>
            <w:tcW w:w="200" w:type="dxa"/>
            <w:vAlign w:val="bottom"/>
            <w:tcBorders>
              <w:bottom w:val="single" w:sz="8" w:color="CCEC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1,551</w:t>
            </w:r>
          </w:p>
        </w:tc>
        <w:tc>
          <w:tcPr>
            <w:tcW w:w="36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853</w:t>
            </w:r>
          </w:p>
        </w:tc>
        <w:tc>
          <w:tcPr>
            <w:tcW w:w="1640" w:type="dxa"/>
            <w:vAlign w:val="bottom"/>
            <w:tcBorders>
              <w:bottom w:val="single" w:sz="8" w:color="CCEC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46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external expenses</w:t>
            </w:r>
          </w:p>
        </w:tc>
        <w:tc>
          <w:tcPr>
            <w:tcW w:w="840" w:type="dxa"/>
            <w:vAlign w:val="bottom"/>
            <w:shd w:val="clear" w:color="auto" w:fill="CCECFF"/>
          </w:tcPr>
          <w:p>
            <w:pPr>
              <w:spacing w:after="0"/>
              <w:rPr>
                <w:sz w:val="19"/>
                <w:szCs w:val="19"/>
                <w:color w:val="auto"/>
              </w:rPr>
            </w:pPr>
          </w:p>
        </w:tc>
        <w:tc>
          <w:tcPr>
            <w:tcW w:w="6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8,455</w:t>
            </w:r>
          </w:p>
        </w:tc>
        <w:tc>
          <w:tcPr>
            <w:tcW w:w="200" w:type="dxa"/>
            <w:vAlign w:val="bottom"/>
            <w:shd w:val="clear" w:color="auto" w:fill="CCECFF"/>
          </w:tcPr>
          <w:p>
            <w:pPr>
              <w:spacing w:after="0"/>
              <w:rPr>
                <w:sz w:val="19"/>
                <w:szCs w:val="19"/>
                <w:color w:val="auto"/>
              </w:rPr>
            </w:pPr>
          </w:p>
        </w:tc>
        <w:tc>
          <w:tcPr>
            <w:tcW w:w="860" w:type="dxa"/>
            <w:vAlign w:val="bottom"/>
            <w:shd w:val="clear" w:color="auto" w:fill="CCECFF"/>
          </w:tcPr>
          <w:p>
            <w:pPr>
              <w:spacing w:after="0"/>
              <w:rPr>
                <w:sz w:val="19"/>
                <w:szCs w:val="19"/>
                <w:color w:val="auto"/>
              </w:rPr>
            </w:pPr>
          </w:p>
        </w:tc>
        <w:tc>
          <w:tcPr>
            <w:tcW w:w="6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8,820</w:t>
            </w:r>
          </w:p>
        </w:tc>
        <w:tc>
          <w:tcPr>
            <w:tcW w:w="3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Employee and contractor-related expenses</w:t>
            </w:r>
          </w:p>
        </w:tc>
        <w:tc>
          <w:tcPr>
            <w:tcW w:w="8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8,013</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6,506</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1,507</w:t>
            </w:r>
          </w:p>
        </w:tc>
        <w:tc>
          <w:tcPr>
            <w:tcW w:w="16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46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Facility and other expenses</w:t>
            </w:r>
          </w:p>
        </w:tc>
        <w:tc>
          <w:tcPr>
            <w:tcW w:w="840" w:type="dxa"/>
            <w:vAlign w:val="bottom"/>
            <w:tcBorders>
              <w:bottom w:val="single" w:sz="8" w:color="auto"/>
            </w:tcBorders>
            <w:shd w:val="clear" w:color="auto" w:fill="CCECFF"/>
          </w:tcPr>
          <w:p>
            <w:pPr>
              <w:spacing w:after="0"/>
              <w:rPr>
                <w:sz w:val="19"/>
                <w:szCs w:val="19"/>
                <w:color w:val="auto"/>
              </w:rPr>
            </w:pPr>
          </w:p>
        </w:tc>
        <w:tc>
          <w:tcPr>
            <w:tcW w:w="64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1,324</w:t>
            </w:r>
          </w:p>
        </w:tc>
        <w:tc>
          <w:tcPr>
            <w:tcW w:w="200" w:type="dxa"/>
            <w:vAlign w:val="bottom"/>
            <w:shd w:val="clear" w:color="auto" w:fill="CCECFF"/>
          </w:tcPr>
          <w:p>
            <w:pPr>
              <w:spacing w:after="0"/>
              <w:rPr>
                <w:sz w:val="19"/>
                <w:szCs w:val="19"/>
                <w:color w:val="auto"/>
              </w:rPr>
            </w:pPr>
          </w:p>
        </w:tc>
        <w:tc>
          <w:tcPr>
            <w:tcW w:w="860" w:type="dxa"/>
            <w:vAlign w:val="bottom"/>
            <w:tcBorders>
              <w:bottom w:val="single" w:sz="8" w:color="auto"/>
            </w:tcBorders>
            <w:shd w:val="clear" w:color="auto" w:fill="CCECFF"/>
          </w:tcPr>
          <w:p>
            <w:pPr>
              <w:spacing w:after="0"/>
              <w:rPr>
                <w:sz w:val="19"/>
                <w:szCs w:val="19"/>
                <w:color w:val="auto"/>
              </w:rPr>
            </w:pPr>
          </w:p>
        </w:tc>
        <w:tc>
          <w:tcPr>
            <w:tcW w:w="64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1,423</w:t>
            </w:r>
          </w:p>
        </w:tc>
        <w:tc>
          <w:tcPr>
            <w:tcW w:w="360" w:type="dxa"/>
            <w:vAlign w:val="bottom"/>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spacing w:after="0"/>
              <w:rPr>
                <w:sz w:val="19"/>
                <w:szCs w:val="19"/>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4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17,792</w:t>
            </w: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16,749</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1,043</w:t>
            </w:r>
          </w:p>
        </w:tc>
        <w:tc>
          <w:tcPr>
            <w:tcW w:w="16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4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$17.8 million for the three months ended June 30, 2022 compared to $16.7 million for the same period in 2021. The increase was primarily driven by external expenses generated from the advancement of 3733, 4334 and our research discovery program. In addition, employee and contractor-related expenses increased by $1.5 million primarily due to increases in salary and benefits as well as accrued severance benefits related to an executive officer associated with the reorganization announced in July 2022. These increases were partially offset by a decrease in VBR’s external expenses due to the termination of Studies 211 and 205 as well as costs under two of our Phase 2 triple combination studies being shared with collaboration partners. The remaining offset relates to a decrease in 2158’s external expenses due to the termination of the program.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general and administrative expenses (in thousands, except for percentages):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264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2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56"/>
        </w:trPr>
        <w:tc>
          <w:tcPr>
            <w:tcW w:w="4760" w:type="dxa"/>
            <w:vAlign w:val="bottom"/>
          </w:tcPr>
          <w:p>
            <w:pPr>
              <w:spacing w:after="0"/>
              <w:rPr>
                <w:sz w:val="13"/>
                <w:szCs w:val="13"/>
                <w:color w:val="auto"/>
              </w:rPr>
            </w:pPr>
          </w:p>
        </w:tc>
        <w:tc>
          <w:tcPr>
            <w:tcW w:w="920" w:type="dxa"/>
            <w:vAlign w:val="bottom"/>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3"/>
                <w:szCs w:val="13"/>
                <w:color w:val="auto"/>
              </w:rPr>
            </w:pPr>
          </w:p>
        </w:tc>
        <w:tc>
          <w:tcPr>
            <w:tcW w:w="11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1520" w:type="dxa"/>
            <w:vAlign w:val="bottom"/>
          </w:tcPr>
          <w:p>
            <w:pPr>
              <w:jc w:val="center"/>
              <w:ind w:right="162"/>
              <w:spacing w:after="0" w:line="155" w:lineRule="exact"/>
              <w:rPr>
                <w:sz w:val="20"/>
                <w:szCs w:val="20"/>
                <w:color w:val="auto"/>
              </w:rPr>
            </w:pPr>
            <w:r>
              <w:rPr>
                <w:rFonts w:ascii="Times New Roman" w:cs="Times New Roman" w:eastAsia="Times New Roman" w:hAnsi="Times New Roman"/>
                <w:sz w:val="14"/>
                <w:szCs w:val="14"/>
                <w:b w:val="1"/>
                <w:bCs w:val="1"/>
                <w:color w:val="auto"/>
              </w:rPr>
              <w:t>2022 vs. 2021</w:t>
            </w:r>
          </w:p>
        </w:tc>
      </w:tr>
      <w:tr>
        <w:trPr>
          <w:trHeight w:val="223"/>
        </w:trPr>
        <w:tc>
          <w:tcPr>
            <w:tcW w:w="4760" w:type="dxa"/>
            <w:vAlign w:val="bottom"/>
            <w:tcBorders>
              <w:top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20" w:type="dxa"/>
            <w:vAlign w:val="bottom"/>
            <w:tcBorders>
              <w:top w:val="single" w:sz="8" w:color="auto"/>
            </w:tcBorders>
            <w:shd w:val="clear" w:color="auto" w:fill="CCECFF"/>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6,781</w:t>
            </w:r>
          </w:p>
        </w:tc>
        <w:tc>
          <w:tcPr>
            <w:tcW w:w="200" w:type="dxa"/>
            <w:vAlign w:val="bottom"/>
            <w:tcBorders>
              <w:top w:val="single" w:sz="8" w:color="CCECFF"/>
            </w:tcBorders>
            <w:shd w:val="clear" w:color="auto" w:fill="CCECFF"/>
          </w:tcPr>
          <w:p>
            <w:pPr>
              <w:spacing w:after="0"/>
              <w:rPr>
                <w:sz w:val="19"/>
                <w:szCs w:val="19"/>
                <w:color w:val="auto"/>
              </w:rPr>
            </w:pPr>
          </w:p>
        </w:tc>
        <w:tc>
          <w:tcPr>
            <w:tcW w:w="920" w:type="dxa"/>
            <w:vAlign w:val="bottom"/>
            <w:tcBorders>
              <w:top w:val="single" w:sz="8" w:color="auto"/>
            </w:tcBorders>
            <w:shd w:val="clear" w:color="auto" w:fill="CCEC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6,917</w:t>
            </w:r>
          </w:p>
        </w:tc>
        <w:tc>
          <w:tcPr>
            <w:tcW w:w="14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Borders>
              <w:top w:val="single" w:sz="8" w:color="CCECFF"/>
            </w:tcBorders>
            <w:shd w:val="clear" w:color="auto" w:fill="CCECFF"/>
          </w:tcPr>
          <w:p>
            <w:pPr>
              <w:spacing w:after="0"/>
              <w:rPr>
                <w:sz w:val="19"/>
                <w:szCs w:val="19"/>
                <w:color w:val="auto"/>
              </w:rPr>
            </w:pPr>
          </w:p>
        </w:tc>
        <w:tc>
          <w:tcPr>
            <w:tcW w:w="15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salaries, consulting fees and other related costs, professional fees for legal services, accounting and tax services, insurance and travel expenses, as well as stock-based compensation expense associated with equity awards to our employees and directors.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General and administrative expenses were comparable with $6.8 million during the three months ended June 30, 2022 and $6.9 million for the same period in 2021. </w:t>
      </w:r>
      <w:r>
        <w:rPr>
          <w:rFonts w:ascii="Times New Roman" w:cs="Times New Roman" w:eastAsia="Times New Roman" w:hAnsi="Times New Roman"/>
          <w:sz w:val="18"/>
          <w:szCs w:val="18"/>
          <w:color w:val="242424"/>
        </w:rPr>
        <w:t>The impact to salaries and benefits associated with the termination of an executive officer as part of the reorganization announced in July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was offset by a reduction in salaries and benefits due to employee turnover.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research and development expenses (in thousands, except for percentages):</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5"/>
                <w:szCs w:val="15"/>
                <w:color w:val="auto"/>
              </w:rPr>
            </w:pPr>
          </w:p>
        </w:tc>
        <w:tc>
          <w:tcPr>
            <w:tcW w:w="13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3"/>
        </w:trPr>
        <w:tc>
          <w:tcPr>
            <w:tcW w:w="4160" w:type="dxa"/>
            <w:vAlign w:val="bottom"/>
            <w:tcBorders>
              <w:bottom w:val="single" w:sz="8" w:color="CCEC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C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CCEC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20" w:type="dxa"/>
            <w:vAlign w:val="bottom"/>
            <w:tcBorders>
              <w:bottom w:val="single" w:sz="8" w:color="CCECFF"/>
            </w:tcBorders>
          </w:tcPr>
          <w:p>
            <w:pPr>
              <w:spacing w:after="0"/>
              <w:rPr>
                <w:sz w:val="19"/>
                <w:szCs w:val="19"/>
                <w:color w:val="auto"/>
              </w:rPr>
            </w:pPr>
          </w:p>
        </w:tc>
        <w:tc>
          <w:tcPr>
            <w:tcW w:w="13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 vs. 2021</w:t>
            </w:r>
          </w:p>
        </w:tc>
      </w:tr>
      <w:tr>
        <w:trPr>
          <w:trHeight w:val="223"/>
        </w:trPr>
        <w:tc>
          <w:tcPr>
            <w:tcW w:w="41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External expenses:</w:t>
            </w:r>
          </w:p>
        </w:tc>
        <w:tc>
          <w:tcPr>
            <w:tcW w:w="28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08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1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380" w:type="dxa"/>
            <w:vAlign w:val="bottom"/>
            <w:shd w:val="clear" w:color="auto" w:fill="CCECFF"/>
          </w:tcPr>
          <w:p>
            <w:pPr>
              <w:spacing w:after="0"/>
              <w:rPr>
                <w:sz w:val="19"/>
                <w:szCs w:val="19"/>
                <w:color w:val="auto"/>
              </w:rPr>
            </w:pPr>
          </w:p>
        </w:tc>
      </w:tr>
      <w:tr>
        <w:trPr>
          <w:trHeight w:val="230"/>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VBR</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3,306</w:t>
            </w:r>
          </w:p>
        </w:tc>
        <w:tc>
          <w:tcPr>
            <w:tcW w:w="46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9,710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41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2158</w:t>
            </w:r>
          </w:p>
        </w:tc>
        <w:tc>
          <w:tcPr>
            <w:tcW w:w="280" w:type="dxa"/>
            <w:vAlign w:val="bottom"/>
            <w:shd w:val="clear" w:color="auto" w:fill="CCECFF"/>
          </w:tcPr>
          <w:p>
            <w:pPr>
              <w:spacing w:after="0"/>
              <w:rPr>
                <w:sz w:val="19"/>
                <w:szCs w:val="19"/>
                <w:color w:val="auto"/>
              </w:rPr>
            </w:pPr>
          </w:p>
        </w:tc>
        <w:tc>
          <w:tcPr>
            <w:tcW w:w="1060" w:type="dxa"/>
            <w:vAlign w:val="bottom"/>
            <w:shd w:val="clear" w:color="auto" w:fill="CCECFF"/>
          </w:tcPr>
          <w:p>
            <w:pPr>
              <w:jc w:val="right"/>
              <w:ind w:right="13"/>
              <w:spacing w:after="0"/>
              <w:rPr>
                <w:sz w:val="20"/>
                <w:szCs w:val="20"/>
                <w:color w:val="auto"/>
              </w:rPr>
            </w:pPr>
            <w:r>
              <w:rPr>
                <w:rFonts w:ascii="Times New Roman" w:cs="Times New Roman" w:eastAsia="Times New Roman" w:hAnsi="Times New Roman"/>
                <w:sz w:val="18"/>
                <w:szCs w:val="18"/>
                <w:color w:val="auto"/>
              </w:rPr>
              <w:t>1,165</w:t>
            </w:r>
          </w:p>
        </w:tc>
        <w:tc>
          <w:tcPr>
            <w:tcW w:w="18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0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8"/>
                <w:szCs w:val="18"/>
                <w:color w:val="auto"/>
              </w:rPr>
              <w:t>4,557</w:t>
            </w:r>
          </w:p>
        </w:tc>
        <w:tc>
          <w:tcPr>
            <w:tcW w:w="3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3733</w:t>
            </w:r>
          </w:p>
        </w:tc>
        <w:tc>
          <w:tcPr>
            <w:tcW w:w="28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3,454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2,850</w:t>
            </w:r>
          </w:p>
        </w:tc>
        <w:tc>
          <w:tcPr>
            <w:tcW w:w="15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472%</w:t>
            </w:r>
          </w:p>
        </w:tc>
      </w:tr>
      <w:tr>
        <w:trPr>
          <w:trHeight w:val="229"/>
        </w:trPr>
        <w:tc>
          <w:tcPr>
            <w:tcW w:w="41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4334</w:t>
            </w:r>
          </w:p>
        </w:tc>
        <w:tc>
          <w:tcPr>
            <w:tcW w:w="280" w:type="dxa"/>
            <w:vAlign w:val="bottom"/>
            <w:shd w:val="clear" w:color="auto" w:fill="CCECFF"/>
          </w:tcPr>
          <w:p>
            <w:pPr>
              <w:spacing w:after="0"/>
              <w:rPr>
                <w:sz w:val="19"/>
                <w:szCs w:val="19"/>
                <w:color w:val="auto"/>
              </w:rPr>
            </w:pPr>
          </w:p>
        </w:tc>
        <w:tc>
          <w:tcPr>
            <w:tcW w:w="1060" w:type="dxa"/>
            <w:vAlign w:val="bottom"/>
            <w:shd w:val="clear" w:color="auto" w:fill="CCECFF"/>
          </w:tcPr>
          <w:p>
            <w:pPr>
              <w:jc w:val="right"/>
              <w:ind w:right="13"/>
              <w:spacing w:after="0"/>
              <w:rPr>
                <w:sz w:val="20"/>
                <w:szCs w:val="20"/>
                <w:color w:val="auto"/>
              </w:rPr>
            </w:pPr>
            <w:r>
              <w:rPr>
                <w:rFonts w:ascii="Times New Roman" w:cs="Times New Roman" w:eastAsia="Times New Roman" w:hAnsi="Times New Roman"/>
                <w:sz w:val="18"/>
                <w:szCs w:val="18"/>
                <w:color w:val="auto"/>
              </w:rPr>
              <w:t>3,400</w:t>
            </w:r>
          </w:p>
        </w:tc>
        <w:tc>
          <w:tcPr>
            <w:tcW w:w="18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0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8"/>
                <w:szCs w:val="18"/>
                <w:color w:val="auto"/>
              </w:rPr>
              <w:t>1,318</w:t>
            </w:r>
          </w:p>
        </w:tc>
        <w:tc>
          <w:tcPr>
            <w:tcW w:w="3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120" w:type="dxa"/>
            <w:vAlign w:val="bottom"/>
            <w:shd w:val="clear" w:color="auto" w:fill="CCECFF"/>
          </w:tcPr>
          <w:p>
            <w:pPr>
              <w:jc w:val="right"/>
              <w:ind w:right="33"/>
              <w:spacing w:after="0"/>
              <w:rPr>
                <w:sz w:val="20"/>
                <w:szCs w:val="20"/>
                <w:color w:val="auto"/>
              </w:rPr>
            </w:pPr>
            <w:r>
              <w:rPr>
                <w:rFonts w:ascii="Times New Roman" w:cs="Times New Roman" w:eastAsia="Times New Roman" w:hAnsi="Times New Roman"/>
                <w:sz w:val="18"/>
                <w:szCs w:val="18"/>
                <w:color w:val="auto"/>
              </w:rPr>
              <w:t>2,082</w:t>
            </w:r>
          </w:p>
        </w:tc>
        <w:tc>
          <w:tcPr>
            <w:tcW w:w="1500" w:type="dxa"/>
            <w:vAlign w:val="bottom"/>
            <w:gridSpan w:val="2"/>
            <w:shd w:val="clear" w:color="auto" w:fill="CCECFF"/>
          </w:tcPr>
          <w:p>
            <w:pPr>
              <w:jc w:val="right"/>
              <w:ind w:right="8"/>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Microbiome</w:t>
            </w:r>
          </w:p>
        </w:tc>
        <w:tc>
          <w:tcPr>
            <w:tcW w:w="28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41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Research and discovery</w:t>
            </w:r>
          </w:p>
        </w:tc>
        <w:tc>
          <w:tcPr>
            <w:tcW w:w="280" w:type="dxa"/>
            <w:vAlign w:val="bottom"/>
            <w:tcBorders>
              <w:bottom w:val="single" w:sz="8" w:color="auto"/>
            </w:tcBorders>
            <w:shd w:val="clear" w:color="auto" w:fill="CCECFF"/>
          </w:tcPr>
          <w:p>
            <w:pPr>
              <w:spacing w:after="0"/>
              <w:rPr>
                <w:sz w:val="19"/>
                <w:szCs w:val="19"/>
                <w:color w:val="auto"/>
              </w:rPr>
            </w:pPr>
          </w:p>
        </w:tc>
        <w:tc>
          <w:tcPr>
            <w:tcW w:w="1060" w:type="dxa"/>
            <w:vAlign w:val="bottom"/>
            <w:tcBorders>
              <w:bottom w:val="single" w:sz="8" w:color="auto"/>
            </w:tcBorders>
            <w:shd w:val="clear" w:color="auto" w:fill="CCECFF"/>
          </w:tcPr>
          <w:p>
            <w:pPr>
              <w:jc w:val="right"/>
              <w:ind w:right="13"/>
              <w:spacing w:after="0"/>
              <w:rPr>
                <w:sz w:val="20"/>
                <w:szCs w:val="20"/>
                <w:color w:val="auto"/>
              </w:rPr>
            </w:pPr>
            <w:r>
              <w:rPr>
                <w:rFonts w:ascii="Times New Roman" w:cs="Times New Roman" w:eastAsia="Times New Roman" w:hAnsi="Times New Roman"/>
                <w:sz w:val="18"/>
                <w:szCs w:val="18"/>
                <w:color w:val="auto"/>
              </w:rPr>
              <w:t>4,491</w:t>
            </w:r>
          </w:p>
        </w:tc>
        <w:tc>
          <w:tcPr>
            <w:tcW w:w="180" w:type="dxa"/>
            <w:vAlign w:val="bottom"/>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spacing w:after="0"/>
              <w:rPr>
                <w:sz w:val="19"/>
                <w:szCs w:val="19"/>
                <w:color w:val="auto"/>
              </w:rPr>
            </w:pPr>
          </w:p>
        </w:tc>
        <w:tc>
          <w:tcPr>
            <w:tcW w:w="1080" w:type="dxa"/>
            <w:vAlign w:val="bottom"/>
            <w:tcBorders>
              <w:bottom w:val="single" w:sz="8" w:color="auto"/>
            </w:tcBorders>
            <w:shd w:val="clear" w:color="auto" w:fill="CCECFF"/>
          </w:tcPr>
          <w:p>
            <w:pPr>
              <w:jc w:val="right"/>
              <w:ind w:right="12"/>
              <w:spacing w:after="0"/>
              <w:rPr>
                <w:sz w:val="20"/>
                <w:szCs w:val="20"/>
                <w:color w:val="auto"/>
              </w:rPr>
            </w:pPr>
            <w:r>
              <w:rPr>
                <w:rFonts w:ascii="Times New Roman" w:cs="Times New Roman" w:eastAsia="Times New Roman" w:hAnsi="Times New Roman"/>
                <w:sz w:val="18"/>
                <w:szCs w:val="18"/>
                <w:color w:val="auto"/>
              </w:rPr>
              <w:t>2,699</w:t>
            </w:r>
          </w:p>
        </w:tc>
        <w:tc>
          <w:tcPr>
            <w:tcW w:w="320" w:type="dxa"/>
            <w:vAlign w:val="bottom"/>
            <w:shd w:val="clear" w:color="auto" w:fill="CCECFF"/>
          </w:tcPr>
          <w:p>
            <w:pPr>
              <w:spacing w:after="0"/>
              <w:rPr>
                <w:sz w:val="19"/>
                <w:szCs w:val="19"/>
                <w:color w:val="auto"/>
              </w:rPr>
            </w:pPr>
          </w:p>
        </w:tc>
        <w:tc>
          <w:tcPr>
            <w:tcW w:w="120" w:type="dxa"/>
            <w:vAlign w:val="bottom"/>
            <w:tcBorders>
              <w:bottom w:val="single" w:sz="8" w:color="auto"/>
            </w:tcBorders>
            <w:shd w:val="clear" w:color="auto" w:fill="CCECFF"/>
          </w:tcPr>
          <w:p>
            <w:pPr>
              <w:spacing w:after="0"/>
              <w:rPr>
                <w:sz w:val="19"/>
                <w:szCs w:val="19"/>
                <w:color w:val="auto"/>
              </w:rPr>
            </w:pPr>
          </w:p>
        </w:tc>
        <w:tc>
          <w:tcPr>
            <w:tcW w:w="1120" w:type="dxa"/>
            <w:vAlign w:val="bottom"/>
            <w:tcBorders>
              <w:bottom w:val="single" w:sz="8" w:color="auto"/>
            </w:tcBorders>
            <w:shd w:val="clear" w:color="auto" w:fill="CCECFF"/>
          </w:tcPr>
          <w:p>
            <w:pPr>
              <w:jc w:val="right"/>
              <w:ind w:right="33"/>
              <w:spacing w:after="0"/>
              <w:rPr>
                <w:sz w:val="20"/>
                <w:szCs w:val="20"/>
                <w:color w:val="auto"/>
              </w:rPr>
            </w:pPr>
            <w:r>
              <w:rPr>
                <w:rFonts w:ascii="Times New Roman" w:cs="Times New Roman" w:eastAsia="Times New Roman" w:hAnsi="Times New Roman"/>
                <w:sz w:val="18"/>
                <w:szCs w:val="18"/>
                <w:color w:val="auto"/>
              </w:rPr>
              <w:t>1,792</w:t>
            </w:r>
          </w:p>
        </w:tc>
        <w:tc>
          <w:tcPr>
            <w:tcW w:w="1500" w:type="dxa"/>
            <w:vAlign w:val="bottom"/>
            <w:gridSpan w:val="2"/>
            <w:shd w:val="clear" w:color="auto" w:fill="CCECFF"/>
          </w:tcPr>
          <w:p>
            <w:pPr>
              <w:jc w:val="right"/>
              <w:ind w:right="8"/>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external expenses</w:t>
            </w:r>
          </w:p>
        </w:tc>
        <w:tc>
          <w:tcPr>
            <w:tcW w:w="28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15,816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19,376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1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Employee and contractor-related expenses</w:t>
            </w:r>
          </w:p>
        </w:tc>
        <w:tc>
          <w:tcPr>
            <w:tcW w:w="280" w:type="dxa"/>
            <w:vAlign w:val="bottom"/>
            <w:shd w:val="clear" w:color="auto" w:fill="CCECFF"/>
          </w:tcPr>
          <w:p>
            <w:pPr>
              <w:spacing w:after="0"/>
              <w:rPr>
                <w:sz w:val="19"/>
                <w:szCs w:val="19"/>
                <w:color w:val="auto"/>
              </w:rPr>
            </w:pPr>
          </w:p>
        </w:tc>
        <w:tc>
          <w:tcPr>
            <w:tcW w:w="1060" w:type="dxa"/>
            <w:vAlign w:val="bottom"/>
            <w:shd w:val="clear" w:color="auto" w:fill="CCECFF"/>
          </w:tcPr>
          <w:p>
            <w:pPr>
              <w:jc w:val="right"/>
              <w:ind w:right="13"/>
              <w:spacing w:after="0"/>
              <w:rPr>
                <w:sz w:val="20"/>
                <w:szCs w:val="20"/>
                <w:color w:val="auto"/>
              </w:rPr>
            </w:pPr>
            <w:r>
              <w:rPr>
                <w:rFonts w:ascii="Times New Roman" w:cs="Times New Roman" w:eastAsia="Times New Roman" w:hAnsi="Times New Roman"/>
                <w:sz w:val="18"/>
                <w:szCs w:val="18"/>
                <w:color w:val="auto"/>
              </w:rPr>
              <w:t>16,198</w:t>
            </w:r>
          </w:p>
        </w:tc>
        <w:tc>
          <w:tcPr>
            <w:tcW w:w="18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0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8"/>
                <w:szCs w:val="18"/>
                <w:color w:val="auto"/>
              </w:rPr>
              <w:t>11,402</w:t>
            </w:r>
          </w:p>
        </w:tc>
        <w:tc>
          <w:tcPr>
            <w:tcW w:w="3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120" w:type="dxa"/>
            <w:vAlign w:val="bottom"/>
            <w:shd w:val="clear" w:color="auto" w:fill="CCECFF"/>
          </w:tcPr>
          <w:p>
            <w:pPr>
              <w:jc w:val="right"/>
              <w:ind w:right="33"/>
              <w:spacing w:after="0"/>
              <w:rPr>
                <w:sz w:val="20"/>
                <w:szCs w:val="20"/>
                <w:color w:val="auto"/>
              </w:rPr>
            </w:pPr>
            <w:r>
              <w:rPr>
                <w:rFonts w:ascii="Times New Roman" w:cs="Times New Roman" w:eastAsia="Times New Roman" w:hAnsi="Times New Roman"/>
                <w:sz w:val="18"/>
                <w:szCs w:val="18"/>
                <w:color w:val="auto"/>
              </w:rPr>
              <w:t>4,796</w:t>
            </w:r>
          </w:p>
        </w:tc>
        <w:tc>
          <w:tcPr>
            <w:tcW w:w="1500" w:type="dxa"/>
            <w:vAlign w:val="bottom"/>
            <w:gridSpan w:val="2"/>
            <w:shd w:val="clear" w:color="auto" w:fill="CCECFF"/>
          </w:tcPr>
          <w:p>
            <w:pPr>
              <w:jc w:val="right"/>
              <w:ind w:right="8"/>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416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8"/>
                <w:szCs w:val="18"/>
                <w:color w:val="auto"/>
              </w:rPr>
              <w:t>Facility and other expenses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2,983</w:t>
            </w:r>
          </w:p>
        </w:tc>
        <w:tc>
          <w:tcPr>
            <w:tcW w:w="180" w:type="dxa"/>
            <w:vAlign w:val="bottom"/>
            <w:tcBorders>
              <w:bottom w:val="single" w:sz="8" w:color="CCEC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4,525</w:t>
            </w:r>
          </w:p>
        </w:tc>
        <w:tc>
          <w:tcPr>
            <w:tcW w:w="320" w:type="dxa"/>
            <w:vAlign w:val="bottom"/>
            <w:tcBorders>
              <w:bottom w:val="single" w:sz="8" w:color="CCEC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500" w:type="dxa"/>
            <w:vAlign w:val="bottom"/>
            <w:tcBorders>
              <w:bottom w:val="single" w:sz="8" w:color="CCEC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41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80" w:type="dxa"/>
            <w:vAlign w:val="bottom"/>
            <w:tcBorders>
              <w:bottom w:val="single" w:sz="8" w:color="auto"/>
            </w:tcBorders>
            <w:shd w:val="clear" w:color="auto" w:fill="CCEC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CFF"/>
          </w:tcPr>
          <w:p>
            <w:pPr>
              <w:jc w:val="right"/>
              <w:ind w:right="13"/>
              <w:spacing w:after="0"/>
              <w:rPr>
                <w:sz w:val="20"/>
                <w:szCs w:val="20"/>
                <w:color w:val="auto"/>
              </w:rPr>
            </w:pPr>
            <w:r>
              <w:rPr>
                <w:rFonts w:ascii="Times New Roman" w:cs="Times New Roman" w:eastAsia="Times New Roman" w:hAnsi="Times New Roman"/>
                <w:sz w:val="18"/>
                <w:szCs w:val="18"/>
                <w:color w:val="auto"/>
              </w:rPr>
              <w:t>34,997</w:t>
            </w:r>
          </w:p>
        </w:tc>
        <w:tc>
          <w:tcPr>
            <w:tcW w:w="18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CFF"/>
          </w:tcPr>
          <w:p>
            <w:pPr>
              <w:jc w:val="right"/>
              <w:ind w:right="12"/>
              <w:spacing w:after="0"/>
              <w:rPr>
                <w:sz w:val="20"/>
                <w:szCs w:val="20"/>
                <w:color w:val="auto"/>
              </w:rPr>
            </w:pPr>
            <w:r>
              <w:rPr>
                <w:rFonts w:ascii="Times New Roman" w:cs="Times New Roman" w:eastAsia="Times New Roman" w:hAnsi="Times New Roman"/>
                <w:sz w:val="18"/>
                <w:szCs w:val="18"/>
                <w:color w:val="auto"/>
              </w:rPr>
              <w:t>35,303</w:t>
            </w:r>
          </w:p>
        </w:tc>
        <w:tc>
          <w:tcPr>
            <w:tcW w:w="32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50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were $35.0 million for the six months ended June 30, 2022 compared to $35.3 million for the same period in 2021. Decreases in external expenses of $3.6 million and facility and other expenses of $1.5 million were materially offset by increases in employee and contractor-related expenses of $4.8 million. The decrease in external expenses was due to the termination of Studies 211 and 205, the termination of the 2158 and the Microbiome program as well as cost savings from sharing costs with our collaboration partners under two of our Phase 2 triple combination studies with VBR. This was partially offset by external expenses generated from the advancement of 3733, 4334 and our research discovery program. The decrease in facility and other expenses of $1.5 million was primarily attributable to asset impairment and other charges incurred in connection with the wind-down of the Microbiome program announced in January 2021. The increase in employee and contractor-related expenses of $4.8 million was primarily due to the reversal of $4.1 million of previously recognized stock-based compensation expense related to forfeited awards of terminated employees during the six months ended June 30, 2021, of which $2.7 million resulted from the wind-down of our Microbiome program, as well as increases in salaries and benefits primarily due to accrued severance benefits to an executive officer associated with the reorganization announced in July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general and administrative expenses (in thousands, except for percentages):</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55"/>
        </w:trPr>
        <w:tc>
          <w:tcPr>
            <w:tcW w:w="4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ind w:right="52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1400" w:type="dxa"/>
            <w:vAlign w:val="bottom"/>
          </w:tcPr>
          <w:p>
            <w:pPr>
              <w:jc w:val="center"/>
              <w:ind w:right="162"/>
              <w:spacing w:after="0" w:line="155" w:lineRule="exact"/>
              <w:rPr>
                <w:sz w:val="20"/>
                <w:szCs w:val="20"/>
                <w:color w:val="auto"/>
              </w:rPr>
            </w:pPr>
            <w:r>
              <w:rPr>
                <w:rFonts w:ascii="Times New Roman" w:cs="Times New Roman" w:eastAsia="Times New Roman" w:hAnsi="Times New Roman"/>
                <w:sz w:val="14"/>
                <w:szCs w:val="14"/>
                <w:b w:val="1"/>
                <w:bCs w:val="1"/>
                <w:color w:val="auto"/>
              </w:rPr>
              <w:t>2022 vs. 2021</w:t>
            </w:r>
          </w:p>
        </w:tc>
      </w:tr>
      <w:tr>
        <w:trPr>
          <w:trHeight w:val="223"/>
        </w:trPr>
        <w:tc>
          <w:tcPr>
            <w:tcW w:w="4220" w:type="dxa"/>
            <w:vAlign w:val="bottom"/>
            <w:tcBorders>
              <w:top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Borders>
              <w:top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CFF"/>
          </w:tcPr>
          <w:p>
            <w:pPr>
              <w:jc w:val="right"/>
              <w:ind w:right="42"/>
              <w:spacing w:after="0"/>
              <w:rPr>
                <w:sz w:val="20"/>
                <w:szCs w:val="20"/>
                <w:color w:val="auto"/>
              </w:rPr>
            </w:pPr>
            <w:r>
              <w:rPr>
                <w:rFonts w:ascii="Times New Roman" w:cs="Times New Roman" w:eastAsia="Times New Roman" w:hAnsi="Times New Roman"/>
                <w:sz w:val="18"/>
                <w:szCs w:val="18"/>
                <w:color w:val="auto"/>
              </w:rPr>
              <w:t>12,738</w:t>
            </w:r>
          </w:p>
        </w:tc>
        <w:tc>
          <w:tcPr>
            <w:tcW w:w="180" w:type="dxa"/>
            <w:vAlign w:val="bottom"/>
            <w:tcBorders>
              <w:top w:val="single" w:sz="8" w:color="CCECFF"/>
            </w:tcBorders>
            <w:shd w:val="clear" w:color="auto" w:fill="CCECFF"/>
          </w:tcPr>
          <w:p>
            <w:pPr>
              <w:spacing w:after="0"/>
              <w:rPr>
                <w:sz w:val="19"/>
                <w:szCs w:val="19"/>
                <w:color w:val="auto"/>
              </w:rPr>
            </w:pPr>
          </w:p>
        </w:tc>
        <w:tc>
          <w:tcPr>
            <w:tcW w:w="780" w:type="dxa"/>
            <w:vAlign w:val="bottom"/>
            <w:tcBorders>
              <w:top w:val="single" w:sz="8" w:color="auto"/>
            </w:tcBorders>
            <w:shd w:val="clear" w:color="auto" w:fill="CCECFF"/>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96"/>
              </w:rPr>
              <w:t>15,621</w:t>
            </w:r>
          </w:p>
        </w:tc>
        <w:tc>
          <w:tcPr>
            <w:tcW w:w="140" w:type="dxa"/>
            <w:vAlign w:val="bottom"/>
            <w:tcBorders>
              <w:top w:val="single" w:sz="8" w:color="CCECFF"/>
            </w:tcBorders>
            <w:shd w:val="clear" w:color="auto" w:fill="CCECFF"/>
          </w:tcPr>
          <w:p>
            <w:pPr>
              <w:spacing w:after="0"/>
              <w:rPr>
                <w:sz w:val="19"/>
                <w:szCs w:val="19"/>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40" w:type="dxa"/>
            <w:vAlign w:val="bottom"/>
            <w:tcBorders>
              <w:top w:val="single" w:sz="8" w:color="CCECFF"/>
            </w:tcBorders>
            <w:shd w:val="clear" w:color="auto" w:fill="CCECFF"/>
          </w:tcPr>
          <w:p>
            <w:pPr>
              <w:spacing w:after="0"/>
              <w:rPr>
                <w:sz w:val="19"/>
                <w:szCs w:val="19"/>
                <w:color w:val="auto"/>
              </w:rPr>
            </w:pPr>
          </w:p>
        </w:tc>
        <w:tc>
          <w:tcPr>
            <w:tcW w:w="14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General and administrative expenses were $12.7 million for the six months ended June 30, 2022 compared to $15.6 million for the same period in 2021. The decrease in general and administrative expenses primarily relates to a decrease in stock-based compensation expense of $1.4 million due to a decrease in the grant date fair value of recent option grants. We also experienced decreases of $0.6 million in facility-related expenses primarily due to termination of lease agreements related to the wind-down of the Microbiome program in 2021, $0.5 million in professional fees primarily due to decreases in legal expenses and $0.4 million in recruitment expenses due to hiring of fewer employees during six months ended June 30, 2022 compared to the same period in 2021. </w:t>
      </w:r>
      <w:r>
        <w:rPr>
          <w:rFonts w:ascii="Times New Roman" w:cs="Times New Roman" w:eastAsia="Times New Roman" w:hAnsi="Times New Roman"/>
          <w:sz w:val="18"/>
          <w:szCs w:val="18"/>
          <w:color w:val="242424"/>
        </w:rPr>
        <w:t>The impact to salaries and benefits associated with the termination of an executive officer as part of the reorganization announced in July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was offset by a reduction in salaries and benefits due to employee turnover.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June 30, 2022 principally through equity financings, raising an aggregate of $604.6 million in net proceeds, and strategic collaborations, raising an aggregate of $90.0 million through upfront payments.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Six Months Ended June 30, 2022 and 2021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(in thousands):</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(used in) provided by:</w:t>
            </w:r>
          </w:p>
        </w:tc>
        <w:tc>
          <w:tcPr>
            <w:tcW w:w="4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CFF"/>
            </w:tcBorders>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C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59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44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(45,387)</w:t>
            </w:r>
          </w:p>
        </w:tc>
        <w:tc>
          <w:tcPr>
            <w:tcW w:w="240" w:type="dxa"/>
            <w:vAlign w:val="bottom"/>
            <w:shd w:val="clear" w:color="auto" w:fill="CCECFF"/>
          </w:tcPr>
          <w:p>
            <w:pPr>
              <w:spacing w:after="0"/>
              <w:rPr>
                <w:sz w:val="19"/>
                <w:szCs w:val="19"/>
                <w:color w:val="auto"/>
              </w:rPr>
            </w:pPr>
          </w:p>
        </w:tc>
        <w:tc>
          <w:tcPr>
            <w:tcW w:w="740" w:type="dxa"/>
            <w:vAlign w:val="bottom"/>
            <w:shd w:val="clear" w:color="auto" w:fill="CCECFF"/>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(55,152)</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440" w:type="dxa"/>
            <w:vAlign w:val="bottom"/>
          </w:tcPr>
          <w:p>
            <w:pPr>
              <w:spacing w:after="0"/>
              <w:rPr>
                <w:sz w:val="19"/>
                <w:szCs w:val="19"/>
                <w:color w:val="auto"/>
              </w:rPr>
            </w:pPr>
          </w:p>
        </w:tc>
        <w:tc>
          <w:tcPr>
            <w:tcW w:w="14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42,646</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14,929</w:t>
            </w:r>
          </w:p>
        </w:tc>
        <w:tc>
          <w:tcPr>
            <w:tcW w:w="0" w:type="dxa"/>
            <w:vAlign w:val="bottom"/>
          </w:tcPr>
          <w:p>
            <w:pPr>
              <w:spacing w:after="0"/>
              <w:rPr>
                <w:sz w:val="1"/>
                <w:szCs w:val="1"/>
                <w:color w:val="auto"/>
              </w:rPr>
            </w:pPr>
          </w:p>
        </w:tc>
      </w:tr>
      <w:tr>
        <w:trPr>
          <w:trHeight w:val="229"/>
        </w:trPr>
        <w:tc>
          <w:tcPr>
            <w:tcW w:w="59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440" w:type="dxa"/>
            <w:vAlign w:val="bottom"/>
            <w:shd w:val="clear" w:color="auto" w:fill="CCECFF"/>
          </w:tcPr>
          <w:p>
            <w:pPr>
              <w:spacing w:after="0"/>
              <w:rPr>
                <w:sz w:val="19"/>
                <w:szCs w:val="19"/>
                <w:color w:val="auto"/>
              </w:rPr>
            </w:pPr>
          </w:p>
        </w:tc>
        <w:tc>
          <w:tcPr>
            <w:tcW w:w="1480" w:type="dxa"/>
            <w:vAlign w:val="bottom"/>
            <w:shd w:val="clear" w:color="auto" w:fill="CCECFF"/>
          </w:tcPr>
          <w:p>
            <w:pPr>
              <w:jc w:val="right"/>
              <w:ind w:right="37"/>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shd w:val="clear" w:color="auto" w:fill="CCECFF"/>
          </w:tcPr>
          <w:p>
            <w:pPr>
              <w:spacing w:after="0"/>
              <w:rPr>
                <w:sz w:val="19"/>
                <w:szCs w:val="19"/>
                <w:color w:val="auto"/>
              </w:rPr>
            </w:pPr>
          </w:p>
        </w:tc>
        <w:tc>
          <w:tcPr>
            <w:tcW w:w="740" w:type="dxa"/>
            <w:vAlign w:val="bottom"/>
            <w:shd w:val="clear" w:color="auto" w:fill="CCECFF"/>
          </w:tcPr>
          <w:p>
            <w:pPr>
              <w:spacing w:after="0"/>
              <w:rPr>
                <w:sz w:val="19"/>
                <w:szCs w:val="19"/>
                <w:color w:val="auto"/>
              </w:rPr>
            </w:pPr>
          </w:p>
        </w:tc>
        <w:tc>
          <w:tcPr>
            <w:tcW w:w="1220" w:type="dxa"/>
            <w:vAlign w:val="bottom"/>
            <w:shd w:val="clear" w:color="auto" w:fill="CCECFF"/>
          </w:tcPr>
          <w:p>
            <w:pPr>
              <w:jc w:val="right"/>
              <w:ind w:right="35"/>
              <w:spacing w:after="0"/>
              <w:rPr>
                <w:sz w:val="20"/>
                <w:szCs w:val="20"/>
                <w:color w:val="auto"/>
              </w:rPr>
            </w:pPr>
            <w:r>
              <w:rPr>
                <w:rFonts w:ascii="Times New Roman" w:cs="Times New Roman" w:eastAsia="Times New Roman" w:hAnsi="Times New Roman"/>
                <w:sz w:val="18"/>
                <w:szCs w:val="18"/>
                <w:color w:val="auto"/>
              </w:rPr>
              <w:t>40,296</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from Operating Activities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$45.4 million for the six months ended June 30, 2022. This was primarily due to our $47.6 million net loss, adjusted for $3.0 million recognized for stock-based compensation expense.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$55.2 million for the six months ended June 30, 2021. This was primarily due to our $50.8 million net loss and a decrease of $7.6 million in other accrued expenses due to payment of our 2020 annual bonuses and accrued severances associated with the wind-down of our Microbiome program. These were partially offset by a $1.6 million loss on disposal of property and equipment associated with the wind-down of our Microbiome program during the six months ended June 30, 2021.</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from Investing Activities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six months ended June 30, 2022 was $42.6 million due to proceeds from sales and maturities of marketable securities, net of purchases.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six months ended June 30, 2021 was $14.9 million. This was due to proceeds of $17.2 million from sales and maturities of marketable securities, net of purchases, offset by our purchase of leased equipment for $3.1 million that we then sold for $0.9 million in connection with the wind-down of the Microbiome program.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from Financing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 were not significant for the six months ended June 30, 2022.</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2021 was $40.2 million resulting from the sale of 7,449,901 shares of our common stock under the 2020 ATM.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need to obtain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monitor our cash needs and the status of the capital markets on a continuous basis. From time to time, we opportunistically raise capital and have done so numerous times since our initial public offering by issuing equity securities, most recently in November 2021. We expect to continue to raise capital when and as needed and at the time and in the manner most advantageous to 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will enable us to fund our operating expenses and capital expenditure requirements for at least the next twelve months. There were no material changes in our commitments under the contractual obligations disclosed in our 2021 Annual Report. Since our inception, we have not engaged in any off-balance sheet arrangements as defined in Item 303(a)(4) of Regulation S-K.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85" w:lineRule="exact"/>
        <w:rPr>
          <w:sz w:val="20"/>
          <w:szCs w:val="20"/>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our Plan, including reducing the size of our organization to align with the Plan;</w:t>
      </w:r>
    </w:p>
    <w:p>
      <w:pPr>
        <w:spacing w:after="0" w:line="211"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ongoing drug discovery, nonclinical development, laboratory testing and clinical studies of our product candidates and any additional clinical studies we may conduct in the future;</w:t>
      </w:r>
    </w:p>
    <w:p>
      <w:pPr>
        <w:spacing w:after="0" w:line="12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further acquire or in-license other product candidates and technologies;</w:t>
      </w:r>
    </w:p>
    <w:p>
      <w:pPr>
        <w:spacing w:after="0" w:line="211"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and to contract with third parties to manufacture, adequate supplies of our product candidates for our clinical studies and any eventual commercialization;</w:t>
      </w:r>
    </w:p>
    <w:p>
      <w:pPr>
        <w:spacing w:after="0" w:line="12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11"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in the United States and abroad, maintaining and enforcing our intellectual property rights and defending intellectual property-related claims; and</w:t>
      </w:r>
    </w:p>
    <w:p>
      <w:pPr>
        <w:spacing w:after="0" w:line="12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nonclinical testing and clinical studies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likely be derived from sales of medicines that we do not expect to be commercially available for years, if at all. Accordingly, we will need to continue to rely on additional financings to achieve our business objectives. Adequate additional financings may not be available to us on acceptable terms, or at all.</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system of disclosure controls and procedures, as defined in Rules 13a-15(e) and 15d-15(e) of the Exchange Act, that is designed to provide reasonable assurance that information that is required to be disclosed in our reports filed pursuant to the Exchange Act, is accumulated and communicated to management in a timely manner. At the end of the period covered by this report, we carried out an evaluation, under the supervision and with the participation of our management, including our Chief Executive Officer and our Chief Financial Officer, of the effectiveness of the design and operation of our disclosure controls and procedures pursuant to Exchange Act Rules 13a-15(b) and 15d-15(b) as of the end of the period covered by this report. Based upon that evaluation, our Chief Executive Officer and our Chief Financial Officer concluded that our disclosure controls and procedures as of the end of the period covered by this report were effective at the reasonable assurance level.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in the quarter ended June 30, 2022 that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not a party to any material legal proceedings. In the future, we may from time to time become involved in litigation relating to claims arising from our ordinary course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together with all other information in this report, including our consolidated financial statements and notes thereto, and in our other filings with the SEC. If any of the following risks, or other risks not presently known to us or that we currently believe to not be material,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approved products and depend on the future success of the product candidates in our research and development pipeline. We cannot be certain that we or our collaborators will be able to obtain regulatory approval for, or successfully commercialize, product candidates from our current pipeline or any other product candidates that we may subsequently identify, license or otherwise acquire.</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and our collaborators are not permitted to market or promote any products in the United States, Europe, China or other countries before we receive regulatory approval from the FDA or comparable foreign regulatory authorities, and we may never receive such regulatory approval for our current product candidates. We have not submitted a new drug application (NDA) to the FDA or comparable applications to other regulatory authorities and do not expect to be in a position to do so in the near future.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our product candidates are in clinical development or in varying stages of nonclinical development. Data supporting our drug discovery and nonclinical and clinical development programs are derived from laboratory studies, nonclinical studies and Phase 1 and Phase 2 clinical studies. It may be years before the larger, pivotal studies necessary to support regulatory approval of our current product candidates are completed, if ever.</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current product pipeline, we may identify, license or otherwise acquire rights to other technologies or product candidates. Any such transactions would involve numerous risks, and we may be unsuccessful in entering into any such transactions or developing any such technologies or product candidates.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these reasons, our drug discovery and development may not be successful, and we may be unable to continue clinical development of our product candidates and may not generate product approvals or product revenue, any of which could have a material adverse impact on our business, results of operations and financial condition.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may materially and adversely affect our business.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continued spread of COVID-19, including through infection by variants of the SARS-CoV-2 virus, could continue to adversely impact our research and development through delay, modification or suspension of our clinical and/or nonclinical studies. Other clinical-stage biotechnology companies, like us, have had their clinical and nonclinical studies affected by the COVID-19 pandemic.</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COVID-19 pandemic has and may continue to: (1) impact patient enrollment, retention or compliance with clinical study protocols; (2) require modifications to, or deviations from, study protocols and procedures, such as the use of telehealth and home health visits instead of on-site monitoring and treatment, which could increase the cost of, and time for, conducting clinical studies; (3) disrupt or suspend the business operations of our third-party CROs, manufacturers of our drug candidates and the clinical sites conducting our clinical studies; (4) delay regulatory meetings and filings with regulatory agencies in the United States and other countries; and (5) disrupt supply chains and cause delays of shipments of critical reagents, PPE and disinfectants, each of which are necessary for our laboratories and our CROs’ laboratories to maintain normal workflows. Even if we are able to collect timely clinical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data while the pandemic is ongoing, COVID-19 may negatively affect the quality, completeness, integrity, interpretability and cost of obtaining such clinical study data.</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full extent of the pandemic’s impact on our business will depend on future developments, which are highly uncertain and cannot be predicted with confidence, such as the duration and severity of the pandemic and the effectiveness of actions for containment, treatment and prevention of COVID-19. However, any COVID-19-related business interruptions or delays could materially and adversely affect our ability to conduct our research and development activities in the manner and on the timelines presently planned as well as negatively affect the accuracy of our estimates regarding capital requirements, needs for additional financing and our ability to produce accurate and timely financial statements. Any of these disruptions could have a material adverse impact on our business, results of operations, financial condition and share price.</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COVID-19 pandemic, governments around the world implemented significant measures to control the spread of the virus, including quarantines, travel restrictions, stay-at-home orders and business shutdowns. While governments have relaxed these measures as case numbers decreased, periodic surges in COVID-19 cases have prompted, and may in the future prompt, many governments to reimplement these restrictions, including in the United States, Europe, India and China. We continue to take precautionary measures intended to minimize our employees’ potential exposure to the virus, including requiring employees to be vaccinated against COVID-19 and adopting a hybrid working model allowing our employees flexibility regarding when and how frequently to return to the office. Many of our employees continue to work primarily remotely, which may disrupt our operations, increase the risk of a cybersecurity incident or otherwise negatively affect our business.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risks related to the COVID-19 pandemic discussed above, the uncertainty surrounding, and risks created by, the pandemic may have the effect of heightening many of the other risks discussed in this section impacting our operations.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achieve the expected financial and operational benefits of our recent reorganization plan, our business and financial position could be materially and adversely affected.</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2022, we implemented a corporate reorganization plan designed to reduce our operating expenses, preserve cash and align our resources to support the ongoing clinical development 3733 and nonclinical development of 4334, our HBV/HDV entry inhibitor, our IFNAR agonist and two currently undisclosed viral targets outside of HBV. As part of this reorganization plan, we discontinued clinical development of our first generation core inhibitor, VBR, and implemented a staff reduction of approximately 30%, primarily consisting of our clinical development organization.</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successful implementation of the reorganization activities pursuant to the reorganization plan is subject to a number of assumptions, risks and uncertainties. We may incur additional costs not currently contemplated due to events that may occur as a result of, or that are associated with, the reorganization plan. These reorganization activities may yield unintended consequences, such as the loss of institutional knowledge and expertise, employee attrition beyond the planned reduction in force and a reduction in morale among our remaining employees. The streamlined organization may make it more challenging to achieve our discovery and development goals in the current timelines and may limit our ability to pursue new opportunities and initiatives. As a result, we may not achieve the anticipated benefits of the reorganization, which may have an adverse effect on our results of operations or financial condition.</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not currently profitable and might never become profitable, and we will need additional financing to complete the development of any product candidates and fund our activities into the future.</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have any approved products, and we have a history of losses. We expect to continue to incur substantial operating and capital expenditures to advance our current product candidates through clinical development, continue research and discovery efforts to identify potential additional product candidates and seek regulatory approvals for our current and future product candidates. All operations and capital expenditures will be funded from cash on hand, securities offerings or debt financings and payments we may receive from out-licenses, collaborations or other strategic arrangements. However, there is no assurance that we will be successful in raising any necessary additional capital on terms that are acceptable to us, or at all. If we are unable to develop and commercialize any product candidates and generate sufficient revenue or raise capital, we could be forced to delay, scale back or discontinue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product development and clinical studies, sacrifice attractive business opportunities, cease operations entirely and sell, or otherwise transfer, all or substantially all of our remaining assets, which would likely have a material adverse impact on our business, results of operations, financial condition and share price.</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Nonclinical and clinical studies required for our product candidates are expensive and time-consuming and may fail to demonstrate the level of safety and efficacy necessary for product approval.</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Before we or any commercial partners can obtain FDA approval (or other foreign approvals) necessary to sell any of our product candidates, we must show that each potential product is safe and effective. To meet these requirements, we must conduct extensive nonclinical and sufficient, well-controlled clinical studies.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results of nonclinical studies may not be representative of disease behavior in a clinical setting and may not be predictive of the outcomes of our clinical studies. In addition, the results of early clinical studies of product candidates may not be predictive of the results of later-stage clinical studies.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Conducting nonclinical and clinical studies is a lengthy, time consuming and expensive process. The length of time varies substantially according to the type, complexity, novelty, and intended use of the product candidate, and often can be several years or more. In addition, failure or delays can occur at any time during the nonclinical and clinical study process, resulting in additional operating expenses or harm to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commencement and rate of completion of clinical studies might be delayed by many factors, including, for example:</w:t>
      </w:r>
    </w:p>
    <w:p>
      <w:pPr>
        <w:spacing w:after="0" w:line="185" w:lineRule="exact"/>
        <w:rPr>
          <w:sz w:val="20"/>
          <w:szCs w:val="20"/>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regulatory authorities on study design;</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CROs and clinical study sites;</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efficacy or the emergence of unforeseen safety issues;</w:t>
      </w:r>
    </w:p>
    <w:p>
      <w:pPr>
        <w:spacing w:after="0" w:line="211"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quantities of qualified materials under current good manufacturing practice (cGMP) for use in clinical studies due to manufacturing challenges, delays or interruptions in the supply chain;</w:t>
      </w:r>
    </w:p>
    <w:p>
      <w:pPr>
        <w:spacing w:after="0" w:line="12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 or failure to recruit a sufficient number of eligible patients, which may be due to a number of reasons, including the size of the patient population, the proximity of patients to clinical sites, the eligibility criteria for the study, the design of the clinical study, and other potential drug candidates being studied;</w:t>
      </w:r>
    </w:p>
    <w:p>
      <w:pPr>
        <w:spacing w:after="0" w:line="135"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patients completing participation in a study or return for post-treatment follow-up for any reason, including, product side effects or disease progression;</w:t>
      </w:r>
    </w:p>
    <w:p>
      <w:pPr>
        <w:spacing w:after="0" w:line="12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 of clinical study protocols;</w:t>
      </w:r>
    </w:p>
    <w:p>
      <w:pPr>
        <w:spacing w:after="0" w:line="211"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suspension, or termination of clinical studies by the institutional review board or ethics committee responsible for overseeing the study at a particular study site; and</w:t>
      </w:r>
    </w:p>
    <w:p>
      <w:pPr>
        <w:spacing w:after="0" w:line="121"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other regulatory agency delays or clinical holds requiring suspension or termination of our clinical studies due to safety, tolerability or other issues related to our product candidates.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failure of nonclinical and clinical studies to demonstrate safety and effectiveness of a product candidate for the desired indications, whether conducted by us or by a CRO, would harm the development of that product candidate and potentially other product candidates. This failure could cause us to abandon a product candidate and could delay development of other product candidates. Any delay in, or failure of, our nonclinical studies or clinical studies could delay, or preclude, the filing of our NDAs and comparable applications with the FDA and foreign regulatory agencies, as applicable, and materially harm our business, prospects, financial condition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CROs to conduct some of our nonclinical and clinical studies due to our lack of suitable facilities and resources.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have sufficient facilities or resources to conduct all of our anticipated nonclinical and clinical studies internally. As a result, we contract with CROs to conduct a significant portion of the nonclinical and clinical studies required for regulatory approval for our product candidates. Our reliance on CROs reduces our control over these activities but does not relieve us of our responsibilities. For example, we are responsible for ensuring that each of our studies is conducted in accordance with the applicable protocol, legal and regulatory requirements and scientific standards, including, in the case of clinical studies, good clinical practices, even if the study is conducted by a CRO. In the event CROs fail to perform their duties in such a fashion or we are unable to retain or continue with CROs on acceptable terms, we may be unable to complete our clinical studies and may fail to obtain regulatory approval for our product candidates.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these CROs may also have relationships with other entities, some of which may be our competitors. CRO personnel are not our employees, and except for remedies available to us under our agreements with such third parties, we cannot control whether they devote sufficient time and resources to our clinical and nonclinical studies. If these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research, nonclinical or clinical studies may be extended, delayed or terminated and we may not be able to obtain, or may be delayed in obtaining, regulatory approvals for our product candidates, any of which could materially harm our business, prospects, financial condition and results of operations.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international operations, including in China, and conduct clinical studies and discovery research activities outside of the United States, including in Eastern Europe. A number of risks associated with international operations could materially and adversely affect our business.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be subject to a number of risks related with our international operations, many of which may be beyond our control. These risks include:</w:t>
      </w:r>
    </w:p>
    <w:p>
      <w:pPr>
        <w:spacing w:after="0" w:line="185" w:lineRule="exact"/>
        <w:rPr>
          <w:sz w:val="20"/>
          <w:szCs w:val="20"/>
          <w:color w:val="auto"/>
        </w:rPr>
      </w:pPr>
    </w:p>
    <w:p>
      <w:pPr>
        <w:ind w:left="880" w:hanging="440"/>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such as Russia’s invasion of Ukraine and the resulting war, as well as tariffs, other wars, acts of terrorism, natural disasters or outbreaks of disease;</w:t>
      </w:r>
    </w:p>
    <w:p>
      <w:pPr>
        <w:spacing w:after="0" w:line="12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in foreign countries;</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of care in various countries that could complicate the evaluation of our product candidates;</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U.S. and foreign drug import and export rules;</w:t>
      </w:r>
    </w:p>
    <w:p>
      <w:pPr>
        <w:spacing w:after="0" w:line="211"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reimbursement systems and different competitive drugs indicated to treat the indication for which our product candidates are being developed;</w:t>
      </w:r>
    </w:p>
    <w:p>
      <w:pPr>
        <w:spacing w:after="0" w:line="12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certain countries;</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United States Foreign Corrupt Practices Act (the FCPA) and other anti-corruption and anti-bribery laws;</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 and</w:t>
      </w:r>
    </w:p>
    <w:p>
      <w:pPr>
        <w:spacing w:after="0" w:line="211"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and compliance with foreign currency exchange rules, which could result in increased operating expenses and reduced revenues, and other obligations incident to doing business in another country.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Top-line or preliminary data may not accurately reflect the final results of a particular study.</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publicly disclose top-line or preliminary data based on analysis of then-available efficacy, tolerability, PK and safety data, and the results and related findings and conclusions are subject to change following a more comprehensive review of the data related to the particular study. We also make assumptions, estimates, calculations and conclusions as part of our data analyses, and we may not have received or had the opportunity to fully and carefully evaluate all data prior to release. As a result, the top-line or preliminary results that we report may differ from final results of the same studies or different conclusions or considerations may qualify such results once additional data have been received and fully evaluated. Top-line data also remains subject to audit and verification procedures that may result in the final data differing materially from previously published preliminary data. As a result, top-line and preliminary data should be viewed with caution until the final data are available.</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top-line or preliminary results, the information we may publicly disclose regarding a particular nonclinical or clinical study is based on extensive information, and you or others may not agree with what we determine is the material or otherwise appropriate information to include in our disclosure. In addition, any information we determine not to disclose may ultimately be deemed significant with respect to future decisions, conclusions, views, activities or otherwise regarding a particular drug, drug candidate or our business. If the top-line or preliminary data that we report differ from final results, or if others, including regulatory authorities, disagree with, or do not accept, the data or conclusions reached, our ability to obtain approval for, and commercialize, our product candidates may be harmed or delayed, which could harm our business, financial condition, operating results or prospects.</w:t>
      </w:r>
    </w:p>
    <w:p>
      <w:pPr>
        <w:spacing w:after="0" w:line="1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formulate and manufacture our product candidates and products that we study in combination with our product candidates. Our use of third parties may increase the risk that we will not have sufficient quantities of our product candidates or other products on time or at an acceptable cost.</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third-party manufacturers to supply the quantities of VBR, 3733 and 4334 used in our clinical and nonclinical studies. If any product candidate we develop or acquire in the future receives FDA or other regulatory approval, we expect to continue our reliance on one or more third-party contractors to manufacture our products. If, for any reason, we are unable to rely on any third-party sources we have identified to manufacture our product candidates, we would need to identify and contract with additional or replacement third-party manufacturers to manufacture drug substance and drug product for nonclinical, clinical and commercial purposes. We may be unsuccessful in identifying additional or replacement third-party manufacturers, or in negotiating acceptable terms with any that we do identify. If we are unable to establish and maintain manufacturing capacity, the development and sales of our products and our financial performance may be materially and adversely affected.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following risks with respect to the manufacture of our product candidates:</w:t>
      </w:r>
    </w:p>
    <w:p>
      <w:pPr>
        <w:spacing w:after="0" w:line="185" w:lineRule="exact"/>
        <w:rPr>
          <w:sz w:val="20"/>
          <w:szCs w:val="20"/>
          <w:color w:val="auto"/>
        </w:rPr>
      </w:pPr>
    </w:p>
    <w:p>
      <w:pPr>
        <w:ind w:left="880" w:hanging="440"/>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identify manufacturers for commercial supply on acceptable terms, which we may be unable to do because the number of potential manufacturers is limited, and the FDA must evaluate and approve any new or replacement contractor.</w:t>
      </w:r>
    </w:p>
    <w:p>
      <w:pPr>
        <w:spacing w:after="0" w:line="121"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third-party manufacturers with whom we contract might be unable to formulate and manufacture our product candidates in the volume and quality required to meet our clinical and, if approved, commercial needs in a timely manner.</w:t>
      </w:r>
    </w:p>
    <w:p>
      <w:pPr>
        <w:spacing w:after="0" w:line="121"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third-party manufacturers with whom we contract might not perform as agreed or might not remain in the contract manufacturing business for the time required to supply our products.</w:t>
      </w:r>
    </w:p>
    <w:p>
      <w:pPr>
        <w:spacing w:after="0" w:line="121"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of any third-party manufacturers with whom we contract could be foreign, which increases the risk of shipping delays and adds the risk of import restrictions.</w:t>
      </w:r>
    </w:p>
    <w:p>
      <w:pPr>
        <w:spacing w:after="0" w:line="121"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complete control over, and cannot ensure, any third-party manufacturers’ compliance with cGMP and other government regulations and corresponding foreign requirements, including periodic FDA and state regulatory inspections.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3" w:name="page34"/>
    <w:bookmarkEnd w:id="33"/>
    <w:p>
      <w:pPr>
        <w:jc w:val="both"/>
        <w:ind w:left="880" w:hanging="440"/>
        <w:spacing w:after="0" w:line="266"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obtain intellectual property rights from third parties to manufacture our product candidates, and if any third-party manufacturer makes improvements in the manufacturing process for our product candidates, we may not own, or may have to share, the intellectual property rights to the innovation.</w:t>
      </w:r>
    </w:p>
    <w:p>
      <w:pPr>
        <w:spacing w:after="0" w:line="13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share our trade secrets and know-how with third parties, increasing risk of misappropriation or disclosure of our intellectual property by or to third parties.</w:t>
      </w:r>
    </w:p>
    <w:p>
      <w:pPr>
        <w:spacing w:after="0" w:line="121"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contracting with third-party manufacturers, we might compete with other companies for access to these manufacturers’ facilities and might be subject to manufacturing delays if the manufacturers give other clients higher priority than we are given.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these risks could delay our development efforts, nonclinical studies and clinical studies or the approval, if any, of our product candidates by the FDA or applicable non-U.S. regulatory authorities and the commercialization of our product candidates. This could result in higher costs or deprive us of potential product revenues and materially harm our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key management personnel and cannot recruit and retain similarly qualified replacements, our business may materially suffer.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highly dependent on the services of our executive officers. Our employment agreements with our executive officers do not ensure their retention. We do not currently maintain, nor do we intend to obtain in the future, “key person” life insurance that would compensate us in the event of the death or disability of any of the members of our management team. Our executive officers are critical to our success, and loss of any of these key employees could have a material adverse impact on our business,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an in-license relationship for VBR.</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license agreement with IURTC imposes diligence requirements on us and requires us to make milestone payments based upon the successful accomplishment of clinical and regulatory milestones related to VBR, royalty payments if VBR is approved and diligence maintenance fees. These payments will make it less profitable for us to develop VBR than if we owned the technology outright. In addition, if we breach any of our obligations under our license agreement, IURTC may have a right to terminate the license, in which event we could lose our rights to VBR.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collaboration partners might delay, prevent or undermine the success of our product candidates.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If a collaboration is terminated, replacement collaborators might not be available on attractive terms, or at all.</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activities of any collaborator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is unsuccessful, we might require substantially greater capital to undertake development and marketing of our proposed products and might not be able to develop and market these products effectively, if at all. In addition, a lack of development and marketing collaborations might lead to significant delays in introducing proposed products into certain markets and/or reduced sales of proposed products in such markets.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data provided by third parties that has not been independently verified and could prove to be false, misleading, or incomplete.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adversely affected.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4" w:name="page35"/>
    <w:bookmarkEnd w:id="3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could materially and adversely affect our business, results of operations and financial condition.</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collect and maintain information in digital form and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 intrusions over the Internet, attachments to emails, persons inside our organization, or persons with access to systems inside our organization.</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 intrusion, has escalated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our efforts to address these problems may not be successful. If unsuccessful, these problems could cause interruptions, delays, cessation of service and other harm to our business and our competitive position, including material disruption of our product development programs. For example, any loss of clinical study data from completed or ongoing or planned clinical studies could result in delays in our regulatory approval efforts and significantly increase our costs to recover or reproduce the data.</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state and non-U.S. privacy and security laws, if applicable, including the Health Insurance Portability and Accountability Act of 1996 (HIPAA), as amended by the Health Information Technology for Clinical Health Act of 2009, and its implementing rules and regulations, as well as regulations promulgated by the Federal Trade Commission, state breach notification law and the General Data Protection Regulation (GDPR) in the European Union (EU). We would also be exposed to a risk of loss or litigation and potential liability, which could materially adversely affect our business, results of operations and financial condition.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Research, development and commercialization goals may not be achieved in the timeframes that we publicly estimate, which could have an adverse impact on our business and could cause our stock price to decline.</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set goals, and make public statements regarding our expectations, regarding the timing of certain accomplishments, developments and milestones under our research and development programs. The actual timing of these events can vary significantly due to a number of factors, including,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our business could be materially adversely affected, and the price of our common stock could decline.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by competitors might render our product candidates or technologies obsolete or non-competitive.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pharmaceutical and biotechnology industries are intensely competitive. In addition, the clinical and commercial landscape for HBV and HDV is rapidly changing; we expect new data from commercial and clinical-stage products to continue to emerge. We compete with organizations, some with significantly more resources, who are developing competitive product candidates. If our competitors develop effective treatments for HBV, HDV or any other indication or field we might pursue, and successfully commercialize those treatments, our business and prospects could be materially harmed.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5" w:name="page36"/>
    <w:bookmarkEnd w:id="3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companies with core inhibitor products may produce negative clinical data, which would adversely affect public and clinical communities’ perceptions of our product candidates, and may negatively impact regulatory approval of, or demand for, our potential products.</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HBV therapy research and development efforts involve therapeutics based on modulating forms of HBV core proteins with core inhibitors. Negative data from clinical studies using a competitor’s core inhibitors could adversely impact the perception of the therapeutic use of our product candidates and our ability to enroll patients in clinical studies.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clinical and commercial success of our potential products will depend in part on the public and clinical communities’ acceptance of core inhibitors, a novel class of product candidates. Moreover, our success depends upon physicians prescribing, and their patients being willing to receive, treatments that involve the use of core inhibitor product candidates we may develop in lieu of, or in addition to, existing treatments with which they are already familiar and for which more clinical data may be available. Adverse events in our nonclinical or clinical studies or those of our competitors or of academic researchers utilizing core inhibitor therapies, even if not ultimately attributable to our product candidates, and any resulting publicity could result in increased governmental regulation, unfavorable public perception, potential regulatory delays in the testing or approval of our product candidates, stricter labeling requirements for our product candidates that are approved, if any, and a decrease in demand for any such products.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Regulatory and Legal Environment</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will be subject to extensive and costly government regulation and the failure to comply with these regulations may have a material adverse effect on our operations and business.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 candidates are subject to extensive and rigorous domestic government regulation including regulation by the FDA, the Centers for Medicare and Medicaid Services, other divisions of the U.S. Department of Health and Human Services,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or mandatory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or our collaborators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Once obtained, any approvals might be withdrawn, including, for example, if there is a later discovery of previously unknown problems with the product, such as a previously unknown safety issue.</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our collaborators, or our contract manufacturers fail to comply with applicable regulatory requirements at any stage during the regulatory process, such noncompliance could result in delays in the approval of applications or supplements to approved applications, refusal by a regulatory authority (including the FDA) to review pending market approval applications or supplements to approved applications, untitled letters or warning letters, fines, import and export restrictions, product recalls or seizures, injunctions, total or partial suspension of production, civil penalties, withdrawals of previously approved marketing applications, recommendations by the FDA or other regulatory authorities against governmental contracts, and/or criminal prosecutions.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6" w:name="page37"/>
    <w:bookmarkEnd w:id="3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applicable regulatory authorities in foreign jurisdictions to commercialize our product candidates in those jurisdictions. To obtain FDA approval of any product candidate, we must submit to the FDA an NDA demonstrating that the product candidate is safe and effective for its intended use. This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that the FDA considers safe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approval process might also be delayed by changes in government regulation, future legislation or administrative action or changes in FDA policy that occur prior to or during our regulatory review. Delays in obtaining regulatory approvals might: delay commercialization of, and our ability to derive product revenues from, our product candidates; impose costly procedures on us; and diminish any competitive advantages that we might otherwise enjoy.</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we comply with all FDA requests, the FDA might ultimately reject one or more of our NDAs. We cannot be sure that we will ever obtain regulatory approval and commercialize any of our current or future product candidates. In foreign jurisdictions, we are subject to regulatory approval processes and risks similar to those associated with the FDA described above. We cannot assure you that we will receive the approvals necessary to commercialize our product candidates for sale outside the United States.</w:t>
      </w:r>
    </w:p>
    <w:p>
      <w:pPr>
        <w:spacing w:after="0" w:line="1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may be subject, directly or indirectly, to applicable U.S. federal and state anti-kickback, false claims laws, physician payment transparency laws, fraud and abuse laws or similar healthcare and security laws and regulations, and health information privacy and security laws, which could expose us or them to criminal sanctions, civil penalties, contractual damages, reputational harm and diminished profits and future earnings.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the federal Anti-Kickback Statute, the federal False Claims Act, and physician payment sunshine laws and regulations. Additionally, we are subject to state and non-U.S. equivalents of each of the healthcare laws described above, among others, some of which may be broader in scope and may apply regardless of the payor. These laws may impact, among other things, our proposed sales, marketing and education programs. In addition, we may be subject to patient privacy regulation by both the federal government and the states and foreign jurisdictions in which we conduct our business. If we fail to comply with any applicable federal, state or foreign legal requirement, we could be subject to penalties.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Regulators globally are imposing greater monetary fines for privacy violations. The GDPR applies to any company established in the EU as well as to those outside the EU if they collect and use personal data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The GDPR may increase our responsibility and liability in relation to personal data that we process and we may be required to put in place additional mechanisms to ensure compliance with the GDPR, including as implemented by individual countries. Compliance with the GDPR and other changes in laws or regulations associated with the enhanced protection of certain types of personal data, such as healthcare data or other sensitive information, could greatly increase our cost of developing our products or even prevent us from offering certain products in jurisdictions that we may operate in.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7" w:name="page38"/>
    <w:bookmarkEnd w:id="37"/>
    <w:p>
      <w:pPr>
        <w:jc w:val="both"/>
        <w:spacing w:after="0" w:line="256" w:lineRule="auto"/>
        <w:rPr>
          <w:sz w:val="20"/>
          <w:szCs w:val="20"/>
          <w:color w:val="auto"/>
        </w:rPr>
      </w:pPr>
      <w:r>
        <w:rPr>
          <w:rFonts w:ascii="Times New Roman" w:cs="Times New Roman" w:eastAsia="Times New Roman" w:hAnsi="Times New Roman"/>
          <w:sz w:val="18"/>
          <w:szCs w:val="18"/>
          <w:color w:val="auto"/>
        </w:rPr>
        <w:t>The California Consumer Privacy Act (CCPA) also created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While there is currently an exception for protected health information that is subject to HIPAA and clinical study regulations, as currently written, the CCPA may impact our business activities. The uncertainty surrounding the implementation of the CCPA exemplifies the vulnerability of our business to the evolving regulatory environment related to personal data and protected health information.</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Violations of these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the risk of product liability claims and might not be able to obtain insurance.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exposes us to the risk of product liability claims that are inherent in drug development.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Any successful product liability claims brought against us would decrease our cash and may adversely affect our business, stock price and financial condition.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be exposed to liability claims associated with the use of hazardous materials and chemicals.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research, development and manufacturing activities and/or those of our third-party contractors might involve the controlled use of hazardous materials and chemicals. Although we will strive to have our safety procedures, and those of our contractors, comply with federal, state and local laws and regulations for using, storing, handling and disposing of these materials, we cannot completely eliminate the risk of accidental injury or contamination from these materials. In the event of such an accident, we could be held liable for any resulting damages, and any liability could materially and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and adversely affect our business, financial condition and results of operations. We do not carry hazardous materials liability insurance. We intend to obtain such insurance in the future, if necessary, but cannot give assurance that we will obtain such coverage.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8" w:name="page39"/>
    <w:bookmarkEnd w:id="38"/>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and CROs may engage in misconduct or other improper activities, including noncompliance with regulatory standards and requirements, which could result in significant liability for us and harm our reputation.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risk of fraud or other misconduct, including failure to:</w:t>
      </w:r>
    </w:p>
    <w:p>
      <w:pPr>
        <w:spacing w:after="0" w:line="185" w:lineRule="exact"/>
        <w:rPr>
          <w:sz w:val="20"/>
          <w:szCs w:val="20"/>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regulations of, and provide accurate information to, the FDA or comparable foreign regulatory authorities;</w:t>
      </w:r>
    </w:p>
    <w:p>
      <w:pPr>
        <w:spacing w:after="0" w:line="211"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federal and state healthcare fraud and abuse laws and regulations and similar laws and regulations established and enforced by comparable foreign regulatory authorities;</w:t>
      </w:r>
    </w:p>
    <w:p>
      <w:pPr>
        <w:spacing w:after="0" w:line="121"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FCPA, the U.K. Bribery Act 2010, the PRC Criminal Law, the PRC Anti-unfair Competition Law and other anti-bribery and trade laws;</w:t>
      </w:r>
    </w:p>
    <w:p>
      <w:pPr>
        <w:spacing w:after="0" w:line="12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financial information and data accurately; or</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unauthorized activities.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Misconduct could also involve the improper use or misrepresentation of information obtained during clinical studies, creating fraudulent data in our nonclinical studies or clinical studies or illegal misappropriation of product materials, which could result in regulatory sanctions, delays in clinical studies, or serious harm to our reputation.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not always possible to identify and deter misconduct.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protecting our intellectual property.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and our licensors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We cannot be certain that we will secure any rights to any issued patents with claims that cover any of our proprietary product candidates and technologies. The patent prosecution process is expensive and time-consuming, and we may be unable to file and prosecute all necessary or desirable patent applications at a reasonable cost or in a timely manner. We could fail to identify patentable aspects of our research and development output before it is too late to obtain patent protection or before our competitors secure patents covering such discoveries. The patent process also is subject to numerous risks and uncertainties, and there can be no assurance that we will be successful in protecting our products by obtaining and defending patents.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Composition-of-matter patents relating to the active pharmaceutical ingredient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9" w:name="page40"/>
    <w:bookmarkEnd w:id="39"/>
    <w:p>
      <w:pPr>
        <w:jc w:val="both"/>
        <w:spacing w:after="0" w:line="258" w:lineRule="auto"/>
        <w:rPr>
          <w:sz w:val="20"/>
          <w:szCs w:val="20"/>
          <w:color w:val="auto"/>
        </w:rPr>
      </w:pPr>
      <w:r>
        <w:rPr>
          <w:rFonts w:ascii="Times New Roman" w:cs="Times New Roman" w:eastAsia="Times New Roman" w:hAnsi="Times New Roman"/>
          <w:sz w:val="18"/>
          <w:szCs w:val="18"/>
          <w:color w:val="auto"/>
        </w:rPr>
        <w:t>Biotechnology and pharmaceutical product patents involve highly complex legal and scientific questions. Any patent applications that we own or license may fail to result in issued patents. In addition, the U.S. Patent and Trademark Office (USPTO) and patent offices in other jurisdictions often require that patent applications concerning pharmaceutical and/or biotechnology-related inventions are limited or narrowed substantially to cover only the specific innovations exemplified in the patent application, thereby limiting the scope of protection against competitive challenges. As a result, even if we or our licensors obtain patents, the patents might be substantially narrower than anticipated.</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Patent and other intellectual property protection is crucial to the success of our business and prospects, and there is a substantial risk that such protections, if obtained, will prove inadequate. The legal systems of certain countries, including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Beyond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collaborators, contractors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our patents and other intellectual property rights.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in the future be involved in legal or administrative proceedings involving our intellectual property, including infringement of our intellectual property by third parties. These lawsuits or proceedings likely would be expensive, consume time and resources and divert the attention of managerial and scientific personnel, even if we were successful in stopping the infringement of such patents. There is a risk that these proceedings will decide that such patents or other intellectual property rights are not valid and that we do not have the right to stop the other party from using our inventions. There is also the risk that, even if the validity of such patents is upheld, the court or administrative agency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 patent infringement suit were brought against us, we may be forced to stop or delay developing, manufacturing, or selling potential products that are claimed to infringe a third party’s intellectual property, unless that third party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0" w:name="page41"/>
    <w:bookmarkEnd w:id="40"/>
    <w:p>
      <w:pPr>
        <w:jc w:val="both"/>
        <w:spacing w:after="0" w:line="258" w:lineRule="auto"/>
        <w:rPr>
          <w:sz w:val="20"/>
          <w:szCs w:val="20"/>
          <w:color w:val="auto"/>
        </w:rPr>
      </w:pPr>
      <w:r>
        <w:rPr>
          <w:rFonts w:ascii="Times New Roman" w:cs="Times New Roman" w:eastAsia="Times New Roman" w:hAnsi="Times New Roman"/>
          <w:sz w:val="18"/>
          <w:szCs w:val="18"/>
          <w:color w:val="auto"/>
        </w:rPr>
        <w:t>grants us rights to use its intellectual property. In such cases, we may be required to obtain licenses to patents or proprietary rights of others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costs and monetary damages, encounter significant delays in bringing our product candidates to market and be precluded from manufacturing or selling our product candidates, any of which could harm our business significantly.</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cost of maintaining our patent protection globally is high and requires continuous review and compliance. We may not be able to effectively maintain our intellectual property position throughout the major markets of the world.</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USPTO and foreign patent authorities require maintenance fees, payments and continued compliance with a number of procedural and documentary requirements. Noncompliance may result in abandonment or lapse of patents or patent applications and a partial or complete loss of patent rights in the relevant jurisdiction. Such a loss could reduce royalty payments for lack of patent coverage from our collaboration partners or may result in competition, either of which could have a material adverse effect on our business.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made, and will continue to make, certain strategic decisions in balancing the costs and the potential protections afforded by the patent laws of certain countries. As a result, we may not be able to prevent third parties from practicing our inventions in all countries, or from selling or importing products made using our inventions in and into the United States or other countries. Third parties may use our technologies in territories in which we have not obtained patent protection to develop their own products and may infringe our patents in territories which provide inadequate enforcement mechanisms. Such third-party products may compete with our product candidates, and our patents or other intellectual property rights may not be effective or sufficient to prevent them from competing. Such competition could materially and adversely affect our business and financial condition.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address all potential threats to any competitive advantage we may have.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121" w:lineRule="exact"/>
        <w:rPr>
          <w:sz w:val="20"/>
          <w:szCs w:val="20"/>
          <w:color w:val="auto"/>
        </w:rPr>
      </w:pPr>
    </w:p>
    <w:p>
      <w:pPr>
        <w:ind w:left="880" w:hanging="440"/>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121"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strategic partners might not have been the first to make the inventions covered by the issued patents or pending patent applications that we own or have exclusively licensed.</w:t>
      </w:r>
    </w:p>
    <w:p>
      <w:pPr>
        <w:spacing w:after="0" w:line="12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strategic partners might not have been the first to file patent applications covering certain of our inventions.</w:t>
      </w:r>
    </w:p>
    <w:p>
      <w:pPr>
        <w:spacing w:after="0" w:line="211"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2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prosecution of our pending patent applications may not result in granted patents.</w:t>
      </w:r>
    </w:p>
    <w:p>
      <w:pPr>
        <w:spacing w:after="0" w:line="211"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patents that we own or have exclusively licensed may not provide us with any competitive advantages, or may be held invalid or unenforceable, because of legal challenges by our competitors.</w:t>
      </w:r>
    </w:p>
    <w:p>
      <w:pPr>
        <w:spacing w:after="0" w:line="121"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protection on our product candidates may expire before we are able to develop and commercialize the product, or before we are able to recover our investment in the product.</w:t>
      </w:r>
    </w:p>
    <w:p>
      <w:pPr>
        <w:spacing w:after="0" w:line="12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1" w:name="page42"/>
    <w:bookmarkEnd w:id="4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existence of counterfeit pharmaceutical products in pharmaceutical markets may damage our brand and reputation and have a material adverse effect on our business, operations and prospects.</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The proliferation of counterfeit pharmaceuticals has grown in recent years and may continue to grow in the future. Such products may be used for indications or purposes that are not recommended or approved or for which there is no data or inadequate data with regard to safety or efficacy. Such products divert sales from genuine products, often are of lower cost and lower quality (having different ingredients or formulations, for example), and have the potential to damage the reputation for quality and effectiveness of the genuine product.</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counterfeit pharmaceuticals illegally sold or used for research result in adverse events or side effects to consumers, we may be associated with any negative publicity resulting from such incidents. In addition, counterfeit products could be used in nonclinical studies or clinical studies or could otherwise produce undesirable side effects or adverse events that may be attributed to our products as well, which could cause us or regulatory authorities to interrupt, delay or halt clinical studies and could result in the delay or denial of regulatory approval by the FDA or other regulatory authorities and potential product liability claims.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China, although the government has increased the lower and upper limits on penalties on producers of counterfeit and substandard pharmaceuticals, these penalties have not eliminated counterfeit pharmaceuticals. As a result, we may be unable to prevent third parties from selling or purporting to sell our products in China. The existence of, and any increase in, the sales and production of counterfeit pharmaceuticals, or the technological capabilities of counterfeiters, could negatively impact our revenues, brand reputation, business and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will be the sole and exclusive forum for certain types of actions and proceedings that may be initiated by our stockholders, which could limit our stockholders’ ability to bring a claim in a judicial forum they find favorable for disputes with us or our directors, officers or other employees.</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amended and restated bylaws provide that, with certain limited exceptions, unless we consent to the selection of an alternative forum, the Court of Chancery of the State of Delaware is the sole and exclusive forum for (1) any derivative action or proceeding brought on our behalf; (2) any action asserting a claim of breach of fiduciary duty owed by any of our current or former directors, officers or other employees to us or to our stockholders; (3) any action asserting a claim arising pursuant to the Delaware General Corporation Law, or our certificate of incorporation or bylaws (as each may be amended from time to time); or (4) any action asserting a claim governed by the internal affairs doctrine. Alternatively, if such court does not have jurisdiction, the Superior Court of Delaware, or, if such other court does not have jurisdiction, the United States District Court for the District of Delaware, will be the sole and exclusive forum for such actions and proceedings.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 material adverse impact on our business. The choice of forum provision in our amended and restated bylaws will not preclude or contract the scope of exclusive federal or concurrent jurisdiction for actions brought under the federal securities laws, including the Exchange Act or the Securities Act, or the respective rules and regulations promulgated thereunder.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might fluctuate significantly, and you could lose all or part of your investment.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price of our common stock fluctuates widely. Continued volatility in the market price of our common stock might prevent a stockholder from being able to sell shares of our common stock at or above the price paid for such shares. The trading price of our common stock may continue to be volatile and subject to wide price fluctuations in response to various factors, many of which are beyond our control, such as the progress, results and timing of our clinical and nonclinical studies and other studies involving our product candidates, the success or failure of our product candidates, the receipt or loss of required regulatory approvals for our product candidates, the availability of capital or the other risks discussed in this “Risk Factors” section.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25"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xml:space="preserve"> The following exhibits are filed or furnished, as applicable, as part of this quarterly report on Form 10-Q:</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700" w:type="dxa"/>
            <w:vAlign w:val="bottom"/>
            <w:gridSpan w:val="6"/>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00" w:type="dxa"/>
            <w:vAlign w:val="bottom"/>
            <w:vMerge w:val="restart"/>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vMerge w:val="restart"/>
          </w:tcPr>
          <w:p>
            <w:pPr>
              <w:spacing w:after="0"/>
              <w:rPr>
                <w:sz w:val="12"/>
                <w:szCs w:val="12"/>
                <w:color w:val="auto"/>
              </w:rPr>
            </w:pP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5700" w:type="dxa"/>
            <w:vAlign w:val="bottom"/>
            <w:tcBorders>
              <w:bottom w:val="single" w:sz="8" w:color="auto"/>
            </w:tcBorders>
            <w:gridSpan w:val="6"/>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from</w:t>
            </w:r>
          </w:p>
        </w:tc>
        <w:tc>
          <w:tcPr>
            <w:tcW w:w="10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5800" w:type="dxa"/>
            <w:vAlign w:val="bottom"/>
            <w:gridSpan w:val="7"/>
          </w:tcPr>
          <w:p>
            <w:pPr>
              <w:spacing w:after="0"/>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Sixth Amended and Restated Certificate of Incorporation.</w:t>
              </w:r>
            </w:hyperlink>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05/27/2022</w:t>
            </w:r>
          </w:p>
        </w:tc>
        <w:tc>
          <w:tcPr>
            <w:tcW w:w="100" w:type="dxa"/>
            <w:vAlign w:val="bottom"/>
          </w:tcPr>
          <w:p>
            <w:pPr>
              <w:spacing w:after="0"/>
              <w:rPr>
                <w:sz w:val="21"/>
                <w:szCs w:val="21"/>
                <w:color w:val="auto"/>
              </w:rPr>
            </w:pPr>
          </w:p>
        </w:tc>
        <w:tc>
          <w:tcPr>
            <w:tcW w:w="104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55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Amendment No. 5 to Assembly Biosciences, Inc. 2018 Stock Incentive Plan.</w:t>
              </w:r>
            </w:hyperlink>
          </w:p>
        </w:tc>
        <w:tc>
          <w:tcPr>
            <w:tcW w:w="260" w:type="dxa"/>
            <w:vAlign w:val="bottom"/>
            <w:gridSpan w:val="2"/>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05/27/2022</w:t>
            </w:r>
          </w:p>
        </w:tc>
        <w:tc>
          <w:tcPr>
            <w:tcW w:w="100" w:type="dxa"/>
            <w:vAlign w:val="bottom"/>
          </w:tcPr>
          <w:p>
            <w:pPr>
              <w:spacing w:after="0"/>
              <w:rPr>
                <w:sz w:val="24"/>
                <w:szCs w:val="24"/>
                <w:color w:val="auto"/>
              </w:rPr>
            </w:pPr>
          </w:p>
        </w:tc>
        <w:tc>
          <w:tcPr>
            <w:tcW w:w="104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7"/>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51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w:t>
            </w:r>
          </w:p>
        </w:tc>
        <w:tc>
          <w:tcPr>
            <w:tcW w:w="700" w:type="dxa"/>
            <w:vAlign w:val="bottom"/>
            <w:gridSpan w:val="4"/>
          </w:tcPr>
          <w:p>
            <w:pPr>
              <w:spacing w:after="0"/>
              <w:rPr>
                <w:sz w:val="24"/>
                <w:szCs w:val="24"/>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370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58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the Chief Financial Officer Pursuant to Section 302 of the</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3200" w:type="dxa"/>
            <w:vAlign w:val="bottom"/>
            <w:tcBorders>
              <w:top w:val="single" w:sz="8" w:color="0000EE"/>
            </w:tcBorders>
            <w:gridSpan w:val="3"/>
          </w:tcPr>
          <w:p>
            <w:pPr>
              <w:spacing w:after="0"/>
              <w:rPr>
                <w:sz w:val="17"/>
                <w:szCs w:val="17"/>
                <w:color w:val="auto"/>
              </w:rPr>
            </w:pPr>
          </w:p>
        </w:tc>
        <w:tc>
          <w:tcPr>
            <w:tcW w:w="50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51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906 of the</w:t>
            </w:r>
          </w:p>
        </w:tc>
        <w:tc>
          <w:tcPr>
            <w:tcW w:w="700" w:type="dxa"/>
            <w:vAlign w:val="bottom"/>
            <w:gridSpan w:val="4"/>
          </w:tcPr>
          <w:p>
            <w:pPr>
              <w:spacing w:after="0"/>
              <w:rPr>
                <w:sz w:val="24"/>
                <w:szCs w:val="24"/>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370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58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the Chief Financial Officer Pursuant to Section 906 of the</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3200" w:type="dxa"/>
            <w:vAlign w:val="bottom"/>
            <w:tcBorders>
              <w:top w:val="single" w:sz="8" w:color="0000EE"/>
            </w:tcBorders>
            <w:gridSpan w:val="3"/>
          </w:tcPr>
          <w:p>
            <w:pPr>
              <w:spacing w:after="0"/>
              <w:rPr>
                <w:sz w:val="17"/>
                <w:szCs w:val="17"/>
                <w:color w:val="auto"/>
              </w:rPr>
            </w:pPr>
          </w:p>
        </w:tc>
        <w:tc>
          <w:tcPr>
            <w:tcW w:w="50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5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5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5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5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5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5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taxonomy extension information contained in Exhibits 101).</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80" w:hanging="572"/>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management contracts or compensatory plans or arrangements.</w:t>
      </w:r>
    </w:p>
    <w:p>
      <w:pPr>
        <w:spacing w:after="0" w:line="27" w:lineRule="exact"/>
        <w:rPr>
          <w:sz w:val="20"/>
          <w:szCs w:val="20"/>
          <w:color w:val="auto"/>
        </w:rPr>
      </w:pPr>
    </w:p>
    <w:p>
      <w:pPr>
        <w:jc w:val="both"/>
        <w:ind w:left="580" w:hanging="572"/>
        <w:spacing w:after="0" w:line="255" w:lineRule="auto"/>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Exhibit 32.2 that accompany this Quarterly Report on Form 10-Q are not deemed filed with the SEC and are not to be incorporated by reference into any filing of Assembly Biosciences, Inc. under the Securities Act or the Exchange Act, whether made before or after the date of this Quarterly Report on Form 10-Q, irrespective of any general incorporation language contained in such filing.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Securities Exchange Act of 1934, the registrant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Assembly Biosciences,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25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G. McHutchison, A.O., M.D.</w:t>
            </w:r>
          </w:p>
        </w:tc>
      </w:tr>
      <w:tr>
        <w:trPr>
          <w:trHeight w:val="191"/>
        </w:trPr>
        <w:tc>
          <w:tcPr>
            <w:tcW w:w="35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G. McHutchison, A.O., M.D.</w:t>
            </w:r>
          </w:p>
        </w:tc>
      </w:tr>
      <w:tr>
        <w:trPr>
          <w:trHeight w:val="216"/>
        </w:trPr>
        <w:tc>
          <w:tcPr>
            <w:tcW w:w="3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25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P. Samar</w:t>
            </w:r>
          </w:p>
        </w:tc>
      </w:tr>
      <w:tr>
        <w:trPr>
          <w:trHeight w:val="191"/>
        </w:trPr>
        <w:tc>
          <w:tcPr>
            <w:tcW w:w="35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P. Samar</w:t>
            </w:r>
          </w:p>
        </w:tc>
      </w:tr>
      <w:tr>
        <w:trPr>
          <w:trHeight w:val="216"/>
        </w:trPr>
        <w:tc>
          <w:tcPr>
            <w:tcW w:w="3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648"/>
        </w:trPr>
        <w:tc>
          <w:tcPr>
            <w:tcW w:w="3540" w:type="dxa"/>
            <w:vAlign w:val="bottom"/>
          </w:tcPr>
          <w:p>
            <w:pPr>
              <w:spacing w:after="0"/>
              <w:rPr>
                <w:sz w:val="24"/>
                <w:szCs w:val="24"/>
                <w:color w:val="auto"/>
              </w:rPr>
            </w:pPr>
          </w:p>
        </w:tc>
        <w:tc>
          <w:tcPr>
            <w:tcW w:w="2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43</w:t>
            </w:r>
          </w:p>
        </w:tc>
        <w:tc>
          <w:tcPr>
            <w:tcW w:w="516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G. McHutchison, A.O., M.D., certify that:</w:t>
      </w:r>
    </w:p>
    <w:p>
      <w:pPr>
        <w:spacing w:after="0" w:line="169" w:lineRule="exact"/>
        <w:rPr>
          <w:sz w:val="20"/>
          <w:szCs w:val="20"/>
          <w:color w:val="auto"/>
        </w:rPr>
      </w:pPr>
    </w:p>
    <w:p>
      <w:pPr>
        <w:ind w:left="580" w:hanging="572"/>
        <w:spacing w:after="0" w:line="207" w:lineRule="exact"/>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Assembly Biosciences, Inc.;</w:t>
      </w:r>
    </w:p>
    <w:p>
      <w:pPr>
        <w:spacing w:after="0" w:line="213" w:lineRule="exact"/>
        <w:rPr>
          <w:rFonts w:ascii="Times New Roman" w:cs="Times New Roman" w:eastAsia="Times New Roman" w:hAnsi="Times New Roman"/>
          <w:sz w:val="18"/>
          <w:szCs w:val="18"/>
          <w:color w:val="auto"/>
        </w:rPr>
      </w:pPr>
    </w:p>
    <w:p>
      <w:pPr>
        <w:jc w:val="both"/>
        <w:ind w:left="580" w:hanging="572"/>
        <w:spacing w:after="0" w:line="266" w:lineRule="auto"/>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80" w:hanging="572"/>
        <w:spacing w:after="0" w:line="282" w:lineRule="auto"/>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80" w:hanging="572"/>
        <w:spacing w:after="0" w:line="226" w:lineRule="exact"/>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58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64" w:lineRule="exact"/>
        <w:rPr>
          <w:rFonts w:ascii="Times New Roman" w:cs="Times New Roman" w:eastAsia="Times New Roman" w:hAnsi="Times New Roman"/>
          <w:sz w:val="18"/>
          <w:szCs w:val="18"/>
          <w:color w:val="auto"/>
        </w:rPr>
      </w:pPr>
    </w:p>
    <w:p>
      <w:pPr>
        <w:jc w:val="both"/>
        <w:ind w:left="1160" w:hanging="572"/>
        <w:spacing w:after="0" w:line="266" w:lineRule="auto"/>
        <w:tabs>
          <w:tab w:leader="none" w:pos="11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160" w:hanging="572"/>
        <w:spacing w:after="0" w:line="266" w:lineRule="auto"/>
        <w:tabs>
          <w:tab w:leader="none" w:pos="11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160" w:hanging="572"/>
        <w:spacing w:after="0" w:line="282" w:lineRule="auto"/>
        <w:tabs>
          <w:tab w:leader="none" w:pos="11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160" w:hanging="572"/>
        <w:spacing w:after="0" w:line="266" w:lineRule="auto"/>
        <w:tabs>
          <w:tab w:leader="none" w:pos="11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580" w:hanging="572"/>
        <w:spacing w:after="0" w:line="282" w:lineRule="auto"/>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160" w:hanging="572"/>
        <w:spacing w:after="0" w:line="282" w:lineRule="auto"/>
        <w:tabs>
          <w:tab w:leader="none" w:pos="11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160" w:hanging="572"/>
        <w:spacing w:after="0" w:line="282" w:lineRule="auto"/>
        <w:tabs>
          <w:tab w:leader="none" w:pos="11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G. McHutchison, A.O., M.D.</w:t>
            </w:r>
          </w:p>
        </w:tc>
      </w:tr>
      <w:tr>
        <w:trPr>
          <w:trHeight w:val="191"/>
        </w:trPr>
        <w:tc>
          <w:tcPr>
            <w:tcW w:w="56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G. McHutchison, A.O., M.D.</w:t>
            </w:r>
          </w:p>
        </w:tc>
      </w:tr>
      <w:tr>
        <w:trPr>
          <w:trHeight w:val="216"/>
        </w:trPr>
        <w:tc>
          <w:tcPr>
            <w:tcW w:w="5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34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P. Samar, certify that:</w:t>
      </w:r>
    </w:p>
    <w:p>
      <w:pPr>
        <w:spacing w:after="0" w:line="169" w:lineRule="exact"/>
        <w:rPr>
          <w:sz w:val="20"/>
          <w:szCs w:val="20"/>
          <w:color w:val="auto"/>
        </w:rPr>
      </w:pPr>
    </w:p>
    <w:p>
      <w:pPr>
        <w:ind w:left="580" w:hanging="572"/>
        <w:spacing w:after="0" w:line="207" w:lineRule="exact"/>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Assembly Biosciences, Inc.;</w:t>
      </w:r>
    </w:p>
    <w:p>
      <w:pPr>
        <w:spacing w:after="0" w:line="213" w:lineRule="exact"/>
        <w:rPr>
          <w:rFonts w:ascii="Times New Roman" w:cs="Times New Roman" w:eastAsia="Times New Roman" w:hAnsi="Times New Roman"/>
          <w:sz w:val="18"/>
          <w:szCs w:val="18"/>
          <w:color w:val="auto"/>
        </w:rPr>
      </w:pPr>
    </w:p>
    <w:p>
      <w:pPr>
        <w:jc w:val="both"/>
        <w:ind w:left="580" w:hanging="572"/>
        <w:spacing w:after="0" w:line="266" w:lineRule="auto"/>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80" w:hanging="572"/>
        <w:spacing w:after="0" w:line="282" w:lineRule="auto"/>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80" w:hanging="572"/>
        <w:spacing w:after="0" w:line="226" w:lineRule="exact"/>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58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64" w:lineRule="exact"/>
        <w:rPr>
          <w:rFonts w:ascii="Times New Roman" w:cs="Times New Roman" w:eastAsia="Times New Roman" w:hAnsi="Times New Roman"/>
          <w:sz w:val="18"/>
          <w:szCs w:val="18"/>
          <w:color w:val="auto"/>
        </w:rPr>
      </w:pPr>
    </w:p>
    <w:p>
      <w:pPr>
        <w:jc w:val="both"/>
        <w:ind w:left="1160" w:hanging="572"/>
        <w:spacing w:after="0" w:line="266" w:lineRule="auto"/>
        <w:tabs>
          <w:tab w:leader="none" w:pos="1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160" w:hanging="572"/>
        <w:spacing w:after="0" w:line="266" w:lineRule="auto"/>
        <w:tabs>
          <w:tab w:leader="none" w:pos="1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160" w:hanging="572"/>
        <w:spacing w:after="0" w:line="282" w:lineRule="auto"/>
        <w:tabs>
          <w:tab w:leader="none" w:pos="1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160" w:hanging="572"/>
        <w:spacing w:after="0" w:line="266" w:lineRule="auto"/>
        <w:tabs>
          <w:tab w:leader="none" w:pos="1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580" w:hanging="572"/>
        <w:spacing w:after="0" w:line="282" w:lineRule="auto"/>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160" w:hanging="572"/>
        <w:spacing w:after="0" w:line="282" w:lineRule="auto"/>
        <w:tabs>
          <w:tab w:leader="none" w:pos="1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160" w:hanging="572"/>
        <w:spacing w:after="0" w:line="282" w:lineRule="auto"/>
        <w:tabs>
          <w:tab w:leader="none" w:pos="1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P. Samar</w:t>
            </w:r>
          </w:p>
        </w:tc>
      </w:tr>
      <w:tr>
        <w:trPr>
          <w:trHeight w:val="191"/>
        </w:trPr>
        <w:tc>
          <w:tcPr>
            <w:tcW w:w="56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P. Samar</w:t>
            </w:r>
          </w:p>
        </w:tc>
      </w:tr>
      <w:tr>
        <w:trPr>
          <w:trHeight w:val="216"/>
        </w:trPr>
        <w:tc>
          <w:tcPr>
            <w:tcW w:w="5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34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38"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In connection with the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Assembly Biosciences, Inc. (the Company) for the period ended June 30, 2022 as filed with the Securities and Exchange Commission on or about the date hereof (the Report), I, John G. McHutchison, A.O., M.D., Chief Executive Officer and President, hereby certify, pursuant to 18 U.S.C. Section 1350, as adopted pursuant to Section 906 of the Sarbanes-Oxley Act of 2002, that, to my knowledge:</w:t>
      </w:r>
    </w:p>
    <w:p>
      <w:pPr>
        <w:spacing w:after="0" w:line="171" w:lineRule="exact"/>
        <w:rPr>
          <w:sz w:val="20"/>
          <w:szCs w:val="20"/>
          <w:color w:val="auto"/>
        </w:rPr>
      </w:pPr>
    </w:p>
    <w:p>
      <w:pPr>
        <w:ind w:left="1160" w:hanging="572"/>
        <w:spacing w:after="0"/>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160" w:right="400" w:hanging="572"/>
        <w:spacing w:after="0" w:line="282" w:lineRule="auto"/>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3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John G. McHutchison, A.O.,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John G. McHutchison, A.O., M.D.</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August 9, 2022</w:t>
      </w:r>
    </w:p>
    <w:p>
      <w:pPr>
        <w:sectPr>
          <w:pgSz w:w="11900" w:h="16838" w:orient="portrait"/>
          <w:cols w:equalWidth="0" w:num="1">
            <w:col w:w="11240"/>
          </w:cols>
          <w:pgMar w:left="320" w:top="11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38"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In connection with the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Assembly Biosciences, Inc. (the Company) for the period ended June 30, 2022 as filed with the Securities and Exchange Commission on or about the date hereof (the Report), I, Michael P. Samar, Chief Financial Officer, hereby certify, pursuant to 18 U.S.C. Section 1350, as adopted pursuant to Section 906 of the Sarbanes-Oxley Act of 2002, that, to my knowledge:</w:t>
      </w:r>
    </w:p>
    <w:p>
      <w:pPr>
        <w:spacing w:after="0" w:line="172" w:lineRule="exact"/>
        <w:rPr>
          <w:sz w:val="20"/>
          <w:szCs w:val="20"/>
          <w:color w:val="auto"/>
        </w:rPr>
      </w:pPr>
    </w:p>
    <w:p>
      <w:pPr>
        <w:ind w:left="1160" w:hanging="572"/>
        <w:spacing w:after="0"/>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160" w:right="400" w:hanging="572"/>
        <w:spacing w:after="0" w:line="282" w:lineRule="auto"/>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3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Michael P. Samar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Michael P. Samar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August 9, 2022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4" Type="http://schemas.openxmlformats.org/officeDocument/2006/relationships/hyperlink" Target="http://www.sec.gov/Archives/edgar/data/0001426800/000156459022021631/asmb-ex31_16.htm" TargetMode="External"/><Relationship Id="rId65" Type="http://schemas.openxmlformats.org/officeDocument/2006/relationships/hyperlink" Target="http://www.sec.gov/Archives/edgar/data/0001426800/000156459022021631/asmb-ex101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2022-08-09T17:41:36Z</dcterms:created>
  <dcterms:modified xsi:type="dcterms:W3CDTF">2022-08-09T17:41:36Z</dcterms:modified>
</cp:coreProperties>
</file>