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smb-20241231.htm"/>
      <w:bookmarkStart w:id="1" w:name="ksasmb20241231"/>
      <w:bookmarkEnd w:id="0"/>
      <w:bookmarkEnd w:id="1"/>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spacing w:before="60" w:after="283"/>
        <w:jc w:val="center"/>
        <w:rPr>
          <w:rFonts w:ascii="Times New Roman" w:hAnsi="Times New Roman"/>
          <w:b/>
          <w:color w:val="000000"/>
          <w:sz w:val="24"/>
        </w:rPr>
      </w:pPr>
      <w:r>
        <w:rPr>
          <w:rFonts w:ascii="Times New Roman" w:hAnsi="Times New Roman"/>
          <w:b/>
          <w:color w:val="000000"/>
          <w:sz w:val="24"/>
        </w:rPr>
        <w:t>FORM 10-K</w:t>
      </w:r>
    </w:p>
    <w:p>
      <w:pPr>
        <w:pStyle w:val="TextBody"/>
        <w:bidi w:val="0"/>
        <w:jc w:val="left"/>
        <w:rPr/>
      </w:pPr>
      <w:r>
        <w:rPr/>
        <w:t> </w:t>
      </w:r>
    </w:p>
    <w:tbl>
      <w:tblPr>
        <w:tblW w:w="8672" w:type="dxa"/>
        <w:jc w:val="left"/>
        <w:tblInd w:w="0" w:type="dxa"/>
        <w:tblLayout w:type="fixed"/>
        <w:tblCellMar>
          <w:top w:w="28" w:type="dxa"/>
          <w:left w:w="28" w:type="dxa"/>
          <w:bottom w:w="28" w:type="dxa"/>
          <w:right w:w="28" w:type="dxa"/>
        </w:tblCellMar>
      </w:tblPr>
      <w:tblGrid>
        <w:gridCol w:w="331"/>
        <w:gridCol w:w="8341"/>
      </w:tblGrid>
      <w:tr>
        <w:trPr/>
        <w:tc>
          <w:tcPr>
            <w:tcW w:w="331" w:type="dxa"/>
            <w:tcBorders/>
            <w:vAlign w:val="center"/>
          </w:tcPr>
          <w:p>
            <w:pPr>
              <w:pStyle w:val="TableContents"/>
              <w:bidi w:val="0"/>
              <w:spacing w:before="0" w:after="283"/>
              <w:jc w:val="left"/>
              <w:rPr>
                <w:sz w:val="4"/>
                <w:szCs w:val="4"/>
              </w:rPr>
            </w:pPr>
            <w:r>
              <w:rPr>
                <w:sz w:val="4"/>
                <w:szCs w:val="4"/>
              </w:rPr>
            </w:r>
          </w:p>
        </w:tc>
        <w:tc>
          <w:tcPr>
            <w:tcW w:w="834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341" w:type="dxa"/>
            <w:tcBorders/>
            <w:tcMar>
              <w:top w:w="0" w:type="dxa"/>
              <w:left w:w="0" w:type="dxa"/>
              <w:bottom w:w="0" w:type="dxa"/>
              <w:right w:w="0" w:type="dxa"/>
            </w:tcMar>
            <w:vAlign w:val="center"/>
          </w:tcPr>
          <w:p>
            <w:pPr>
              <w:pStyle w:val="TableContents"/>
              <w:bidi w:val="0"/>
              <w:spacing w:before="20" w:after="283"/>
              <w:jc w:val="both"/>
              <w:rPr>
                <w:rFonts w:ascii="Times New Roman" w:hAnsi="Times New Roman"/>
                <w:b/>
                <w:color w:val="000000"/>
                <w:sz w:val="16"/>
              </w:rPr>
            </w:pPr>
            <w:r>
              <w:rPr>
                <w:rFonts w:ascii="Times New Roman" w:hAnsi="Times New Roman"/>
                <w:b/>
                <w:color w:val="000000"/>
                <w:sz w:val="16"/>
              </w:rPr>
              <w:t>ANNUAL REPORT PURSUANT TO SECTION 13 OR 15(d) OF THE SECURITIES EXCHANGE ACT OF 1934</w:t>
            </w:r>
          </w:p>
        </w:tc>
      </w:tr>
    </w:tbl>
    <w:p>
      <w:pPr>
        <w:pStyle w:val="TextBody"/>
        <w:bidi w:val="0"/>
        <w:jc w:val="center"/>
        <w:rPr>
          <w:rFonts w:ascii="Times New Roman" w:hAnsi="Times New Roman"/>
          <w:sz w:val="20"/>
        </w:rPr>
      </w:pPr>
      <w:r>
        <w:rPr>
          <w:rFonts w:ascii="Times New Roman" w:hAnsi="Times New Roman"/>
          <w:color w:val="000000"/>
          <w:sz w:val="16"/>
        </w:rPr>
        <w:t>For the fiscal year</w:t>
      </w:r>
      <w:r>
        <w:rPr>
          <w:rFonts w:ascii="Times New Roman" w:hAnsi="Times New Roman"/>
          <w:color w:val="000000"/>
          <w:sz w:val="20"/>
        </w:rPr>
        <w:t xml:space="preserve"> </w:t>
      </w:r>
      <w:r>
        <w:rPr>
          <w:rFonts w:ascii="Times New Roman" w:hAnsi="Times New Roman"/>
          <w:color w:val="000000"/>
          <w:sz w:val="16"/>
        </w:rPr>
        <w:t>ended</w:t>
      </w:r>
      <w:r>
        <w:rPr>
          <w:rFonts w:ascii="Times New Roman" w:hAnsi="Times New Roman"/>
          <w:color w:val="000000"/>
          <w:sz w:val="20"/>
        </w:rPr>
        <w:t xml:space="preserve"> </w:t>
      </w:r>
      <w:r>
        <w:rPr>
          <w:rFonts w:ascii="Times New Roman" w:hAnsi="Times New Roman"/>
          <w:color w:val="000000"/>
          <w:sz w:val="16"/>
        </w:rPr>
        <w:t xml:space="preserve">December 31, 2024 </w:t>
      </w:r>
    </w:p>
    <w:p>
      <w:pPr>
        <w:pStyle w:val="TextBody"/>
        <w:bidi w:val="0"/>
        <w:jc w:val="center"/>
        <w:rPr>
          <w:rFonts w:ascii="Times New Roman" w:hAnsi="Times New Roman"/>
          <w:color w:val="000000"/>
          <w:sz w:val="16"/>
        </w:rPr>
      </w:pPr>
      <w:r>
        <w:rPr>
          <w:rFonts w:ascii="Times New Roman" w:hAnsi="Times New Roman"/>
          <w:color w:val="000000"/>
          <w:sz w:val="16"/>
        </w:rPr>
        <w:t>or</w:t>
      </w:r>
    </w:p>
    <w:tbl>
      <w:tblPr>
        <w:tblW w:w="9002" w:type="dxa"/>
        <w:jc w:val="left"/>
        <w:tblInd w:w="0" w:type="dxa"/>
        <w:tblLayout w:type="fixed"/>
        <w:tblCellMar>
          <w:top w:w="28" w:type="dxa"/>
          <w:left w:w="28" w:type="dxa"/>
          <w:bottom w:w="28" w:type="dxa"/>
          <w:right w:w="28" w:type="dxa"/>
        </w:tblCellMar>
      </w:tblPr>
      <w:tblGrid>
        <w:gridCol w:w="331"/>
        <w:gridCol w:w="8671"/>
      </w:tblGrid>
      <w:tr>
        <w:trPr/>
        <w:tc>
          <w:tcPr>
            <w:tcW w:w="331" w:type="dxa"/>
            <w:tcBorders/>
            <w:vAlign w:val="center"/>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671" w:type="dxa"/>
            <w:tcBorders/>
            <w:tcMar>
              <w:top w:w="0" w:type="dxa"/>
              <w:left w:w="0" w:type="dxa"/>
              <w:bottom w:w="0" w:type="dxa"/>
              <w:right w:w="0" w:type="dxa"/>
            </w:tcMar>
            <w:vAlign w:val="center"/>
          </w:tcPr>
          <w:p>
            <w:pPr>
              <w:pStyle w:val="TableContents"/>
              <w:bidi w:val="0"/>
              <w:spacing w:before="20" w:after="283"/>
              <w:jc w:val="both"/>
              <w:rPr>
                <w:rFonts w:ascii="Times New Roman" w:hAnsi="Times New Roman"/>
                <w:b/>
                <w:color w:val="000000"/>
                <w:sz w:val="16"/>
              </w:rPr>
            </w:pPr>
            <w:r>
              <w:rPr>
                <w:rFonts w:ascii="Times New Roman" w:hAnsi="Times New Roman"/>
                <w:b/>
                <w:color w:val="000000"/>
                <w:sz w:val="16"/>
              </w:rPr>
              <w:t>TRANSITION REPORT PURSUANT TO SECTION 13 OR 15(d) OF THE SECURITIES EXCHANGE ACT OF 1934</w:t>
            </w:r>
          </w:p>
        </w:tc>
      </w:tr>
    </w:tbl>
    <w:p>
      <w:pPr>
        <w:pStyle w:val="TextBody"/>
        <w:bidi w:val="0"/>
        <w:jc w:val="center"/>
        <w:rPr>
          <w:rFonts w:ascii="Times New Roman" w:hAnsi="Times New Roman"/>
          <w:color w:val="000000"/>
          <w:sz w:val="16"/>
        </w:rPr>
      </w:pPr>
      <w:r>
        <w:rPr>
          <w:rFonts w:ascii="Times New Roman" w:hAnsi="Times New Roman"/>
          <w:color w:val="000000"/>
          <w:sz w:val="16"/>
        </w:rPr>
        <w:t>For the Transition Period from __________ to __________</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16"/>
        </w:rPr>
        <w:t>Commission File Number</w:t>
      </w:r>
      <w:r>
        <w:rPr>
          <w:rFonts w:ascii="Times New Roman" w:hAnsi="Times New Roman"/>
          <w:b/>
          <w:color w:val="000000"/>
          <w:sz w:val="16"/>
        </w:rPr>
        <w:t>: 001-35005</w:t>
      </w:r>
    </w:p>
    <w:p>
      <w:pPr>
        <w:pStyle w:val="TextBody"/>
        <w:bidi w:val="0"/>
        <w:jc w:val="center"/>
        <w:rPr/>
      </w:pPr>
      <w:r>
        <w:rPr/>
        <w:t> </w:t>
      </w:r>
    </w:p>
    <w:p>
      <w:pPr>
        <w:pStyle w:val="TextBody"/>
        <w:bidi w:val="0"/>
        <w:jc w:val="center"/>
        <w:rPr>
          <w:rFonts w:ascii="Times New Roman" w:hAnsi="Times New Roman"/>
          <w:b/>
          <w:color w:val="000000"/>
          <w:sz w:val="26"/>
        </w:rPr>
      </w:pPr>
      <w:r>
        <w:rPr>
          <w:rFonts w:ascii="Times New Roman" w:hAnsi="Times New Roman"/>
          <w:b/>
          <w:color w:val="000000"/>
          <w:sz w:val="26"/>
        </w:rPr>
        <w:t>ASSEMBLY BIOSCIENCES, INC.</w:t>
      </w:r>
    </w:p>
    <w:p>
      <w:pPr>
        <w:pStyle w:val="TextBody"/>
        <w:bidi w:val="0"/>
        <w:jc w:val="center"/>
        <w:rPr>
          <w:rFonts w:ascii="Times New Roman" w:hAnsi="Times New Roman"/>
          <w:color w:val="000000"/>
          <w:sz w:val="16"/>
        </w:rPr>
      </w:pPr>
      <w:r>
        <w:rPr>
          <w:rFonts w:ascii="Times New Roman" w:hAnsi="Times New Roman"/>
          <w:color w:val="000000"/>
          <w:sz w:val="16"/>
        </w:rPr>
        <w:t>(Exact name of registrant as specified in its charter)</w:t>
      </w:r>
    </w:p>
    <w:p>
      <w:pPr>
        <w:pStyle w:val="TextBody"/>
        <w:bidi w:val="0"/>
        <w:jc w:val="center"/>
        <w:rPr/>
      </w:pPr>
      <w:r>
        <w:rPr/>
        <w:t> </w:t>
      </w:r>
    </w:p>
    <w:tbl>
      <w:tblPr>
        <w:tblW w:w="3940" w:type="dxa"/>
        <w:jc w:val="left"/>
        <w:tblInd w:w="0" w:type="dxa"/>
        <w:tblLayout w:type="fixed"/>
        <w:tblCellMar>
          <w:top w:w="28" w:type="dxa"/>
          <w:left w:w="28" w:type="dxa"/>
          <w:bottom w:w="28" w:type="dxa"/>
          <w:right w:w="28" w:type="dxa"/>
        </w:tblCellMar>
      </w:tblPr>
      <w:tblGrid>
        <w:gridCol w:w="2281"/>
        <w:gridCol w:w="109"/>
        <w:gridCol w:w="109"/>
        <w:gridCol w:w="1441"/>
      </w:tblGrid>
      <w:tr>
        <w:trPr/>
        <w:tc>
          <w:tcPr>
            <w:tcW w:w="2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2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20-8729264</w:t>
            </w:r>
          </w:p>
        </w:tc>
      </w:tr>
      <w:tr>
        <w:trPr/>
        <w:tc>
          <w:tcPr>
            <w:tcW w:w="228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(I.R.S. Employer</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Identification No.)</w:t>
            </w:r>
          </w:p>
        </w:tc>
      </w:tr>
    </w:tbl>
    <w:p>
      <w:pPr>
        <w:pStyle w:val="TextBody"/>
        <w:bidi w:val="0"/>
        <w:jc w:val="center"/>
        <w:rPr/>
      </w:pPr>
      <w:r>
        <w:rPr/>
        <w:t> </w:t>
      </w:r>
    </w:p>
    <w:p>
      <w:pPr>
        <w:pStyle w:val="TextBody"/>
        <w:bidi w:val="0"/>
        <w:jc w:val="center"/>
        <w:rPr>
          <w:rFonts w:ascii="Times New Roman" w:hAnsi="Times New Roman"/>
          <w:b/>
          <w:color w:val="000000"/>
          <w:sz w:val="16"/>
        </w:rPr>
      </w:pPr>
      <w:r>
        <w:rPr>
          <w:rFonts w:ascii="Times New Roman" w:hAnsi="Times New Roman"/>
          <w:b/>
          <w:color w:val="000000"/>
          <w:sz w:val="16"/>
        </w:rPr>
        <w:t>Two Tower Place, 7th Floor</w:t>
      </w:r>
    </w:p>
    <w:p>
      <w:pPr>
        <w:pStyle w:val="TextBody"/>
        <w:bidi w:val="0"/>
        <w:jc w:val="center"/>
        <w:rPr>
          <w:rFonts w:ascii="Times New Roman" w:hAnsi="Times New Roman"/>
          <w:sz w:val="20"/>
        </w:rPr>
      </w:pPr>
      <w:r>
        <w:rPr>
          <w:rFonts w:ascii="Times New Roman" w:hAnsi="Times New Roman"/>
          <w:b/>
          <w:color w:val="000000"/>
          <w:sz w:val="16"/>
        </w:rPr>
        <w:t>South San Francisco, California</w:t>
      </w:r>
      <w:r>
        <w:rPr>
          <w:rFonts w:ascii="Times New Roman" w:hAnsi="Times New Roman"/>
          <w:color w:val="000000"/>
          <w:sz w:val="20"/>
        </w:rPr>
        <w:t xml:space="preserve"> </w:t>
      </w:r>
      <w:r>
        <w:rPr>
          <w:rFonts w:ascii="Times New Roman" w:hAnsi="Times New Roman"/>
          <w:b/>
          <w:color w:val="000000"/>
          <w:sz w:val="16"/>
        </w:rPr>
        <w:t>94080</w:t>
      </w:r>
    </w:p>
    <w:p>
      <w:pPr>
        <w:pStyle w:val="TextBody"/>
        <w:bidi w:val="0"/>
        <w:jc w:val="center"/>
        <w:rPr>
          <w:rFonts w:ascii="Times New Roman" w:hAnsi="Times New Roman"/>
          <w:color w:val="000000"/>
          <w:sz w:val="16"/>
        </w:rPr>
      </w:pPr>
      <w:r>
        <w:rPr>
          <w:rFonts w:ascii="Times New Roman" w:hAnsi="Times New Roman"/>
          <w:color w:val="000000"/>
          <w:sz w:val="16"/>
        </w:rPr>
        <w:t>(Address of Principal Executive Offices)</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color w:val="000000"/>
          <w:sz w:val="16"/>
        </w:rPr>
        <w:t>Registrant’s telephone number, including area code:</w:t>
      </w:r>
      <w:r>
        <w:rPr>
          <w:rFonts w:ascii="Times New Roman" w:hAnsi="Times New Roman"/>
          <w:color w:val="000000"/>
          <w:sz w:val="20"/>
        </w:rPr>
        <w:t xml:space="preserve"> </w:t>
      </w:r>
      <w:r>
        <w:rPr>
          <w:rFonts w:ascii="Times New Roman" w:hAnsi="Times New Roman"/>
          <w:b/>
          <w:color w:val="000000"/>
          <w:sz w:val="16"/>
        </w:rPr>
        <w:t>(833) 509-4583</w:t>
      </w:r>
    </w:p>
    <w:p>
      <w:pPr>
        <w:pStyle w:val="TextBody"/>
        <w:bidi w:val="0"/>
        <w:jc w:val="center"/>
        <w:rPr/>
      </w:pPr>
      <w:r>
        <w:rPr/>
        <w:t> </w:t>
      </w:r>
    </w:p>
    <w:p>
      <w:pPr>
        <w:pStyle w:val="TextBody"/>
        <w:bidi w:val="0"/>
        <w:jc w:val="center"/>
        <w:rPr>
          <w:rFonts w:ascii="Times New Roman" w:hAnsi="Times New Roman"/>
          <w:color w:val="000000"/>
          <w:sz w:val="16"/>
        </w:rPr>
      </w:pPr>
      <w:r>
        <w:rPr>
          <w:rFonts w:ascii="Times New Roman" w:hAnsi="Times New Roman"/>
          <w:color w:val="000000"/>
          <w:sz w:val="16"/>
        </w:rPr>
        <w:t>Securities Registered Pursuant to Section 12(b) of the Exchange Act:</w:t>
      </w:r>
    </w:p>
    <w:p>
      <w:pPr>
        <w:pStyle w:val="TextBody"/>
        <w:bidi w:val="0"/>
        <w:jc w:val="left"/>
        <w:rPr/>
      </w:pPr>
      <w:r>
        <w:rPr/>
        <w:t> </w:t>
      </w:r>
    </w:p>
    <w:tbl>
      <w:tblPr>
        <w:tblW w:w="5988" w:type="dxa"/>
        <w:jc w:val="left"/>
        <w:tblInd w:w="0" w:type="dxa"/>
        <w:tblLayout w:type="fixed"/>
        <w:tblCellMar>
          <w:top w:w="28" w:type="dxa"/>
          <w:left w:w="28" w:type="dxa"/>
          <w:bottom w:w="28" w:type="dxa"/>
          <w:right w:w="28" w:type="dxa"/>
        </w:tblCellMar>
      </w:tblPr>
      <w:tblGrid>
        <w:gridCol w:w="2041"/>
        <w:gridCol w:w="109"/>
        <w:gridCol w:w="1231"/>
        <w:gridCol w:w="146"/>
        <w:gridCol w:w="2461"/>
      </w:tblGrid>
      <w:tr>
        <w:trPr/>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r>
      <w:tr>
        <w:trPr/>
        <w:tc>
          <w:tcPr>
            <w:tcW w:w="204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Trading Symbol(s)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center"/>
              <w:rPr/>
            </w:pPr>
            <w:r>
              <w:rPr/>
              <w:t> </w:t>
            </w:r>
          </w:p>
        </w:tc>
        <w:tc>
          <w:tcPr>
            <w:tcW w:w="246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Name of Exchange on which Registered</w:t>
            </w:r>
          </w:p>
        </w:tc>
      </w:tr>
      <w:tr>
        <w:trPr/>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Common Stock, $0.001 Par Value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ASMB</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246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4"/>
              </w:rPr>
            </w:pPr>
            <w:r>
              <w:rPr>
                <w:rFonts w:ascii="Times New Roman" w:hAnsi="Times New Roman"/>
                <w:color w:val="000000"/>
                <w:sz w:val="14"/>
              </w:rPr>
              <w:t>The Nasdaq Global Select Market</w:t>
            </w:r>
          </w:p>
        </w:tc>
      </w:tr>
    </w:tbl>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16"/>
        </w:rPr>
        <w:t>Securities Registered Pursuant to Section 12(g) of the Act:</w:t>
      </w:r>
      <w:r>
        <w:rPr>
          <w:rFonts w:ascii="Times New Roman" w:hAnsi="Times New Roman"/>
          <w:color w:val="000000"/>
          <w:sz w:val="20"/>
        </w:rPr>
        <w:t xml:space="preserve"> </w:t>
      </w:r>
      <w:r>
        <w:rPr>
          <w:rFonts w:ascii="Times New Roman" w:hAnsi="Times New Roman"/>
          <w:color w:val="000000"/>
          <w:sz w:val="16"/>
        </w:rPr>
        <w:t>None</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if the registrant is a well-known seasoned issuer, as defined in Rule 405 of the Securities Act. Yes </w:t>
      </w:r>
      <w:r>
        <w:rPr>
          <w:rFonts w:ascii="Times New Roman" w:hAnsi="Times New Roman"/>
          <w:color w:val="000000"/>
          <w:sz w:val="20"/>
        </w:rPr>
        <w:t xml:space="preserve">☐ </w:t>
      </w:r>
      <w:r>
        <w:rPr>
          <w:rFonts w:ascii="Times New Roman" w:hAnsi="Times New Roman"/>
          <w:color w:val="000000"/>
          <w:sz w:val="16"/>
        </w:rPr>
        <w:t>No</w:t>
      </w:r>
      <w:r>
        <w:rPr>
          <w:rFonts w:ascii="Times New Roman" w:hAnsi="Times New Roman"/>
          <w:color w:val="000000"/>
          <w:sz w:val="20"/>
        </w:rPr>
        <w:t xml:space="preserve"> ☒</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if the registrant is not required to file reports pursuant to Section 13 or Section 15(d)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515" w:type="dxa"/>
        <w:jc w:val="left"/>
        <w:tblInd w:w="0" w:type="dxa"/>
        <w:tblLayout w:type="fixed"/>
        <w:tblCellMar>
          <w:top w:w="28" w:type="dxa"/>
          <w:left w:w="28" w:type="dxa"/>
          <w:bottom w:w="28" w:type="dxa"/>
          <w:right w:w="28" w:type="dxa"/>
        </w:tblCellMar>
      </w:tblPr>
      <w:tblGrid>
        <w:gridCol w:w="1666"/>
        <w:gridCol w:w="316"/>
        <w:gridCol w:w="14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the registrant has filed a report on and attestation to its management’s assessment of the effectiveness of its internal control over financial reporting under Section 404(b) of the Sarbanes-Oxley Act (15 U.S.C. 7262 (b)) by the registered public accounting firm that prepared or issued its audit report.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Times New Roman" w:hAnsi="Times New Roman"/>
          <w:color w:val="000000"/>
          <w:sz w:val="16"/>
        </w:rPr>
        <w:t xml:space="preserve">No </w:t>
      </w:r>
      <w:r>
        <w:rPr>
          <w:rFonts w:ascii="Times New Roman" w:hAnsi="Times New Roman"/>
          <w:color w:val="000000"/>
          <w:sz w:val="20"/>
        </w:rPr>
        <w:t>☒</w:t>
      </w:r>
    </w:p>
    <w:p>
      <w:pPr>
        <w:pStyle w:val="TextBody"/>
        <w:bidi w:val="0"/>
        <w:spacing w:before="60" w:after="283"/>
        <w:jc w:val="both"/>
        <w:rPr>
          <w:rFonts w:ascii="Times New Roman" w:hAnsi="Times New Roman"/>
          <w:sz w:val="20"/>
        </w:rPr>
      </w:pPr>
      <w:r>
        <w:rPr>
          <w:rFonts w:ascii="Times New Roman" w:hAnsi="Times New Roman"/>
          <w:color w:val="000000"/>
          <w:sz w:val="16"/>
        </w:rPr>
        <w:t>The aggregate market value of the voting stock held by non-affiliates of the registrant, as of June 30, 2024, was $69.0</w:t>
      </w:r>
      <w:r>
        <w:rPr>
          <w:rFonts w:ascii="Times New Roman" w:hAnsi="Times New Roman"/>
          <w:color w:val="000000"/>
          <w:sz w:val="20"/>
        </w:rPr>
        <w:t xml:space="preserve"> </w:t>
      </w:r>
      <w:r>
        <w:rPr>
          <w:rFonts w:ascii="Times New Roman" w:hAnsi="Times New Roman"/>
          <w:color w:val="000000"/>
          <w:sz w:val="16"/>
        </w:rPr>
        <w:t>million. Such aggregate market value was computed by reference to the closing price of the common stock as reported on the Nasdaq Global Select Market on June 30, 2024. For purposes of making this calculation only, the registrant has defined affiliates as including only (1) directors, (2) executive officers and (3) certain stockholders, if any, that hold greater than 10% of the voting stock of the registrant, in each case, as of June 30, 2024. Shares of common stock held by other persons, including certain other holders of more than 10% of the registrant’s outstanding common stock, if any, have not been excluded from the above calculation in that such persons are not deemed to be affiliates. The determination of affiliate status is not necessarily a conclusive determination for other purposes.</w:t>
      </w:r>
    </w:p>
    <w:p>
      <w:pPr>
        <w:pStyle w:val="TextBody"/>
        <w:bidi w:val="0"/>
        <w:spacing w:before="60" w:after="283"/>
        <w:jc w:val="both"/>
        <w:rPr>
          <w:rFonts w:ascii="Times New Roman" w:hAnsi="Times New Roman"/>
          <w:sz w:val="20"/>
        </w:rPr>
      </w:pPr>
      <w:r>
        <w:rPr>
          <w:rFonts w:ascii="Times New Roman" w:hAnsi="Times New Roman"/>
          <w:color w:val="000000"/>
          <w:sz w:val="16"/>
        </w:rPr>
        <w:t>As of March 14, 2025, there were 7,503,385</w:t>
      </w:r>
      <w:r>
        <w:rPr>
          <w:rFonts w:ascii="Times New Roman" w:hAnsi="Times New Roman"/>
          <w:color w:val="000000"/>
          <w:sz w:val="20"/>
        </w:rPr>
        <w:t xml:space="preserve"> </w:t>
      </w:r>
      <w:r>
        <w:rPr>
          <w:rFonts w:ascii="Times New Roman" w:hAnsi="Times New Roman"/>
          <w:color w:val="000000"/>
          <w:sz w:val="16"/>
        </w:rPr>
        <w:t>shares of the registrant’s common stock, $0.001 par value per share, outstanding.</w:t>
      </w:r>
    </w:p>
    <w:p>
      <w:pPr>
        <w:pStyle w:val="TextBody"/>
        <w:bidi w:val="0"/>
        <w:spacing w:before="60" w:after="283"/>
        <w:jc w:val="center"/>
        <w:rPr>
          <w:rFonts w:ascii="Times New Roman" w:hAnsi="Times New Roman"/>
          <w:b/>
          <w:color w:val="000000"/>
          <w:sz w:val="16"/>
        </w:rPr>
      </w:pPr>
      <w:r>
        <w:rPr>
          <w:rFonts w:ascii="Times New Roman" w:hAnsi="Times New Roman"/>
          <w:b/>
          <w:color w:val="000000"/>
          <w:sz w:val="16"/>
        </w:rPr>
        <w:t>DOCUMENTS INCORPORATED BY REFERENCE</w:t>
      </w:r>
    </w:p>
    <w:p>
      <w:pPr>
        <w:pStyle w:val="TextBody"/>
        <w:bidi w:val="0"/>
        <w:spacing w:before="60" w:after="283"/>
        <w:jc w:val="both"/>
        <w:rPr>
          <w:rFonts w:ascii="Times New Roman" w:hAnsi="Times New Roman"/>
          <w:color w:val="000000"/>
          <w:sz w:val="16"/>
        </w:rPr>
      </w:pPr>
      <w:r>
        <w:rPr>
          <w:rFonts w:ascii="Times New Roman" w:hAnsi="Times New Roman"/>
          <w:color w:val="000000"/>
          <w:sz w:val="16"/>
        </w:rPr>
        <w:t>Part III of this Annual Report on Form 10-K incorporates information by reference to portions of the definitive proxy statement for the Company’s Annual Meeting of Stockholders to be held in 2025, to be filed within 120 days of the registrant’s fiscal year ended December 31, 2024.</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2"/>
        <w:gridCol w:w="8731"/>
        <w:gridCol w:w="572"/>
      </w:tblGrid>
      <w:tr>
        <w:trPr/>
        <w:tc>
          <w:tcPr>
            <w:tcW w:w="902" w:type="dxa"/>
            <w:tcBorders/>
            <w:vAlign w:val="center"/>
          </w:tcPr>
          <w:p>
            <w:pPr>
              <w:pStyle w:val="TableContents"/>
              <w:bidi w:val="0"/>
              <w:spacing w:before="0" w:after="283"/>
              <w:jc w:val="left"/>
              <w:rPr>
                <w:sz w:val="4"/>
                <w:szCs w:val="4"/>
              </w:rPr>
            </w:pPr>
            <w:r>
              <w:rPr>
                <w:sz w:val="4"/>
                <w:szCs w:val="4"/>
              </w:rPr>
            </w:r>
          </w:p>
        </w:tc>
        <w:tc>
          <w:tcPr>
            <w:tcW w:w="873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r>
      <w:tr>
        <w:trPr/>
        <w:tc>
          <w:tcPr>
            <w:tcW w:w="902" w:type="dxa"/>
            <w:tcBorders/>
            <w:tcMar>
              <w:top w:w="0" w:type="dxa"/>
              <w:left w:w="0" w:type="dxa"/>
              <w:bottom w:w="0" w:type="dxa"/>
              <w:right w:w="0" w:type="dxa"/>
            </w:tcMar>
            <w:vAlign w:val="center"/>
          </w:tcPr>
          <w:p>
            <w:pPr>
              <w:pStyle w:val="TableContents"/>
              <w:bidi w:val="0"/>
              <w:spacing w:before="0" w:after="283"/>
              <w:jc w:val="left"/>
              <w:rPr/>
            </w:pPr>
            <w:r>
              <w:rPr/>
              <w:t> </w:t>
            </w:r>
          </w:p>
        </w:tc>
        <w:tc>
          <w:tcPr>
            <w:tcW w:w="8731" w:type="dxa"/>
            <w:tcBorders/>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part_i">
              <w:r>
                <w:rPr>
                  <w:rStyle w:val="InternetLink"/>
                  <w:rFonts w:ascii="Times New Roman" w:hAnsi="Times New Roman"/>
                  <w:b/>
                  <w:color w:val="0000FF"/>
                  <w:sz w:val="20"/>
                  <w:u w:val="single"/>
                </w:rPr>
                <w:t>PART I</w:t>
              </w:r>
            </w:hyperlink>
          </w:p>
        </w:tc>
        <w:tc>
          <w:tcPr>
            <w:tcW w:w="8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Item 1.</w:t>
              </w:r>
            </w:hyperlink>
          </w:p>
        </w:tc>
        <w:tc>
          <w:tcPr>
            <w:tcW w:w="8731" w:type="dxa"/>
            <w:tcBorders/>
            <w:tcMar>
              <w:top w:w="0" w:type="dxa"/>
              <w:left w:w="0" w:type="dxa"/>
              <w:bottom w:w="0" w:type="dxa"/>
              <w:right w:w="0" w:type="dxa"/>
            </w:tcMar>
            <w:vAlign w:val="center"/>
          </w:tcPr>
          <w:p>
            <w:pPr>
              <w:pStyle w:val="TableContents"/>
              <w:bidi w:val="0"/>
              <w:spacing w:before="0" w:after="283"/>
              <w:jc w:val="left"/>
              <w:rPr/>
            </w:pPr>
            <w:hyperlink w:anchor="item_1_business">
              <w:r>
                <w:rPr>
                  <w:rStyle w:val="InternetLink"/>
                  <w:rFonts w:ascii="Times New Roman" w:hAnsi="Times New Roman"/>
                  <w:color w:val="0000FF"/>
                  <w:sz w:val="20"/>
                  <w:u w:val="single"/>
                </w:rPr>
                <w:t>Business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r>
      <w:tr>
        <w:trPr/>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Item 1A.</w:t>
              </w:r>
            </w:hyperlink>
          </w:p>
        </w:tc>
        <w:tc>
          <w:tcPr>
            <w:tcW w:w="873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r>
      <w:tr>
        <w:trPr/>
        <w:tc>
          <w:tcPr>
            <w:tcW w:w="902"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Item 1B.</w:t>
              </w:r>
            </w:hyperlink>
          </w:p>
        </w:tc>
        <w:tc>
          <w:tcPr>
            <w:tcW w:w="8731" w:type="dxa"/>
            <w:tcBorders/>
            <w:tcMar>
              <w:top w:w="0" w:type="dxa"/>
              <w:left w:w="0" w:type="dxa"/>
              <w:bottom w:w="0" w:type="dxa"/>
              <w:right w:w="0" w:type="dxa"/>
            </w:tcMar>
            <w:vAlign w:val="center"/>
          </w:tcPr>
          <w:p>
            <w:pPr>
              <w:pStyle w:val="TableContents"/>
              <w:bidi w:val="0"/>
              <w:spacing w:before="0" w:after="283"/>
              <w:jc w:val="left"/>
              <w:rPr/>
            </w:pPr>
            <w:hyperlink w:anchor="item_1b_unresolved_staff_comments">
              <w:r>
                <w:rPr>
                  <w:rStyle w:val="InternetLink"/>
                  <w:rFonts w:ascii="Times New Roman" w:hAnsi="Times New Roman"/>
                  <w:color w:val="0000FF"/>
                  <w:sz w:val="20"/>
                  <w:u w:val="single"/>
                </w:rPr>
                <w:t>Unresolved Staff Comments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Item 1C.</w:t>
              </w:r>
            </w:hyperlink>
          </w:p>
        </w:tc>
        <w:tc>
          <w:tcPr>
            <w:tcW w:w="873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c_cybersecurity">
              <w:r>
                <w:rPr>
                  <w:rStyle w:val="InternetLink"/>
                  <w:rFonts w:ascii="Times New Roman" w:hAnsi="Times New Roman"/>
                  <w:color w:val="0000FF"/>
                  <w:sz w:val="20"/>
                  <w:u w:val="single"/>
                </w:rPr>
                <w:t>Cybersecurity</w:t>
              </w:r>
            </w:hyperlink>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02"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Item 2.</w:t>
              </w:r>
            </w:hyperlink>
          </w:p>
        </w:tc>
        <w:tc>
          <w:tcPr>
            <w:tcW w:w="8731" w:type="dxa"/>
            <w:tcBorders/>
            <w:tcMar>
              <w:top w:w="0" w:type="dxa"/>
              <w:left w:w="0" w:type="dxa"/>
              <w:bottom w:w="0" w:type="dxa"/>
              <w:right w:w="0" w:type="dxa"/>
            </w:tcMar>
            <w:vAlign w:val="center"/>
          </w:tcPr>
          <w:p>
            <w:pPr>
              <w:pStyle w:val="TableContents"/>
              <w:bidi w:val="0"/>
              <w:spacing w:before="0" w:after="283"/>
              <w:jc w:val="left"/>
              <w:rPr/>
            </w:pPr>
            <w:hyperlink w:anchor="item_2_properties">
              <w:r>
                <w:rPr>
                  <w:rStyle w:val="InternetLink"/>
                  <w:rFonts w:ascii="Times New Roman" w:hAnsi="Times New Roman"/>
                  <w:color w:val="0000FF"/>
                  <w:sz w:val="20"/>
                  <w:u w:val="single"/>
                </w:rPr>
                <w:t>Properties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Item 3.</w:t>
              </w:r>
            </w:hyperlink>
          </w:p>
        </w:tc>
        <w:tc>
          <w:tcPr>
            <w:tcW w:w="873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3_legal_proceedings">
              <w:r>
                <w:rPr>
                  <w:rStyle w:val="InternetLink"/>
                  <w:rFonts w:ascii="Times New Roman" w:hAnsi="Times New Roman"/>
                  <w:color w:val="0000FF"/>
                  <w:sz w:val="20"/>
                  <w:u w:val="single"/>
                </w:rPr>
                <w:t>Legal Proceedings</w:t>
              </w:r>
            </w:hyperlink>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02"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Item 4.</w:t>
              </w:r>
            </w:hyperlink>
          </w:p>
        </w:tc>
        <w:tc>
          <w:tcPr>
            <w:tcW w:w="8731"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r>
      <w:tr>
        <w:trPr/>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part_ii">
              <w:r>
                <w:rPr>
                  <w:rStyle w:val="InternetLink"/>
                  <w:rFonts w:ascii="Times New Roman" w:hAnsi="Times New Roman"/>
                  <w:b/>
                  <w:color w:val="0000FF"/>
                  <w:sz w:val="20"/>
                  <w:u w:val="single"/>
                </w:rPr>
                <w:t>PART II</w:t>
              </w:r>
            </w:hyperlink>
          </w:p>
        </w:tc>
        <w:tc>
          <w:tcPr>
            <w:tcW w:w="8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Item 5.</w:t>
              </w:r>
            </w:hyperlink>
          </w:p>
        </w:tc>
        <w:tc>
          <w:tcPr>
            <w:tcW w:w="8731" w:type="dxa"/>
            <w:tcBorders/>
            <w:tcMar>
              <w:top w:w="0" w:type="dxa"/>
              <w:left w:w="0" w:type="dxa"/>
              <w:bottom w:w="0" w:type="dxa"/>
              <w:right w:w="0" w:type="dxa"/>
            </w:tcMar>
            <w:vAlign w:val="center"/>
          </w:tcPr>
          <w:p>
            <w:pPr>
              <w:pStyle w:val="TableContents"/>
              <w:bidi w:val="0"/>
              <w:spacing w:before="0" w:after="283"/>
              <w:jc w:val="left"/>
              <w:rPr/>
            </w:pPr>
            <w:hyperlink w:anchor="item_5_market_for_registrants_common_equ">
              <w:r>
                <w:rPr>
                  <w:rStyle w:val="InternetLink"/>
                  <w:rFonts w:ascii="Times New Roman" w:hAnsi="Times New Roman"/>
                  <w:color w:val="0000FF"/>
                  <w:sz w:val="20"/>
                  <w:u w:val="single"/>
                </w:rPr>
                <w:t>Market for Registrant’s Common Equity, Related Stockholder Matters and Issuer Purchases of Equity Securities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Item 6.</w:t>
              </w:r>
            </w:hyperlink>
          </w:p>
        </w:tc>
        <w:tc>
          <w:tcPr>
            <w:tcW w:w="873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6_reserved">
              <w:r>
                <w:rPr>
                  <w:rStyle w:val="InternetLink"/>
                  <w:rFonts w:ascii="Times New Roman" w:hAnsi="Times New Roman"/>
                  <w:color w:val="0000FF"/>
                  <w:sz w:val="20"/>
                  <w:u w:val="single"/>
                </w:rPr>
                <w:t>[Reserved]</w:t>
              </w:r>
            </w:hyperlink>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r>
      <w:tr>
        <w:trPr/>
        <w:tc>
          <w:tcPr>
            <w:tcW w:w="902"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FF"/>
                  <w:sz w:val="20"/>
                  <w:u w:val="single"/>
                </w:rPr>
                <w:t>Item 7.</w:t>
              </w:r>
            </w:hyperlink>
          </w:p>
        </w:tc>
        <w:tc>
          <w:tcPr>
            <w:tcW w:w="8731" w:type="dxa"/>
            <w:tcBorders/>
            <w:tcMar>
              <w:top w:w="0" w:type="dxa"/>
              <w:left w:w="0" w:type="dxa"/>
              <w:bottom w:w="0" w:type="dxa"/>
              <w:right w:w="0" w:type="dxa"/>
            </w:tcMar>
            <w:vAlign w:val="center"/>
          </w:tcPr>
          <w:p>
            <w:pPr>
              <w:pStyle w:val="TableContents"/>
              <w:bidi w:val="0"/>
              <w:spacing w:before="0" w:after="283"/>
              <w:jc w:val="left"/>
              <w:rPr/>
            </w:pPr>
            <w:hyperlink w:anchor="item_7_managements_discussion_analysis_f">
              <w:r>
                <w:rPr>
                  <w:rStyle w:val="InternetLink"/>
                  <w:rFonts w:ascii="Times New Roman" w:hAnsi="Times New Roman"/>
                  <w:color w:val="000080"/>
                  <w:sz w:val="20"/>
                  <w:u w:val="single"/>
                </w:rPr>
                <w:t>Management’s Discussion and Analysis of Financial Condition and Results of Operation</w:t>
              </w:r>
            </w:hyperlink>
            <w:r>
              <w:rPr>
                <w:rFonts w:ascii="Times New Roman" w:hAnsi="Times New Roman"/>
                <w:color w:val="0000FF"/>
                <w:sz w:val="20"/>
                <w:u w:val="single"/>
              </w:rPr>
              <w:t>s</w:t>
            </w:r>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r>
      <w:tr>
        <w:trPr/>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Item 7A.</w:t>
              </w:r>
            </w:hyperlink>
          </w:p>
        </w:tc>
        <w:tc>
          <w:tcPr>
            <w:tcW w:w="873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7a_quantitative_qualitative_disclos">
              <w:r>
                <w:rPr>
                  <w:rStyle w:val="InternetLink"/>
                  <w:rFonts w:ascii="Times New Roman" w:hAnsi="Times New Roman"/>
                  <w:color w:val="0000FF"/>
                  <w:sz w:val="20"/>
                  <w:u w:val="single"/>
                </w:rPr>
                <w:t>Quantitative and Qualitative Disclosures about Market Risk</w:t>
              </w:r>
            </w:hyperlink>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02"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Item 8.</w:t>
              </w:r>
            </w:hyperlink>
          </w:p>
        </w:tc>
        <w:tc>
          <w:tcPr>
            <w:tcW w:w="8731" w:type="dxa"/>
            <w:tcBorders/>
            <w:tcMar>
              <w:top w:w="0" w:type="dxa"/>
              <w:left w:w="0" w:type="dxa"/>
              <w:bottom w:w="0" w:type="dxa"/>
              <w:right w:w="0" w:type="dxa"/>
            </w:tcMar>
            <w:vAlign w:val="center"/>
          </w:tcPr>
          <w:p>
            <w:pPr>
              <w:pStyle w:val="TableContents"/>
              <w:bidi w:val="0"/>
              <w:spacing w:before="0" w:after="283"/>
              <w:jc w:val="left"/>
              <w:rPr/>
            </w:pPr>
            <w:hyperlink w:anchor="item_8_financial_statements_supplementar">
              <w:r>
                <w:rPr>
                  <w:rStyle w:val="InternetLink"/>
                  <w:rFonts w:ascii="Times New Roman" w:hAnsi="Times New Roman"/>
                  <w:color w:val="0000FF"/>
                  <w:sz w:val="20"/>
                  <w:u w:val="single"/>
                </w:rPr>
                <w:t>Financial Statements and Supplementary Data</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Item 9.</w:t>
              </w:r>
            </w:hyperlink>
          </w:p>
        </w:tc>
        <w:tc>
          <w:tcPr>
            <w:tcW w:w="873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9_changes_in_disagreements_with_acc">
              <w:r>
                <w:rPr>
                  <w:rStyle w:val="InternetLink"/>
                  <w:rFonts w:ascii="Times New Roman" w:hAnsi="Times New Roman"/>
                  <w:color w:val="0000FF"/>
                  <w:sz w:val="20"/>
                  <w:u w:val="single"/>
                </w:rPr>
                <w:t>Changes in and Disagreements with Accountants on Accounting and Financial Disclosure</w:t>
              </w:r>
            </w:hyperlink>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02" w:type="dxa"/>
            <w:tcBorders/>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Item 9A.</w:t>
              </w:r>
            </w:hyperlink>
          </w:p>
        </w:tc>
        <w:tc>
          <w:tcPr>
            <w:tcW w:w="8731" w:type="dxa"/>
            <w:tcBorders/>
            <w:tcMar>
              <w:top w:w="0" w:type="dxa"/>
              <w:left w:w="0" w:type="dxa"/>
              <w:bottom w:w="0" w:type="dxa"/>
              <w:right w:w="0" w:type="dxa"/>
            </w:tcMar>
            <w:vAlign w:val="center"/>
          </w:tcPr>
          <w:p>
            <w:pPr>
              <w:pStyle w:val="TableContents"/>
              <w:bidi w:val="0"/>
              <w:spacing w:before="0" w:after="283"/>
              <w:jc w:val="left"/>
              <w:rPr/>
            </w:pPr>
            <w:hyperlink w:anchor="item_9a_controls_procedures">
              <w:r>
                <w:rPr>
                  <w:rStyle w:val="InternetLink"/>
                  <w:rFonts w:ascii="Times New Roman" w:hAnsi="Times New Roman"/>
                  <w:color w:val="0000FF"/>
                  <w:sz w:val="20"/>
                  <w:u w:val="single"/>
                </w:rPr>
                <w:t>Controls and Procedures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Item 9B.</w:t>
              </w:r>
            </w:hyperlink>
          </w:p>
        </w:tc>
        <w:tc>
          <w:tcPr>
            <w:tcW w:w="873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9b_or_information">
              <w:r>
                <w:rPr>
                  <w:rStyle w:val="InternetLink"/>
                  <w:rFonts w:ascii="Times New Roman" w:hAnsi="Times New Roman"/>
                  <w:color w:val="0000FF"/>
                  <w:sz w:val="20"/>
                  <w:u w:val="single"/>
                </w:rPr>
                <w:t>Other Information</w:t>
              </w:r>
            </w:hyperlink>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02" w:type="dxa"/>
            <w:tcBorders/>
            <w:tcMar>
              <w:top w:w="0" w:type="dxa"/>
              <w:left w:w="0" w:type="dxa"/>
              <w:bottom w:w="0" w:type="dxa"/>
              <w:right w:w="0" w:type="dxa"/>
            </w:tcMar>
            <w:vAlign w:val="center"/>
          </w:tcPr>
          <w:p>
            <w:pPr>
              <w:pStyle w:val="TableContents"/>
              <w:bidi w:val="0"/>
              <w:spacing w:before="0" w:after="283"/>
              <w:jc w:val="left"/>
              <w:rPr/>
            </w:pPr>
            <w:hyperlink w:anchor="item_9c_discl_reg_foreign_jurisdictions">
              <w:r>
                <w:rPr>
                  <w:rStyle w:val="InternetLink"/>
                  <w:rFonts w:ascii="Times New Roman" w:hAnsi="Times New Roman"/>
                  <w:color w:val="0000FF"/>
                  <w:sz w:val="20"/>
                  <w:u w:val="single"/>
                </w:rPr>
                <w:t>Item 9C.</w:t>
              </w:r>
            </w:hyperlink>
          </w:p>
        </w:tc>
        <w:tc>
          <w:tcPr>
            <w:tcW w:w="8731" w:type="dxa"/>
            <w:tcBorders/>
            <w:tcMar>
              <w:top w:w="0" w:type="dxa"/>
              <w:left w:w="0" w:type="dxa"/>
              <w:bottom w:w="0" w:type="dxa"/>
              <w:right w:w="0" w:type="dxa"/>
            </w:tcMar>
            <w:vAlign w:val="center"/>
          </w:tcPr>
          <w:p>
            <w:pPr>
              <w:pStyle w:val="TableContents"/>
              <w:bidi w:val="0"/>
              <w:spacing w:before="0" w:after="283"/>
              <w:jc w:val="left"/>
              <w:rPr/>
            </w:pPr>
            <w:hyperlink w:anchor="item_9c_discl_reg_foreign_jurisdictions">
              <w:r>
                <w:rPr>
                  <w:rStyle w:val="InternetLink"/>
                  <w:rFonts w:ascii="Times New Roman" w:hAnsi="Times New Roman"/>
                  <w:color w:val="0000FF"/>
                  <w:sz w:val="20"/>
                  <w:u w:val="single"/>
                </w:rPr>
                <w:t>Disclosure Regarding Foreign Jurisdictions that Prevent Inspections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r>
      <w:tr>
        <w:trPr/>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part_iii">
              <w:r>
                <w:rPr>
                  <w:rStyle w:val="InternetLink"/>
                  <w:rFonts w:ascii="Times New Roman" w:hAnsi="Times New Roman"/>
                  <w:b/>
                  <w:color w:val="0000FF"/>
                  <w:sz w:val="20"/>
                  <w:u w:val="single"/>
                </w:rPr>
                <w:t>PART III</w:t>
              </w:r>
            </w:hyperlink>
          </w:p>
        </w:tc>
        <w:tc>
          <w:tcPr>
            <w:tcW w:w="87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2"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Item 10.</w:t>
              </w:r>
            </w:hyperlink>
          </w:p>
        </w:tc>
        <w:tc>
          <w:tcPr>
            <w:tcW w:w="8731" w:type="dxa"/>
            <w:tcBorders/>
            <w:tcMar>
              <w:top w:w="0" w:type="dxa"/>
              <w:left w:w="0" w:type="dxa"/>
              <w:bottom w:w="0" w:type="dxa"/>
              <w:right w:w="0" w:type="dxa"/>
            </w:tcMar>
            <w:vAlign w:val="center"/>
          </w:tcPr>
          <w:p>
            <w:pPr>
              <w:pStyle w:val="TableContents"/>
              <w:bidi w:val="0"/>
              <w:spacing w:before="0" w:after="283"/>
              <w:jc w:val="left"/>
              <w:rPr/>
            </w:pPr>
            <w:hyperlink w:anchor="item_10_directors_executive_ficers_corpo">
              <w:r>
                <w:rPr>
                  <w:rStyle w:val="InternetLink"/>
                  <w:rFonts w:ascii="Times New Roman" w:hAnsi="Times New Roman"/>
                  <w:color w:val="0000FF"/>
                  <w:sz w:val="20"/>
                  <w:u w:val="single"/>
                </w:rPr>
                <w:t>Directors, Executive Officers and Corporate Governance</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Item 11.</w:t>
              </w:r>
            </w:hyperlink>
          </w:p>
        </w:tc>
        <w:tc>
          <w:tcPr>
            <w:tcW w:w="873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1_executive_compensation">
              <w:r>
                <w:rPr>
                  <w:rStyle w:val="InternetLink"/>
                  <w:rFonts w:ascii="Times New Roman" w:hAnsi="Times New Roman"/>
                  <w:color w:val="0000FF"/>
                  <w:sz w:val="20"/>
                  <w:u w:val="single"/>
                </w:rPr>
                <w:t>Executive Compensation</w:t>
              </w:r>
            </w:hyperlink>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02"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Item 12.</w:t>
              </w:r>
            </w:hyperlink>
          </w:p>
        </w:tc>
        <w:tc>
          <w:tcPr>
            <w:tcW w:w="8731" w:type="dxa"/>
            <w:tcBorders/>
            <w:tcMar>
              <w:top w:w="0" w:type="dxa"/>
              <w:left w:w="0" w:type="dxa"/>
              <w:bottom w:w="0" w:type="dxa"/>
              <w:right w:w="0" w:type="dxa"/>
            </w:tcMar>
            <w:vAlign w:val="center"/>
          </w:tcPr>
          <w:p>
            <w:pPr>
              <w:pStyle w:val="TableContents"/>
              <w:bidi w:val="0"/>
              <w:spacing w:before="0" w:after="283"/>
              <w:jc w:val="left"/>
              <w:rPr/>
            </w:pPr>
            <w:hyperlink w:anchor="item_12_security_ownership_certain_benef">
              <w:r>
                <w:rPr>
                  <w:rStyle w:val="InternetLink"/>
                  <w:rFonts w:ascii="Times New Roman" w:hAnsi="Times New Roman"/>
                  <w:color w:val="0000FF"/>
                  <w:sz w:val="20"/>
                  <w:u w:val="single"/>
                </w:rPr>
                <w:t>Security Ownership of Certain Beneficial Owners and Management and Related Stockholder Matters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r>
      <w:tr>
        <w:trPr/>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pa">
              <w:r>
                <w:rPr>
                  <w:rStyle w:val="InternetLink"/>
                  <w:rFonts w:ascii="Times New Roman" w:hAnsi="Times New Roman"/>
                  <w:color w:val="0000FF"/>
                  <w:sz w:val="20"/>
                  <w:u w:val="single"/>
                </w:rPr>
                <w:t>Item 13.</w:t>
              </w:r>
            </w:hyperlink>
          </w:p>
        </w:tc>
        <w:tc>
          <w:tcPr>
            <w:tcW w:w="873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3_certain_relationships_related_pa">
              <w:r>
                <w:rPr>
                  <w:rStyle w:val="InternetLink"/>
                  <w:rFonts w:ascii="Times New Roman" w:hAnsi="Times New Roman"/>
                  <w:color w:val="0000FF"/>
                  <w:sz w:val="20"/>
                  <w:u w:val="single"/>
                </w:rPr>
                <w:t>Certain Relationships and Related Transactions, and Director Independence</w:t>
              </w:r>
            </w:hyperlink>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02" w:type="dxa"/>
            <w:tcBorders/>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Item 14.</w:t>
              </w:r>
            </w:hyperlink>
          </w:p>
        </w:tc>
        <w:tc>
          <w:tcPr>
            <w:tcW w:w="8731" w:type="dxa"/>
            <w:tcBorders/>
            <w:tcMar>
              <w:top w:w="0" w:type="dxa"/>
              <w:left w:w="0" w:type="dxa"/>
              <w:bottom w:w="0" w:type="dxa"/>
              <w:right w:w="0" w:type="dxa"/>
            </w:tcMar>
            <w:vAlign w:val="center"/>
          </w:tcPr>
          <w:p>
            <w:pPr>
              <w:pStyle w:val="TableContents"/>
              <w:bidi w:val="0"/>
              <w:spacing w:before="0" w:after="283"/>
              <w:jc w:val="left"/>
              <w:rPr/>
            </w:pPr>
            <w:hyperlink w:anchor="item_14_principal_accounting_fees_servic">
              <w:r>
                <w:rPr>
                  <w:rStyle w:val="InternetLink"/>
                  <w:rFonts w:ascii="Times New Roman" w:hAnsi="Times New Roman"/>
                  <w:color w:val="0000FF"/>
                  <w:sz w:val="20"/>
                  <w:u w:val="single"/>
                </w:rPr>
                <w:t>Principal Accountant Fees and Services</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r>
      <w:tr>
        <w:trPr/>
        <w:tc>
          <w:tcPr>
            <w:tcW w:w="902"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Item 15.</w:t>
              </w:r>
            </w:hyperlink>
          </w:p>
        </w:tc>
        <w:tc>
          <w:tcPr>
            <w:tcW w:w="8731"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5_exhibits_financial_statement_sch">
              <w:r>
                <w:rPr>
                  <w:rStyle w:val="InternetLink"/>
                  <w:rFonts w:ascii="Times New Roman" w:hAnsi="Times New Roman"/>
                  <w:color w:val="0000FF"/>
                  <w:sz w:val="20"/>
                  <w:u w:val="single"/>
                </w:rPr>
                <w:t>Exhibits, Financial Statement Schedules</w:t>
              </w:r>
            </w:hyperlink>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r>
      <w:tr>
        <w:trPr/>
        <w:tc>
          <w:tcPr>
            <w:tcW w:w="902"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Item 16.</w:t>
              </w:r>
            </w:hyperlink>
          </w:p>
        </w:tc>
        <w:tc>
          <w:tcPr>
            <w:tcW w:w="8731" w:type="dxa"/>
            <w:tcBorders/>
            <w:tcMar>
              <w:top w:w="0" w:type="dxa"/>
              <w:left w:w="0" w:type="dxa"/>
              <w:bottom w:w="0" w:type="dxa"/>
              <w:right w:w="0" w:type="dxa"/>
            </w:tcMar>
            <w:vAlign w:val="center"/>
          </w:tcPr>
          <w:p>
            <w:pPr>
              <w:pStyle w:val="TableContents"/>
              <w:bidi w:val="0"/>
              <w:spacing w:before="0" w:after="283"/>
              <w:jc w:val="left"/>
              <w:rPr/>
            </w:pPr>
            <w:hyperlink w:anchor="item_16_form_10k_summary">
              <w:r>
                <w:rPr>
                  <w:rStyle w:val="InternetLink"/>
                  <w:rFonts w:ascii="Times New Roman" w:hAnsi="Times New Roman"/>
                  <w:color w:val="0000FF"/>
                  <w:sz w:val="20"/>
                  <w:u w:val="single"/>
                </w:rPr>
                <w:t>Form 10-K Summary</w:t>
              </w:r>
            </w:hyperlink>
          </w:p>
        </w:tc>
        <w:tc>
          <w:tcPr>
            <w:tcW w:w="57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r>
      <w:tr>
        <w:trPr/>
        <w:tc>
          <w:tcPr>
            <w:tcW w:w="963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hyperlink w:anchor="financial_statements">
              <w:r>
                <w:rPr>
                  <w:rStyle w:val="InternetLink"/>
                  <w:rFonts w:ascii="Times New Roman" w:hAnsi="Times New Roman"/>
                  <w:color w:val="0000FF"/>
                  <w:sz w:val="20"/>
                  <w:u w:val="single"/>
                </w:rPr>
                <w:t>Financial Statements</w:t>
              </w:r>
            </w:hyperlink>
          </w:p>
        </w:tc>
        <w:tc>
          <w:tcPr>
            <w:tcW w:w="5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F-1</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References to Assembly Biosciences,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Throughout this Annual Report on Form 10-K, the “Company,” “Assembly Bio,” “Assembly,” “we,” “us,” and “our,” except where the context requires otherwise, refer to Assembly Biosciences, Inc. and its consolidated subsidiaries, and “our board of directors” or “the Board” refers to the board of directors of Assembly Biosciences, Inc.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Forward-Looking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Annual Report on Form 10-K contains “forward-looking statements” that are subject to certain risks and uncertainties, including, without limitation, those set forth in Part I, Item 1A under the heading “Risk Factors,” that could cause actual results to materially differ. Such risks and uncertainties include, among other things: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maintain financial resources necessary to continue our research activities, clinical studies and other business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realize the potential benefits of our collaboration with Gilead Sciences, Inc. (Gilead), including all financial aspects of the collaboration and equity investments;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ability to initiate and complete clinical studies involving our therapeutic product candidates, including studies contemplated by our collaboration with Gilead, in the currently anticipated timeframes or at all;</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safety and efficacy data from clinical or nonclinical studies may not warrant further development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clinical and nonclinical data presented at conferences may not differentiate our product candidates from other companies’ candidates;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potential effects of changes in government regulation, including as a result of the change in U.S. administration in 2025;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results of nonclinical studies may not be representative of disease behavior in a clinical setting and may not be predictive of the outcomes of clinical studies.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You are urged to consider statements that include the words may, will, would, could, should, might, believes, hopes, estimates, projects, potential,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and our ability to successfully complete, and receive favorable results in, clinical studies for our product candidates.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2" w:name="part_i"/>
      <w:bookmarkEnd w:id="2"/>
      <w:r>
        <w:rPr>
          <w:rFonts w:ascii="Times New Roman" w:hAnsi="Times New Roman"/>
          <w:b/>
          <w:color w:val="000000"/>
          <w:sz w:val="20"/>
        </w:rPr>
        <w:t>PART I</w:t>
      </w:r>
    </w:p>
    <w:p>
      <w:pPr>
        <w:pStyle w:val="TextBody"/>
        <w:bidi w:val="0"/>
        <w:spacing w:before="200" w:after="283"/>
        <w:jc w:val="both"/>
        <w:rPr>
          <w:rFonts w:ascii="Times New Roman" w:hAnsi="Times New Roman"/>
          <w:b/>
          <w:color w:val="000000"/>
          <w:sz w:val="20"/>
        </w:rPr>
      </w:pPr>
      <w:bookmarkStart w:id="3" w:name="item_1_business"/>
      <w:bookmarkEnd w:id="3"/>
      <w:r>
        <w:rPr>
          <w:rFonts w:ascii="Times New Roman" w:hAnsi="Times New Roman"/>
          <w:b/>
          <w:color w:val="000000"/>
          <w:sz w:val="20"/>
        </w:rPr>
        <w:t>Item 1. Business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biotechnology company developing innovative therapeutics targeting serious viral diseases with the potential to improve the lives of patients worldwide. Our pipeline includes multiple clinical-stage investigational therapies, including: (1) two helicase-primase inhibitors (HPI) targeting recurrent genital herpes; (2) an orally bioavailable hepatitis delta virus (HDV) entry inhibitor; and (3) a highly potent next-generation capsid assembly modulator (CAM) designed to disrupt the replication cycle of hepatitis B virus (HBV) at several key points. Our pipeline also includes a novel, oral broad-spectrum non-nucleoside polymerase inhibitor (NNPI) targeting transplant-related herpesviruses, which is currently undergoing studies to enable a regulatory filing, and we have additional research programs against multiple antiviral targets.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Strategy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current business strategy focuses on applying our deep research and development expertise in virology to bring next-generation therapeutics to patients in areas of high unmet medical need and significant market opportunities and rapidly advance our portfolio towards near-term clinical readouts:</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Recurrent Genital Herpes (HSV-1, HSV-2)</w:t>
      </w:r>
      <w:r>
        <w:rPr>
          <w:color w:val="000000"/>
        </w:rPr>
        <w:t xml:space="preserve"> – </w:t>
      </w:r>
      <w:r>
        <w:rPr>
          <w:rFonts w:ascii="Times New Roman" w:hAnsi="Times New Roman"/>
          <w:color w:val="000000"/>
          <w:sz w:val="20"/>
        </w:rPr>
        <w:t>Advancing two investigational long-acting HPI candidates, (1) ABI-5366 (5366) and (2) ABI-1179 (1179), through on-going Phase 1a/1b clinical studies, with interim Phase 1b results evaluating dosing in participants with recurrent genital herpes for both 5366 and 1179 anticipated in fall 2025.</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HDV</w:t>
      </w:r>
      <w:r>
        <w:rPr>
          <w:color w:val="000000"/>
        </w:rPr>
        <w:t xml:space="preserve"> – </w:t>
      </w:r>
      <w:r>
        <w:rPr>
          <w:rFonts w:ascii="Times New Roman" w:hAnsi="Times New Roman"/>
          <w:color w:val="000000"/>
          <w:sz w:val="20"/>
        </w:rPr>
        <w:t>Advancing an orally bioavailable HDV entry inhibitor, ABI-6250 (6250), through an ongoing Phase 1a clinical study, with interim safety, pharmacokinetics (PK) and biomarker data expected in the third quarter of 2025.</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HBV</w:t>
      </w:r>
      <w:r>
        <w:rPr>
          <w:color w:val="000000"/>
        </w:rPr>
        <w:t xml:space="preserve"> – </w:t>
      </w:r>
      <w:r>
        <w:rPr>
          <w:rFonts w:ascii="Times New Roman" w:hAnsi="Times New Roman"/>
          <w:color w:val="000000"/>
          <w:sz w:val="20"/>
        </w:rPr>
        <w:t>Advancing our novel next-generation CAM, ABI-4334 (4334), through an ongoing Phase 1b clinical study, with efficacy, safety and PK data expected in the first half of 2025.</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Transplant-Associated Herpesviruses</w:t>
      </w:r>
      <w:r>
        <w:rPr>
          <w:color w:val="000000"/>
        </w:rPr>
        <w:t xml:space="preserve"> – </w:t>
      </w:r>
      <w:r>
        <w:rPr>
          <w:rFonts w:ascii="Times New Roman" w:hAnsi="Times New Roman"/>
          <w:color w:val="000000"/>
          <w:sz w:val="20"/>
        </w:rPr>
        <w:t>Advancing ABI-7423 (7423), our oral broad-spectrum NNPI targeting transplant-associated herpesviruses through studies to enable a regulatory filing.</w:t>
      </w:r>
    </w:p>
    <w:p>
      <w:pPr>
        <w:pStyle w:val="TextBody"/>
        <w:bidi w:val="0"/>
        <w:spacing w:before="120" w:after="283"/>
        <w:jc w:val="both"/>
        <w:rPr>
          <w:color w:val="000000"/>
        </w:rPr>
      </w:pPr>
      <w:r>
        <w:rPr>
          <w:color w:val="000000"/>
        </w:rPr>
        <w:t>•</w:t>
      </w:r>
    </w:p>
    <w:p>
      <w:pPr>
        <w:pStyle w:val="TextBody"/>
        <w:bidi w:val="0"/>
        <w:spacing w:before="120" w:after="283"/>
        <w:jc w:val="both"/>
        <w:rPr/>
      </w:pPr>
      <w:r>
        <w:rPr>
          <w:rFonts w:ascii="Times New Roman" w:hAnsi="Times New Roman"/>
          <w:b/>
          <w:color w:val="000000"/>
          <w:sz w:val="20"/>
        </w:rPr>
        <w:t xml:space="preserve">Research and Discovery </w:t>
      </w:r>
      <w:r>
        <w:rPr>
          <w:color w:val="000000"/>
        </w:rPr>
        <w:t xml:space="preserve">– </w:t>
      </w:r>
      <w:r>
        <w:rPr>
          <w:rFonts w:ascii="Times New Roman" w:hAnsi="Times New Roman"/>
          <w:color w:val="000000"/>
          <w:sz w:val="20"/>
        </w:rPr>
        <w:t>Continue to leverage the expertise of our research team to identify new viral targets and novel compounds to address significant unmet medical needs.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recruited an accomplished leadership team and research and development organization, with a collective team track record of over 15 approved drugs across multiple viral diseases. Our collaboration with Gilead Sciences, Inc. (Gilead and the Gilead Collaboration) also brings us an industry-leading partner and brings together the teams’ expertise in virology and provides an established partner for late-stage development and commercialization. For additional information regarding the Gilead Collaboration, see “Collaboration and License Agreements—Gilead Sciences, Inc.”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Clinical Programs and Regulatory Filing-Enabling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the beginning of 2024, we have initiated: (1) both the Phase 1a and Phase 1b portions of a Phase 1a/b study of 5366, long-acting HPI for recurrent genital herpes; (2) the Phase 1a portion of a Phase 1a/b study of 1179, also a long-acting HPI for recurrent genital herpes; (3) a Phase 1a study of 6250, an orally bioavailable HDV entry inhibitor; and (4) a Phase 1b study of 4334, a highly potent, next-generation CAM for chronic HBV infection. We expect to initiate the Phase 1b portion of the Phase 1a/b study of 1179 in the first half of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announced interim results from the Phase 1a portion of the 5366 study in September 2024, interim results from the Phase 1b study of 4334 in December 2024 and interim results from the Phase 1a portion of the 1179 study in February 2025.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during December 2024, we identified a development candidate, 7423, in our broad-spectrum NNPI program targeting transplant-associated herpesviruses.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Recurrent Genital Herpes/HSV-1 and HSV-2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Genital herpes can be caused by either herpes simplex virus type 1 (HSV-1) or herpes simplex virus type 2 (HSV-2). HSV-1 and HSV-2 are acquired by oral or genital contact either during symptomatic or asymptomatic reactivation of the virus. Both viruses replicate in neurons, where they can remain latent for the rest of the individual’s life and periodically reactivate, with the virus spreading, replicating and causing disease in epithelial tissues. Initial infection can be asymptomatic or can be marked by serious symptoms, including painful skin lesions, swelling of lymph nodes and urinary problems that can persist for two to three weeks. While genital herpes can be caused by either HSV-1 or HSV-2, recurrences are more likely to be experienced by individuals infected by HSV-2. Genital herpes recurrence can cause painful genital lesions that can lead to increased transmission and debilitate patients, and symptoms may become more serious with additional episodes. Additional complications include increased risk of HIV infection, as 30% of HIV infections acquired through sexual transmission are attributable to HSV-2 infection. In addition, people with recurrent genital herpes often experience associated psychosocial impacts, including anxiety, concerns about transmission, depression and social stigma. Immunocompromised patients may experience more severe and prolonged symptoms due to increased recurrence rates.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HPIs are antiviral agents in development for the treatment of recurrent genital herpes, with a clinically-validated mechanism of action. HPIs inhibit the HSV helicase-primase complex, which is a unique viral enzyme complex without a human homolog, consisting of helicase, primase and cofactor subunits. These subunits have functions that are essential for viral DNA replication and are conserved across HSV-1 and HSV-2. Unlike nucleoside analogs, these compounds do not require phosphorylation by the HSV thymidine kinase (TK) and ongoing viral replication to become active drugs. As a result, HPIs are active immediately upon reactivation of latent HSV-1 and HSV-2. Furthermore, HPIs are active against TK-deficient HSV-1 and HSV-2, which is a major mechanism of resistance to nucleoside analogs.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Most people with initial symptomatic genital herpes who are infected with HSV-2 have frequent recurrences, generally between three and 15 per year, including over four million people in the United States and France, Germany, Italy and Spain (collectively, the EU4) and the United Kingdom (UK). Currently, there are three antiviral drugs (all nucleoside analogs) that have been approved in the United States and the EU4/UK for the treatment of genital herpes. However, no new drugs have been approved in these regions to treat genital herpes for more than 25 years. In addition to the approved nucleoside analogs, agents such as local anesthetics or analgesics may be used to alleviate local symptoms of minor pain and discomfort. </w:t>
      </w:r>
    </w:p>
    <w:p>
      <w:pPr>
        <w:pStyle w:val="TextBody"/>
        <w:bidi w:val="0"/>
        <w:spacing w:before="200" w:after="283"/>
        <w:jc w:val="both"/>
        <w:rPr>
          <w:rFonts w:ascii="Times New Roman" w:hAnsi="Times New Roman"/>
          <w:sz w:val="20"/>
        </w:rPr>
      </w:pPr>
      <w:r>
        <w:rPr>
          <w:rFonts w:ascii="Times New Roman" w:hAnsi="Times New Roman"/>
          <w:color w:val="000000"/>
          <w:sz w:val="20"/>
        </w:rPr>
        <w:t>Nucleoside analogs can be administered as episodic therapy as individual outbreaks arise or daily as chronic suppressive therapy for those with high post-exposure recurrences. However, these agents are only partially effective at controlling the infection or reducing transmission risk. With current nucleoside analog therapies, only one out of three people with recurrent genital herpes with six or more recurrences per year are able to make it through a year of treatment without a recurrence. There are still high titer (greater than 10</w:t>
      </w:r>
      <w:r>
        <w:rPr>
          <w:rFonts w:ascii="Times New Roman" w:hAnsi="Times New Roman"/>
          <w:color w:val="000000"/>
          <w:sz w:val="13"/>
        </w:rPr>
        <w:t xml:space="preserve">4 </w:t>
      </w:r>
      <w:r>
        <w:rPr>
          <w:rFonts w:ascii="Times New Roman" w:hAnsi="Times New Roman"/>
          <w:color w:val="000000"/>
          <w:sz w:val="20"/>
        </w:rPr>
        <w:t xml:space="preserve">HSV-2 DNA copies/mL) shedding episodes under this current standard of care for recurrent genital herpes, which can lead to recurrent episodes and transmission of genital herpes.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the limitations of current therapies, we see a path to advancing the treatment paradigm for people suffering from recurrent genital herpes. To reach that goal, we discovered and are developing a novel, potent, long-acting HPI for recurrent genital herpes, 5366, which demonstrated low nanomolar potency in vitro against both HSV-1 and HSV-2 clinical isolates and a favorable nonclinical safety profile in the U.S. Food and Drug Administration's (FDA) Good Laboratory Practice (GLP) toxicology studies, with high safety margins and minimal potential for off-target effects. In addition, we are developing a second novel, potent, long-acting HPI for genital herpes, 1179, which was in-licensed to us as part of our collaboration with Gilead.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first quarter of 2024, we filed a Clinical Trial Application (CTA) to support initiation of a Phase 1a/b clinical study for 5366, which was approved in April 2024, and we dosed our first participant in the Phase 1a portion of this study during the second quarter of 2024.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2024, we announced positive interim data for the Phase 1a portion of the 5366 study. Interim results exceeded our objectives for this Phase 1a study and support 5366’s progression into Phase 1b, which we initiated during the third quarter of 2024. Across the Part A (Phase 1a) cohorts evaluated, 5366 had a mean half-life of approximately 20 days when dosed orally, supporting once-weekly oral dosing, the target profile for 5366, as well as showing the potential for once-monthly oral dosing. We plan to explore both once-weekly and once-monthly oral dosing regimens in the Part B (Phase 1b) portion of the study.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Part A cohorts, 5366 has been well-tolerated with a favorable safety profile observed with exposure of up to 70 days. Treatment-emergent adverse events (AEs) were all mild to moderate in intensity and all were considered not related to study treatment by the study investigators; there have been no serious AEs in any dose arm. There were no treatment-related Grade 3 or 4 laboratory abnormalities and no protocol-defined stopping criteria were met. There were no clinically significant electrocardiogram (ECG) abnormalities or patterns of AEs or laboratory abnormalities noted.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interim data from the Phase 1b portion of the 5366 study to be available in fall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5366, we are also advancing 1179, a structurally-differentiated HPI with single digit nanomolar potency against HSV-1 and HSV-2 and a nonclinical PK and safety profile to date that is supportive of a potential long-acting treatment by once-weekly oral administration. We submitted the CTA for a Phase 1a/b study of 1179 in September 2024, which was approved in October 2024. We dosed our first participant in the Phase 1a portion of this study during the fourth quarter of 2024.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February 2025, we announced positive interim data for the Phase 1a portion of the 1179 study. Interim results exceeded our objectives for this Phase 1a study and support 1179’s progression into Phase 1b, and we plan to move directly into the Phase 1b study in participants with recurrent genital herpes. Across the Part A (Phase 1a) cohorts evaluated as of the February 13, 2025 data cutoff date, 1179 had a mean half-life of approximately four days when dosed orally, supporting once-weekly oral dosing, the target profile for 1179.</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all cohorts as of the February 13, 2025 data cutoff date, 1179 has been well-tolerated with a favorable safety profile observed. Treatment-emergent AEs were all mild in intensity and all were considered not related to study treatment by the study investigators; there have been no serious AEs in any dose cohort. One self-limited Grade 2 alanine transaminase elevation was observed in a cohort evaluating the highest dose of 300 mg. There were no treatment-related Grade 3 or 4 laboratory abnormalities and no protocol-defined stopping criteria were met. There were no clinically significant ECG abnormalities or patterns of AEs or laboratory abnormalities noted. We expect interim data from the Phase 1b portion of the 5366 study to be available in fall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Phase 1b study of 1179 study will be conducted concurrently with the ongoing Phase 1b evaluation of 5366, our other long-acting helicase-primase inhibitor candidate that began dosing in Phase 1b in the fourth quarter of 2024. The studies are anticipated to be conducted at the same sites using equivalent eligibility criteria and outcome measures for both candidates. We plan to report interim data for both candidates together in fall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HBV and HDV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World Health Organization (WHO) estimates that 254 million people worldwide are chronically infected with HBV as of 2022, and 1.2 million new infections occur each year. HBV is a leading global cause of chronic liver disease and liver transplants, and the WHO estimates that 1.1 million people died in 2022 from HBV, mostly due to cirrhosis and hepatocellular carcinoma. As of 2022, of the 254 million people living with chronic HBV infection, only approximately 33 million, or 13%, were aware of their infection, and only approximately 7 million, or 3%, of those diagnosed received treatment. HBV is a highly prevalent disease that infects almost three times the number of people infected with hepatitis C virus and HIV infections combined, according to the WHO.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current standard of care for chronic HBV infection, nucleos(t)ide analog reverse transcriptase inhibitors (NrtIs), are taken life-long and reduce, but do not eliminate, the virus and result in very low cure rates. No new mechanisms of action (MOA) have been approved for the treatment of chronic HBV infection in over 25 years. The focus of our HBV program is to improve outcomes and increase the number of patients diagnosed and treated through the development of finite and curative therapies targeting an orthogonal MOA.</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HDV is a “satellite virus” of HBV because it can only infect people (1) who are already infected with HBV or (2) at the same time as a person is infected with HBV. HDV affects a subset of approximately 12 to 72 million HBV infected people. These individuals infected with HDV, which comprise an estimated 4.5% of hepatitis B surface antigen (HBsAg) positive individuals, experience a substantially increased disease burden, as they account for 18% of cirrhosis and 20% of hepatocellular carcinoma associated with HBV. HDV is considered the most severe form of hepatitis, as 70% of individuals infected with HDV progress to cirrhosis within ten years. While HDV is less prevalent in the United States, it is a significant and serious health problem with inadequate treatment in many parts of Europe, Africa, the Middle East, East Asia and parts of South America. HDV may be significantly underdiagnosed, because there were no HDV-targeted therapies approved until very recently, and the first therapy approved is only approved in Europe. HDV is known to accelerate disease progression and increase the incidence of liver cirrhosis and liver cancer, which results in higher morbidity and mortality rates than HBV alone.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current standard of care treatment for HDV is off-label pegylated interferon-α (IFN-α) injected weekly or, in Europe, a large, complex peptide inhibitor that requires daily injections, bulevirtide. There are no approved HDV treatments in the United States, and the large, complex peptide blocker is the only approved HDV treatment in the Europe. We believe a safe and effective oral small molecule entry inhibitor would be a significant innovation for people living with HDV, who face a significant and immediate disease burden.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HDV Entry Inhibitor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HDV is a small RNA virus that encodes just two viral proteins and relies on host enzymes as well as the HBsAg from HBV to replicate, which limits the number of HDV-specific antiviral targets. Similar to HBV, HDV utilizes HBsAg to enter hepatocytes by binding the cellular transmembrane protein sodium taurocholate co-transporting peptide (NTCP). NTCP is highly expressed on human hepatocytes, where it serves as one of several proteins involved in the transport of bile acids. The binding of specific small or large molecules to NTCP has been shown to effectively inhibit the interaction of HBsAg with NTCP, which prevents HBV and HDV from infecting hepatocytes.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inhibition of HBV and HDV infection by molecules that bind NTCP has been demonstrated in vitro, in animal models and clinically. Notably, bulevirtide, a peptide blocker of NTCP, is the only approved therapy for HDV (approved in Europe). 6250 uses the same clinically-validated MOA as bulevirtide. The binding of NTCP-targeted HBV/HDV entry inhibitors to NTCP has also been shown to inhibit the transport of certain bile acids into cells, which results in plasma elevations of bile acids; this effect has been well-tolerated clinically and may serve as a biomarker of pharmacologically active concentrations of drug in the plasma. In nonclinical studies in non-human primates, clinically-relevant doses of 6250 elevated bile acids to levels similar to those seen in humans with bulevirtide.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a safe and effective oral small molecule entry inhibitor would be a significant innovation for people living with HDV and could significantly improve treatment uptake and diagnosis rates, especially when compared with currently available injectable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2023, we nominated 6250, a novel, orally bioavailable small molecule designed to inhibit entry of HBV and HDV by targeting NTCP. In nonclinical studies, 6250 demonstrated low nanomolar potency against all tested HBV/HDV genotypes, favorable selectivity for NTCP versus other bile acid transporters, good oral bioavailability and a PK profile in nonclinical species projected to support once-daily oral dosing. In GLP toxicology studies, 6250 demonstrated a favorable nonclinical safety profile with wide safety margins.</w:t>
      </w:r>
    </w:p>
    <w:p>
      <w:pPr>
        <w:pStyle w:val="TextBody"/>
        <w:bidi w:val="0"/>
        <w:spacing w:before="200" w:after="283"/>
        <w:jc w:val="both"/>
        <w:rPr>
          <w:rFonts w:ascii="Times New Roman" w:hAnsi="Times New Roman"/>
          <w:sz w:val="20"/>
        </w:rPr>
      </w:pPr>
      <w:r>
        <w:rPr>
          <w:rFonts w:ascii="Times New Roman" w:hAnsi="Times New Roman"/>
          <w:color w:val="000000"/>
          <w:sz w:val="20"/>
        </w:rPr>
        <w:t>At the European Association for the Study of the Liver's International Liver Congress</w:t>
      </w:r>
      <w:r>
        <w:rPr>
          <w:rFonts w:ascii="Times New Roman" w:hAnsi="Times New Roman"/>
          <w:color w:val="000000"/>
          <w:sz w:val="13"/>
        </w:rPr>
        <w:t>TM</w:t>
      </w:r>
      <w:r>
        <w:rPr>
          <w:rFonts w:ascii="Times New Roman" w:hAnsi="Times New Roman"/>
          <w:color w:val="000000"/>
          <w:sz w:val="20"/>
        </w:rPr>
        <w:t xml:space="preserve"> in June 2024 and the International HBV Meeting in September 2024, we presented nonclinical profiling of 6250. In addition, 6250 was featured in an oral presentation at the Science of HBV Cure Meeting 2024. We initiated a Phase 1a clinical study of 6250 during the fourth quarter of 2024, and we expect interim safety, PK and biomarker data from single-ascending and multiple-ascending doses cohorts in healthy participants in the third quarter of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Capsid Assembly Modulator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HBV is a DNA virus that infects hepatocytes and establishes a reservoir of covalently closed circular DNA (cccDNA), a unique viral DNA moiety that resides in the nucleus of HBV-infected hepatocytes and is associated with viral persistence and chronic infection. No currently approved oral therapies target cccDNA activity directly. As a result,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worked to discover and develop compounds targeting the core protein, a viral protein involved in numerous aspects of the HBV replication cycle, including the generation of HBV cccDNA.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benchmark for therapeutic agents aiming to decrease cccDNA levels is the use of several key viral antigens as surrogate biomarkers of active cccDNA. The same biomarkers can be used in both primary human hepatocytes and infected individuals. On this basis, our next-generation CAM, 4334, has shown nonclinical proof of principle. In a variety of cell culture models, 4334 has demonstrated the ability to reduce production of HBV DNA levels as well as the surrogate markers for cccDNA establishment: HBV e antigen (HBeAg), HBV core-related antigen (HBcrAg) and HBV pre-genomic RNA (pgRNA).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next-generation CAM, 4334 was optimized to potently disrupt viral replication (MOA #1) and prevent the establishment and replenishment of new cccDNA (MOA #2). In contrast, while active against MOA #1, first-generation CAMs have not demonstrated adequate potency to sufficiently block cccDNA formation (MOA #2). Further, the current standard of care, NrtIs, impacts the viral life cycle after establishment of cccDNA and can only inhibit production of new viral particles, and it does so incompletely. The chemical scaffold of 4334 is novel and distinct from all our prior CAM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believe that 4334 has a best-in-class nonclinical profile, with single-digit nanomolar potency against MOA #1 and MOA #2, pan-genotypic activity, an improved resistance profile and a favorable safety profile. Through mechanistic studies presented at multiple conferences, we have demonstrated that 4334 promotes the formation of empty capsids by acceleration of capsid assembly, prevents the formation of cccDNA by disrupting incoming capsids, and prematurely disrupts capsids containing duplex linear DNA, the precursor for integrated HBV DNA. </w:t>
      </w:r>
    </w:p>
    <w:p>
      <w:pPr>
        <w:pStyle w:val="TextBody"/>
        <w:bidi w:val="0"/>
        <w:spacing w:before="200" w:after="283"/>
        <w:jc w:val="both"/>
        <w:rPr>
          <w:rFonts w:ascii="Times New Roman" w:hAnsi="Times New Roman"/>
          <w:sz w:val="20"/>
        </w:rPr>
      </w:pPr>
      <w:r>
        <w:rPr>
          <w:rFonts w:ascii="Times New Roman" w:hAnsi="Times New Roman"/>
          <w:color w:val="000000"/>
          <w:sz w:val="20"/>
        </w:rPr>
        <w:t>A Phase 1a study demonstrated that 4334 was well-tolerated when administered orally as single or multiple doses. In addition, the PK data support 4334 as a once daily oral therapy and predicts best-in-class activity against both MOA #1 and MOA #2. During the second quarter of 2024, we dosed our first participant in a Phase 1b clinical study of 4334. We reported interim clinical results from the initial 150 mg cohort in December 2024, which indicated that 4334 maintained clinical exposures multiple folds above those anticipated to be required for potent viral activity and inhibition of cccDNA formation. A mean decline in HBV DNA of 2.9 log</w:t>
      </w:r>
      <w:r>
        <w:rPr>
          <w:rFonts w:ascii="Times New Roman" w:hAnsi="Times New Roman"/>
          <w:color w:val="000000"/>
          <w:sz w:val="13"/>
        </w:rPr>
        <w:t>10</w:t>
      </w:r>
      <w:r>
        <w:rPr>
          <w:rFonts w:ascii="Times New Roman" w:hAnsi="Times New Roman"/>
          <w:color w:val="000000"/>
          <w:sz w:val="20"/>
        </w:rPr>
        <w:t xml:space="preserve"> IU/mL was observed in a population of predominately HBeAg negative participants. Among the subset of participants with detectable HBV RNA at baseline, a mean decline of 2.5 log</w:t>
      </w:r>
      <w:r>
        <w:rPr>
          <w:rFonts w:ascii="Times New Roman" w:hAnsi="Times New Roman"/>
          <w:color w:val="000000"/>
          <w:sz w:val="13"/>
        </w:rPr>
        <w:t>10</w:t>
      </w:r>
      <w:r>
        <w:rPr>
          <w:rFonts w:ascii="Times New Roman" w:hAnsi="Times New Roman"/>
          <w:color w:val="000000"/>
          <w:sz w:val="20"/>
        </w:rPr>
        <w:t xml:space="preserve"> U/mL for HBV RNA was observed. As anticipated, limited changes in viral antigens were observed for the study population over the 28-day treatment period. These initial antiviral data are consistent with the high potency seen preclinically for 4334. The interim safety data also demonstrated that 4334 was well-tolerated with a favorable safety profile observed. Enrollment is ongoing for the second cohort, evaluating an oral once-daily 400 mg dose of 4334. Based on the strong antiviral activity observed in the first cohort, we expect that the 400 mg cohort will be the final cohort for this Phase 1b study. We anticipate releasing data from the 400 mg cohort in the first half of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Transplant-Associated Herpesviruses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 transplant setting, when patients are experiencing immunosuppression, they are at high risk of uncontrolled viral replication and severe disease brought on by one or more herpesviruses, including cytomegalovirus (CMV), HSV-1, HSV-2, varicella zoster virus (VZV) and Epstein-Barr virus (EBV). Each of these herpesviruses are highly prevalent, as approximately (1) 60% of transplant patients are CMV-positive; (2) 60% of transplant patients are HSV-positive; (3) 80% of transplant patients are VZV-positive and (4) 45% of transplant patients are EBV-positive. These viruses establish lifelong latent infections and frequently reactivate in transplant patients due to the use of immunosuppressive drugs following transplantation. These uncontrolled viral infections increase the risk of severe disease and serious complications, including organ rejection, graft loss and death, and impacted approximately 95,000 people receiving transplants in 2021 in the United States and Europe.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While there are approved antivirals that are administered in a transplant setting, currently approved antivirals are not active against a broad spectrum of transplant-associated herpesviruses and pose the risk of potentially serious side effects and drug-drug interactions. As a result of these limitations, we identified an opportunity to develop an oral, broad-spectrum NNPI for transplant-associated herpesvirus infections, which could greatly advance treatment.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December 2024, we nominated 7423 as our development candidate to undergo CTA-enabling studies, which are ongoing.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Research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our investigational therapy programs that have nominated development candidates and have advanced into clinical studies or CTA-enabling studies, our research team continues to actively focus on proprietary research to discover and develop novel antivirals to treat serious viral diseases.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Collaboration and License Agreement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Gilead Sciences,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October 2023, we entered into an Option, License and Collaboration agreement (the Gilead Collaboration Agreement) with Gilead pursuant to which Gilead (1) exclusively licensed to us its HPI program and its NNPI program, while retaining opt-in rights to these programs and (2) has an option to take an exclusive license, on a program-by-program basis, to all of our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 Pursuant to the Gilead Collaboration Agreement, Gilead made an $84.8 million upfront cash payment to us. In December 2024, we and Gilead entered into the First Amendment to the Gilead Collaboration Agreement, which restructured the timing of specific options exercisable and the fees payable to us under the terms of the Gilead Collaboration Agreement due to an agreed upon development plan for 6250. To facilitate this development plan, (1) we received a payment of $10.0 million from Gilead and (2) the opt-in fee payable by Gilead in connection with 6250 was restructured, though it remains in the range of opt-in fees detailed above. The $10.0 million payment received in connection with the First Amendment to the Gilead Collaboration Agreement is creditable towards future collaboration-related payments payable by Gilead.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Gilead exercises its opt-in right to any current or future program under the collaboration, we are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program, we may opt in to cover 40% of the research and development costs in the United States and share 40% of the profits and operating loss in the United States for products within the program in lieu of receiving milestones and royalties for that program in the United States, unless we later opt out of the cost/profit share for the program. Prior to Gilead’s potential exercise of its opt-in, we are primarily responsible for all discovery, research and development on both our programs and the two Gilead-contributed programs. Following Gilead’s opt-in, Gilead will control the further discovery, research, development, and commercialization on any optioned programs. During the term, Gilead will continue to support the collaboration through extension fees of $75.0 million in each of the third, fifth and seventh years of the collaboration.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Gilead Collaboration Agreement is subject to termination by either party for the other party’s uncured, material breach or insolvency. Subject to certain limitations, we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and Gilead also entered into a Common Stock Purchase Agreement and an Investor Rights Agreement (together, the Gilead Equity Agreements), which were both amended in June 2024 in connection with a financing transaction, in which a new investor purchased shares of common stock and was issued a warrant (the 2024 Financing Transaction). Pursuant to the Gilead Equity Agreements, Gilead made an upfront equity investment of $15.2 million by purchasing from us 1,089,472 shares of our common stock at a purchase price of $13.92 per share. The terms of the Gilead Equity Agreements provided Gilead the right to elect to purchase additional shares of common stock from us at a premium in an amount that results in Gilead owning 29.9% of our then-outstanding voting common stock. This right was exercised in December 2024, at a purchase price of $21.37 per share, which represents a 35% premium to the 30-trading day volume weighted average price immediately prior to the date of purchase. The Gilead Equity Agreements also include a three-year standstill provision and a two-year lockup provision, each with customary exceptions, and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provide Gilead with certain other stock purchase rights and registration rights, as well as the right to designate two directors (or, alternatively, board observers at Gilead’s election) to our board of directors. In December 2023, Gilead designated Tomas Cihlar, Ph.D. to serve on our board of directors, and in March 2024, Gilead designated Robert D. Cook II to serve on our board of directors.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Gilead participated in the 2024 Financing Transaction on the same terms as the new investor pursuant to the anti-dilution provision in the Investor Rights Agreement. We and Gilead entered into a Securities Purchase Agreement for the issuance and sale, in a private placement, of 179,500 shares of our common stock and a warrant to purchase up to 179,500 shares of our common stock. The warrant sold to Gilead has an exercise price equal to $17.00 per share, became immediately exercisable on the date of issuance and will expire on June 18, 2029. Subject to certain exceptions, neither Gilead nor its affiliates may exercise any portion of the warrant to the extent that Gilead would own more than 19.9% of the number of our shares of common stock outstanding immediately after giving effect to such exercise.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Intellectual Property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own a published international Patent Cooperation Treaty (PCT) patent application relating to compositions of matter and methods of using 5366 and derivatives/analogs thereof to treat HSV. Any patents issuing therefrom are expected to expire in 2043. We also own provisional, unpublished and published PCT patent applications relating to synthetic processes, crystal forms and pharmaceutical formulations of 5366. Any patents issuing therefrom are expected to expire in 2043 to 2045.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acquired rights to a published PCT patent application relating to compositions of matter and methods of using 1179 and derivatives/analogs thereof to treat HSV. Any patents issuing therefrom are expected to expire in 2043. We also have rights to unpublished PCT patent applications related to crystalline forms and pharmaceutical formulations of 1179. Any patents issuing therefrom are expected to expire in 2044 and 2045, respectively.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own a published PCT patent application relating to compositions of matter and methods of using compound 6250 and derivatives/analogs thereof to treat HDV and HBV. Any patents issuing therefrom are expected to expire in 2044. We also own a provisional patent application relating to crystalline forms of 6250. Any patents issuing therefrom are expected to expire in 2045.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own a published PCT patent application which has entered the national phase, relating to compositions of matter and methods of using compound 4334 and derivatives/analogs thereof to treat HBV. Any patents issuing therefrom are expected to expire in 2041. We also own published PCT patent applications, which have entered the national phase, relating to processes for preparing 4334 and crystalline forms of 4334. Any patents issuing therefrom are expected to expire in 2042.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Finally, we own a provisional patent application relating to compositions of matter and methods of using broad-spectrum NNPIs to treat various herpes viruses.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Government Regulation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Government authorities in the United States, at the federal, state and local level, and in other countries extensively regulate, among other things, the research, development, testing, manufacture, including any manufacturing changes, packaging, storage, recordkeeping, labeling, advertising, promotion, distribution, marketing, post-approval monitoring and reporting, import and export of pharmaceutical products, such as those we are developing.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U.S. drug approval process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the United States, the FDA regulates drugs under the Federal Food, Drug, and Cosmetic Act (FDCA) and implementing regulations. The process of obtaining regulatory approvals and subsequent compliance with appropriate federal, state, local and foreign statutes and regulations requires the expenditure of substantial time and financial resources. Failure to comply with the applicable U.S. requirements at any time during the product development process, approval process or after approval may subject an applicant or sponsor to a variety of administrative or judicial sanctions, such as the FDA’s refusal to approve pending applications, withdrawal of an approval, license revocation, imposition of a clinical hold, issuance of warning letters and untitled letters, product recalls, product seizures, total 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partial suspension of production or distribution, injunctions, fines, refusals of government contracts, restitution, disgorgement of profits or civil or criminal penalties.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process required by the FDA before a drug may be marketed in the United States generally involves the following: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completion of nonclinical laboratory tests and animal studies in compliance with the FDA’s GLP regulations and applicable requirements for the humane use of laboratory animals or other applicable requirements;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submission to the FDA of an investigational new drug application (IND) which must become effective before human clinical studies may begin;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approval by an independent institutional review board (IRB) or ethics committee at each clinical site before each trial may be initiated;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performance of adequate and well-controlled human clinical studies in accordance with good clinical practices (GCP), and any additional requirements for the protection of human research participants and their health information, to establish the safety and efficacy of the proposed drug for each indication;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submission to the FDA of a new drug application (NDA);</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satisfactory completion of an FDA inspection of the manufacturing facility or facilities at which the product is produced to assess compliance with current good manufacturing practices (cGMP) requirements and to assure that the facilities, methods and controls are adequate to preserve the product’s identity, strength, quality and purity;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satisfactory completion of any potential FDA audits of the clinical trial sites that generated the data in support of the NDA to assure compliance with GCP requirements and integrity of the clinical data;</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FDA review and approval of the NDA;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compliance with any post-approval requirements, including a risk evaluation and mitigation strategy (REMS), where applicable, and post-approval studies required by the FDA as a condition of approval.</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Nonclinical studies and IND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Nonclinical studies include laboratory evaluation of product chemistry and formulation, as well as </w:t>
      </w:r>
      <w:r>
        <w:rPr>
          <w:rFonts w:ascii="Times New Roman" w:hAnsi="Times New Roman"/>
          <w:i/>
          <w:color w:val="000000"/>
          <w:sz w:val="20"/>
        </w:rPr>
        <w:t xml:space="preserve">in vitro </w:t>
      </w:r>
      <w:r>
        <w:rPr>
          <w:rFonts w:ascii="Times New Roman" w:hAnsi="Times New Roman"/>
          <w:color w:val="000000"/>
          <w:sz w:val="20"/>
        </w:rPr>
        <w:t>and animal studies to assess the potential for AEs and in some cases to establish a rationale for therapeutic use. The conduct of nonclinical studies is subject to federal regulations and requirements, including GLP regulations for safety/toxicology studies. An IND sponsor must submit the results of the nonclinical tests, together with manufacturing information, analytical data, any available clinical data or literature and plans for clinical studies, among other things, to the FDA as part of an IND. Some long-term nonclinical testing, such as animal tests of reproductive AEs and carcinogenicity, may continue after the IND is submitted. For some products, the FDA may waive the need for certain nonclinical tests. An IND automatically becomes effective 30 days after receipt by the FDA, unless before that time the FDA raises concerns or questions related to one or more proposed clinical studies and places the trial on clinical hold. If an IND or clinical study is placed on clinical hold, the IND sponsor and the FDA must resolve any outstanding concerns before the clinical study can begin. As a result, submission of an IND may not result in the FDA allowing clinical studies to commence.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Clinical studies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Clinical studies involve the administration of the investigational new drug to human subjects under the supervision of qualified investigators in accordance with GCP requirements, which include, among other things, the requirement that all research subjects provide their informed consent in writing before their participation in any clinical study. Clinical studies are conducted under written study protocols detailing, among other things, the objectives of the study, the parameters to be used in monitoring safety, and the effectiveness criteria to be evaluated. A protocol for each clinical study and any subsequent protocol amendments must be submitted to the FDA as part of the IND. In addition, an IRB at each institution participating in the clinical study must review and approve the plan for any clinical study before it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commences at that institution, and the IRB must conduct continuing review. The IRB must review and approve, among other things, the study protocol and informed consent information to be provided to study subjects. An IRB must operate in compliance with FDA regulations. Additionally, some clinical trials are overseen by an independent group of qualified experts organized by the clinical trial sponsor, known as a data safety monitoring board or committee. This group provides authorization for whether a trial may move forward at designated checkpoints based on access to certain data from the trial. Information about certain clinical studies must be submitted within specific timeframes to the National Institutes of Health for public dissemination at www.clinicaltrials.gov. The Food and Drug Omnibus Reform Act (FDORA), which was signed into law on December 29, 2022, made numerous amendments to the FDCA including provisions intended to, among other things, decentralize and modernize clinical trials and enhance diversity in clinical trial populations.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Human clinical studies are typically conducted in three sequential phases, which may overlap or be combined:</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i/>
          <w:color w:val="000000"/>
          <w:sz w:val="20"/>
        </w:rPr>
        <w:t xml:space="preserve">Phase 1: </w:t>
      </w:r>
      <w:r>
        <w:rPr>
          <w:rFonts w:ascii="Times New Roman" w:hAnsi="Times New Roman"/>
          <w:color w:val="000000"/>
          <w:sz w:val="20"/>
        </w:rPr>
        <w:t>The drug is initially introduced into healthy human subjects or patients with the target disease or condition and tested for safety, dosage tolerance, absorption, metabolism, distribution, excretion and, if possible, to gain an early indication of its effectiveness.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i/>
          <w:color w:val="000000"/>
          <w:sz w:val="20"/>
        </w:rPr>
        <w:t xml:space="preserve">Phase 2: </w:t>
      </w:r>
      <w:r>
        <w:rPr>
          <w:rFonts w:ascii="Times New Roman" w:hAnsi="Times New Roman"/>
          <w:color w:val="000000"/>
          <w:sz w:val="20"/>
        </w:rPr>
        <w:t>The drug is administered to a limited patient population to identify possible adverse effects and safety risks, to preliminarily evaluate the efficacy of the product for specific targeted diseases and to determine dosage tolerance and optimal dosage. Multiple Phase 2 clinical trials may be conducted to obtain information prior to beginning larger and more expensive Phase 3 clinical trials.</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i/>
          <w:color w:val="000000"/>
          <w:sz w:val="20"/>
        </w:rPr>
        <w:t xml:space="preserve">Phase 3: </w:t>
      </w:r>
      <w:r>
        <w:rPr>
          <w:rFonts w:ascii="Times New Roman" w:hAnsi="Times New Roman"/>
          <w:color w:val="000000"/>
          <w:sz w:val="20"/>
        </w:rPr>
        <w:t>The drug is administered to an expanded patient population in adequate and well-controlled clinical studies to generate sufficient data to statistically confirm the efficacy and safety of the product for approval, to establish the overall risk-benefit profile of the product and to provide adequate information for the labeling of the product.</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Progress reports detailing the results of the clinical studies must be submitted at least annually to the FDA. Additionally, IND safety reports must be submitted to the FDA and the investigators within 15 calendar days after determining that the information qualifies for reporting. IND safety reports are required for serious and unexpected adverse reactions, findings from animal or </w:t>
      </w:r>
      <w:r>
        <w:rPr>
          <w:rFonts w:ascii="Times New Roman" w:hAnsi="Times New Roman"/>
          <w:i/>
          <w:color w:val="000000"/>
          <w:sz w:val="20"/>
        </w:rPr>
        <w:t>in vitro</w:t>
      </w:r>
      <w:r>
        <w:rPr>
          <w:rFonts w:ascii="Times New Roman" w:hAnsi="Times New Roman"/>
          <w:color w:val="000000"/>
          <w:sz w:val="20"/>
        </w:rPr>
        <w:t xml:space="preserve"> testing or other studies that suggest a significant risk to humans, and any clinically important increase in the rate of a serious suspected adverse reaction over that listed in the protocol or investigator brochure. In addition, a sponsor must notify the FDA within seven calendar days after receiving information concerning any unexpected fatal or life-threatening suspected adverse reaction. Phase 1, Phase 2 and Phase 3 clinical studies may not be completed successfully within any specified period, or at all. Furthermore, the FDA or the sponsor may suspend or terminate a clinical study at any time on various grounds, including a finding that the research subjects are being exposed to an unacceptable health risk. Similarly, an IRB can suspend or terminate approval of a clinical study at its institution if the clinical study is not being conducted in accordance with the IRB’s requirements or if the drug has been associated with unexpected serious harm to patients.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manufacturer of an investigational drug for a serious disease or condition is required to make available, such as by posting on its website, its policy regarding evaluating and responding to requests for individual patient access to such investigational drug. This requirement applies on the earlier of the first initiation of a Phase 2 or Phase 3 trial of the investigational drug or, as applicable, 15 days after the drug receives a designation as a breakthrough therapy, Fast Track product, or regenerative advanced therapy. There also are requirements governing the reporting of ongoing clinical trials and completed clinical trial results to public registries.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Marketing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After the completion of required clinical testing, the results of the nonclinical studies and clinical studies, together with detailed information relating to the product’s chemistry, manufacture, controls and proposed labeling, among other things, are submitted to the FDA as part of an NDA requesting approval to market the product for one or more indications. Under federal law, the submission of most NDAs is additionally subject to a substantial application user fee, currently $4.0 million, and the sponsor of an approved NDA is also subject to an annual program fee currently set at $0.42 million through September 30, 2024. These fees are typically adjusted on October 1 each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FDA conducts a preliminary review of all NDAs within the first 60 days after submission before accepting them for filing to determine whether they are sufficiently complete to permit substantive review. The FDA may request additional information rather than accept an NDA for filing. In this event, the application must be resubmitted with the additional information. The resubmitted application is also subject to review before the FDA accepts it for filing. Once the submission is accepted for filing, the FDA begins an in-depth substantive review. The FDA has agreed to specified performance goals in the review of NDAs. Under these goals, the FDA has committed to review most original applications for non-priority products within ten months, and most original applications for priority review products, that is, drugs for a serious or life-threatening condition that the FDA determines represent a significant improvement over existing therapy, within six months. For NDAs for novel products, the ten- and six-month time periods runs from the filing date; for all other original applications, the ten- and six-month time periods run from the submission date. The review process may be extended by the FDA for three additional months to consider certain information or clarification regarding information already provided in the submission. Despite these review goals, it is not uncommon for FDA review of an NDA to extend beyond the goal date. The FDA may also refer applications for novel drugs or products that present difficult questions of safety or efficacy to an advisory committee, typically a panel that includes clinicians and other experts, for review, evaluation and a recommendation as to whether the application should be approved. The FDA is not bound by the recommendations of an advisory committee, but it considers such recommendations carefully when making decisions.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Before approving an NDA, the FDA typically will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In addition, before approving an NDA, the FDA will typically inspect one or more clinical sites to assure compliance with GCP and integrity of the clinical data submitted. With passage of the FDORA, Congress clarified the FDA’s authority to conduct inspections by expressly permitting inspection of facilities involved in the preparation, conduct, or analysis of clinical and nonclinical studies submitted to FDA as well as other persons holding study records or involved in the study process.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After the FDA’s evaluation of the NDA and inspection of the manufacturing facilities, the FDA may issue an approval letter or a complete response letter. An approval letter authorizes commercial marketing of the drug with specific prescribing information for specific indications. A complete response letter indicates that the NDA will not be approved in its present form and generally outlines the deficiencies in the submission, which may require substantial additional testing or information in order for the FDA to reconsider the application. If and when those deficiencies have been addressed to the FDA’s satisfaction in a resubmission of the NDA, the FDA will issue an approval letter. The FDA has committed to reviewing such resubmissions in two or six months depending on the type of information included. Even with submission of this additional information, the FDA ultimately may decide that the application does not satisfy the regulatory criteria for approval and refuse to approve the NDA. Even if the FDA approves a product, it may limit the approved indications for use for the product, require that contraindications, warnings or precautions be included in the product labeling, require that post-approval studies, including Phase 4 clinical studies, be conducted to further assess a drug’s safety after approval, require testing and surveillance programs to monitor the product after commercialization, or impose other conditions, including distribution and use restrictions or other risk management mechanisms, including REMS, which can materially affect the potential market and profitability of the product or impose new labeling, testing or distribution and use requirements. The FDA may prevent or limit further marketing of a product based on the results of post-market studies or surveillance programs. After approval, some types of changes to the approved product, such as adding new indications, manufacturing changes and additional labeling claims, are subject to further testing requirements and FDA review and approval.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Fast Track designation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FDA is required to facilitate and expedite the development and review of drugs that are intended for the treatment of a serious or life-threatening disease or condition for which there is no effective treatment and which demonstrate the potential to address unmet medical needs for the disease or condition. Under the Fast Track program, the sponsor of a new product candidate may request the FDA to designate the product for a specific indication as a Fast Track product concurrent with or after the filing of the IND for the product candidate. The FDA must determine if the product candidate qualifies for fast track designation within 60 calendar days after receipt of the sponsor’s request.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other benefits, such as the ability to have greater interactions with the FDA, the FDA may initiate review of sections of a Fast Track product’s NDA before the application is complete. This rolling review is available if the applicant provides and the FDA approves a schedule for the submission of the remaining information and the applicant pays applicable user fees. However, the FDA’s time period goal for reviewing a Fast Track application does not begin until the last section of the NDA is submitted. In addition, the Fast Track designation may be withdrawn by the FDA if the FDA believes that the designation is no longer supported by data emerging in the clinical study process.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Priority review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FDA policies, a product candidate may be eligible for priority review, a review generally completed within a six-month time frame from the date a complete application is filed. Products generally are eligible for priority review if they are intended for treatment of a serious or life-threatening disease or condition and provide a significant improvement in safety or effectiveness compared to marketed products in the treatment, diagnosis or prevention of a serious disease or condition.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Accelerated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FDA’s accelerated approval regulations, the FDA may approve a drug for a serious or life-threatening illness that provides meaningful therapeutic benefit to patients over existing treatments based upon a surrogate endpoint that is reasonably likely to predict clinical benefit or on a clinical endpoint that can be measured earlier than irreversible morbidity or mortality (IMM). In clinical studies, a surrogate endpoint is a measurement of laboratory or clinical signs of a disease or condition that substitutes for a direct measurement of how a participant feels, functions or survives. Surrogate endpoints can often be measured more easily or more rapidly than clinical endpoints. A product candidate approved on this basis is subject to rigorous post-marketing compliance requirements, including the completion of Phase 4 or post-approval clinical studies to confirm the effect on the clinical endpoint. Failure to conduct required post-approval studies, or confirm a clinical benefit during post-marketing studies, would allow the FDA to withdraw the drug from the market on an expedited basis. All promotional materials for drug candidates approved under accelerated regulations are subject to prior review by the FDA. With the passage of the FDORA, the FDA is authorized to require a post-approval study to be underway prior to approval or within a specified time period following approval. FDORA also requires the FDA to specify conditions of any required post-approval study and requires sponsors to submit progress reports for required post-approval studies and any conditions required by the FDA until completion or termination of the study. FDORA further enables the FDA to initiate criminal prosecutions for the failure to conduct with due diligence a required post-approval study, including a failure to meet any required conditions specified by the FDA or to submit timely reports.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Breakthrough therapy designation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sponsor can request designation of a product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also may be eligible for priority review. The FDA must take certain actions, such as holding timely meetings and providing advice, intended to expedite the development and review of an application for approval of a breakthrough therapy. Even if a product qualifies for one or more of these programs, the FDA may later decide that the product no longer meets the conditions for qualification or decide that the time period for FDA review or approval will not be shortened. </w:t>
      </w:r>
    </w:p>
    <w:p>
      <w:pPr>
        <w:pStyle w:val="TextBody"/>
        <w:bidi w:val="0"/>
        <w:spacing w:before="200" w:after="283"/>
        <w:jc w:val="both"/>
        <w:rPr>
          <w:rFonts w:ascii="Times New Roman" w:hAnsi="Times New Roman"/>
          <w:sz w:val="20"/>
        </w:rPr>
      </w:pPr>
      <w:r>
        <w:rPr>
          <w:rFonts w:ascii="Times New Roman" w:hAnsi="Times New Roman"/>
          <w:i/>
          <w:color w:val="000000"/>
          <w:sz w:val="20"/>
        </w:rPr>
        <w:t>Orphan drugs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Under the Orphan Drug Act, as amended, the FDA may grant orphan drug designation to drugs intended to treat a rare disease or condition, which is generally defined as a disease or condition that affects fewer than 200,000 individuals in the United States or that affects more than 200,000 individuals in the United States and for which there is no reasonable expectation that the cost of developing and making available the drug for the disease or condition will be recovered from sales of the product in the United States. Orphan drug designation must be requested before submitting an NDA. After the FDA grants orphan drug designation, the identity of the product and its potential orphan use are disclosed publicly by the FDA. Orphan drug designation does not shorten the duration of the regulatory review and approval process. If a product that has orphan designation subsequently receives the first FDA approval for a particular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active ingredient for the disease or condition for which it has such designation, the product is entitled to Orphan Drug exclusivity, which means that the FDA may not approve other applications to market the same product for the same indication for seven years, except in limited circumstances, such as a showing of clinical superiority to the product with orphan drug exclusivity. A drug will be considered clinically superior if it is shown to be safer, more effective or makes a major contribution to patient care. Orphan drug exclusivity does not prevent the FDA from approving a different drug for the same orphan disease or condition, or the same drug for a different disease or condition. Among the other benefits of orphan drug designation are tax credits for certain research and a waiver of the NDA application user fee.</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Pediatric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the Pediatric Research Equity Act of 2003, as amended, an NDA or supplement to an NDA for drug with certain novel features (e.g., new active ingredient, new indication) must contain data that are adequate to assess the safety and effectiveness of the drug for the claimed indications in all relevant pediatric subpopulations, and to support dosing and administration for each pediatric subpopulation for which the product is safe and effective. The FDA may, on its own initiative or at the request of the applicant, grant deferrals for submission of some or all pediatric data until after approval of the product for use in adults, or full or partial waivers from the pediatric data requirements. A sponsor of a new drug subject to the above pediatric testing requirements also is required to submit to the FDA a pediatric study plan generally 60 days after an end-of-Phase 2 meeting with the agency. Generally, the pediatric data requirements do not apply to products with orphan drug designation.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regulatory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Any drug manufactured or distributed by us pursuant to FDA approvals will be subject to pervasive and continuing regulation by the FDA, including, among other things, requirements relating to recordkeeping, periodic reporting, product sampling and distribution, advertising and promotion and reporting of adverse experiences with the product. After approval, most changes to the approved product, such as adding new indications or other labeling claims, are subject to prior FDA review and approval.</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FDA may impose a number of post-approval requirements, including REMS, as a condition of approval of an NDA. For example, the FDA may require post-marketing testing, including Phase 4 clinical studies, and surveillance to further assess and monitor the product’s safety and effectiveness after commercialization.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drug manufacturers and other entities involved in the manufacture and distribution of approved drugs are required to register their establishments with the FDA and state agencies and are subject to periodic unannounced inspections by the FDA and these state agencies for compliance with cGMP requirements. Changes to the manufacturing process are strictly regulated and often require prior FDA approval before being implemented. FDA regulations also require investigation and correction of any deviations from cGMP and impose reporting and documentation requirements upon us and any third-party manufacturers that we may decide to use. Accordingly, manufacturers must continue to expend time, money and effort in the areas of production and quality control to maintain cGMP compliance.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Once an approval is granted, the FDA may withdraw the approval if compliance with regulatory requirements and standards is not maintained or if problems occur after the product reaches the market. Later discovery of previously unknown problems with a product, including AEs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or other restrictions under a REM program. Other potential consequences include, among other things: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restrictions on the marketing or manufacturing of the product, complete withdrawal of the product from the market or product recalls;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fines, warning letters or holds on post-approval clinical studies;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refusal of the FDA to approve pending applications or supplements to approved applications, or suspension or revocation of product approvals;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product seizure or detention, or refusal to permit the import or export of products; or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consent decrees, injunctions or the imposition of civil or criminal penalties.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FDA strictly regulates marketing, labeling, advertising and promotion of products that are placed on the market. Drugs generally may be promoted only for the approved indications and in accordance with the provisions of the approved labeling. The FDA and other agencies actively enforce the laws and regulations prohibiting the promotion of off label uses, and a company that is found to have improperly promoted off label uses may be subject to significant liability.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Physician Drug Samples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part of the sales and marketing process, pharmaceutical companies frequently provide samples of approved drugs to physicians. The Prescription Drug Marketing Act (PDMA) regulates the distribution of drug samples at the federal level and sets minimum standards for the registration and regulation of drug distributors by the states. Both the PDMA and state laws limit the distribution of prescription pharmaceutical product samples and impose requirements to ensure accountability in distribution. In addition, the PDMA sets forth civil and criminal penalties for violations.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Foreign Regulation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order to market any product outside of the United States, we would need to comply with numerous and varying regulatory requirements of other countries regarding safety and efficacy and governing, among other things, clinical studies, marketing authorization, commercial sales and distribution of our products. Whether or not we obtain FDA approval for a product, we would need to obtain the necessary approvals by the comparable regulatory authorities of foreign countries before we can commence clinical studies or marketing of the product in those countries. The approval process varies from country to country and can involve additional product testing and additional administrative review periods. The time required to obtain approval in other countries might differ from and be longer than that required to obtain FDA approval. Regulatory approval in one country does not ensure regulatory approval in another, but a failure or delay in obtaining regulatory approval in one country may negatively impact the regulatory process in others.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Pharmaceutical Coverage, Pricing and Reimbursement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Significant uncertainty exists as to the coverage and reimbursement status of any drug products for which we may obtain regulatory approval. Sales of any of our product candidates, if approved, will depend, in part, on the extent to which the costs of the products will be covered by third-party payors, including government health programs such as Medicare and Medicaid, commercial health insurers and managed care organizations. The process for determining whether a payor will provide coverage for a drug product may be separate from the process for setting the price or reimbursement rate that the payor will pay for the drug product once coverage is approved. Third-party payors may limit coverage to specific drug products on an approved list, or formulary, which might not include all of the approved drugs for a particular indication.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containment of healthcare costs has become a priority of federal, state and foreign governments, and the prices of drugs have been a focus in this effort. Third-party payors are increasingly challenging the prices charged for medical products and services and examining the medical necessity and cost-effectiveness of medical products and services, in addition to their safety and efficacy. Accordingly, we may need to conduct expensive pharmacoeconomic studies in order to demonstrate the medical necessity and cost-effectiveness of our product candidates, in addition to the trials required to obtain FDA or other comparable regulatory approvals. If these third-party payors do not consider our products to be cost-effective compared to other available therapies, they may not cover our products after approval as a benefit under their plans or, if they do, the level of payment may not be sufficient to enable us to maintain price levels high enough to realize an appropriate return on our investment in product development. Further, one payor’s determination to provide coverage for a product, if approved, does not assure that other payors will also provide coverage and reimbursement for the product, and the level of coverage and reimbursement can differ significantly from payor to payor.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Pricing and reimbursement schemes vary widely from country to country. Some countries provide that drug products may be marketed only after a reimbursement price has been agreed. Some countries may require the completion of additional studies that compare the cost-effectiveness of a particular product candidate to currently available therapies. For example, the European Union (EU) provides options for its member states to restrict the range of drug products for which their national health insurance systems provide reimbursement and to control the prices of medicinal products for human use. EU member states may approve a specific price for a drug product or may instead adopt a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system of direct or indirect controls on the profitability of us placing the drug product on the market. Other member states allow companies to fix their own prices for drug products but monitor and control company profits. The downward pressure on health care costs in general, particularly prescription drugs, has become very intense. As a result, increasingly high barriers are being erected to the entry of new products. In addition, in some countries, cross-border imports from low-priced markets exert competitive pressure that may reduce pricing within a country. There can be no assurance that any country that has price controls or reimbursement limitations for drug products will allow favorable reimbursement and pricing arrangements for any of our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marketability of any products for which we may receive regulatory approval for commercial sale is dependent on the availability of adequate coverage and reimbursement from government and third-party payors. In addition, the emphasis on managed care in the United States has increased and we expect will continue to increase the pressure on drug pricing. Coverage policies, third-party reimbursement rates and drug pricing regulation may change at any time. For example the Affordable Care Act of 2010, as amended by, the Health Care and Education Reconciliation Act (collectively, ACA), among other things, imposed an annual fee on any entity that manufactures or imports certain branded prescription drugs, increased the minimum Medicaid rebates owed by most manufacturers under the Medicaid Drug Rebate Program, and established the Medicare Part D coverage gap discount program. In addition to these provisions, the ACA established a number of bodies whose work may have a future impact on the market for certain pharmaceutical products, including the Patient-Centered Outcomes Research Institute, established to oversee, identify priorities in, and conduct comparative clinical effectiveness research, and the Center for Medicare and Medicaid Innovation within the Centers for Medicare and Medicaid Services, established to test innovative payment and service delivery models to lower Medicare and Medicaid spending.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Since its enactment, there have been executive, judicial, and Congressional challenges to certain aspects of the ACA. For example, during his first administration, President Trump issued directives designed to delay the implementation of certain ACA provisions or otherwise circumvent requirements for health insurance mandated by the ACA, and Congress has considered legislation that would repeal, or repeal and replace all or part of the ACA. While Congress has not passed comprehensive repeal legislation, several bills affecting the implementation of certain taxes under the ACA have been signed into law. In addition, the Tax Cuts and Jobs Act, effectively repealed the individual health insurance mandate, which is considered a key component of the ACA. On June 17, 2021, the U.S. Supreme Court dismissed a challenge on procedural grounds that argued the ACA is unconstitutional in its entirety because the “individual mandate” was repealed by Congress. In January 2025, the U.S. Supreme Court granted certiorari to review a lower court's decision that the ACA's requirement that group health plans and health insurance issuers cover certain preventative services without cost-sharing is unconstitutional.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other legislative changes have been proposed and adopted since the ACA was enacted. These changes included aggregate reductions to Medicare payments to providers of up to 2% per fiscal year, which will remain in effect through 2032, unless Congress takes additional action. Further, in January 2013, then President Obama signed into law the American Taxpayer Relief Act of 2012, which, among other things, reduced Medicare payments to several providers, and increased the statute of limitations period for the government to recover overpayments to providers from three to five years. These and other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Additionally, there has been increasing legislative and enforcement interest in the United States with respect to drug pricing practices. Specifically, there have been several recent United States Congressional inquiries and proposed and enacted federal legislation designed to, among other things, bring more transparency to drug pricing, reduce the cost of prescription drugs under Medicare, review the relationship between pricing and manufacturer patient programs, and reform government program reimbursement methodologies for drugs. For example, the Inflation Reduction Act of 2022 (IRA) enacted on August 16, 2022, seeks to reduce prescription drug costs by, among other provisions, allowing Medicare to negotiate prices for certain high-cost prescription drugs in Medicare Parts B and D, imposing an excise tax on pharmaceutical manufacturers that refuse to negotiate pricing with Medicare, and requiring inflation rebates to limit annual drug price increases in Medicare. These provisions began taking effect progressively starting in 2023, and, in January 2025, CMS announced the 15 drugs selected for the second cycle of Medicare drug price negotiations. Beginning in 2025, the IRA also eliminates the coverage gap under Medicare Part D by significantly lowering the enrollee maximum out-of-pocket cost and imposing on new manufacturer discount program. However, various industry stakeholders, including certain pharmaceutical companies and industry trade organizations have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initiated lawsuits against the federal government asserting that the price negotiation provisions of the IRA are unconstitutional. The impact of these judicial challenges and future government reform measures on us and the pharmaceutical industry as a whole is unclear.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in September 2020, the FDA issued a final rule that sets up a legal framework for allowing the importation of certain prescription drugs from Canada, and the CMS issued guidance that addresses the treatment of certain imported drugs under the Medicaid Drug Rebate Program. On January 5, 2024, the FDA authorized the state of Florida’s Section 804 Importation Program, which is the first major step in allowing the state to import certain prescription drugs from Canada. If the program is ultimately approved, it will be the first such program authorized in the United States.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Although a number of these and other proposed measures may require authorization through additional legislation to become effective, and the current Trump administration may reverse or otherwise change measures implemented by the prior administration, both the Trump administration and Congress have indicated that they will continue to take action to control drug costs.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the state level, individual states are increasingly aggressive in passing legislation and implementing regulations designed to control pharmaceutical product pricing, including price or patient reimbursement constraints, discounts, restrictions on certain product access and marketing cost disclosure and transparency measures. These measures could reduce the ultimate demand for our products, if approved, or put pressure on our product pricing.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Other Healthcare Laws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United States, our activities are potentially subject to regulation by various federal, state and local authorities in addition to the FDA, including but not limited to, CMS, other divisions of the U.S. Department of Health and Human Services (e.g., the Office of Inspector General), the U.S. Department of Justice (DOJ), and individual U.S. Attorney offices within the DOJ, and state and local governments. For example, the Company’s business practices, including its research and sales, marketing and scientific/ educational grant programs may be required to comply with federal and state fraud and abuse laws, false claims laws, the data privacy, security provisions and breach notification provisions of the Health Insurance Portability and Accountability Act (HIPAA), federal transparency requirements and similar state laws, each as amended. The laws that may affect our ability to operate include, but are not limited 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federal Anti-Kickback Statute, which prohibits, among other things,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Anti-Kickback Statute has been interpreted to apply to arrangements between pharmaceutical manufacturers on the one hand and patients, prescribers, purchasers, and formulary managers on the other;</w:t>
      </w:r>
    </w:p>
    <w:p>
      <w:pPr>
        <w:pStyle w:val="TextBody"/>
        <w:bidi w:val="0"/>
        <w:spacing w:before="200" w:after="283"/>
        <w:jc w:val="both"/>
        <w:rPr>
          <w:color w:val="000000"/>
        </w:rPr>
      </w:pPr>
      <w:r>
        <w:rPr>
          <w:color w:val="000000"/>
        </w:rPr>
        <w:t>•</w:t>
      </w:r>
    </w:p>
    <w:p>
      <w:pPr>
        <w:pStyle w:val="TextBody"/>
        <w:bidi w:val="0"/>
        <w:spacing w:before="200" w:after="283"/>
        <w:jc w:val="both"/>
        <w:rPr/>
      </w:pPr>
      <w:r>
        <w:rPr>
          <w:rFonts w:ascii="Times New Roman" w:hAnsi="Times New Roman"/>
          <w:color w:val="000000"/>
          <w:sz w:val="20"/>
        </w:rPr>
        <w:t xml:space="preserve">federal civil and criminal false claims laws, including the federal False Claims Act, which can be enforced by private citizens through civil </w:t>
      </w:r>
      <w:r>
        <w:rPr>
          <w:rFonts w:ascii="Times New Roman" w:hAnsi="Times New Roman"/>
          <w:i/>
          <w:color w:val="000000"/>
          <w:sz w:val="20"/>
        </w:rPr>
        <w:t>qui tam</w:t>
      </w:r>
      <w:r>
        <w:rPr>
          <w:color w:val="000000"/>
        </w:rPr>
        <w:t xml:space="preserve"> </w:t>
      </w:r>
      <w:r>
        <w:rPr>
          <w:rFonts w:ascii="Times New Roman" w:hAnsi="Times New Roman"/>
          <w:color w:val="000000"/>
          <w:sz w:val="20"/>
        </w:rPr>
        <w:t xml:space="preserve">actions, and civil monetary penalty laws that prohibit individuals or entities for, among other things: knowingly presenting, or causing to be presented, to the federal government, claims for payment that are false or fraudulent; making a false statement or record material to a false or fraudulent claim or obligation to pay or transmit money or property to the federal government; or knowingly concealing or knowingly and improperly avoiding or decreasing an obligation to pay money to the federal government. In addition, the government may assert that a claim including items and services resulting from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violation of the federal Anti-Kickback Statute constitutes a false or fraudulent claim for purposes of the False Claims Act. Pharmaceutical manufacturers can be held liable under the False Claims Act even when they do not submit claims directly to government payors if they are deemed to “cause” the submission of false or fraudulent claims;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HIPAA, among other things, imposes criminal liability for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can be found guilty of violating HIPAA without actual knowledge of the statute or specific intent to violate it;</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HIPAA, as amended by HITECH, and their respective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federal false statements statute prohibits making a false statement to an agent or agency of the federal government in connection with certain federal matters;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federal transparency requirements under the ACA, including the provision commonly referred to as the Physician Payments Sunshine Act, which requires manufacturers of drugs, devices, biologics and medical supplies for which payment is available under Medicare, Medicaid or the Children’s Health Insurance Program to report annually to the U.S. Department of Health and Human Services information related to payments or other transfers of value made to physicians, certain other healthcare professionals (such as nurse practitioners and physicians' assistants, and teaching hospitals, as well as ownership and investment interests held by physicians and their immediate family members;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federal government price reporting laws, which require companies to calculate and report complex pricing metrics in an accurate and timely manner to government programs;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federal consumer protection and unfair competition laws, which broadly regulate marketplace activities and activities that potentially harm consumers.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Additionally, we are subject to state and non-U.S. equivalents of each of the healthcare laws described above, among others, some of which may be broader in scope and may apply regardless of the payor. For example, many U.S. states have adopted laws similar to the federal Anti-Kickback Statute, some of which apply to the referral of patients for healthcare services reimbursed by any source, not just governmental payors, including private insurers. In addition, some states require pharmaceutical companies to implement compliance programs, comply with the pharmaceutical industry’s voluntary compliance guidelines and the relevant compliance guidance promulgated by the federal government, or to track and report gifts, compensation and other remuneration provided to physicians and other healthcare providers. There also are state laws that require the reporting of marketing expenditures or drug pricing, including information pertaining to and justifying price increases, state and local laws that require the registration of pharmaceutical sales representatives or other state or local licensure, state laws that prohibit various marketing-related activities, such as the provision of certain kinds of gifts or meals, and state laws that require the posting of information relating to clinical trials and their outcomes. There are ambiguities as to what is required to comply with these state requirements and if we fail to comply with an applicable state law requirement, we could be subject to penalties.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regulators globally are also imposing greater monetary fines for privacy violations. In respect of our engagement of European contract research organizations (CROs) in the context of clinical trials, the General Data Protection Regulation (EU GDPR), which went into effect on May 25, 2018, applies. The EU GDPR applies to any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company established in the EU as well as to those outside the EU if they collect and use personal data in connection with the offering goods or services to individuals in the EU or the monitoring of their behavior. The EU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EU GDPR may result in monetary penalties of up to €20 million or 4% of worldwide revenue, whichever is higher. In addition, violations of the EU GDPR could result in regulatory investigations, reputational damage, orders to cease and/or change our processing activities, enforcement notices and/or assessment notices (for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 This is as the EU GDPR confers a private right of action on data subjects and consumer associations to lodge complaints with supervisory authorities, seek judicial remedies, and obtain compensation for damages resulting from violations.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EU GDPR may increase our responsibility and liability in relation to personal data that we process where such processing is subject to the EU GDPR, and we may be required to put in place additional mechanisms to ensure compliance with the EU GDPR, including as implemented by individual countries. The EU GDPR (covering the EEA) imposes strict rules on the transfer of personal data out of the EU to a "third country," including the United States. In July 2020, the EU-US Privacy Shield was invalidated as a valid personal data transfer mechanism and on June 27, 2021, the European Commission published a new set of modular standard contractual clauses (New SCCs). The New SCCs must be used for all relevant transfers of personal data outside the European Economic Area (EEA) (since December 27, 2022). On July 11, 2023, the European Commission entered into force its adequacy decision for the EU-US Data Privacy Framework (a new framework for transferring personal information from the EEA to the United States), having determined that such framework ensures that the protection of personal information transferred from the EEA to the US will be comparable to the protection offered in the EU. However, this decision is subject to legal challenges and ultimately may be invalidated by the Court of Justice of the European Union (CJEU) just as the EU-US Privacy Shield was. We currently rely on the New SCCs for both intragroup and third-party data transfers from the EEA, however the cross-border data transfer landscape in the EEA is continually developing, and we are monitoring these developments. We may, in addition to other impacts, experience additional costs associated with increased compliance burdens and be required to engage in new contract negotiations with third parties that aid in processing data on our behalf or localize certain data.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California enacted the California Consumer Privacy Act (CCPA), which creates new individual privacy rights for California consumers (as defined in the law) and places increased privacy and security obligations on entities handling personal data of consumers or households. The CCPA will require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trial regulations, as currently written, the CCPA may impact our business activities. Additionally, the California Privacy Rights Act (CPRA), which went into effect on January 1, 2023, imposes additional obligations on companies covered by the legislation and expands consumers’ rights with respect to certain sensitive personal information, among other things. The CPRA also creates a new state agency that will be vested with authority to implement and enforce the CCPA and the CPRA. Other states, including Virginia and Colorado have similarly passed data privacy laws that will regulate how businesses collect and share personal information.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New Legislation and Regulations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From time to time, legislation is drafted, introduced and passed in Congress that could significantly change the statutory provisions governing the testing, approval, manufacturing, marketing, and reimbursement status of products regulated by the FDA. In addition to new legislation, FDA regulations and policies are often revised or interpreted by the agency in ways that may significantly affect our business and our products. It is impossible to predict whether further legislative changes will be enacted or whether FDA regulations, guidance, policies or interpretations will be changed or what the effect of such changes, if any, may be.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conscious of the extensive and evolving regulatory frameworks in the jurisdictions in which we operate. There are changes in the regulatory landscape relating to new and emerging technologies such as artificial intelligence (AI), which we use in a limited capacity solely to assist our employees in selecting chemical compounds to evaluate.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EU has developed a standalone law to govern the offering and use of AI systems in the EU (AI Act), which entered into force on August 1, 2024. The AI Act imposes regulatory requirements onto AI system providers, importers, distributors, and deployers, in accordance with the level of risk involved with the AI system (“unacceptable,” “high,” “limited,” and “minimal” risk). General-purpose AI systems have also been made subject to a number of requirements under the AI Act—mostly akin to the requirements that apply to high-risk AI systems. The AI Act will become enforceable in a gradual manner—depending on the regulatory requirement in question, and ranging anywhere from six to 36 months following adoption and entry into force of the AI Act. Non-compliance with the AI Act may be subject to regulatory fines of up to 7% of annual worldwide turnover or €35 million. We are actively assessing the scope of application, impact, and risk of these developments in the EU and the UK on our business and will continue to assess this moving forward. The proposed European Health Data Space (EHDS) Regulation introduces stricter requirements for the collection, processing, and sharing of electronic health data across the EU. If enacted, EHDS may significantly impact our ability to conduct clinical trials, particularly those relying on real-world data, patient registries, or cross-border research collaborations. Additionally, the EU Data Act introduces new obligations regarding the access, sharing, and use of data generated by connected devices, digital platforms, and business-to-business and business-to-government data exchanges. As we conduct clinical trials and utilize digital health technologies and real-world data for research and development, compliance with the EU Data Act may introduce significant regulatory and operational challenges. Non-compliance with any of these regulations may result in fines, operational disruptions or reputational harm, and could impact our financial performance. We are actively assessing the scope of application, impact, and risk of these developments in the EU on our business and will continue to assess this moving forward.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Competition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pharmaceutical and biotechnology industry is very competitive, and the development and commercialization of new drugs is influenced by rapid technological developments and innovation. We face competition from several companies developing and commercializing products that will be competitive with our drug candidates, including large pharmaceutical and smaller biotechnology companies. Additionally, new entrants may potentially enter the market. Potential competitors include GlaxoSmithKline plc, Enanta Pharmaceuticals, Inc., Arbutus Biopharma Corporation, Vir Bio, Bluejay Therapeutics, Huahui Health, Aligos Therapeutics and AiCuris Anti-infective Cures AG, among others. Additionally, we may face competition from currently available HBV treatments. Some of the competitive development programs from these companies may be based on scientific approaches that are similar to our approach, and others may be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 of products similar to ours or that otherwise target indications that we are pursuing.</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Manufacturing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currently rely on third-party manufacturers to supply the quantities of our investigational product candidates used in our clinical and nonclinical studies. We currently have no plans to establish any manufacturing facilities for our product candidates.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Human Capital Management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2024, we had 73 total employees and contracts with a number of temporary contractors, consultants and CROs. The majority of our employees work out of our facility in South San Francisco, California. We also have a small number of remote employees spread across the United States and one remote employee in the UK.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continually evaluate our needs and make strategic choices regarding whether to hire internal teams or outsource certain functions to CROs or contract manufacturing organizations (CMOs), as appropriate. We currently outsource our clinical study management to various CROs and utilize certain CMOs to manufacture both the drug substance and the drug product used in our ongoing and planned clinical studies.</w:t>
      </w:r>
    </w:p>
    <w:p>
      <w:pPr>
        <w:pStyle w:val="TextBody"/>
        <w:bidi w:val="0"/>
        <w:spacing w:before="200" w:after="283"/>
        <w:jc w:val="both"/>
        <w:rPr>
          <w:rFonts w:ascii="Times New Roman" w:hAnsi="Times New Roman"/>
          <w:sz w:val="20"/>
        </w:rPr>
      </w:pPr>
      <w:r>
        <w:rPr>
          <w:rFonts w:ascii="Times New Roman" w:hAnsi="Times New Roman"/>
          <w:color w:val="000000"/>
          <w:sz w:val="20"/>
        </w:rPr>
        <w:t>We compete with both large and small companies in our industry for a limited number of qualified applicants to fill highly specialized needs. We generally target our base salaries and annual performance-based cash bonuses at the 50</w:t>
      </w:r>
      <w:r>
        <w:rPr>
          <w:rFonts w:ascii="Times New Roman" w:hAnsi="Times New Roman"/>
          <w:color w:val="000000"/>
          <w:sz w:val="13"/>
        </w:rPr>
        <w:t>th</w:t>
      </w:r>
      <w:r>
        <w:rPr>
          <w:rFonts w:ascii="Times New Roman" w:hAnsi="Times New Roman"/>
          <w:color w:val="000000"/>
          <w:sz w:val="20"/>
        </w:rPr>
        <w:t xml:space="preserve"> percentile of our peers and our long-term equity incentive compensation, which all employees receive, between the 50</w:t>
      </w:r>
      <w:r>
        <w:rPr>
          <w:rFonts w:ascii="Times New Roman" w:hAnsi="Times New Roman"/>
          <w:color w:val="000000"/>
          <w:sz w:val="13"/>
        </w:rPr>
        <w:t>th</w:t>
      </w:r>
      <w:r>
        <w:rPr>
          <w:rFonts w:ascii="Times New Roman" w:hAnsi="Times New Roman"/>
          <w:color w:val="000000"/>
          <w:sz w:val="20"/>
        </w:rPr>
        <w:t xml:space="preserve"> and 75</w:t>
      </w:r>
      <w:r>
        <w:rPr>
          <w:rFonts w:ascii="Times New Roman" w:hAnsi="Times New Roman"/>
          <w:color w:val="000000"/>
          <w:sz w:val="13"/>
        </w:rPr>
        <w:t>th</w:t>
      </w:r>
      <w:r>
        <w:rPr>
          <w:rFonts w:ascii="Times New Roman" w:hAnsi="Times New Roman"/>
          <w:color w:val="000000"/>
          <w:sz w:val="20"/>
        </w:rPr>
        <w:t xml:space="preserve"> percentiles of our peers. In certain circumstances, we offer compensation above these levels, based on a candidate’s experience, criticality, amount of responsibility and either individual or Company-wide performance. We routinely review our employees’ base salaries to ensure they remain market competitive. Both annual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performance-based cash bonuses and long-term equity compensation increase as a percentage of total compensation based on employees’ levels of responsibility. We also offer comprehensive benefits packages to all of our employees, including: 100% Company-covered medical, dental and vision coverage for employees and their families; a 401k program with a Company match; a comprehensive employee assistance program, an employee stock purchase plan; and paid family leave. Our benefits packages also include paid time-off benefits, flexible spending plans, commuter benefits and life and long-term care benefits.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large majority of our employees have advanced degrees, and we also offer an educational assistance program that reimburses employees up to a maximum amount per year for courses that directly enhance his or her area of professional work or contribute to his or her immediate career growth. This program demonstrates our commitment to analytical growth, enhanced knowledge and professional development.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Reverse Stock Split</w:t>
      </w:r>
    </w:p>
    <w:p>
      <w:pPr>
        <w:pStyle w:val="TextBody"/>
        <w:bidi w:val="0"/>
        <w:jc w:val="left"/>
        <w:rPr>
          <w:rFonts w:ascii="Times New Roman" w:hAnsi="Times New Roman"/>
          <w:color w:val="000000"/>
          <w:sz w:val="20"/>
        </w:rPr>
      </w:pPr>
      <w:r>
        <w:rPr>
          <w:rFonts w:ascii="Times New Roman" w:hAnsi="Times New Roman"/>
          <w:color w:val="000000"/>
          <w:sz w:val="20"/>
        </w:rPr>
        <w:t xml:space="preserve">On September 27, 2023, we received a letter from the Listing Qualifications Department of the Nasdaq Stock Market notifying us that, because the bid price for our common stock had closed below $1.00 per share for the prior 30 consecutive business days, we were not in compliance with Nasdaq Listing Rule 5450(a)(1), which is the minimum bid price requirement for continued listing on the Nasdaq Global Select Market. In accordance with Nasdaq Listing Rule 5810(c)(3)(A), we were provided a 180-calendar day period, or until March 25, 2024, to regain compliance with the minimum bid price requirement. To regain compliance with the Nasdaq Listing Rules, on January 31, 2024, our stockholders approved a reverse stock split of our common stock at a range of ratios between 1-for-7 to 1-for-17, and our board of directors approved the implementation of a reverse stock split at a ratio of 1-for-12 shares of our common stock (the Reverse Stock Split). The Reverse Stock Split was effective as of February 9, 2024, our common stock began trading on the Nasdaq Global Select Market on an as-split basis on February 12, 2024, and the Company regained compliance with the minimum bid price requirement of the Nasdaq Listing Rules on February 27, 2024, by having the closing bid price of our common stock exceed $1.00 for a minimum of ten consecutive trading days during the compliance period.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All share and per share amounts of our common stock presented in this Annual Report on Form 10-K have been adjusted to reflect the 1-for-12 Reverse Stock Split.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Corporate History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were incorporated in Delaware in October 2005 under the name South Island Biosciences, Inc. (which was changed to Ventrus Biosciences, Inc. in April 2007). On July 11, 2014, we acquired Assembly Pharmaceuticals, Inc., a private company, through a merger with our wholly owned subsidiary (the Merger). In connection with the Merger, we changed our name from Ventrus Biosciences, Inc. to Assembly Biosciences, Inc.</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Corporate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principal executive office is at Two Tower Place, 7th Floor, South San Francisco, California 94080. Our telephone number is (833) 509-4583.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Available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website address is www.assemblybio.com. We routinely post, or have posted, important information for investors on our website in the “Investors” section. We use this website as a means of disclosing material information in compliance with our disclosure obligations under Regulation FD. Accordingly, investors should monitor the “Investors” section of our website, in addition to following our press releases, Securities and Exchange Commission (SEC) filings, presentations and webcasts. We make available free of charge through our website our press releases, Annual Reports on Form 10-K, Quarterly Reports on Form 10-Q, Current Reports on Form 8-K and all amendments to those reports as soon as reasonably practicable after electronically filed with or furnished to the SEC.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contained on our website is not a part of, and should not be construed as being incorporated by reference, into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reports filed with the SEC by us and by our officers, directors and significant stockholders are available for review on the SEC’s website at www.sec.gov.</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4" w:name="item_1a_risk_factors"/>
      <w:bookmarkEnd w:id="4"/>
      <w:r>
        <w:rPr>
          <w:rFonts w:ascii="Times New Roman" w:hAnsi="Times New Roman"/>
          <w:b/>
          <w:color w:val="000000"/>
          <w:sz w:val="20"/>
        </w:rPr>
        <w:t>Item 1A. Risk Factors</w:t>
      </w:r>
    </w:p>
    <w:p>
      <w:pPr>
        <w:pStyle w:val="TextBody"/>
        <w:bidi w:val="0"/>
        <w:spacing w:before="120" w:after="120"/>
        <w:jc w:val="both"/>
        <w:rPr>
          <w:rFonts w:ascii="Times New Roman" w:hAnsi="Times New Roman"/>
          <w:i/>
          <w:color w:val="000000"/>
          <w:sz w:val="20"/>
        </w:rPr>
      </w:pPr>
      <w:r>
        <w:rPr>
          <w:rFonts w:ascii="Times New Roman" w:hAnsi="Times New Roman"/>
          <w:i/>
          <w:color w:val="000000"/>
          <w:sz w:val="20"/>
        </w:rPr>
        <w:t>You should carefully consider the following risk factors, together with all other information in this report, including our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pStyle w:val="TextBody"/>
        <w:bidi w:val="0"/>
        <w:spacing w:before="200" w:after="120"/>
        <w:jc w:val="both"/>
        <w:rPr>
          <w:rFonts w:ascii="Times New Roman" w:hAnsi="Times New Roman"/>
          <w:b/>
          <w:color w:val="000000"/>
          <w:sz w:val="20"/>
        </w:rPr>
      </w:pPr>
      <w:r>
        <w:rPr>
          <w:rFonts w:ascii="Times New Roman" w:hAnsi="Times New Roman"/>
          <w:b/>
          <w:color w:val="000000"/>
          <w:sz w:val="20"/>
        </w:rPr>
        <w:t>Risks Related to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our product candidates are in clinical development or in varying stages of nonclinical development. Data supporting our clinical development programs are derived from nonclinical data that support our early stage clinical programs, which will determine whether pivotal studies are appropriate. These pivotal studies are necessary to support regulatory approval, and it may be years before these larger, pivotal studies are completed, if ever.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 </w:t>
      </w:r>
    </w:p>
    <w:p>
      <w:pPr>
        <w:pStyle w:val="TextBody"/>
        <w:bidi w:val="0"/>
        <w:spacing w:before="200" w:after="283"/>
        <w:jc w:val="both"/>
        <w:rPr>
          <w:rFonts w:ascii="Times New Roman" w:hAnsi="Times New Roman"/>
          <w:sz w:val="20"/>
        </w:rPr>
      </w:pPr>
      <w:r>
        <w:rPr>
          <w:rFonts w:ascii="Times New Roman" w:hAnsi="Times New Roman"/>
          <w:b/>
          <w:i/>
          <w:color w:val="000000"/>
          <w:sz w:val="20"/>
        </w:rPr>
        <w:t>We are not currently profitable and might never become profitable, and we will need additional financing to complete the development of any product candidates and fund our activities into the future.</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debt financings and payments we may receive from out-licenses, collaborations or other strategic arrangements. Adverse geopolitical and macroeconomic developments, such as ongoing military conflicts, related sanctions, actual and anticipated changes in interest rates, economic inflation and the responses by central banking authorities to control such inflation, could affect our ability to access capital as and when needed.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is no assurance that we will be successful in raising any necessary additional capital on terms that are acceptable to us, or at all. If we are unable to develop and commercialize any product candidates and generate sufficient revenue or raise capital, we could be forced to reduce staff, delay, scale back or discontinue product development and clinical studies, sacrifice attractive business opportunities, cease operations entirely and sell, or otherwise transfer, all or substantially all of our remaining assets, which would likely have a material adverse impact on our business, results of operations, financial condition and share price.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expect our collaboration with Gilead to be a critical part of the development, manufacture and commercialization of our product candidates. If this collaboration is unsuccessful, our business could be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October 2023, we entered into the Gilead Collaboration Agreement with Gilead, whereby Gilead exclusively licensed to us its HPI program and NNPI program, while retaining opt-in rights to these programs, and has an option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take an exclusive license, on a program-by-program basis, to all of our other current and future pipeline programs during the collaboration term. In connection with the entry into the Gilead Collaboration Agreement, we and Gilead also entered into a common stock purchase agreement and an investor rights agreement, which were both amended in June 2024. Also in June 2024, we and Gilead subsequently entered into a securities purchase agreement and warrant agreement. In December 2024, Gilead purchased additional shares of our common stock at a premium pursuant to the terms of the common stock purchase agreement, and we amended the Gilead Collaboration Agreement in connection with an updated development plan for 6250. Our agreements and relationship with Gilead pose a number of risks, including, but not limited to, the following:</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Conflicts may arise between us and Gilead, such as conflicts regarding the indications to pursue or concerning the clinical data supporting an opt-in decision, the commercial potential of any optioned investigational products, the interpretation of financial provisions or the ownership of intellectual property developed during the collaboration. Any such conflicts could slow or prevent the development or commercialization of our investigational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the collaboration with Gilead does not result in the successful development and commercialization of products or if Gilead terminates the Gilead Collaboration Agreement with us, we may not receive any future research funding or milestone or royalty payments under the collaboration. If we do not receive the funding we expect under these agreements, development of our investigational products could be delayed and we may need additional resources to develop our investigational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will be heavily dependent on Gilead for further development and commercialization of the investigational products from the programs that it opts into.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not be successful in this collaboration due to various other factors, including our ability to demonstrate proof of concept in one or more clinical studies so that Gilead will exercise its option to these programs. In addition, even if we demonstrate clinical proof of concept of a candidate, Gilead may choose not to exercise its option.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Gilead has the right to designate (and has designated) two directors for appointment to our board of directors pursuant to the terms of the investor rights agreement and owns approximately 29.9% of our outstanding common stock. Gilead also has the right to acquire additional shares in the open market, up to an amount resulting in Gilead owning a total of 35% of our outstanding common stock. As a result, Gilead may be able to exert significant influence over us.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Gilead could independently develop, or develop with third parties, products that compete directly or indirectly with our investigational products if Gilead believes that competitive products are more likely to be successfully developed or can be commercialized under terms that are more economically attractive than ours.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Because Gilead has an option to all our current, and future, pipeline programs during the collaboration term, it may be difficult for us to enter into new collaborations.</w:t>
      </w:r>
    </w:p>
    <w:p>
      <w:pPr>
        <w:pStyle w:val="TextBody"/>
        <w:bidi w:val="0"/>
        <w:spacing w:before="200" w:after="283"/>
        <w:jc w:val="both"/>
        <w:rPr>
          <w:rFonts w:ascii="Times New Roman" w:hAnsi="Times New Roman"/>
          <w:sz w:val="20"/>
        </w:rPr>
      </w:pPr>
      <w:r>
        <w:rPr>
          <w:rFonts w:ascii="Times New Roman" w:hAnsi="Times New Roman"/>
          <w:b/>
          <w:i/>
          <w:color w:val="000000"/>
          <w:sz w:val="20"/>
        </w:rPr>
        <w:t>Nonclinical and clinical studies required for our product candidates are expensive and time-consuming and may fail to demonstrate the level of safety and efficacy necessary for product approval.</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commencement and rate of completion of clinical studies might be delayed by many factors, including, for example: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agreement with regulatory authorities on study design;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reaching agreement on acceptable terms with prospective contract research organizations (CROs) and clinical study sites;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failure to demonstrate efficacy or the emergence of unforeseen safety issues;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insufficient quantities of qualified materials made using current good manufacturing practice (cGMP) for use in clinical studies due to manufacturing challenges, delays or interruptions in the supply chain;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slower than expected rates of participant recruitment or failure to recruit a sufficient number of eligible participants, which may be due to a number of reasons, including the size of the participant population, the proximity of participants to clinical sites, the eligibility criteria for the study, the design of the clinical study, and other potential drug candidates being studied;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fewer available study sites due to changes in government funding of clinical research;</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in participants completing participation in a study or return for post-treatment follow-up for any reason, including, product side effects or disease progression;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modification of clinical study protocols;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delays, suspension, or termination of clinical studies by the institutional review board or ethics committee responsible for overseeing the study at a particular study site;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 or other regulatory agency delays or clinical holds requiring suspension or termination of our clinical studies due to safety, tolerability or other issues related to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CROs to conduct some of our nonclinical and clinical studies due to our lack of suitable facilities and resources. In addition, parts of our business are reliant on CROs, vendors, suppliers and other service providers in locations outside of the United States, including China.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do not have sufficient facilities or resources to conduct all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including good clinical practices,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Furthermore, we are exposed to a number of risks related to our CROs, vendors, suppliers and other service providers that are located outside of the United States, many of which may be beyond our control. These risks include: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business interruptions resulting from geopolitical actions such as the war between Russia and Ukraine, the conflicts in the Middle East, the rising tensions between China and Taiwan, as well as tariffs, other wars, acts of terrorism, natural disasters or outbreaks of disease;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regulatory requirements for drug approvals or increased scrutiny on CROs located in foreign countries, including China;</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standards of care in various countries that could complicate the evaluation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U.S. and foreign drug import and export rules;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different reimbursement systems and different competitive drugs indicated to treat the indication for which our product candidates are being developed;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reduced protection for intellectual property rights in certain countries;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Changes in economic policies by the U.S. or foreign governments, which may result in new or unexpected changes in tariffs, trade barriers or regulatory requirements;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the United States Foreign Corrupt Practices Act (the FCPA) and other anti-corruption and anti-bribery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compliance with tax, employment, immigration and labor laws for employees living or traveling abroad;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taxes, including withholding of payroll taxes; and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foreign currency fluctuations and compliance with foreign currency exchange rules, which could result in increased operating expenses and reduced revenues, and other obligations incident to doing business in another country.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Top-line, preliminary or interim data may not accurately reflect the final results of a particular study.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publicly disclose top-line, preliminary or interim data based on analysis of then-available efficacy, tolerability, PK and safety data, and the results and related findings and conclusions are subject to change following a more comprehensive data review related to the particular study. We also may make assumptions, estimates, calculations and conclusions as part of our data analyses, and we may not have received or had the opportunity to fully and carefully evaluate all data prior to release. As a result, the top-line, preliminary or interim results that we report may differ from final results of the same studies or different conclusions or considerations may qualify such results once additional data have been received and fully evaluated. Top-line, preliminary or interim data also remain subject to audit and verification procedures that may result in the final data differing materially from previously published top-line, preliminary or interim data. As a result, top-line, preliminary or interim data should be viewed with caution until the final data are available.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to top-line, preliminary or interim results, the information that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preliminary or interim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on third-party manufacturers to supply the quantities of our investigational product candidates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drug substance and drug product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the following risks with respect to the manufacture of our product candidates: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will need to identify manufacturers for commercial supply on acceptable terms, which we may be unable to do because the number of potential manufacturers is limited, and the FDA must evaluate and approve any new or replacement contractor.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third-party manufacturers with whom we contract might be unable to formulate and manufacture our product candidates in the volume and quality required to meet our nonclinical, clinical and, if approved, commercial needs in a timely manner.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third-party manufacturers with whom we contract might not perform as agreed or might not remain in the contract manufacturing business for the time required to supply our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One or more of any third-party manufacturers with whom we contract could be foreign, which increases the risk of shipping delays and adds the risk of import restrictions.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have complete control over, and cannot ensure, any third-party manufacturers’ compliance with cGMP and other government regulations and corresponding foreign requirements, including periodic FDA and state regulatory inspections.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may be required to share our trade secrets and know-how with third parties, increasing risk of misappropriation or disclosure of our intellectual property by or to third parties.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When contracting with third-party manufacturers, we might compete with other companies for access to these manufacturers’ facilities and might be subject to manufacturing delays if the manufacturers give other clients higher priority than we are given.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Each of these risks could delay our development efforts, nonclinical studies and clinical studies or the approval, if any, of our product candidates by the FDA or applicable non-U.S. regulatory authorities and the commercialization of our product candidates. Furthermore, reductions in workforce at the FDA may lead to delays in inspecting facilities and, in turn, delayed FDA approvals for manufacturing changes. This could result in higher costs or deprive us of potential product revenues and materially harm our business, financial condition and 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If we lose key management personnel and cannot recruit and retain similarly qualified replacements, our business may materially suffer.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unanticipated loss of any of these key employees could have a material adverse impact on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collaboration partners might delay, prevent or undermine the success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activities of any collaborator, including Gilead,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including the Gilead Collaboration, is unsuccessful, we might require substantially greater capital to undertake development and marketing of our proposed products and might not be able to develop and market these products effectively, if at all. In addition, if Gilead does not opt-in to a program, it might lead to significant delays in introducing proposed products into certain markets and/or reduced sales of proposed products in such markets.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not be successful in establishing and maintaining collaborations, which could adversely affect our ability to develop certain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Developing pharmaceutical products, conducting clinical studies, obtaining regulatory approval and commercializing those products are expensive and lengthy undertakings that require significant resources and expertise. We may seek to enter into collaborations, including licensing or partnering arrangements, with other companies to support the development and commercialization of any or multiple of our programs that Gilead declines to opt into or to obtain financing or share costs on these programs. If we are unable to enter into such collaborations on acceptable terms, if at all, we may be unable to advance certain of our product candidates through further nonclinical or clinical development. We expect to face competition in seeking appropriate partners. Moreover, collaboration arrangements are complex and time consuming to negotiate, document and implement and they may require substantial resources to maintain. We may not be successful in our efforts to establish and implement collaborations or other alternative arrangements for the development of our product candidates that Gilead declines to opt into.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we are unable to reach agreement on favorable terms with a suitable collaboration partner for any of our product candidates that Gilead declines to opt into, we may need to limit the number of our product candidates to advance through further nonclinical or clinical development. Failure to achieve such successful collaborations would limit our options for support of the development and commercialization of our programs and for financing and would likely have a material adverse impact on our business, results of operations, financial condition and share price.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rely on data provided by third parties that has not been independently verified and could prove to be false, misleading, or incomplete.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and adversely affected.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Significant disruptions of information technology systems or breaches of data security, including cybersecurity incidents, could materially and adversely affect our business, results of operations and financial condition.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system outages, terrorism, war, telecommunication and electrical failures, cyberattacks, cybersecurity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incidents or cyber intrusions over the Internet, attachments to emails, persons inside our organization, or persons with access to systems inside our organization.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risk of a cybersecurity incident or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system outages and security vulnerabilities or incidents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European Union (EU) General Data Protection Regulation (EU GDPR). We would also be exposed to a risk of loss or litigation and potential liability, which could materially adversely affect our business, results of operations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development and commercialization goals, including data releases, may not be achieved in the timeframes that we publicly estimate, which could have an adverse impact on our business and could cause our stock price to decline.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set goals and make public statements regarding our expectations on timing of certain accomplishments, developments and milestones under our research and development programs. The actual timing of these events can 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or Gilead does not opt-in to any of our programs, our business could be materially and adversely affected, and the price of our common stock could decline.</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Developments by competitors might render our product candidates or technologies obsolete or non-competitive.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pharmaceutical and biotechnology industries are intensely competitive. In addition, the clinical and commercial landscapes for recurrent genital herpes, HDV, HBV and transplant-related herpesviruses are rapidly changing; we expect new data from commercial and clinical-stage products to continue to emerge. We compete with organizations, some with significantly more resources, who are developing competitive product candidates. If our competitors develop effective treatments for recurrent genital herpes, HDV, HBV and transplant-related herpesviruses or any other indication or field we might pursue, and successfully commercialize those treatments, our business and prospects could be materially harmed.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Negative data from clinical studies using a competitor’s product candidates with the same or similar mechanisms of action (MOA) as ours could adversely impact the perception of the therapeutic use of our product candidates and our ability to enroll individuals in clinical studies.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clinical and commercial success of our potential products will depend in part on the public and clinical communities’ acceptance of novel classes of product candidates. Moreover, our success depends upon physicians prescribing, and their patients being willing to receive, treatments that involve the use of our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the same MOA as our product candidates, even if not ultimately attributable to our product candidates, and any resulting publicity could result in increased governmental regulation, larger, more complex, or an increased number of clinical trial requirements, unfavorable public perception, potential regulatory delays in the testing or approval of our product candidates, stricter labeling requirements for our product candidates that are approved, if any, and a decrease in demand for any such products.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ability to use our net operating loss and credit carryforwards and certain other tax attributes may be limited.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net operating loss carryforwards due to prior period losses generated before January 1, 2024, which if not utilized, will begin to expire in 2029 for net operating loss carryforwards prior to 2018. If we are unable to generate sufficient taxable income to utilize our net operating loss carryforwards, pre-2018 carryforwards could expire unused and be unavailable to offset future income tax liabilities.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Under Sections 382 and 383 of the Internal Revenue Code of 1986, as amended (the Code), a corporation that undergoes an “ownership change” (generally defined as a greater than 50% change (by value) in its equity ownership over a three-year period) is subject to annual limitations on its ability to use its pre-change net operating loss carryforwards and other pre-change tax attributes (such as research tax credits) to offset its post-change income or taxes. We have experienced ownership changes in the past, and future equity issuances may result in additional ownership change. Accordingly, some of our net operating losses or credits could expire unutilized, and our ability to utilize our net operating losses or credits to offset U.S. federal taxable income could be limited, which would result in increased future tax liability to us. We may also be subject to similar limitations at the state level.</w:t>
      </w:r>
    </w:p>
    <w:p>
      <w:pPr>
        <w:pStyle w:val="TextBody"/>
        <w:bidi w:val="0"/>
        <w:spacing w:before="200" w:after="120"/>
        <w:jc w:val="both"/>
        <w:rPr>
          <w:rFonts w:ascii="Times New Roman" w:hAnsi="Times New Roman"/>
          <w:b/>
          <w:color w:val="000000"/>
          <w:sz w:val="20"/>
        </w:rPr>
      </w:pPr>
      <w:r>
        <w:rPr>
          <w:rFonts w:ascii="Times New Roman" w:hAnsi="Times New Roman"/>
          <w:b/>
          <w:color w:val="000000"/>
          <w:sz w:val="20"/>
        </w:rPr>
        <w:t>Risks Related to Our Regulatory and Legal Environment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are and will be subject to extensive and costly government regulation, and the failure to comply with these regulations may have a material adverse effect on our operations and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product candidates are subject to extensive and rigorous domestic government regulation, including regulation by the FDA, the Centers for Medicare and Medicaid Services, other divisions of the U.S. Department of Health and Human Services,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 If we, our collaborators, our contractors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marketing authorization applications or supplements to approved applications, untitled letters or warning letters, fines, import and export restrictions, product recalls or seizures, injunctions, total or partial suspension of production, civil penalties, withdrawals of previously approved marketing authorizations, recommendations by the FDA or other regulatory authorities against governmental contracts, and/or criminal prosecutions.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authorization and payment of user fees, the ability to hire and retain key personnel, as well as other statutory, regulatory and policy changes. In addition, funding of other government agencies that support research and development activities that pertain to FDA review, such as research to understand new technologies or establish new standards, can shift in response to changing administrative policies and priorities. Such policy shifts, including efforts to downsize the federal workforce, remove job elimination protections for federal workers, limit certain communications, and potentially interfere with user fee reauthorization, may affect the FDA review process and average review times at the FDA may fluctuate as a result. If a prolonged government shutdown or a widespread freeze on federal funding occurs, it could significantly impact the ability of the FDA to timely review and process our regulatory submissions, the National Institutes of Health to conduct research or provide grants, or other agencies that support the FDA to slow their work. In addition, if future legislation or administrative action or changes in FDA policy prevent the FDA or other regulatory authorities from conducting routine inspections, reviews, or other regulatory activities, it could significantly impact the ability of the FDA to timely review and process our regulatory submissions, which could have a material adverse effect on our business. Delays in obtaining regulatory approvals might: delay commercialization of, and our ability to derive product revenues from, our product candidates; impose costly procedures on us; and diminish any competitive advantages that we might otherwise enjoy.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exclusion or suspension from federal and state healthcare programs, contractual damages, reputational harm and diminished profits and future earnings.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Regulators globally are imposing greater monetary fines for privacy violations. The EU GDPR applies to any company established in the EU as well as to those outside the EU if they collect and use personal data in connection with the offering of goods or services to individuals in the EU or the monitoring of their behavior. The EU GDPR enhances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EU GDPR may result in monetary penalties of up to €20 million or 4% of worldwide revenue, whichever is higher. The EU GDPR may increase our responsibility and liability in relation to personal data that we process and we may be required to put in place additional mechanisms to ensure compliance with the EU GDPR, including as implemented by individual countries. Compliance with the EU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California Consumer Privacy Act (CCPA) also created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safe harbors available, it is possible that some of our business activities could be subject to challenge under one or more of such laws.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Violations of these laws may be punishable by criminal and/or civil sanctions, including penalties, fines and/or 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face the risk of product liability claims and might not be able to obtain insurance.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might be exposed to liability claims associated with the use of hazardous materials and chemicals.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exposed to the risk of fraud or other misconduct, including failure to:</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 with applicable regulations of, and provide accurate information to, the FDA or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 with federal and state healthcare fraud and abuse laws and regulations and similar laws and regulations established and enforced by comparable foreign regulatory authorities;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comply with the FCPA, the U.K. Bribery Act 2010, the PRC Criminal Law, the PRC Anti-unfair Competition Law and other anti-bribery and trade laws;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report financial information and data accurately; or</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 unauthorized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Risks Related to Our Intellectual Property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business depends on protecting our intellectual property.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we, our licensors and our collaborators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positions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Formulation patents protect the formulation of a product and do not prevent a competitor from making and marketing a product that has an identical active pharmaceutical ingredient to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product if the product is formulated differently than the patented formulation. We rely on a combination of these and other types of patents to protect our product candidates, and there can be no assurance that our intellectual property will create and sustain the competitive position of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If patents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 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incur substantial costs as a result of litigation or other proceedings relating to our patents and other intellectual property rights.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We may infringe the intellectual property rights of others, which may prevent or delay our product development efforts and stop us from commercializing or increase the costs of commercializing our product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cost of maintaining our patent protection globally is high and requires continuous review and compliance. We may not be able to effectively maintain our intellectual property position throughout the major markets of the world.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Intellectual property rights do not address all potential threats to any competitive advantage we may have.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be able to make compounds that are the same as, or similar to, our current or future product candidates but that are not covered by the claims of the patents that we own or have exclusively licensed.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any of our licensors or strategic partners might not have been the first to make the inventions covered by the issued patents or pending patent applications that we own or have exclusively licensed.</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 any of our licensors or strategic partners might not have been the first to file patent applications covering certain of our inventions.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Others may independently develop similar or alternative technologies or duplicate any of our technologies without infringing our intellectual property rights.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prosecution of our pending patent applications may not result in granted patents.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Granted patents that we own or have exclusively licensed may not provide us with any competitive advantages, or may be held invalid or unenforceable, because of legal challenges by our competitors.</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Patent protection on our product candidates may expire before we are able to develop and commercialize the product, or before we are able to recover our investment in the product.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both"/>
        <w:rPr>
          <w:rFonts w:ascii="Times New Roman" w:hAnsi="Times New Roman"/>
          <w:b/>
          <w:color w:val="000000"/>
          <w:sz w:val="20"/>
        </w:rPr>
      </w:pPr>
      <w:r>
        <w:rPr>
          <w:rFonts w:ascii="Times New Roman" w:hAnsi="Times New Roman"/>
          <w:b/>
          <w:color w:val="000000"/>
          <w:sz w:val="20"/>
        </w:rPr>
        <w:t>Risks Related to Our Common Stock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The price of our common stock might fluctuate significantly, and you could lose all or part of your investment.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price of our common stock fluctuates widely. Continued volatility in the market price of our common stock might prevent a stockholder from being able to sell shares of our common stock at or above the price paid for such shares. The trading price of our common stock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pStyle w:val="TextBody"/>
        <w:bidi w:val="0"/>
        <w:spacing w:before="200" w:after="283"/>
        <w:jc w:val="both"/>
        <w:rPr>
          <w:rFonts w:ascii="Times New Roman" w:hAnsi="Times New Roman"/>
          <w:b/>
          <w:color w:val="000000"/>
          <w:sz w:val="20"/>
        </w:rPr>
      </w:pPr>
      <w:bookmarkStart w:id="5" w:name="item_1b_unresolved_staff_comments"/>
      <w:bookmarkEnd w:id="5"/>
      <w:r>
        <w:rPr>
          <w:rFonts w:ascii="Times New Roman" w:hAnsi="Times New Roman"/>
          <w:b/>
          <w:color w:val="000000"/>
          <w:sz w:val="20"/>
        </w:rPr>
        <w:t>Item 1B. Unresolved Staff Comments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b/>
          <w:color w:val="000000"/>
          <w:sz w:val="20"/>
        </w:rPr>
      </w:pPr>
      <w:bookmarkStart w:id="6" w:name="item_1c_cybersecurity"/>
      <w:bookmarkEnd w:id="6"/>
      <w:r>
        <w:rPr>
          <w:rFonts w:ascii="Times New Roman" w:hAnsi="Times New Roman"/>
          <w:b/>
          <w:color w:val="000000"/>
          <w:sz w:val="20"/>
        </w:rPr>
        <w:t>Item 1C. Cybersecurity</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Risk Management and Strategy</w:t>
      </w:r>
    </w:p>
    <w:p>
      <w:pPr>
        <w:pStyle w:val="TextBody"/>
        <w:bidi w:val="0"/>
        <w:jc w:val="both"/>
        <w:rPr>
          <w:rFonts w:ascii="Times New Roman" w:hAnsi="Times New Roman"/>
          <w:color w:val="000000"/>
          <w:sz w:val="20"/>
        </w:rPr>
      </w:pPr>
      <w:r>
        <w:rPr>
          <w:rFonts w:ascii="Times New Roman" w:hAnsi="Times New Roman"/>
          <w:color w:val="000000"/>
          <w:sz w:val="20"/>
        </w:rPr>
        <w:t>We recognize the critical importance of developing, implementing, and maintaining robust cybersecurity measures to help maintain the security, confidentiality, integrity, and availability of our business systems and confidential information, including personal information and intellectual property. Our cybersecurity program includes systems and processes that are designed to assess, identify and manage material risks from cybersecurity threats and includes: maintenance and monitoring of information security policies aligned with global regulatory controls; user and employee awareness of cyber policies and practices; simulated phishing exercises; information systems configuration management; identity and information asset protection; infrastructure security systems; and cyber threat operations with regular monitoring and threat hunting. This program includes processes to oversee and identify material risks from cybersecurity threats associated with our use of third-party service providers. We also maintain a cyber incident response plan designed to assist us in identifying, responding to and recovering from cybersecurity incidents. We use the findings from these and other processes to help us improve our information security practices, procedures and technologies. We also collaborate with third parties to assess the effectiveness of our cybersecurity program. These include cybersecurity assessors, consultants, and other external cybersecurity experts to assist in the identification, verification, and validation of material risks from cybersecurity threats, as well as to support associated mitigation plans when necessary.</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Cybersecurity is integrated into our overall risk management systems, including our annual enterprise risk management, internal controls, business continuity and crisis management, third-party risk management, insurance risk management, and employee compliance processes. Our Cyber Incident Response Team, comprised of our Vice President, General Counsel and Corporate Secretary, our Executive Director, Accounting and Treasury, and our Executive Director, Information Technology, consults with, or provides input to each of these programs to ensure that material risks from cybersecurity threats are appropriately assessed, identified, and managed.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As of the date of this report, there have been no cybersecurity threats, including as a result of any previous cybersecurity incidents, that have materially affected or are reasonably likely to materially affect us, including our business, strategy, results of operations, or financial condition. For additional description of cybersecurity risks and potential related impacts on the Company, refer to the risk factor captioned “Significant disruptions of information technology systems or breaches of data security, including cybersecurity incidents, could materially and adversely affect our business, results of operations and financial condition” in “Item 1A. Risk Factors.”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Governance</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While our board of directors has oversight responsibility for risk management generally, the Audit Committee is specifically responsible for overseeing our cybersecurity risk management program to ensure cybersecurity risks are identified, assessed, managed, and monitored. Our Executive Director, Information Technology, who has over 15 years of experience in the cybersecurity field and regularly attends cybersecurity conferences and actively implements new technologies to keep our systems up to date and secure, provides periodic updates to the Audit Committee in this regard, and details our cybersecurity program supported by key performance indicators across the range of cybersecurity functions related to risk management and governance, identity and information asset protection, core security and endpoint security, and cyber threat operations. These updates include descriptions of cybersecurity incidents, including those associated with our third-party service providers. The Audit Committee is responsible for updating our full board of directors on material risks from cybersecurity incidents or threats. </w:t>
      </w:r>
    </w:p>
    <w:p>
      <w:pPr>
        <w:pStyle w:val="TextBody"/>
        <w:bidi w:val="0"/>
        <w:spacing w:before="200" w:after="283"/>
        <w:jc w:val="both"/>
        <w:rPr>
          <w:rFonts w:ascii="Times New Roman" w:hAnsi="Times New Roman"/>
          <w:b/>
          <w:color w:val="000000"/>
          <w:sz w:val="20"/>
        </w:rPr>
      </w:pPr>
      <w:bookmarkStart w:id="7" w:name="item_2_properties"/>
      <w:bookmarkEnd w:id="7"/>
      <w:r>
        <w:rPr>
          <w:rFonts w:ascii="Times New Roman" w:hAnsi="Times New Roman"/>
          <w:b/>
          <w:color w:val="000000"/>
          <w:sz w:val="20"/>
        </w:rPr>
        <w:t>Item 2. Properties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lease office space for corporate and administrative functions and laboratory space in South San Francisco, California under a sublease that expires in September 2029.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these leased facilities are adequate for our current needs and that additional space will be available in the future on commercially reasonable terms as needed.</w:t>
      </w:r>
    </w:p>
    <w:p>
      <w:pPr>
        <w:pStyle w:val="TextBody"/>
        <w:bidi w:val="0"/>
        <w:spacing w:before="200" w:after="283"/>
        <w:jc w:val="both"/>
        <w:rPr>
          <w:rFonts w:ascii="Times New Roman" w:hAnsi="Times New Roman"/>
          <w:sz w:val="20"/>
        </w:rPr>
      </w:pPr>
      <w:bookmarkStart w:id="8" w:name="item_3_legal_proceedings"/>
      <w:bookmarkEnd w:id="8"/>
      <w:r>
        <w:rPr>
          <w:rFonts w:ascii="Times New Roman" w:hAnsi="Times New Roman"/>
          <w:b/>
          <w:color w:val="000000"/>
          <w:sz w:val="20"/>
        </w:rPr>
        <w:t>Item 3. Legal</w:t>
      </w:r>
      <w:r>
        <w:rPr>
          <w:rFonts w:ascii="Times New Roman" w:hAnsi="Times New Roman"/>
          <w:color w:val="000000"/>
          <w:sz w:val="20"/>
        </w:rPr>
        <w:t xml:space="preserve"> </w:t>
      </w:r>
      <w:r>
        <w:rPr>
          <w:rFonts w:ascii="Times New Roman" w:hAnsi="Times New Roman"/>
          <w:b/>
          <w:color w:val="000000"/>
          <w:sz w:val="20"/>
        </w:rPr>
        <w:t>Proceedings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not a party to any material legal proceedings at this time. From time to time, we may be subject to various legal proceedings and claims that arise in the ordinary course of our business activities. Although the results of litigation and claims cannot be predicted with certainty, we do not believe we are party to any claim or litigation the outcome of which, if determined adversely to us, would individually or in the aggregate be reasonably expected to have a material adverse effect on our business. Regardless of the outcome, litigation can have an adverse effect on us because of defense and settlement costs, diversion of management resources and other factors.</w:t>
      </w:r>
    </w:p>
    <w:p>
      <w:pPr>
        <w:pStyle w:val="TextBody"/>
        <w:bidi w:val="0"/>
        <w:spacing w:before="200" w:after="283"/>
        <w:jc w:val="both"/>
        <w:rPr>
          <w:rFonts w:ascii="Times New Roman" w:hAnsi="Times New Roman"/>
          <w:b/>
          <w:color w:val="000000"/>
          <w:sz w:val="20"/>
        </w:rPr>
      </w:pPr>
      <w:bookmarkStart w:id="9" w:name="item_4_mine_safety_disclosures"/>
      <w:bookmarkEnd w:id="9"/>
      <w:r>
        <w:rPr>
          <w:rFonts w:ascii="Times New Roman" w:hAnsi="Times New Roman"/>
          <w:b/>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0" w:name="part_ii"/>
      <w:bookmarkEnd w:id="1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spacing w:before="200" w:after="283"/>
        <w:jc w:val="both"/>
        <w:rPr>
          <w:rFonts w:ascii="Times New Roman" w:hAnsi="Times New Roman"/>
          <w:b/>
          <w:color w:val="000000"/>
          <w:sz w:val="20"/>
        </w:rPr>
      </w:pPr>
      <w:bookmarkStart w:id="11" w:name="item_5_market_for_registrants_common_equ"/>
      <w:bookmarkEnd w:id="11"/>
      <w:r>
        <w:rPr>
          <w:rFonts w:ascii="Times New Roman" w:hAnsi="Times New Roman"/>
          <w:b/>
          <w:color w:val="000000"/>
          <w:sz w:val="20"/>
        </w:rPr>
        <w:t>Item 5. Market for Registrant’s Common Equity, Related Stockholder Matters and Issuer Purchases of Equity Securities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Market Information for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common stock is traded under the symbol “ASMB” and is quoted on The Nasdaq Global Select Market.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Holders of Record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March 14, 2025, there were 49 stockholders of record, which excludes stockholders whose shares were held in nominee or street name by brokers.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Dividend Policy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have never declared or paid any dividends and do not anticipate paying any dividends on our common stock in the foreseeable future.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 Sales of Unregistered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unregistered sales of equity securities in 2024.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Purchases of Equity Securities by the Issuer and Affiliated Purchasers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did not purchase any of our registered equity securities during the period covered by this Annual Report on Form 10-K.</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Reverse Stock Split</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On January 31, 2024, following approval by our stockholders, our board of directors approved the implementation of a reverse stock split of our common stock at a ratio of 1-for-12 (the Reverse Stock Split). The Reverse Stock Split was effective as of February 9, 2024, and our common stock began trading on the Nasdaq Global Select Market on a post-split basis on February 12, 2024. All share and per share amounts of our common stock presented in this Annual Report on Form 10-K have been adjusted to reflect the Reverse Stock Split.</w:t>
      </w:r>
    </w:p>
    <w:p>
      <w:pPr>
        <w:pStyle w:val="TextBody"/>
        <w:bidi w:val="0"/>
        <w:spacing w:before="200" w:after="283"/>
        <w:jc w:val="both"/>
        <w:rPr>
          <w:rFonts w:ascii="Times New Roman" w:hAnsi="Times New Roman"/>
          <w:b/>
          <w:color w:val="000000"/>
          <w:sz w:val="20"/>
        </w:rPr>
      </w:pPr>
      <w:bookmarkStart w:id="12" w:name="item_6_reserved"/>
      <w:bookmarkEnd w:id="12"/>
      <w:r>
        <w:rPr>
          <w:rFonts w:ascii="Times New Roman" w:hAnsi="Times New Roman"/>
          <w:b/>
          <w:color w:val="000000"/>
          <w:sz w:val="20"/>
        </w:rPr>
        <w:t>Item 6. [Reserved]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rPr>
      </w:pPr>
      <w:bookmarkStart w:id="13" w:name="item_7_managements_discussion_analysis_f"/>
      <w:bookmarkEnd w:id="13"/>
      <w:r>
        <w:rPr>
          <w:rFonts w:ascii="Times New Roman" w:hAnsi="Times New Roman"/>
          <w:b/>
          <w:color w:val="000000"/>
          <w:sz w:val="20"/>
        </w:rPr>
        <w:t>Item 7. Management’s Discussion and Analysis of Financial Condition and Results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in conjunction with our consolidated financial statements and the related notes thereto and other financial information appearing elsewhere in this Annual Report on Form 10-K. The following discussion contains forward-looking statements that involve risks and uncertainties. Our actual results could differ materially from those expressed or implied in any forward-looking statements as a result of various factors, including those set forth in this Form 10-K under “Item 1A. Risk Factors.”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are a biotechnology company developing innovative therapeutics targeting serious viral diseases with the potential to improve the lives of patients worldwide. Our pipeline includes multiple clinical-stage investigational therapies, including: (1) two helicase-primase inhibitors (HPI) targeting recurrent genital herpes; (2) an orally bioavailable hepatitis delta virus (HDV) entry inhibitor; and (3) a highly potent next-generation capsid assembly modulator (CAM) designed to disrupt the replication cycle of hepatitis B virus (HBV) at several key points. Our pipeline also includes a novel, oral broad-spectrum non-nucleoside polymerase inhibitor (NNPI) targeting transplant-related herpesviruses, which is currently undergoing studies to enable a regulatory filing, and we have additional research programs against multiple antiviral targets.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Our Clinical Programs and Regulatory Filing-Enabling Program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Since the beginning of 2024, we have initiated: (1) both the Phase 1a and Phase 1b portions of a Phase 1a/b study of 5366, long-acting HPI for recurrent genital herpes; (2) the Phase 1a portion of a Phase 1a/b study of 1179, also a long-acting HPI for recurrent genital herpes; (3) a Phase 1a study of 6250, an orally bioavailable HDV entry inhibitor; and (4) a Phase 1b study of 4334, a highly potent, next-generation CAM for chronic HBV infection. We expect to initiate the Phase 1b portion of the Phase 1a/b study of 1179 in the first half of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announced interim results from the Phase 1a portion of the 5366 study in September 2024, interim results from the Phase 1b study of 4334 in December 2024 and interim results from the Phase 1a portion of the 1179 study in February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addition, during December 2024, we identified a development candidate, 7423, in our broad-spectrum NNPI program targeting transplant-associated herpesviruses.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Recurrent Genital Herpes/HSV-1 and HSV-2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Genital herpes can be caused by either herpes simplex virus type 1 (HSV-1) or herpes simplex virus type 2 (HSV-2). HSV-1 and HSV-2 are acquired by oral or genital contact either during symptomatic or asymptomatic reactivation of the virus. Both viruses replicate in neurons, where they can remain latent for the rest of the individual’s life and periodically reactivate, with the virus spreading, replicating and causing disease in epithelial tissues. Initial infection can be asymptomatic or can be marked by serious symptoms, including painful skin lesions, swelling of lymph nodes and urinary problems that can persist for two to three weeks. While genital herpes can be caused by either HSV-1 or HSV-2, recurrences are more likely to be experienced by individuals infected by HSV-2. Genital herpes recurrence can cause painful genital lesions that can lead to increased transmission and debilitate patients, and symptoms may become more serious with additional episodes. Additional complications include increased risk of HIV infection, as 30% of HIV infections acquired through sexual transmission are attributable to HSV-2 infection. In addition, people with recurrent genital herpes often experience associated psychosocial impacts, including anxiety, concerns about transmission, depression and social stigma. Immunocompromised patients may experience more severe and prolonged symptoms due to increased recurrence rates.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HPIs are antiviral agents in development for the treatment of recurrent genital herpes, with a clinically-validated mechanism of action. HPIs inhibit the HSV helicase-primase complex, which is a unique viral enzyme complex without a human homolog, consisting of helicase, primase and cofactor subunits. These subunits have functions that are essential for viral DNA replication and are conserved across HSV-1 and HSV-2. Unlike nucleoside analogs, these compounds do not require phosphorylation by the HSV thymidine kinase (TK) and ongoing viral replication to become active drugs. As a result, HPIs are active immediately upon reactivation of latent HSV-1 and HSV-2. Furthermore,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HPIs are active against TK-deficient HSV-1 and HSV-2, which is a major mechanism of resistance to nucleoside analogs.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Most people with initial symptomatic genital herpes who are infected with HSV-2 have frequent recurrences, generally between three and 15 per year, including over four million people in the United States and France, Germany, Italy and Spain (collectively, the EU4) and the United Kingdom (UK). Currently, there are three antiviral drugs (all nucleoside analogs) that have been approved in the United States and the EU4/UK for the treatment of genital herpes. However, no new drugs have been approved in these regions to treat genital herpes for more than 25 years. In addition to the approved nucleoside analogs, agents such as local anesthetics or analgesics may be used to alleviate local symptoms of minor pain and discomfort. </w:t>
      </w:r>
    </w:p>
    <w:p>
      <w:pPr>
        <w:pStyle w:val="TextBody"/>
        <w:bidi w:val="0"/>
        <w:spacing w:before="200" w:after="283"/>
        <w:jc w:val="both"/>
        <w:rPr>
          <w:rFonts w:ascii="Times New Roman" w:hAnsi="Times New Roman"/>
          <w:sz w:val="20"/>
        </w:rPr>
      </w:pPr>
      <w:r>
        <w:rPr>
          <w:rFonts w:ascii="Times New Roman" w:hAnsi="Times New Roman"/>
          <w:color w:val="000000"/>
          <w:sz w:val="20"/>
        </w:rPr>
        <w:t>Nucleoside analogs can be administered as episodic therapy as individual outbreaks arise or daily as chronic suppressive therapy for those with high post-exposure recurrences. However, these agents are only partially effective at controlling the infection or reducing transmission risk. With current nucleoside analog therapies, only one out of three people with recurrent genital herpes with six or more recurrences per year are able to make it through a year of treatment without a recurrence. There are still high titer (greater than 10</w:t>
      </w:r>
      <w:r>
        <w:rPr>
          <w:rFonts w:ascii="Times New Roman" w:hAnsi="Times New Roman"/>
          <w:color w:val="000000"/>
          <w:sz w:val="13"/>
        </w:rPr>
        <w:t xml:space="preserve">4 </w:t>
      </w:r>
      <w:r>
        <w:rPr>
          <w:rFonts w:ascii="Times New Roman" w:hAnsi="Times New Roman"/>
          <w:color w:val="000000"/>
          <w:sz w:val="20"/>
        </w:rPr>
        <w:t xml:space="preserve">HSV-2 DNA copies/mL) shedding episodes under this current standard of care for recurrent genital herpes, which can lead to recurrent episodes and transmission of genital herpes.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the limitations of current therapies, we see a path to advancing the treatment paradigm for people suffering from recurrent genital herpes. To reach that goal, we discovered and are developing a novel, potent, long-acting HPI for recurrent genital herpes, 5366, which demonstrated low nanomolar potency in vitro against both HSV-1 and HSV-2 clinical isolates and a favorable nonclinical safety profile in the U.S. Food and Drug Administration's (FDA) Good Laboratory Practice (GLP) toxicology studies, with high safety margins and minimal potential for off-target effects. In addition, we are developing a second novel, potent, long-acting HPI for genital herpes, 1179, which was in-licensed to us as part of our collaboration with Gilead.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During the first quarter of 2024, we filed a Clinical Trial Application (CTA) to support initiation of a Phase 1a/b clinical study for 5366, which was approved in April 2024, and we dosed our first participant in the Phase 1a portion of this study during the second quarter of 2024.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2024, we announced positive interim data for the Phase 1a portion of the 5366 study. Interim results exceeded our objectives for this Phase 1a study and support 5366’s progression into Phase 1b, which we initiated during the third quarter of 2024. Across the Part A (Phase 1a) cohorts evaluated, 5366 had a mean half-life of approximately 20 days when dosed orally, supporting once-weekly oral dosing, the target profile for 5366, as well as showing the potential for once-monthly oral dosing. We plan to explore both once-weekly and once-monthly oral dosing regimens in the Part B (Phase 1b) portion of the study.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the Part A cohorts, 5366 has been well-tolerated with a favorable safety profile observed with exposure of up to 70 days. Treatment-emergent adverse events (AEs) were all mild to moderate in intensity and all were considered not related to study treatment by the study investigators; there have been no serious AEs in any dose arm. There were no treatment-related Grade 3 or 4 laboratory abnormalities and no protocol-defined stopping criteria were met. There were no clinically significant electrocardiogram (ECG) abnormalities or patterns of AEs or laboratory abnormalities noted.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interim data from the Phase 1b portion of the 5366 study to be available in fall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5366, we are also advancing 1179, a structurally-differentiated HPI with single digit nanomolar potency against HSV-1 and HSV-2 and a nonclinical PK and safety profile to date that is supportive of a potential long-acting treatment by once-weekly oral administration. We submitted the CTA for a Phase 1a/b study of 1179 in September 2024, which was approved in October 2024. We dosed our first participant in the Phase 1a portion of this study during the fourth quarter of 2024.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February 2025, we announced positive interim data for the Phase 1a portion of the 1179 study. Interim results exceeded our objectives for this Phase 1a study and support 1179’s progression into Phase 1b, and we plan to move directly into the Phase 1b study in participants with recurrent genital herpes. Across the Part A (Phase 1a) cohorts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evaluated as of the February 13, 2025 data cutoff date, 1179 had a mean half-life of approximately four days when dosed orally, supporting once-weekly oral dosing, the target profile for 1179.</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all cohorts as of the February 13, 2025 data cutoff date, 1179 has been well-tolerated with a favorable safety profile observed. Treatment-emergent AEs were all mild in intensity and all were considered not related to study treatment by the study investigators; there have been no serious AEs in any dose cohort. One self-limited Grade 2 alanine transaminase elevation was observed in a cohort evaluating the highest dose of 300 mg. There were no treatment-related Grade 3 or 4 laboratory abnormalities and no protocol-defined stopping criteria were met. There were no clinically significant ECG abnormalities or patterns of AEs or laboratory abnormalities noted. We expect interim data from the Phase 1b portion of the 5366 study to be available in fall 2025.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Phase 1b study of 1179 study will be conducted concurrently with the ongoing Phase 1b evaluation of 5366, our other long-acting helicase-primase inhibitor candidate that began dosing in Phase 1b in the fourth quarter of 2024. The studies are anticipated to be conducted at the same sites using equivalent eligibility criteria and outcome measures for both candidates. We plan to report interim data for both candidates together in fall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Our HBV and HDV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World Health Organization (WHO) estimates that 254 million people worldwide are chronically infected with HBV as of 2022, and 1.2 million new infections occur each year. HBV is a leading global cause of chronic liver disease and liver transplants, and the WHO estimates that 1.1 million people died in 2022 from HBV, mostly due to cirrhosis and hepatocellular carcinoma. As of 2022, of the 254 million people living with chronic HBV infection, only approximately 33 million, or 13%, were aware of their infection, and only approximately 7 million, or 3%, of those diagnosed received treatment. HBV is a highly prevalent disease that infects almost three times the number of people infected with hepatitis C virus and HIV infections combined, according to the WHO.</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current standard of care for chronic HBV infection, nucleos(t)ide analog reverse transcriptase inhibitors (NrtIs), are taken life-long and reduce, but do not eliminate, the virus and result in very low cure rates. No new mechanisms of action (MOA) have been approved for the treatment of chronic HBV infection in over 25 years. The focus of our HBV program is to improve outcomes and increase the number of patients diagnosed and treated through the development of finite and curative therapies targeting an orthogonal MOA.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HDV is a “satellite virus” of HBV because it can only infect people (1) who are already infected with HBV or (2) at the same time as a person is infected with HBV. HDV affects a subset of approximately 12 to 72 million HBV infected people. These individuals infected with HDV, which comprise an estimated 4.5% of hepatitis B surface antigen (HBsAg) positive individuals, experience a substantially increased disease burden, as they account for 18% of cirrhosis and 20% of hepatocellular carcinoma associated with HBV. HDV is considered the most severe form of hepatitis, as 70% of individuals infected with HDV progress to cirrhosis within ten years. While HDV is less prevalent in the United States, it is a significant and serious health problem with inadequate treatment in many parts of Europe, Africa, the Middle East, East Asia and parts of South America. HDV may be significantly underdiagnosed, because there were no HDV-targeted therapies approved until very recently, and the first therapy approved is only approved in Europe. HDV is known to accelerate disease progression and increase the incidence of liver cirrhosis and liver cancer, which results in higher morbidity and mortality rates than HBV alone.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current standard of care treatment for HDV is off-label pegylated interferon-α (IFN-α) injected weekly or, in Europe, a large, complex peptide inhibitor that requires daily injections, bulevirtide. There are no approved HDV treatments in the United States, and the large, complex peptide blocker is the only approved HDV treatment in the Europe. We believe a safe and effective oral small molecule entry inhibitor would be a significant innovation for people living with HDV, who face a significant and immediate disease burden. </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HDV Entry Inhibitor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HDV is a small RNA virus that encodes just two viral proteins and relies on host enzymes as well as the HBsAg from HBV to replicate, which limits the number of HDV-specific antiviral targets. Similar to HBV, HDV utilizes HBsAg to enter hepatocytes by binding the cellular transmembrane protein sodium taurocholate co-transporting peptide (NTCP). NTCP is highly expressed on human hepatocytes, where it serves as one of several proteins involved in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transport of bile acids. The binding of specific small or large molecules to NTCP has been shown to effectively inhibit the interaction of HBsAg with NTCP, which prevents HBV and HDV from infecting hepatocytes.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inhibition of HBV and HDV infection by molecules that bind NTCP has been demonstrated in vitro, in animal models and clinically. Notably, bulevirtide, a peptide blocker of NTCP, is the only approved therapy for HDV (approved in Europe). 6250 uses the same clinically-validated MOA as bulevirtide. The binding of NTCP-targeted HBV/HDV entry inhibitors to NTCP has also been shown to inhibit the transport of certain bile acids into cells, which results in plasma elevations of bile acids; this effect has been well-tolerated clinically and may serve as a biomarker of pharmacologically active concentrations of drug in the plasma. In nonclinical studies in non-human primates, clinically-relevant doses of 6250 elevated bile acids to levels similar to those seen in humans with bulevirtide.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believe a safe and effective oral small molecule entry inhibitor would be a significant innovation for people living with HDV and could significantly improve treatment uptake and diagnosis rates, especially when compared with currently available injectable products.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September 2023, we nominated 6250, a novel, orally bioavailable small molecule designed to inhibit entry of HBV and HDV by targeting NTCP. In nonclinical studies, 6250 demonstrated low nanomolar potency against all tested HBV/HDV genotypes, favorable selectivity for NTCP versus other bile acid transporters, good oral bioavailability and a PK profile in nonclinical species projected to support once-daily oral dosing. In GLP toxicology studies, 6250 demonstrated a favorable nonclinical safety profile with wide safety margins.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initiated a Phase 1a clinical study of 6250 during the fourth quarter of 2024, and we expect interim safety, PK and biomarker data from single-ascending and multiple-ascending doses cohorts in healthy participants in the third quarter of 2025.</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Capsid Assembly Modulator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HBV is a DNA virus that infects hepatocytes and establishes a reservoir of covalently closed circular DNA (cccDNA), a unique viral DNA moiety that resides in the nucleus of HBV-infected hepatocytes and is associated with viral persistence and chronic infection. No currently approved oral therapies target cccDNA activity directly. As a result, we have worked to discover and develop compounds targeting the core protein, a viral protein involved in numerous aspects of the HBV replication cycle, including the generation of HBV cccDNA.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benchmark for therapeutic agents aiming to decrease cccDNA levels is the use of several key viral antigens as surrogate biomarkers of active cccDNA. The same biomarkers can be used in both primary human hepatocytes and infected individuals. On this basis, our next-generation CAM, 4334, has shown nonclinical proof of principle. In a variety of cell culture models, 4334 has demonstrated the ability to reduce production of HBV DNA levels as well as the surrogate markers for cccDNA establishment: HBV e antigen (HBeAg), HBV core-related antigen (HBcrAg) and HBV pre-genomic RNA (pgRNA).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a next-generation CAM, 4334 was optimized to potently disrupt viral replication (MOA #1) and prevent the establishment and replenishment of new cccDNA (MOA #2). In contrast, while active against MOA #1, first-generation CAMs have not demonstrated adequate potency to sufficiently block cccDNA formation (MOA #2). Further, the current standard of care, NrtIs, impacts the viral life cycle after establishment of cccDNA and can only inhibit production of new viral particles, and it does so incompletely. The chemical scaffold of 4334 is novel and distinct from all our prior CAM candidates.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believe that 4334 has a best-in-class nonclinical profile, with single-digit nanomolar potency against MOA #1 and MOA #2, pan-genotypic activity, an improved resistance profile and a favorable safety profile. Through mechanistic studies presented at multiple conferences, we have demonstrated that 4334 promotes the formation of empty capsids by acceleration of capsid assembly, prevents the formation of cccDNA by disrupting incoming capsids, and prematurely disrupts capsids containing duplex linear DNA, the precursor for integrated HBV DNA.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 Phase 1a study demonstrated that 4334 was well-tolerated when administered orally as single or multiple doses. In addition, the PK data support 4334 as a once daily oral therapy and predicts best-in-class activity against both MOA #1 and MOA #2. During the second quarter of 2024, we dosed our first participant in a Phase 1b clinical study of 4334. We reported interim clinical results from the initial 150 mg cohort in December 2024, which indicated that 4334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000000"/>
          <w:sz w:val="20"/>
        </w:rPr>
        <w:t>maintained clinical exposures multiple folds above those anticipated to be required for potent viral activity and inhibition of cccDNA formation. A mean decline in HBV DNA of 2.9 log</w:t>
      </w:r>
      <w:r>
        <w:rPr>
          <w:rFonts w:ascii="Times New Roman" w:hAnsi="Times New Roman"/>
          <w:color w:val="000000"/>
          <w:sz w:val="13"/>
        </w:rPr>
        <w:t>10</w:t>
      </w:r>
      <w:r>
        <w:rPr>
          <w:rFonts w:ascii="Times New Roman" w:hAnsi="Times New Roman"/>
          <w:color w:val="000000"/>
          <w:sz w:val="20"/>
        </w:rPr>
        <w:t xml:space="preserve"> IU/mL was observed in a population of predominately HBeAg negative participants. Among the subset of participants with detectable HBV RNA at baseline, a mean decline of 2.5 log</w:t>
      </w:r>
      <w:r>
        <w:rPr>
          <w:rFonts w:ascii="Times New Roman" w:hAnsi="Times New Roman"/>
          <w:color w:val="000000"/>
          <w:sz w:val="13"/>
        </w:rPr>
        <w:t>10</w:t>
      </w:r>
      <w:r>
        <w:rPr>
          <w:rFonts w:ascii="Times New Roman" w:hAnsi="Times New Roman"/>
          <w:color w:val="000000"/>
          <w:sz w:val="20"/>
        </w:rPr>
        <w:t xml:space="preserve"> U/mL for HBV RNA was observed. As anticipated, limited changes in viral antigens were observed for the study population over the 28-day treatment period. These initial antiviral data are consistent with the high potency seen preclinically for 4334. The interim safety data also demonstrated that 4334 was well-tolerated with a favorable safety profile observed. Enrollment is ongoing for the second cohort, evaluating an oral once-daily 400 mg dose of 4334. Based on the strong antiviral activity observed in the first cohort, we expect that the 400 mg cohort will be the final cohort for this Phase 1b study. We anticipate releasing data from the 400 mg cohort in the first half of 2025.</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Transplant-Associated Herpesviruses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 transplant setting, when patients are experiencing immunosuppression, they are at high risk of uncontrolled viral replication and severe disease brought on by one or more herpesviruses, including cytomegalovirus (CMV), HSV-1, HSV-2, varicella zoster virus (VZV) and Epstein-Barr virus (EBV). Each of these herpesviruses are highly prevalent, as approximately (1) 60% of transplant patients are CMV-positive; (2) 60% of transplant patients are HSV-positive; (3) 80% of transplant patients are VZV-positive and (4) 45% of transplant patients are EBV-positive. These viruses establish lifelong latent infections and frequently reactivate in transplant patients due to the use of immunosuppressive drugs following transplantation. These uncontrolled viral infections increase the risk of severe disease and serious complications, including organ rejection, graft loss and death, and impacted approximately 95,000 people receiving transplants in 2021 in the United States and Europe.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While there are approved antivirals that are administered in a transplant setting, currently approved antivirals are not active against a broad spectrum of transplant-associated herpesviruses and pose the risk of potentially serious side effects and drug-drug interactions. As a result of these limitations, we identified an opportunity to develop an oral, broad-spectrum NNPI for transplant-associated herpesvirus infections, which could greatly advance treatment.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December 2024, we nominated 7423 as our development candidate to undergo CTA-enabling studies, which are ongoing.</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Research Programs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addition to our investigational therapy programs that have nominated development candidates and have advanced into clinical studies or CTA-enabling studies, our research team continues to actively focus on proprietary research to discover and develop novel antivirals to treat serious viral diseases.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Collaboration and License Agreement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Gilead Sciences,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October 2023, we entered into an Option, License and Collaboration agreement (the Gilead Collaboration Agreement) with Gilead pursuant to which Gilead (1) exclusively licensed to us its HPI program and its NNPI program, while retaining opt-in rights to these programs and (2) has an option to take an exclusive license, on a program-by-program basis, to all of our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 Pursuant to the Gilead Collaboration Agreement, Gilead made an $84.8 million upfront cash payment to us. In December 2024, we and Gilead entered into the First Amendment to the Gilead Collaboration Agreement, which restructured the timing of specific options exercisable and the fees payable to us under the terms of the Gilead Collaboration Agreement due to an agreed upon development plan for 6250. To facilitate this development plan, (1) we received a payment of $10.0 million from Gilead and (2) the opt-in fee payable by Gilead in connection with 6250 was restructured, though it remains in the range of opt-in fees detailed above. The $10.0 million payment received in connection with the First Amendment to the Gilead Collaboration Agreement is creditable towards future collaboration-related payments payable by Gilead.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Gilead exercises its opt-in right to any current or future program under the collaboration, we are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program, we may opt in to cover 40% of the research and development costs in the United States and share 40% of the profits and operating loss in the United States for products within the program in lieu of receiving milestones and royalties for that program in the United States, unless we later opt out of the cost/profit share for the program. Prior to Gilead’s potential exercise of its opt-in, we are primarily responsible for all discovery, research and development on both our programs and the two Gilead-contributed programs. Following Gilead’s opt-in, Gilead will control the further discovery, research, development, and commercialization on any optioned programs. During the term, Gilead will continue to support the collaboration through extension fees of $75.0 million in each of the third, fifth and seventh years of the collaboration.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Gilead Collaboration Agreement is subject to termination by either party for the other party’s uncured, material breach or insolvency. Subject to certain limitations, we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and Gilead also entered into a Common Stock Purchase Agreement and an Investor Rights Agreement (together, the Gilead Equity Agreements), which were both amended in June 2024 in connection with a financing transaction, in which a new investor purchased shares of common stock and was issued a warrant (the 2024 Financing Transaction). Pursuant to the Gilead Equity Agreements, Gilead made an upfront equity investment of $15.2 million by purchasing from us 1,089,472 shares of our common stock at a purchase price of $13.92 per share. The terms of the Gilead Equity Agreements provided Gilead the right to elect to purchase additional shares of common stock from us at a premium in an amount that results in Gilead owning 29.9% of our then-outstanding voting common stock. This right was exercised in December 2024, at a purchase price of $21.37 per share, which represents a 35% premium to the 30-trading day volume weighted average price immediately prior to the date of purchase. The Gilead Equity Agreements also include a three-year standstill provision and a two-year lockup provision, each with customary exceptions, and provide Gilead with certain other stock purchase rights and registration rights, as well as the right to designate two directors (or, alternatively, board observers at Gilead’s election) to our board of directors. In December 2023, Gilead designated Tomas Cihlar, Ph.D. to serve on our board of directors, and in March 2024, Gilead designated Robert D. Cook II to serve on our board of directors.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Gilead participated in the 2024 Financing Transaction on the same terms as the new investor pursuant to the anti-dilution provision in the Investor Rights Agreement. We and Gilead entered into a Securities Purchase Agreement for the issuance and sale, in a private placement, of 179,500 shares of our common stock and a warrant to purchase up to 179,500 shares of our common stock. The warrant sold to Gilead has an exercise price equal to $17.00 per share, became immediately exercisable on the date of issuance and will expire on June 18, 2029. Subject to certain exceptions, neither Gilead nor its affiliates may exercise any portion of the warrant to the extent that Gilead would own more than 19.9% of the number of our shares of common stock outstanding immediately after giving effect to such exercise.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Operations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Since our inception, we have had no revenue from product sales and have funded our operations principally through debt financings prior to our initial public offering in 2010 and through equity financings and collaborations since then. Our operations to date have been primarily limited to organizing and staffing our company, discovering and developing our product candidates, licensing our product candidates, maintaining and improving our patent portfolio and raising capital.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have generated significant losses to date, and we expect to continue to generate losses as we develop our product candidates. As of December 31, 2024, we had an accumulated deficit of $825.9 million. Because we do not generate revenue from any of our product candidates, our losses will continue as we further develop and seek regulatory approval for, and commercialize, our product candidates. Additionally, we expect our research and development expenses to increase over the coming years as we continue the development of our product candidates. As a result, our operating losses are likely to be substantial over the next several years and thereafter if none of our product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candidates are approved or successfully launched. We are unable to predict the extent of any future losses or when we will become profitable, if at all.</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Our management’s discussion and analysis of our financial condition and results of operations is based on our consolidated financial statements, which we have prepared in accordance with accounting principles generally accepted in the United States. The preparation of these consolidated financial statements requires us to make estimates and assumptions that affect the reported amounts of assets and liabilities and the disclosure of contingent assets and liabilities at the date of the financial statements, as well as the reported amounts of revenues and expenses during the reporting periods. Note 2 to the Consolidated Financial Statements describes the significant accounting policies and methods used in the preparation of our consolidated financial statements.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evaluate our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Revenue Recognition from Collaboration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analyze our collaboration arrangements to assess whether such arrangements, or transactions between arrangement participants, involve joint operating activities performed by parties that are both active participants in the activities and exposed to significant risks and rewards dependent on the commercial success of such activities or are more akin to a vendor-customer relationship. In making this evaluation, we consider whether the activities of the collaboration are considered to be distinct and deemed to be within the scope of the collaborative arrangement accounting standard and those that are more reflective of a vendor-customer relationship and, therefore, within the scope of the revenue with contracts with customers accounting standard. This assessment is performed throughout the life of the arrangement based on changes in the responsibilities of all parties in the arrangement.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arrangements or transactions between arrangement participants determined to be within the scope of the contracts with customers accounting standard, we evaluate the term of the arrangement and recognize revenue when the customer obtains control of promised goods or services in a contract for an amount that reflects the consideration we expect to receive in exchange for those goods or services. For contracts with customers, we apply the following five-step model, each of which requires judgment, in order to determine this amount: (1) identification of the promised goods or services in the contract; (2) determination of whether the promised goods or services are performance obligations, including whether they are distinct in the context of the contract; (3) measurement of the transaction price, including the constraint on variable consideration; (4) allocation of the transaction price to the performance obligations; and (5) recognition of revenue when (or as) we satisfy each performance obligation.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only apply the five-step model to contracts when it is probable we will collect the consideration we are entitled to in exchange for the goods or services we transfer to the customer. As part of the accounting for contracts with customers, we must develop assumptions that require judgment to determine the estimated relative standalone selling price (SSP) of each performance obligation identified in the contract. We then allocate the total transaction price to each performance obligation based on its SSP and recognize as revenue the amount of the transaction price that is allocated to the respective performance obligation when or as the performance obligation is satisfied.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account for contract modifications, defined as changes in the scope or price (or both) of a contract that are approved by the parties to the contract, such as a contract amendment, when the parties to a contract approve a modification that either creates new, or changes existing, enforceable rights and obligations of the parties to the contract. We use one of the following methods depending on facts and circumstances: (i) as a separate contract if the modification adds distinct goods or services and the price reflects the SSP of those additional goods or services; (ii) as a termination of the existing contract and creation of a new contract if the remaining goods or services are distinct from those transferred before the modification; or (iii) as a cumulative catch-up adjustment to the original contract if the remaining goods or services are not distinct from those transferred before the modification.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recognition of revenue relating to the Gilead Collaboration Agreement at commencement of the arrangement, we determined the transaction price and allocated it to a single combined performance obligation, the discovery, research and development services during the collaboration term. We estimated the SSP of extension fees and opt-in rights pursuant to the Gilead Collaboration Agreement using significant estimates, including forecasted revenues and costs, development timelines, discount rates, and probabilities of technical and regulatory success. We concluded none of the options in the contract are performance obligations at the outset of the arrangement as they are contingent upon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option exercise, are capable of being distinct from the research and development services and are not offered at a discount to their SSP.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determined the First Amendment to the Gilead Collaboration Agreement represents a contract modification within the scope of the revenue from contracts with customers guidance. We concluded there continues to be a single combined performance obligation consisting of a series of distinct research and development services, and therefore, the remaining services under the First Amendment to the Gilead Collaboration Agreement are distinct from the research and development services already provided. Accordingly, we accounted for the First Amendment as a termination of the existing contract and the creation of a new contract and are recognizing the revenue on a prospective basis by reassessing the transaction price and allocating it to the remaining research and development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evaluate each performance obligation to determine if it can be satisfied at a point in time or over time, and we measure the services delivered to the customer, which we periodically review based on the progress of the related program. We recognize revenue under the Gilead Collaboration Agreement over time using a cost-based input method, which continues to be appropriate following the First Amendment to the Gilead Collaboration Agreement. Revenue related to certain performance obligations that are satisfied over time could be materially impacted as a result of changes in the estimated total research effort required to satisfy those obligations. A hypothetical 10% change in the total estimated effort required to satisfy the single combined performance obligation related to the Gilead Collaboration Agreement would have changed the related revenue recognized during the year ended December 31, 2024 by as much as $3.5 million. The effect of any change made to an estimated input component and, therefore revenue recognized, would be recorded as a change in estimate. Such changes in estimate could have a material impact on the revenue recognized in a future period. In addition, variable consideration (including regulatory and commercial milestones) must be evaluated to determine if it is constrained and, therefore, excluded from the transaction price.</w:t>
      </w:r>
    </w:p>
    <w:p>
      <w:pPr>
        <w:pStyle w:val="TextBody"/>
        <w:bidi w:val="0"/>
        <w:spacing w:before="200" w:after="283"/>
        <w:jc w:val="both"/>
        <w:rPr>
          <w:rFonts w:ascii="Times New Roman" w:hAnsi="Times New Roman"/>
          <w:sz w:val="20"/>
        </w:rPr>
      </w:pPr>
      <w:r>
        <w:rPr>
          <w:rFonts w:ascii="Times New Roman" w:hAnsi="Times New Roman"/>
          <w:b/>
          <w:i/>
          <w:color w:val="000000"/>
          <w:sz w:val="20"/>
        </w:rPr>
        <w:t>Research and Development Contract Costs and Accruals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part of the process of preparing our consolidated financial statements, we are required to estimate certain research and development expenses. This process involves reviewing quotations and contracts, reviewing the terms of our license agreements, communicating with our vendors and applicable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Payments made prior to the receipt of goods or services to be used in research and development are capitalized until the goods or services are received. Such payments are evaluated for current or long-term classification based on when they will be realized or consumed. Examples of estimated amortized or accrued research and development expenses include fees to:</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contract research organizations (CROs) and other service providers in connection with clinical studies;</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contract manufacturing organizations (CMOs) in connection with the production of clinical trial materials;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vendors in connection with nonclinical development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base our expenses related to clinical studies on our estimates of the services received and efforts expended pursuant to contracts with multiple research institutions and CROs that conduct and manage clinical studies on our behalf. The financial terms of these agreements are subject to negotiation, vary from contract to contract and may result in uneven payment flows and expense recognition. Payments under some of these contracts depend on factors such as the successful enrollment of patients and the completion of clinical trial milestones. In either amortizing or accruing service fees, we estimate the time period over which services will be performed and the level of effort to be expended in each period. If the actual timing of the performance of services or the level of effort varies from our estimate, we adjust the related prepayment or accrual accordingly. Our understanding of the status and timing of services performed relative to the actual status and timing of services performed may vary and may result in our reporting changes in estimates in any particular period. Adjustments to prior period estimates have not been material for the years ended December 31, 2024 and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Comparison of the Years Ended December 31, 2024 and 2023</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Collaboration Revenue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summarizes the period-over-period changes in our collaboration revenue (in thousands, except for percentages):</w:t>
      </w:r>
    </w:p>
    <w:tbl>
      <w:tblPr>
        <w:tblW w:w="7210" w:type="dxa"/>
        <w:jc w:val="left"/>
        <w:tblInd w:w="0" w:type="dxa"/>
        <w:tblLayout w:type="fixed"/>
        <w:tblCellMar>
          <w:top w:w="28" w:type="dxa"/>
          <w:left w:w="28" w:type="dxa"/>
          <w:bottom w:w="28" w:type="dxa"/>
          <w:right w:w="28" w:type="dxa"/>
        </w:tblCellMar>
      </w:tblPr>
      <w:tblGrid>
        <w:gridCol w:w="1951"/>
        <w:gridCol w:w="146"/>
        <w:gridCol w:w="214"/>
        <w:gridCol w:w="688"/>
        <w:gridCol w:w="148"/>
        <w:gridCol w:w="148"/>
        <w:gridCol w:w="214"/>
        <w:gridCol w:w="581"/>
        <w:gridCol w:w="146"/>
        <w:gridCol w:w="146"/>
        <w:gridCol w:w="264"/>
        <w:gridCol w:w="846"/>
        <w:gridCol w:w="146"/>
        <w:gridCol w:w="146"/>
        <w:gridCol w:w="285"/>
        <w:gridCol w:w="825"/>
        <w:gridCol w:w="316"/>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28,520</w:t>
            </w:r>
          </w:p>
        </w:tc>
        <w:tc>
          <w:tcPr>
            <w:tcW w:w="1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21,357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298</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Collaboration revenue was $28.5 million for the year ended December 31, 2024 compared to $7.2 million for the year ended December 31, 2023. The $21.4 million increase in collaboration revenue was driven by recognizing a full year of revenue in 2024 under the Gilead Collaboration Agreement, which was entered into in October 2023. Collaboration revenue for 2023 also includes recognizing the remaining $2.7 million of deferred revenue under our Collaboration Agreement with BeiGene, Ltd. (BeiGene) upon our discontinuing development of ABI-H3733 (3733), which left no products licensed to BeiGene and no remaining performance obligations. </w:t>
      </w:r>
    </w:p>
    <w:p>
      <w:pPr>
        <w:pStyle w:val="TextBody"/>
        <w:bidi w:val="0"/>
        <w:spacing w:before="200" w:after="283"/>
        <w:jc w:val="both"/>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Research and development expenses consist primarily of employee-related expenses, fees paid to CROs and CMOs, lab supplies and other third-party expenses that support our research and discovery, nonclinical and clinical activities. External costs represent a significant portion of our research and development expenses, which we track on a program-by-program basis following the nomination of a development candidate. We use our employee and infrastructure resources, as well as certain third-party costs, across multiple research and development programs, and we do not specifically allocate these costs to our programs.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period-over-period changes in our research and development expenses (in thousands, except for percentages):</w:t>
      </w:r>
    </w:p>
    <w:p>
      <w:pPr>
        <w:pStyle w:val="TextBody"/>
        <w:bidi w:val="0"/>
        <w:jc w:val="both"/>
        <w:rPr/>
      </w:pPr>
      <w:r>
        <w:rPr/>
        <w:t> </w:t>
      </w:r>
    </w:p>
    <w:tbl>
      <w:tblPr>
        <w:tblW w:w="9373" w:type="dxa"/>
        <w:jc w:val="left"/>
        <w:tblInd w:w="0" w:type="dxa"/>
        <w:tblLayout w:type="fixed"/>
        <w:tblCellMar>
          <w:top w:w="28" w:type="dxa"/>
          <w:left w:w="28" w:type="dxa"/>
          <w:bottom w:w="28" w:type="dxa"/>
          <w:right w:w="28" w:type="dxa"/>
        </w:tblCellMar>
      </w:tblPr>
      <w:tblGrid>
        <w:gridCol w:w="3556"/>
        <w:gridCol w:w="146"/>
        <w:gridCol w:w="211"/>
        <w:gridCol w:w="676"/>
        <w:gridCol w:w="166"/>
        <w:gridCol w:w="331"/>
        <w:gridCol w:w="211"/>
        <w:gridCol w:w="676"/>
        <w:gridCol w:w="146"/>
        <w:gridCol w:w="146"/>
        <w:gridCol w:w="278"/>
        <w:gridCol w:w="832"/>
        <w:gridCol w:w="166"/>
        <w:gridCol w:w="146"/>
        <w:gridCol w:w="241"/>
        <w:gridCol w:w="869"/>
        <w:gridCol w:w="576"/>
      </w:tblGrid>
      <w:tr>
        <w:trPr/>
        <w:tc>
          <w:tcPr>
            <w:tcW w:w="3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External program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11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1110" w:type="dxa"/>
            <w:gridSpan w:val="2"/>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discovery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6250</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6,396</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1419</w:t>
            </w:r>
          </w:p>
        </w:tc>
        <w:tc>
          <w:tcPr>
            <w:tcW w:w="5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5366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1179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4334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Vebicorvir (VBR)</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3"/>
              </w:rPr>
              <w:t>(1)</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(1,798</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576" w:type="dxa"/>
            <w:tcBorders/>
            <w:shd w:fill="CCEC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3733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ABI-H2158</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57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external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and contractor-related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23,819</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22,956</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Facility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5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55,933</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33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48,900</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7,033</w:t>
            </w:r>
          </w:p>
        </w:tc>
        <w:tc>
          <w:tcPr>
            <w:tcW w:w="16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pPr>
            <w:r>
              <w:rPr/>
              <w:t> </w:t>
            </w:r>
          </w:p>
        </w:tc>
        <w:tc>
          <w:tcPr>
            <w:tcW w:w="241"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76" w:type="dxa"/>
            <w:tcBorders>
              <w:bottom w:val="double" w:sz="6" w:space="0" w:color="000000"/>
            </w:tcBorders>
            <w:shd w:fill="CCEC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rFonts w:ascii="Times New Roman" w:hAnsi="Times New Roman"/>
          <w:sz w:val="20"/>
        </w:rPr>
      </w:pPr>
      <w:r>
        <w:rPr>
          <w:rFonts w:ascii="Times New Roman" w:hAnsi="Times New Roman"/>
          <w:color w:val="000000"/>
          <w:sz w:val="13"/>
        </w:rPr>
        <w:t xml:space="preserve">(1) </w:t>
      </w:r>
      <w:r>
        <w:rPr>
          <w:rFonts w:ascii="Times New Roman" w:hAnsi="Times New Roman"/>
          <w:color w:val="000000"/>
          <w:sz w:val="16"/>
        </w:rPr>
        <w:t>Reflects net amounts refundable to us after the final reconciliation of costs of the clinical trial conducted pursuant to the Clinical Trial Collaboration Agreement with Arbutus Biopharma Corporation, which was terminated in February 2023.</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Research and development expenses were $55.9 million for the year ended December 31, 2024 compared to $48.9 million for the year ended December 31, 2023. The $7.0 million increase in research and development expenses was primarily driven by increases in </w:t>
      </w:r>
      <w:r>
        <w:rPr>
          <w:rFonts w:ascii="Times New Roman" w:hAnsi="Times New Roman"/>
          <w:color w:val="242424"/>
          <w:sz w:val="20"/>
        </w:rPr>
        <w:t xml:space="preserve">external program expenses </w:t>
      </w:r>
      <w:r>
        <w:rPr>
          <w:rFonts w:ascii="Times New Roman" w:hAnsi="Times New Roman"/>
          <w:color w:val="000000"/>
          <w:sz w:val="20"/>
        </w:rPr>
        <w:t xml:space="preserve">from the advancement and expansion of our pipeline, most notably from our recurrent genital herpes programs, 1179 and 5366, as well as our HDV entry inhibitor, 6250. These increases in external expenses were partially offset by savings from our discontinuation of 3733 and VBR. </w:t>
      </w:r>
      <w:r>
        <w:rPr>
          <w:rFonts w:ascii="Times New Roman" w:hAnsi="Times New Roman"/>
          <w:color w:val="242424"/>
          <w:sz w:val="20"/>
        </w:rPr>
        <w:t xml:space="preserve">We also experienced a </w:t>
      </w:r>
      <w:r>
        <w:rPr>
          <w:rFonts w:ascii="Times New Roman" w:hAnsi="Times New Roman"/>
          <w:color w:val="000000"/>
          <w:sz w:val="20"/>
        </w:rPr>
        <w:t>$0.9 million</w:t>
      </w:r>
      <w:r>
        <w:rPr>
          <w:rFonts w:ascii="Times New Roman" w:hAnsi="Times New Roman"/>
          <w:color w:val="242424"/>
          <w:sz w:val="20"/>
        </w:rPr>
        <w:t xml:space="preserve"> increase in employee and contractor-related expenses due to higher headcount and increased travel costs as a result of having an expanded pipeline with more candidates entering the clinic in 2024.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color w:val="242424"/>
          <w:sz w:val="20"/>
        </w:rPr>
        <w:t xml:space="preserve">overall increase was further </w:t>
      </w:r>
      <w:r>
        <w:rPr>
          <w:rFonts w:ascii="Times New Roman" w:hAnsi="Times New Roman"/>
          <w:color w:val="000000"/>
          <w:sz w:val="20"/>
        </w:rPr>
        <w:t>offset by a $1.9 million</w:t>
      </w:r>
      <w:r>
        <w:rPr>
          <w:rFonts w:ascii="Times New Roman" w:hAnsi="Times New Roman"/>
          <w:color w:val="242424"/>
          <w:sz w:val="20"/>
        </w:rPr>
        <w:t xml:space="preserve"> </w:t>
      </w:r>
      <w:r>
        <w:rPr>
          <w:rFonts w:ascii="Times New Roman" w:hAnsi="Times New Roman"/>
          <w:color w:val="000000"/>
          <w:sz w:val="20"/>
        </w:rPr>
        <w:t xml:space="preserve">decrease </w:t>
      </w:r>
      <w:r>
        <w:rPr>
          <w:rFonts w:ascii="Times New Roman" w:hAnsi="Times New Roman"/>
          <w:color w:val="242424"/>
          <w:sz w:val="20"/>
        </w:rPr>
        <w:t>in our facility and other expenses, reflecting cost savings in rent and related expenses from our corporate headquarters sublease, which commenced in November 2023.</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General and administrative expenses consist primarily of salaries and other related costs for personnel in executive, finance, accounting, business development, information technology, legal and human resources functions. Other significant costs include facility costs not otherwise included in research and development expenses, insurance costs, legal fees relating to patents and corporate matters and fees for accounting and consulting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period-over-period change in our general and administrative expenses (in thousands, except for percentages):</w:t>
      </w:r>
    </w:p>
    <w:p>
      <w:pPr>
        <w:pStyle w:val="TextBody"/>
        <w:bidi w:val="0"/>
        <w:jc w:val="both"/>
        <w:rPr/>
      </w:pPr>
      <w:r>
        <w:rPr/>
        <w:t> </w:t>
      </w:r>
    </w:p>
    <w:tbl>
      <w:tblPr>
        <w:tblW w:w="8503" w:type="dxa"/>
        <w:jc w:val="left"/>
        <w:tblInd w:w="0" w:type="dxa"/>
        <w:tblLayout w:type="fixed"/>
        <w:tblCellMar>
          <w:top w:w="28" w:type="dxa"/>
          <w:left w:w="28" w:type="dxa"/>
          <w:bottom w:w="28" w:type="dxa"/>
          <w:right w:w="28" w:type="dxa"/>
        </w:tblCellMar>
      </w:tblPr>
      <w:tblGrid>
        <w:gridCol w:w="3091"/>
        <w:gridCol w:w="146"/>
        <w:gridCol w:w="211"/>
        <w:gridCol w:w="676"/>
        <w:gridCol w:w="146"/>
        <w:gridCol w:w="146"/>
        <w:gridCol w:w="211"/>
        <w:gridCol w:w="676"/>
        <w:gridCol w:w="146"/>
        <w:gridCol w:w="146"/>
        <w:gridCol w:w="278"/>
        <w:gridCol w:w="832"/>
        <w:gridCol w:w="166"/>
        <w:gridCol w:w="146"/>
        <w:gridCol w:w="309"/>
        <w:gridCol w:w="801"/>
        <w:gridCol w:w="376"/>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22,909</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(4,902</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09"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sz w:val="20"/>
        </w:rPr>
      </w:pPr>
      <w:r>
        <w:rPr>
          <w:rFonts w:ascii="Times New Roman" w:hAnsi="Times New Roman"/>
          <w:color w:val="000000"/>
          <w:sz w:val="20"/>
        </w:rPr>
        <w:t xml:space="preserve">General and administrative expenses were $18.0 million for the year ended December 31, 2024, compared to $22.9 million for the year ended December 31, 2023. The $4.9 million decrease in general and administrative expenses was primarily due to higher </w:t>
      </w:r>
      <w:r>
        <w:rPr>
          <w:rFonts w:ascii="Times New Roman" w:hAnsi="Times New Roman"/>
          <w:color w:val="242424"/>
          <w:sz w:val="20"/>
        </w:rPr>
        <w:t>legal expenses incurred in 2023 related to the Gilead Collaboration, as well as higher stock-based compensation expense in 2023, mainly resulting from the vesting of restricted stock awards with performance based-vesting conditions.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Interest and Other Income, Net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income consists of interest earned on our cash and cash equivalents and available-for-sale marketable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the period-over-period changes in our interest and other income, net (in thousands, except for percentages):</w:t>
      </w:r>
    </w:p>
    <w:p>
      <w:pPr>
        <w:pStyle w:val="TextBody"/>
        <w:bidi w:val="0"/>
        <w:jc w:val="both"/>
        <w:rPr/>
      </w:pPr>
      <w:r>
        <w:rPr/>
        <w:t> </w:t>
      </w:r>
    </w:p>
    <w:tbl>
      <w:tblPr>
        <w:tblW w:w="7781" w:type="dxa"/>
        <w:jc w:val="left"/>
        <w:tblInd w:w="0" w:type="dxa"/>
        <w:tblLayout w:type="fixed"/>
        <w:tblCellMar>
          <w:top w:w="28" w:type="dxa"/>
          <w:left w:w="28" w:type="dxa"/>
          <w:bottom w:w="28" w:type="dxa"/>
          <w:right w:w="28" w:type="dxa"/>
        </w:tblCellMar>
      </w:tblPr>
      <w:tblGrid>
        <w:gridCol w:w="2521"/>
        <w:gridCol w:w="146"/>
        <w:gridCol w:w="226"/>
        <w:gridCol w:w="614"/>
        <w:gridCol w:w="157"/>
        <w:gridCol w:w="157"/>
        <w:gridCol w:w="226"/>
        <w:gridCol w:w="614"/>
        <w:gridCol w:w="146"/>
        <w:gridCol w:w="146"/>
        <w:gridCol w:w="298"/>
        <w:gridCol w:w="812"/>
        <w:gridCol w:w="146"/>
        <w:gridCol w:w="146"/>
        <w:gridCol w:w="350"/>
        <w:gridCol w:w="760"/>
        <w:gridCol w:w="31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2"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35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760"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Interest and other income, net was $5.6 million for the year ended December 31, 2024, compared to $3.5 million for the year ended December 31, 2023. The increase of $2.1 million was primarily due to more interest income earned on marketable securities resulting from having a larger portfolio balance after the receipt of $100.0 million upon entering into the Gilead Collaboration in October 2023 and multiple equity financings entered into in 2024.</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Income Tax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summarizes the period-over-period changes in our income tax expense (in thousands, except for percentages): </w:t>
      </w:r>
    </w:p>
    <w:p>
      <w:pPr>
        <w:pStyle w:val="TextBody"/>
        <w:bidi w:val="0"/>
        <w:spacing w:before="200" w:after="283"/>
        <w:jc w:val="both"/>
        <w:rPr/>
      </w:pPr>
      <w:r>
        <w:rPr/>
        <w:t> </w:t>
      </w:r>
    </w:p>
    <w:tbl>
      <w:tblPr>
        <w:tblW w:w="6985" w:type="dxa"/>
        <w:jc w:val="left"/>
        <w:tblInd w:w="0" w:type="dxa"/>
        <w:tblLayout w:type="fixed"/>
        <w:tblCellMar>
          <w:top w:w="28" w:type="dxa"/>
          <w:left w:w="28" w:type="dxa"/>
          <w:bottom w:w="28" w:type="dxa"/>
          <w:right w:w="28" w:type="dxa"/>
        </w:tblCellMar>
      </w:tblPr>
      <w:tblGrid>
        <w:gridCol w:w="1726"/>
        <w:gridCol w:w="146"/>
        <w:gridCol w:w="290"/>
        <w:gridCol w:w="579"/>
        <w:gridCol w:w="200"/>
        <w:gridCol w:w="200"/>
        <w:gridCol w:w="290"/>
        <w:gridCol w:w="434"/>
        <w:gridCol w:w="146"/>
        <w:gridCol w:w="146"/>
        <w:gridCol w:w="369"/>
        <w:gridCol w:w="741"/>
        <w:gridCol w:w="146"/>
        <w:gridCol w:w="146"/>
        <w:gridCol w:w="285"/>
        <w:gridCol w:w="825"/>
        <w:gridCol w:w="316"/>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vs. 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9"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90"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34"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369"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297</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right"/>
              <w:rPr/>
            </w:pPr>
            <w:r>
              <w:rPr/>
              <w:t> </w:t>
            </w:r>
          </w:p>
        </w:tc>
        <w:tc>
          <w:tcPr>
            <w:tcW w:w="285"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900</w:t>
            </w:r>
          </w:p>
        </w:tc>
        <w:tc>
          <w:tcPr>
            <w:tcW w:w="31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Income tax expense was $0.3 million for the year ended December 31, 2024 due to taxable income incurred from the upfront payments received under the Gilead Collaboration in 2023. Income tax expense was insignificant during the year ended December 31, 2023.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December 31, 2024 principally through equity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financings, raising an aggregate of $648.0 million in net proceeds, and strategic collaborations, raising an aggregate of $200.9 million.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Future Funding Requirements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expect our future operating expenses to increase substantially over the coming years as we continue to advance our candidates into the clinic. We monitor our cash needs and the status of the capital markets on a continuous basis. From time to time, we opportunistically raise capital and have done so numerous times since our initial public offering by issuing equity securities. We expect to continue to raise capital when and as needed and at the time and in the manner most advantageous to us.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We expect our existing cash, cash equivalents and marketable securities will enable us to fund our operations into the middle of 2026. We have based this estimate on assumptions that may prove to be wrong, and we may utilize our available capital resources sooner than we currently expect. Our contractual obligations include operating lease obligations totaling $3.9 million as of December 31, 2024, of which $0.8 million are short-term. We also enter into contracts in the normal course of business with CROs for clinical trials and CMOs for clinical supply manufacturing and with vendors for nonclinical research studies and other services and products for operating purposes, which generally provide for termination within 30 days of notice.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future capital requirements will depend on many factors, including:</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raise capital despite macroeconomic and geopolitical events impacting financial markets, such as rising inflation, potential effects of changes in federal government regulation or policies, including changes in or new tariffs, and market volatility;</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realize future potential benefits pursuant to the Gilead Collaboration and maintain the collaboration;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scope, progress, results and costs of our ongoing drug discovery, nonclinical development, laboratory testing and clinical studies of our product candidates and any additional clinical studies we may conduct in the future;</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ability to manufacture, and to contract with third parties to manufacture, adequate supplies of our product candidates for our clinical studies and any eventual commercialization;</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costs, timing and outcome of regulatory review of our product candidates; and</w:t>
      </w:r>
    </w:p>
    <w:p>
      <w:pPr>
        <w:pStyle w:val="TextBody"/>
        <w:bidi w:val="0"/>
        <w:spacing w:before="200" w:after="283"/>
        <w:jc w:val="both"/>
        <w:rPr>
          <w:color w:val="000000"/>
        </w:rPr>
      </w:pPr>
      <w:r>
        <w:rPr>
          <w:color w:val="000000"/>
        </w:rPr>
        <w: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costs of preparing, filing and prosecuting patent applications in the United States and abroad, maintaining and enforcing our intellectual property rights and defending intellectual property-related claims.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likely be derived from sales of medicines that we do not expect to be commercially available for years, if at all. Accordingly, we will need to continue to rely on additional financings to achieve our business objectives. Adequate additional financings may not be available to us on acceptable terms, or at all. To the extent that we raise additional capital through the sale of equity,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 If we are unable to raise additional funds when needed, we may be required to reduce staff, delay, scale back or discontinue our product development and clinical studies or grant rights to develop and market product candidates that we would otherwise prefer to develop and market ourselves.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sz w:val="20"/>
        </w:rPr>
      </w:pPr>
      <w:r>
        <w:rPr>
          <w:rFonts w:ascii="Times New Roman" w:hAnsi="Times New Roman"/>
          <w:b/>
          <w:i/>
          <w:color w:val="000000"/>
          <w:sz w:val="20"/>
        </w:rPr>
        <w:t>Cash Flows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 summarizes our cash flows for the periods presented (in thousands):</w:t>
      </w:r>
    </w:p>
    <w:p>
      <w:pPr>
        <w:pStyle w:val="TextBody"/>
        <w:bidi w:val="0"/>
        <w:jc w:val="both"/>
        <w:rPr/>
      </w:pPr>
      <w:r>
        <w:rPr/>
        <w:t> </w:t>
      </w:r>
    </w:p>
    <w:tbl>
      <w:tblPr>
        <w:tblW w:w="7264" w:type="dxa"/>
        <w:jc w:val="left"/>
        <w:tblInd w:w="0" w:type="dxa"/>
        <w:tblLayout w:type="fixed"/>
        <w:tblCellMar>
          <w:top w:w="28" w:type="dxa"/>
          <w:left w:w="28" w:type="dxa"/>
          <w:bottom w:w="28" w:type="dxa"/>
          <w:right w:w="28" w:type="dxa"/>
        </w:tblCellMar>
      </w:tblPr>
      <w:tblGrid>
        <w:gridCol w:w="4521"/>
        <w:gridCol w:w="146"/>
        <w:gridCol w:w="211"/>
        <w:gridCol w:w="736"/>
        <w:gridCol w:w="166"/>
        <w:gridCol w:w="146"/>
        <w:gridCol w:w="211"/>
        <w:gridCol w:w="736"/>
        <w:gridCol w:w="391"/>
      </w:tblGrid>
      <w:tr>
        <w:trPr/>
        <w:tc>
          <w:tcPr>
            <w:tcW w:w="4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operating activities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(51,117</w:t>
            </w:r>
          </w:p>
        </w:tc>
        <w:tc>
          <w:tcPr>
            <w:tcW w:w="166"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CEC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22,743</w:t>
            </w:r>
          </w:p>
        </w:tc>
        <w:tc>
          <w:tcPr>
            <w:tcW w:w="39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(69,138</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52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29,449</w:t>
            </w:r>
          </w:p>
        </w:tc>
        <w:tc>
          <w:tcPr>
            <w:tcW w:w="16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CEC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13,818</w:t>
            </w:r>
          </w:p>
        </w:tc>
        <w:tc>
          <w:tcPr>
            <w:tcW w:w="391" w:type="dxa"/>
            <w:tcBorders>
              <w:bottom w:val="single" w:sz="4" w:space="0" w:color="000000"/>
            </w:tcBorders>
            <w:shd w:fill="CCEC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2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(32,577</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Operating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used in operating activities for the year ended December 31, 2024 was $51.1 million, compared to net cash provided by operating activities of $22.7 million for the same period in 2023. The decrease in operating cash flows was primarily due to $90.7 million received under the Gilead Collaboration Agreement in 2023, partially offset by cost savings in rent and related expenses attributable to our corporate headquarters sublease, which commenced in November 2023, and the timing of vendor invoicing and payments.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Investing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investing activities for the year ended December 31, 2024 was $40.2 million, compared to net cash used in investing activities of $69.1 million for the same period in 2023. The increase in cash flows from investing was due to higher proceeds from maturities of our marketable securities, which exceeded purchases in 2024. In contrast, in 2023 our purchases of marketable securities exceeded proceeds because of additional funds available to invest from the upfront payment received from Gilead under the Gilead Collaboration Agreement.</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Financing Activities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Net cash provided by financing activities for the year ended December 31, 2024 was $29.4 million, compared to $13.8 million for the same period in 2023. The increase in financing cash flows was primarily driven by the sale of 0.6 million more shares of our common stock through multiple equity financings in 2024 and at an increased price per share compared to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b/>
          <w:color w:val="000000"/>
          <w:sz w:val="20"/>
        </w:rPr>
      </w:pPr>
      <w:bookmarkStart w:id="14" w:name="item_7a_quantitative_qualitative_disclos"/>
      <w:bookmarkEnd w:id="14"/>
      <w:r>
        <w:rPr>
          <w:rFonts w:ascii="Times New Roman" w:hAnsi="Times New Roman"/>
          <w:b/>
          <w:color w:val="000000"/>
          <w:sz w:val="20"/>
        </w:rPr>
        <w:t>Item 7A. Quantitative and Qualitative Disclosures about Market Risk</w:t>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b/>
          <w:color w:val="000000"/>
          <w:sz w:val="20"/>
        </w:rPr>
      </w:pPr>
      <w:bookmarkStart w:id="15" w:name="item_8_financial_statements_supplementar"/>
      <w:bookmarkEnd w:id="15"/>
      <w:r>
        <w:rPr>
          <w:rFonts w:ascii="Times New Roman" w:hAnsi="Times New Roman"/>
          <w:b/>
          <w:color w:val="000000"/>
          <w:sz w:val="20"/>
        </w:rPr>
        <w:t>Item 8. Financial Statements and Supplementary Data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financial statements required to be filed pursuant to this Item 8 are appended to this report. An index of those financial statements is found on page F-1.</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Supplementary Data</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b/>
          <w:color w:val="000000"/>
          <w:sz w:val="20"/>
        </w:rPr>
      </w:pPr>
      <w:bookmarkStart w:id="16" w:name="item_9_changes_in_disagreements_with_acc"/>
      <w:bookmarkEnd w:id="16"/>
      <w:r>
        <w:rPr>
          <w:rFonts w:ascii="Times New Roman" w:hAnsi="Times New Roman"/>
          <w:b/>
          <w:color w:val="000000"/>
          <w:sz w:val="20"/>
        </w:rPr>
        <w:t>Item 9. Changes in and Disagreements with Accountants on Accounting and Financial Disclosure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00" w:after="283"/>
        <w:jc w:val="both"/>
        <w:rPr>
          <w:rFonts w:ascii="Times New Roman" w:hAnsi="Times New Roman"/>
          <w:sz w:val="20"/>
        </w:rPr>
      </w:pPr>
      <w:bookmarkStart w:id="17" w:name="item_9a_controls_procedures"/>
      <w:bookmarkEnd w:id="17"/>
      <w:r>
        <w:rPr>
          <w:rFonts w:ascii="Times New Roman" w:hAnsi="Times New Roman"/>
          <w:b/>
          <w:color w:val="000000"/>
          <w:sz w:val="20"/>
        </w:rPr>
        <w:t>Item 9A.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maintain a system of disclosure controls and procedures, as defined in Rule 13a-15(e) promulgated under the Securities and Exchange Act of 1934, as amended (the Exchange Act), that is designed to provide reasonable assurance that information, which is required to be disclosed in our reports filed pursuant to the Exchange Act, is accumulated and communicated to management in a timely manner. At the end of fiscal year ending December 31, 2024, we carried out an evaluation, under the supervision, and with the participation of, our management, including our Chief Executive Officer and President, who serves as our principal executive officer and principal financial officer, of the effectiveness of the design and operation of our disclosure controls and procedures pursuant to Exchange Act Rule 13a-15(b). Based upon that evaluation, our Chief Executive Officer and President concluded that our disclosure controls and procedures for the fiscal year ending as of December 31, 2024 were effective at reasonable assurance levels.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Management’s Annual Report on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management is responsible for establishing and maintaining adequate internal control over financial reporting, as such term is defined in Exchange Act Rule 13a-15(f). Our internal control over financial reporting is designed to provide reasonable assurance to our management and board of directors regarding the preparation and fair presentation of published financial statements. A control system, no matter how well designed and operated, can only provide reasonable, not absolute, assurance that the objectives of the control system are met. Because of these inherent limitations, management does not expect that our internal controls over financial reporting will prevent all error and all fraud. Under the supervision and with the participation of our management, including our Chief Executive Officer and President, who serves as our principal executive officer and principal financial officer, we conducted an evaluation of the effectiveness of our internal control over financial reporting based on the framework in Internal Control-Integrated Framework issued in 2013 by the Committee of Sponsoring Organizations of the Treadway Commission. Based on our evaluation under the framework in Internal Control-Integrated Framework, our management concluded that our internal control over financial reporting was effective as of December 31, 2024.</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changes in our internal control over financial reporting in the fourth quarter of 2024 that materially affected, or are reasonably likely to materially affect, our internal control over financial reporting.</w:t>
      </w:r>
    </w:p>
    <w:p>
      <w:pPr>
        <w:pStyle w:val="TextBody"/>
        <w:bidi w:val="0"/>
        <w:spacing w:before="200" w:after="283"/>
        <w:jc w:val="both"/>
        <w:rPr>
          <w:rFonts w:ascii="Times New Roman" w:hAnsi="Times New Roman"/>
          <w:sz w:val="20"/>
        </w:rPr>
      </w:pPr>
      <w:bookmarkStart w:id="18" w:name="item_9b_or_information"/>
      <w:bookmarkEnd w:id="18"/>
      <w:r>
        <w:rPr>
          <w:rFonts w:ascii="Times New Roman" w:hAnsi="Times New Roman"/>
          <w:b/>
          <w:color w:val="000000"/>
          <w:sz w:val="20"/>
        </w:rPr>
        <w:t>Item 9B.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00" w:after="283"/>
        <w:jc w:val="both"/>
        <w:rPr>
          <w:rFonts w:ascii="Times New Roman" w:hAnsi="Times New Roman"/>
          <w:b/>
          <w:color w:val="000000"/>
          <w:sz w:val="20"/>
        </w:rPr>
      </w:pPr>
      <w:bookmarkStart w:id="19" w:name="item_9c_discl_reg_foreign_jurisdictions"/>
      <w:bookmarkEnd w:id="19"/>
      <w:r>
        <w:rPr>
          <w:rFonts w:ascii="Times New Roman" w:hAnsi="Times New Roman"/>
          <w:b/>
          <w:color w:val="000000"/>
          <w:sz w:val="20"/>
        </w:rPr>
        <w:t>Item 9C. Disclosure Regarding Foreign Jurisdictions that Prevent Inspections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20" w:name="part_iii"/>
      <w:bookmarkEnd w:id="20"/>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III</w:t>
      </w:r>
    </w:p>
    <w:p>
      <w:pPr>
        <w:pStyle w:val="TextBody"/>
        <w:bidi w:val="0"/>
        <w:spacing w:before="200" w:after="283"/>
        <w:jc w:val="both"/>
        <w:rPr>
          <w:rFonts w:ascii="Times New Roman" w:hAnsi="Times New Roman"/>
          <w:b/>
          <w:color w:val="000000"/>
          <w:sz w:val="20"/>
        </w:rPr>
      </w:pPr>
      <w:bookmarkStart w:id="21" w:name="item_10_directors_executive_ficers_corpo"/>
      <w:bookmarkEnd w:id="21"/>
      <w:r>
        <w:rPr>
          <w:rFonts w:ascii="Times New Roman" w:hAnsi="Times New Roman"/>
          <w:b/>
          <w:color w:val="000000"/>
          <w:sz w:val="20"/>
        </w:rPr>
        <w:t>Item 10. Directors, Executive Officers and Corporate Governance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Except as set forth below, the information required by this item will be contained in our definitive proxy statement to be filed with the SEC in connection with the Annual Meeting of Stockholders (Proxy Statement) within 120 days after the conclusion of our fiscal year ended December 31, 2024 and is incorporated in this Annual Report on Form 10-K by reference.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Code of Ethics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Board has adopted a Code of Ethics for our principal executive officer and all senior financial officers and a Code of Conduct applicable to all of our employees and our directors. Both Codes are available under the “Investors—Corporate Governance” section of our website at www.assemblybio.com. If we make any substantive amendments to, or grant any waivers from, the Code of Ethics for our principal executive officer, principal financial officer, principal accounting officer, controller or persons performing similar functions, or any officer or director, we will disclose the nature of such amendment or waiver on our website or in a Current Report on Form 8-K.</w:t>
      </w:r>
    </w:p>
    <w:p>
      <w:pPr>
        <w:pStyle w:val="TextBody"/>
        <w:bidi w:val="0"/>
        <w:spacing w:before="200" w:after="283"/>
        <w:jc w:val="both"/>
        <w:rPr>
          <w:rFonts w:ascii="Times New Roman" w:hAnsi="Times New Roman"/>
          <w:b/>
          <w:color w:val="000000"/>
          <w:sz w:val="20"/>
        </w:rPr>
      </w:pPr>
      <w:bookmarkStart w:id="22" w:name="item_11_executive_compensation"/>
      <w:bookmarkEnd w:id="22"/>
      <w:r>
        <w:rPr>
          <w:rFonts w:ascii="Times New Roman" w:hAnsi="Times New Roman"/>
          <w:b/>
          <w:color w:val="000000"/>
          <w:sz w:val="20"/>
        </w:rPr>
        <w:t>Item 11. Executive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this item will be contained in the Proxy Statement and is incorporated into this Annual Report on Form 10-K by reference.</w:t>
      </w:r>
    </w:p>
    <w:p>
      <w:pPr>
        <w:pStyle w:val="TextBody"/>
        <w:bidi w:val="0"/>
        <w:spacing w:before="200" w:after="283"/>
        <w:jc w:val="both"/>
        <w:rPr>
          <w:rFonts w:ascii="Times New Roman" w:hAnsi="Times New Roman"/>
          <w:b/>
          <w:color w:val="000000"/>
          <w:sz w:val="20"/>
        </w:rPr>
      </w:pPr>
      <w:bookmarkStart w:id="23" w:name="item_12_security_ownership_certain_benef"/>
      <w:bookmarkEnd w:id="23"/>
      <w:r>
        <w:rPr>
          <w:rFonts w:ascii="Times New Roman" w:hAnsi="Times New Roman"/>
          <w:b/>
          <w:color w:val="000000"/>
          <w:sz w:val="20"/>
        </w:rPr>
        <w:t>Item 12. Security Ownership of Certain Beneficial Owners and Management and Related Stockholder Matters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Except for the table regarding equity compensation plans, the information required by this item will be contained in the Proxy Statement and is incorporated into this Annual Report on Form 10-K by reference.</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Securities Authorized for Issuance Under Equity Compensation Plans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sets forth the indicated information as of December 31, 2024 with respect to our equity compensation plans.</w:t>
      </w:r>
    </w:p>
    <w:tbl>
      <w:tblPr>
        <w:tblW w:w="9987" w:type="dxa"/>
        <w:jc w:val="left"/>
        <w:tblInd w:w="0" w:type="dxa"/>
        <w:tblLayout w:type="fixed"/>
        <w:tblCellMar>
          <w:top w:w="28" w:type="dxa"/>
          <w:left w:w="28" w:type="dxa"/>
          <w:bottom w:w="28" w:type="dxa"/>
          <w:right w:w="28" w:type="dxa"/>
        </w:tblCellMar>
      </w:tblPr>
      <w:tblGrid>
        <w:gridCol w:w="5056"/>
        <w:gridCol w:w="146"/>
        <w:gridCol w:w="148"/>
        <w:gridCol w:w="948"/>
        <w:gridCol w:w="146"/>
        <w:gridCol w:w="271"/>
        <w:gridCol w:w="146"/>
        <w:gridCol w:w="295"/>
        <w:gridCol w:w="801"/>
        <w:gridCol w:w="146"/>
        <w:gridCol w:w="146"/>
        <w:gridCol w:w="200"/>
        <w:gridCol w:w="1076"/>
        <w:gridCol w:w="146"/>
        <w:gridCol w:w="316"/>
      </w:tblGrid>
      <w:tr>
        <w:trPr/>
        <w:tc>
          <w:tcPr>
            <w:tcW w:w="5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Plan Category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securities</w:t>
              <w:br/>
              <w:t>to be issued</w:t>
              <w:br/>
              <w:t>upon</w:t>
              <w:br/>
              <w:t>exercise of</w:t>
              <w:br/>
              <w:t>outstanding</w:t>
              <w:br/>
              <w:t>options,</w:t>
              <w:br/>
              <w:t>warrants</w:t>
              <w:br/>
              <w:t>and rights</w:t>
              <w:br/>
              <w:t>(a)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Weighted</w:t>
              <w:br/>
              <w:t>average</w:t>
              <w:br/>
              <w:t>exercise</w:t>
              <w:br/>
              <w:t>price of</w:t>
              <w:br/>
              <w:t>outstanding</w:t>
              <w:br/>
              <w:t>options,</w:t>
              <w:br/>
              <w:t>warrants</w:t>
              <w:br/>
              <w:t>and</w:t>
              <w:br/>
              <w:t>rights</w:t>
            </w:r>
            <w:r>
              <w:rPr>
                <w:rFonts w:ascii="Times New Roman" w:hAnsi="Times New Roman"/>
                <w:b/>
                <w:color w:val="000000"/>
                <w:sz w:val="13"/>
              </w:rPr>
              <w:t>(1)</w:t>
            </w:r>
            <w:r>
              <w:rPr>
                <w:rFonts w:ascii="Times New Roman" w:hAnsi="Times New Roman"/>
                <w:b/>
                <w:color w:val="000000"/>
                <w:sz w:val="20"/>
              </w:rPr>
              <w:br/>
              <w:t>(b)</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securities</w:t>
              <w:br/>
              <w:t>remaining</w:t>
              <w:br/>
              <w:t>available for</w:t>
              <w:br/>
              <w:t>future</w:t>
              <w:br/>
              <w:t>issuance</w:t>
              <w:br/>
              <w:t>under equity</w:t>
              <w:br/>
              <w:t>compensation</w:t>
              <w:br/>
              <w:t>plans</w:t>
              <w:br/>
              <w:t>(excluding</w:t>
              <w:br/>
              <w:t>securities</w:t>
              <w:br/>
              <w:t>reflected in</w:t>
              <w:br/>
              <w:t>column (a))</w:t>
              <w:br/>
              <w:t>(c)</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approved by security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858,550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484,852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(3)</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compensation plans not approved by security holders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965,697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(5)</w:t>
            </w:r>
          </w:p>
        </w:tc>
      </w:tr>
      <w:tr>
        <w:trPr/>
        <w:tc>
          <w:tcPr>
            <w:tcW w:w="5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1,824,247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498,613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bl>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The weighted average exercise price is calculated solely based on the exercise prices of the outstanding stock options and warrants and does not reflect the shares that will be issued upon the vesting of outstanding awards of restricted stock units (RSUs), which have no exercise price.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This number includes the following: 19,862 shares subject to stock options granted under the 2010 Equity Incentive Plan (2010 Plan); 138,150 shares subject to outstanding awards granted under the Assembly Biosciences, Inc. Amended and Restated 2014 Stock Incentive Plan (2014 Plan), of which 136,991 were subject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to outstanding stock options and 1,159 were subject to outstanding RSUs; and 700,538 shares subject to outstanding awards granted under the Assembly Biosciences, Inc. Amended and Restated 2018 Stock Incentive Plan, as amended (2018 Plan), of which 633,643 were subject to outstanding stock options and 66,895 were subject to outstanding RSUs. This number excludes purchase rights currently accruing under the Assembly Biosciences, Inc. Second Amended and Restated 2018 Employee Stock Purchase Plan (2018 ESPP).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number includes: no shares under the 2010 Plan, which has been frozen; 72,641 shares available for issuance under the 2014 Plan; 255,396 shares available for issuance under the 2018 Plan; and 156,815 shares reserved for issuance under the 2018 ESPP. Eligible employees may participate in the 2018 ESPP at a minimum of 1% and up to a maximum of 15% of such employee’s compensation for each pay period, subject to annual IRS limitations of $25,000.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number includes 51,285 shares subject to stock options granted under the 2017 Inducement Award Plan (2017 Inducement Plan); 41,666 shares subject to stock options granted under the 2019 Inducement Award Plan (2019 Inducement Plan); 58,746 shares subject to stock options granted under the 2020 Inducement Award Plan (2020 Inducement Plan); and 814,000 warrants granted in a registered direct offering and a private placement in June 2024.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This number includes: 13,756 shares available for issuance under the 2017 Inducement Plan, no shares under the 2019 Inducement Plan and 5 shares available for issuance under the 2020 Inducement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stockholder-approved equity compensation plans consist of the 2018 Plan, the 2014 Plan, the 2010 Plan and the 2018 ESPP. Effective on June 2, 2016, the 2010 Plan was frozen, and no further grants will be made under the 2010 Plan. Shares that are forfeited under the 2010 Plan on or after June 2, 2016 will become available for issuance under the 2014 Plan. An “Award” under the 2018 Plan, 2014 Plan or 2010 Plan is any right to receive our common stock consisting of non-statutory stock options, incentive stock options, stock appreciation rights, RSUs, or any other stock award.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2018, our stockholders approved the 2018 ESPP and it was amended and restated in May 2021 and May 2024. The 2018 ESPP provides for the purchase by employees of up to an aggregate of 226,398 shares of the Company’s common stock. Eligible employees can purchase shares of our common stock at the end of a predetermined offering period at 85% of the lower of the fair market value at the beginning or end of the offering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Our outstanding equity compensation arrangements that have not been approved by our stockholders consist of the 2017 Inducement Plan, the 2019 Inducement Plan, the 2020 Inducement Plan and warrants granted in a registered direct offering and a private placement in June 2024. In April 2017, our board of directors adopted the 2017 Inducement Plan and reserved 66,666 shares of our common stock for issuance under the 2017 Inducement Plan. In August 2019, our board of directors adopted the 2019 Inducement Plan and reserved 41,666 shares of our common stock for issuance under the 2019 Inducement Plan. In March 2020, our board of directors adopted the 2020 Inducement Plan and reserved 66,666 shares of our common stock for issuance under the 2020 Inducement Plan. The only persons eligible to receive grants of awards under the 2017 Inducement Plan, the 2019 Inducement Plan or the 2020 Inducement Plan are individuals who satisfy the standards for inducement grants under Nasdaq Marketplace Rule 5635(c)(4) and the related guidance under Nasdaq IM 5635-1-that is, generally, a person not previously an employee or director of ours, or following a bona fide period of non-employment, as an inducement material to the individual's entering into employment with us. An “Award” is any right to receive our common stock pursuant to the Inducement Plan, consisting of nonstatutory stock options, stock appreciation rights, restricted stock awards, RSUs, or any other stock award.</w:t>
      </w:r>
    </w:p>
    <w:p>
      <w:pPr>
        <w:pStyle w:val="TextBody"/>
        <w:bidi w:val="0"/>
        <w:spacing w:before="200" w:after="283"/>
        <w:jc w:val="both"/>
        <w:rPr>
          <w:rFonts w:ascii="Times New Roman" w:hAnsi="Times New Roman"/>
          <w:b/>
          <w:color w:val="000000"/>
          <w:sz w:val="20"/>
        </w:rPr>
      </w:pPr>
      <w:bookmarkStart w:id="24" w:name="item_13_certain_relationships_related_pa"/>
      <w:bookmarkEnd w:id="24"/>
      <w:r>
        <w:rPr>
          <w:rFonts w:ascii="Times New Roman" w:hAnsi="Times New Roman"/>
          <w:b/>
          <w:color w:val="000000"/>
          <w:sz w:val="20"/>
        </w:rPr>
        <w:t>Item 13. Certain Relationships and Related Party Transactions, and Director Independence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this item will be contained in the Proxy Statement and is incorporated into this Annual Report on Form 10-K by reference.</w:t>
      </w:r>
    </w:p>
    <w:p>
      <w:pPr>
        <w:pStyle w:val="TextBody"/>
        <w:bidi w:val="0"/>
        <w:spacing w:before="200" w:after="283"/>
        <w:jc w:val="both"/>
        <w:rPr>
          <w:rFonts w:ascii="Times New Roman" w:hAnsi="Times New Roman"/>
          <w:b/>
          <w:color w:val="000000"/>
          <w:sz w:val="20"/>
        </w:rPr>
      </w:pPr>
      <w:bookmarkStart w:id="25" w:name="item_14_principal_accounting_fees_servic"/>
      <w:bookmarkEnd w:id="25"/>
      <w:r>
        <w:rPr>
          <w:rFonts w:ascii="Times New Roman" w:hAnsi="Times New Roman"/>
          <w:b/>
          <w:color w:val="000000"/>
          <w:sz w:val="20"/>
        </w:rPr>
        <w:t>Item 14. Principal Accountant Fees and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required by this item will be contained in the Proxy Statement and is incorporated into this Annual Report on Form 10-K by reference.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bookmarkStart w:id="26" w:name="item_15_exhibits_financial_statement_sch"/>
      <w:bookmarkEnd w:id="26"/>
      <w:r>
        <w:rPr>
          <w:rFonts w:ascii="Times New Roman" w:hAnsi="Times New Roman"/>
          <w:b/>
          <w:color w:val="000000"/>
          <w:sz w:val="20"/>
        </w:rPr>
        <w:t>Item 15. Exhibits, Financial Statement Schedules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(a) </w:t>
      </w:r>
      <w:r>
        <w:rPr>
          <w:rFonts w:ascii="Times New Roman" w:hAnsi="Times New Roman"/>
          <w:i/>
          <w:color w:val="000000"/>
          <w:sz w:val="20"/>
        </w:rPr>
        <w:t>Exhibits.</w:t>
      </w:r>
      <w:r>
        <w:rPr>
          <w:rFonts w:ascii="Times New Roman" w:hAnsi="Times New Roman"/>
          <w:color w:val="000000"/>
          <w:sz w:val="20"/>
        </w:rPr>
        <w:t xml:space="preserve"> The following exhibits are filed as part of this Annual Report on Form 10-K:</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591"/>
        <w:gridCol w:w="146"/>
        <w:gridCol w:w="991"/>
        <w:gridCol w:w="146"/>
        <w:gridCol w:w="729"/>
        <w:gridCol w:w="146"/>
        <w:gridCol w:w="631"/>
        <w:gridCol w:w="146"/>
        <w:gridCol w:w="827"/>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91"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Dated</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Sixth Amended and Restated Certificate of Incorporation dated May 25,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03/28/2024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Sixth Amended and Restated Certificate of Incorporation of Assembly Biosciences, Inc., dated February 9, 2024</w:t>
              </w:r>
            </w:hyperlink>
            <w:r>
              <w:rPr>
                <w:rFonts w:ascii="Times New Roman" w:hAnsi="Times New Roman"/>
                <w:color w:val="000000"/>
                <w:sz w:val="2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02/13/2024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Amended and Restated Bylaws as amended through December 12,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12/13/2024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tcBorders/>
            <w:tcMar>
              <w:top w:w="0" w:type="dxa"/>
              <w:left w:w="0" w:type="dxa"/>
              <w:bottom w:w="0" w:type="dxa"/>
              <w:right w:w="0" w:type="dxa"/>
            </w:tcMar>
            <w:vAlign w:val="center"/>
          </w:tcPr>
          <w:p>
            <w:pPr>
              <w:pStyle w:val="TableContents"/>
              <w:bidi w:val="0"/>
              <w:spacing w:before="0" w:after="283"/>
              <w:jc w:val="left"/>
              <w:rPr/>
            </w:pPr>
            <w:hyperlink w:anchor="asmb-ex4_1.htm">
              <w:r>
                <w:rPr>
                  <w:rStyle w:val="InternetLink"/>
                  <w:rFonts w:ascii="Times New Roman" w:hAnsi="Times New Roman"/>
                  <w:color w:val="0000FF"/>
                  <w:sz w:val="20"/>
                  <w:u w:val="single"/>
                </w:rPr>
                <w:t>Specimen of Common Stock Certificate.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Description of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 </w:t>
            </w: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03/28/2024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Registered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06/18/2024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4.4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Private Placement Warrant.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06/18/2024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4.2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8">
              <w:r>
                <w:rPr>
                  <w:rStyle w:val="InternetLink"/>
                  <w:rFonts w:ascii="Times New Roman" w:hAnsi="Times New Roman"/>
                  <w:color w:val="0000FF"/>
                  <w:sz w:val="20"/>
                  <w:u w:val="single"/>
                </w:rPr>
                <w:t>Sublease, dated July 26, 2023, by and between Arsenal Biosciences, Inc., as Sublandlord, and Assembly Biosciences, Inc., as Subtenant.</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11/08/2023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First Amendment to Sublease, dated December 30, 2024, by and between Arsenal Biosciences, Inc. and Assembly Biosciences,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01/03/2025</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Option, License and Collaboration Agreement, dated October 15, 2023, by and between Assembly Biosciences, Inc. and Gilead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11">
              <w:r>
                <w:rPr>
                  <w:rStyle w:val="InternetLink"/>
                  <w:rFonts w:ascii="Times New Roman" w:hAnsi="Times New Roman"/>
                  <w:color w:val="0000FF"/>
                  <w:sz w:val="20"/>
                  <w:u w:val="single"/>
                </w:rPr>
                <w:t>First Amendment to Option, License and Collaboration Agreement, dated December 19, 2024, by and between Assembly Biosciences, Inc. and Gilead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12/19/2024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12">
              <w:r>
                <w:rPr>
                  <w:rStyle w:val="InternetLink"/>
                  <w:rFonts w:ascii="Times New Roman" w:hAnsi="Times New Roman"/>
                  <w:color w:val="0000FF"/>
                  <w:sz w:val="20"/>
                  <w:u w:val="single"/>
                </w:rPr>
                <w:t>Common Stock Purchase Agreement, dated October 15, 2023, by and between Assembly Biosciences, Inc. and Gilead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13">
              <w:r>
                <w:rPr>
                  <w:rStyle w:val="InternetLink"/>
                  <w:rFonts w:ascii="Times New Roman" w:hAnsi="Times New Roman"/>
                  <w:color w:val="0000FF"/>
                  <w:sz w:val="20"/>
                  <w:u w:val="single"/>
                </w:rPr>
                <w:t>Amendment No. 1 to Common Stock Purchase Agreement, dated June 17, 2024, by and between Assembly Biosciences, Inc. and Gilead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06/18/2024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14">
              <w:r>
                <w:rPr>
                  <w:rStyle w:val="InternetLink"/>
                  <w:rFonts w:ascii="Times New Roman" w:hAnsi="Times New Roman"/>
                  <w:color w:val="0000FF"/>
                  <w:sz w:val="20"/>
                  <w:u w:val="single"/>
                </w:rPr>
                <w:t>Investor Rights Agreement, dated October 15, 2023, by and between Assembly Biosciences, Inc. and Gilead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10/17/2023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10.8</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15">
              <w:r>
                <w:rPr>
                  <w:rStyle w:val="InternetLink"/>
                  <w:rFonts w:ascii="Times New Roman" w:hAnsi="Times New Roman"/>
                  <w:color w:val="0000FF"/>
                  <w:sz w:val="20"/>
                  <w:u w:val="single"/>
                </w:rPr>
                <w:t>Amendment No. 1 to Investor Rights Agreement, dated June 17, 2024, by and between Assembly Biosciences, Inc. and Gilead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06/18/2024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16">
              <w:r>
                <w:rPr>
                  <w:rStyle w:val="InternetLink"/>
                  <w:rFonts w:ascii="Times New Roman" w:hAnsi="Times New Roman"/>
                  <w:color w:val="0000FF"/>
                  <w:sz w:val="20"/>
                  <w:u w:val="single"/>
                </w:rPr>
                <w:t>Amended and Restated Employment Agreement, dated December 12, 2022, between Assembly Biosciences, Inc. and Jason A. Okazaki.</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10-K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03/22/2023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17">
              <w:r>
                <w:rPr>
                  <w:rStyle w:val="InternetLink"/>
                  <w:rFonts w:ascii="Times New Roman" w:hAnsi="Times New Roman"/>
                  <w:color w:val="0000FF"/>
                  <w:sz w:val="20"/>
                  <w:u w:val="single"/>
                </w:rPr>
                <w:t>Employment Agreement, dated May 1, 2020, between Assembly Biosciences, Inc. and William E. Delaney IV, Ph.D., effective as of May 27, 2020.</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02/25/2021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18">
              <w:r>
                <w:rPr>
                  <w:rStyle w:val="InternetLink"/>
                  <w:rFonts w:ascii="Times New Roman" w:hAnsi="Times New Roman"/>
                  <w:color w:val="0000FF"/>
                  <w:sz w:val="20"/>
                  <w:u w:val="single"/>
                </w:rPr>
                <w:t>Employment Agreement, dated November 8, 2023, between Assembly Biosciences, Inc. and Anuj Gaggar, M.D., Ph.D.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03/28/2024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19">
              <w:r>
                <w:rPr>
                  <w:rStyle w:val="InternetLink"/>
                  <w:rFonts w:ascii="Times New Roman" w:hAnsi="Times New Roman"/>
                  <w:color w:val="0000FF"/>
                  <w:sz w:val="20"/>
                  <w:u w:val="single"/>
                </w:rPr>
                <w:t>Employment Agreement, dated February 10, 2022, between Assembly Biosciences, Inc. and Nicole S. White, Ph.D., effective as of February 16, 2022.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03/28/2024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20">
              <w:r>
                <w:rPr>
                  <w:rStyle w:val="InternetLink"/>
                  <w:rFonts w:ascii="Times New Roman" w:hAnsi="Times New Roman"/>
                  <w:color w:val="0000FF"/>
                  <w:sz w:val="20"/>
                  <w:u w:val="single"/>
                </w:rPr>
                <w:t>2010 Equity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S-1/A</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10/4/2010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1" w:type="dxa"/>
            <w:tcBorders/>
            <w:tcMar>
              <w:top w:w="0" w:type="dxa"/>
              <w:left w:w="0" w:type="dxa"/>
              <w:bottom w:w="0" w:type="dxa"/>
              <w:right w:w="0" w:type="dxa"/>
            </w:tcMar>
            <w:vAlign w:val="center"/>
          </w:tcPr>
          <w:p>
            <w:pPr>
              <w:pStyle w:val="TableContents"/>
              <w:bidi w:val="0"/>
              <w:spacing w:before="0" w:after="283"/>
              <w:jc w:val="left"/>
              <w:rPr/>
            </w:pPr>
            <w:hyperlink r:id="rId21">
              <w:r>
                <w:rPr>
                  <w:rStyle w:val="InternetLink"/>
                  <w:rFonts w:ascii="Times New Roman" w:hAnsi="Times New Roman"/>
                  <w:color w:val="0000FF"/>
                  <w:sz w:val="20"/>
                  <w:u w:val="single"/>
                </w:rPr>
                <w:t>Assembly Biosciences, Inc. Amended and Restated 2014 Stock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06/06/2016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6"/>
        <w:gridCol w:w="146"/>
        <w:gridCol w:w="5598"/>
        <w:gridCol w:w="146"/>
        <w:gridCol w:w="991"/>
        <w:gridCol w:w="146"/>
        <w:gridCol w:w="722"/>
        <w:gridCol w:w="146"/>
        <w:gridCol w:w="631"/>
        <w:gridCol w:w="146"/>
        <w:gridCol w:w="827"/>
      </w:tblGrid>
      <w:tr>
        <w:trPr/>
        <w:tc>
          <w:tcPr>
            <w:tcW w:w="706"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9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22"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706"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98"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2"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Dated</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22">
              <w:r>
                <w:rPr>
                  <w:rStyle w:val="InternetLink"/>
                  <w:rFonts w:ascii="Times New Roman" w:hAnsi="Times New Roman"/>
                  <w:color w:val="0000FF"/>
                  <w:sz w:val="20"/>
                  <w:u w:val="single"/>
                </w:rPr>
                <w:t>Omnibus Amendment to Assembly Biosciences, Inc. Stock Incentive Plans.</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05/08/2020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23">
              <w:r>
                <w:rPr>
                  <w:rStyle w:val="InternetLink"/>
                  <w:rFonts w:ascii="Times New Roman" w:hAnsi="Times New Roman"/>
                  <w:color w:val="0000FF"/>
                  <w:sz w:val="20"/>
                  <w:u w:val="single"/>
                </w:rPr>
                <w:t>Form of Notice of Stock Option Grant and Stock Option Agreement under the Amended and Restated 2014 Stock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03/22/2023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24">
              <w:r>
                <w:rPr>
                  <w:rStyle w:val="InternetLink"/>
                  <w:rFonts w:ascii="Times New Roman" w:hAnsi="Times New Roman"/>
                  <w:color w:val="0000FF"/>
                  <w:sz w:val="20"/>
                  <w:u w:val="single"/>
                </w:rPr>
                <w:t>Form of Restricted Stock Unit Award Notice and Restricted Stock Unit Award Agreement under the Amended and Restated 2014 Stock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11/01/2017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25">
              <w:r>
                <w:rPr>
                  <w:rStyle w:val="InternetLink"/>
                  <w:rFonts w:ascii="Times New Roman" w:hAnsi="Times New Roman"/>
                  <w:color w:val="0000FF"/>
                  <w:sz w:val="20"/>
                  <w:u w:val="single"/>
                </w:rPr>
                <w:t>Assembly Biosciences, Inc. 2017 Inducement Award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08/09/2017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26">
              <w:r>
                <w:rPr>
                  <w:rStyle w:val="InternetLink"/>
                  <w:rFonts w:ascii="Times New Roman" w:hAnsi="Times New Roman"/>
                  <w:color w:val="0000FF"/>
                  <w:sz w:val="20"/>
                  <w:u w:val="single"/>
                </w:rPr>
                <w:t>Form of Notice of Stock Option Grant and Stock Option Agreement under the 2017 Inducement Award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08/09/2017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27">
              <w:r>
                <w:rPr>
                  <w:rStyle w:val="InternetLink"/>
                  <w:rFonts w:ascii="Times New Roman" w:hAnsi="Times New Roman"/>
                  <w:color w:val="0000FF"/>
                  <w:sz w:val="20"/>
                  <w:u w:val="single"/>
                </w:rPr>
                <w:t>Form of Restricted Stock Unit Award Notice and Restricted Stock Unit Award Agreement under the 2017 Inducement Award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08/09/2017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28">
              <w:r>
                <w:rPr>
                  <w:rStyle w:val="InternetLink"/>
                  <w:rFonts w:ascii="Times New Roman" w:hAnsi="Times New Roman"/>
                  <w:color w:val="0000FF"/>
                  <w:sz w:val="20"/>
                  <w:u w:val="single"/>
                </w:rPr>
                <w:t>Assembly Biosciences, Inc. Amended and Restated 2018 Stock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06/03/2024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29">
              <w:r>
                <w:rPr>
                  <w:rStyle w:val="InternetLink"/>
                  <w:rFonts w:ascii="Times New Roman" w:hAnsi="Times New Roman"/>
                  <w:color w:val="0000FF"/>
                  <w:sz w:val="20"/>
                  <w:u w:val="single"/>
                </w:rPr>
                <w:t>Form of Notice of Stock Option Grant and Stock Option Agreement under the 2018 Stock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03/22/2023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30">
              <w:r>
                <w:rPr>
                  <w:rStyle w:val="InternetLink"/>
                  <w:rFonts w:ascii="Times New Roman" w:hAnsi="Times New Roman"/>
                  <w:color w:val="0000FF"/>
                  <w:sz w:val="20"/>
                  <w:u w:val="single"/>
                </w:rPr>
                <w:t>Form of Restricted Stock Unit Award Notice and Restricted Stock Unit Award Agreement under the 2018 Stock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06/01/2018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31">
              <w:r>
                <w:rPr>
                  <w:rStyle w:val="InternetLink"/>
                  <w:rFonts w:ascii="Times New Roman" w:hAnsi="Times New Roman"/>
                  <w:color w:val="0000FF"/>
                  <w:sz w:val="20"/>
                  <w:u w:val="single"/>
                </w:rPr>
                <w:t>Form of Stock Appreciation Right Award Agreement for Non-U.S. Grantees under the Assembly Biosciences, Inc. 2018 Stock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10/12/2018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32">
              <w:r>
                <w:rPr>
                  <w:rStyle w:val="InternetLink"/>
                  <w:rFonts w:ascii="Times New Roman" w:hAnsi="Times New Roman"/>
                  <w:color w:val="0000FF"/>
                  <w:sz w:val="20"/>
                  <w:u w:val="single"/>
                </w:rPr>
                <w:t>Form of Performance-Based Stock Appreciation Right Award Agreement for Non-U.S. Grantees under the Assembly Biosciences, Inc. 2018 Stock Incentive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03/11/2022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10.26#</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33">
              <w:r>
                <w:rPr>
                  <w:rStyle w:val="InternetLink"/>
                  <w:rFonts w:ascii="Times New Roman" w:hAnsi="Times New Roman"/>
                  <w:color w:val="0000FF"/>
                  <w:sz w:val="20"/>
                  <w:u w:val="single"/>
                </w:rPr>
                <w:t>Assembly Biosciences, Inc. Second Amended and Restated 2018 Employee Stock Purchase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06/03/2024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10.27#</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34">
              <w:r>
                <w:rPr>
                  <w:rStyle w:val="InternetLink"/>
                  <w:rFonts w:ascii="Times New Roman" w:hAnsi="Times New Roman"/>
                  <w:color w:val="0000FF"/>
                  <w:sz w:val="20"/>
                  <w:u w:val="single"/>
                </w:rPr>
                <w:t>Assembly Biosciences, Inc. 2019 Inducement Award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11/07/2019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10.28#</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35">
              <w:r>
                <w:rPr>
                  <w:rStyle w:val="InternetLink"/>
                  <w:rFonts w:ascii="Times New Roman" w:hAnsi="Times New Roman"/>
                  <w:color w:val="0000FF"/>
                  <w:sz w:val="20"/>
                  <w:u w:val="single"/>
                </w:rPr>
                <w:t>Form of Notice of Stock Option Grant and Stock Option Agreement under the 2019 Inducement Award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11/07/2019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10.29#</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36">
              <w:r>
                <w:rPr>
                  <w:rStyle w:val="InternetLink"/>
                  <w:rFonts w:ascii="Times New Roman" w:hAnsi="Times New Roman"/>
                  <w:color w:val="0000FF"/>
                  <w:sz w:val="20"/>
                  <w:u w:val="single"/>
                </w:rPr>
                <w:t>Assembly Biosciences, Inc. 2020 Inducement Award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05/08/2020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37">
              <w:r>
                <w:rPr>
                  <w:rStyle w:val="InternetLink"/>
                  <w:rFonts w:ascii="Times New Roman" w:hAnsi="Times New Roman"/>
                  <w:color w:val="0000FF"/>
                  <w:sz w:val="20"/>
                  <w:u w:val="single"/>
                </w:rPr>
                <w:t>Form of Notice of Stock Option Grant and Stock Option Agreement under the 2020 Inducement Award Plan.</w:t>
              </w:r>
            </w:hyperlink>
            <w:hyperlink r:id="rId38">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05/08/2020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39">
              <w:r>
                <w:rPr>
                  <w:rStyle w:val="InternetLink"/>
                  <w:rFonts w:ascii="Times New Roman" w:hAnsi="Times New Roman"/>
                  <w:color w:val="0000FF"/>
                  <w:sz w:val="20"/>
                  <w:u w:val="single"/>
                </w:rPr>
                <w:t>Form of Restricted Stock Unit Award Notice and Restricted Stock Unit Award Agreement under the 2020 Inducement Award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10-Q</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05/08/2020</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40">
              <w:r>
                <w:rPr>
                  <w:rStyle w:val="InternetLink"/>
                  <w:rFonts w:ascii="Times New Roman" w:hAnsi="Times New Roman"/>
                  <w:color w:val="0000FF"/>
                  <w:sz w:val="20"/>
                  <w:u w:val="single"/>
                </w:rPr>
                <w:t>Securities Purchase Agreement, dated June 16, 2024, by and between Assembly Biosciences, Inc. and the Purchaser.</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06/18/2024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41">
              <w:r>
                <w:rPr>
                  <w:rStyle w:val="InternetLink"/>
                  <w:rFonts w:ascii="Times New Roman" w:hAnsi="Times New Roman"/>
                  <w:color w:val="0000FF"/>
                  <w:sz w:val="20"/>
                  <w:u w:val="single"/>
                </w:rPr>
                <w:t>Securities Purchase Agreement, dated June 17, 2024, by and between Assembly Biosciences, Inc. and Gilead 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06/18/2024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42">
              <w:r>
                <w:rPr>
                  <w:rStyle w:val="InternetLink"/>
                  <w:rFonts w:ascii="Times New Roman" w:hAnsi="Times New Roman"/>
                  <w:color w:val="0000FF"/>
                  <w:sz w:val="20"/>
                  <w:u w:val="single"/>
                </w:rPr>
                <w:t>Open Market Sale Agreement by and between Assembly Biosciences, Inc. and Jefferies LLC.</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11/07/2024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98" w:type="dxa"/>
            <w:tcBorders/>
            <w:tcMar>
              <w:top w:w="0" w:type="dxa"/>
              <w:left w:w="0" w:type="dxa"/>
              <w:bottom w:w="0" w:type="dxa"/>
              <w:right w:w="0" w:type="dxa"/>
            </w:tcMar>
            <w:vAlign w:val="center"/>
          </w:tcPr>
          <w:p>
            <w:pPr>
              <w:pStyle w:val="TableContents"/>
              <w:bidi w:val="0"/>
              <w:spacing w:before="0" w:after="283"/>
              <w:jc w:val="left"/>
              <w:rPr/>
            </w:pPr>
            <w:hyperlink r:id="rId43">
              <w:r>
                <w:rPr>
                  <w:rStyle w:val="InternetLink"/>
                  <w:rFonts w:ascii="Times New Roman" w:hAnsi="Times New Roman"/>
                  <w:color w:val="0000FF"/>
                  <w:sz w:val="20"/>
                  <w:u w:val="single"/>
                </w:rPr>
                <w:t>Assembly Biosciences, Inc. 2024 Corporate Bonus Plan.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8-K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03/15/2024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98" w:type="dxa"/>
            <w:tcBorders/>
            <w:tcMar>
              <w:top w:w="0" w:type="dxa"/>
              <w:left w:w="0" w:type="dxa"/>
              <w:bottom w:w="0" w:type="dxa"/>
              <w:right w:w="0" w:type="dxa"/>
            </w:tcMar>
            <w:vAlign w:val="center"/>
          </w:tcPr>
          <w:p>
            <w:pPr>
              <w:pStyle w:val="TableContents"/>
              <w:bidi w:val="0"/>
              <w:spacing w:before="0" w:after="283"/>
              <w:jc w:val="left"/>
              <w:rPr/>
            </w:pPr>
            <w:hyperlink w:anchor="asmb-ex19_1.htm">
              <w:r>
                <w:rPr>
                  <w:rStyle w:val="InternetLink"/>
                  <w:rFonts w:ascii="Times New Roman" w:hAnsi="Times New Roman"/>
                  <w:color w:val="0000FF"/>
                  <w:sz w:val="20"/>
                  <w:u w:val="single"/>
                </w:rPr>
                <w:t>Assembly Biosciences, Inc. Insider Trading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2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w:anchor="asmb-ex21_1.htm">
              <w:r>
                <w:rPr>
                  <w:rStyle w:val="InternetLink"/>
                  <w:rFonts w:ascii="Times New Roman" w:hAnsi="Times New Roman"/>
                  <w:color w:val="0000FF"/>
                  <w:sz w:val="20"/>
                  <w:u w:val="single"/>
                </w:rPr>
                <w:t>List of Subsidiaries of Assembly Biosciences, Inc.</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8" w:type="dxa"/>
            <w:tcBorders/>
            <w:tcMar>
              <w:top w:w="0" w:type="dxa"/>
              <w:left w:w="0" w:type="dxa"/>
              <w:bottom w:w="0" w:type="dxa"/>
              <w:right w:w="0" w:type="dxa"/>
            </w:tcMar>
            <w:vAlign w:val="center"/>
          </w:tcPr>
          <w:p>
            <w:pPr>
              <w:pStyle w:val="TableContents"/>
              <w:bidi w:val="0"/>
              <w:spacing w:before="0" w:after="283"/>
              <w:jc w:val="left"/>
              <w:rPr/>
            </w:pPr>
            <w:hyperlink w:anchor="asmb-ex23_1.htm">
              <w:r>
                <w:rPr>
                  <w:rStyle w:val="InternetLink"/>
                  <w:rFonts w:ascii="Times New Roman" w:hAnsi="Times New Roman"/>
                  <w:color w:val="0000FF"/>
                  <w:sz w:val="20"/>
                  <w:u w:val="single"/>
                </w:rPr>
                <w:t>Consent of Independent Registered Public Accounting Firm.</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8"/>
        <w:gridCol w:w="146"/>
        <w:gridCol w:w="5519"/>
        <w:gridCol w:w="146"/>
        <w:gridCol w:w="991"/>
        <w:gridCol w:w="146"/>
        <w:gridCol w:w="739"/>
        <w:gridCol w:w="146"/>
        <w:gridCol w:w="631"/>
        <w:gridCol w:w="146"/>
        <w:gridCol w:w="827"/>
      </w:tblGrid>
      <w:tr>
        <w:trPr/>
        <w:tc>
          <w:tcPr>
            <w:tcW w:w="768"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51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9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739"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631"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827" w:type="dxa"/>
            <w:tcBorders/>
            <w:shd w:fill="FFFFFF" w:val="clear"/>
            <w:vAlign w:val="center"/>
          </w:tcPr>
          <w:p>
            <w:pPr>
              <w:pStyle w:val="TableContents"/>
              <w:bidi w:val="0"/>
              <w:spacing w:before="0" w:after="283"/>
              <w:jc w:val="left"/>
              <w:rPr>
                <w:sz w:val="4"/>
                <w:szCs w:val="4"/>
              </w:rPr>
            </w:pPr>
            <w:r>
              <w:rPr>
                <w:sz w:val="4"/>
                <w:szCs w:val="4"/>
              </w:rPr>
            </w:r>
          </w:p>
        </w:tc>
      </w:tr>
      <w:tr>
        <w:trPr/>
        <w:tc>
          <w:tcPr>
            <w:tcW w:w="768"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1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 of Document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1"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Registrant’s</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9"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Dated</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No.</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Power of Attorney (included on signature page).</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tcBorders/>
            <w:tcMar>
              <w:top w:w="0" w:type="dxa"/>
              <w:left w:w="0" w:type="dxa"/>
              <w:bottom w:w="0" w:type="dxa"/>
              <w:right w:w="0" w:type="dxa"/>
            </w:tcMar>
            <w:vAlign w:val="center"/>
          </w:tcPr>
          <w:p>
            <w:pPr>
              <w:pStyle w:val="TableContents"/>
              <w:bidi w:val="0"/>
              <w:spacing w:before="0" w:after="283"/>
              <w:jc w:val="left"/>
              <w:rPr/>
            </w:pPr>
            <w:hyperlink w:anchor="asmb-ex31_1.htm">
              <w:r>
                <w:rPr>
                  <w:rStyle w:val="InternetLink"/>
                  <w:rFonts w:ascii="Times New Roman" w:hAnsi="Times New Roman"/>
                  <w:color w:val="0000FF"/>
                  <w:sz w:val="20"/>
                  <w:u w:val="single"/>
                </w:rPr>
                <w:t>Certification of the Chief Executive Officer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tcBorders/>
            <w:tcMar>
              <w:top w:w="0" w:type="dxa"/>
              <w:left w:w="0" w:type="dxa"/>
              <w:bottom w:w="0" w:type="dxa"/>
              <w:right w:w="0" w:type="dxa"/>
            </w:tcMar>
            <w:vAlign w:val="center"/>
          </w:tcPr>
          <w:p>
            <w:pPr>
              <w:pStyle w:val="TableContents"/>
              <w:bidi w:val="0"/>
              <w:spacing w:before="0" w:after="283"/>
              <w:jc w:val="left"/>
              <w:rPr/>
            </w:pPr>
            <w:hyperlink w:anchor="asmb-ex32_1.htm">
              <w:r>
                <w:rPr>
                  <w:rStyle w:val="InternetLink"/>
                  <w:rFonts w:ascii="Times New Roman" w:hAnsi="Times New Roman"/>
                  <w:color w:val="0000FF"/>
                  <w:sz w:val="20"/>
                  <w:u w:val="single"/>
                </w:rPr>
                <w:t>Certification of the Chief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519" w:type="dxa"/>
            <w:tcBorders/>
            <w:tcMar>
              <w:top w:w="0" w:type="dxa"/>
              <w:left w:w="0" w:type="dxa"/>
              <w:bottom w:w="0" w:type="dxa"/>
              <w:right w:w="0" w:type="dxa"/>
            </w:tcMar>
            <w:vAlign w:val="center"/>
          </w:tcPr>
          <w:p>
            <w:pPr>
              <w:pStyle w:val="TableContents"/>
              <w:bidi w:val="0"/>
              <w:spacing w:before="0" w:after="283"/>
              <w:jc w:val="left"/>
              <w:rPr/>
            </w:pPr>
            <w:hyperlink r:id="rId44">
              <w:r>
                <w:rPr>
                  <w:rStyle w:val="InternetLink"/>
                  <w:rFonts w:ascii="Times New Roman" w:hAnsi="Times New Roman"/>
                  <w:color w:val="0000FF"/>
                  <w:sz w:val="20"/>
                  <w:u w:val="single"/>
                </w:rPr>
                <w:t>Clawback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9"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03/28/2024</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97.1</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7"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101.INS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101.CAL</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101.DEF</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Definitions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101.LAB</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101.PRE</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pBdr>
          <w:bottom w:val="single" w:sz="4" w:space="1" w:color="000000"/>
        </w:pBdr>
        <w:bidi w:val="0"/>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The schedules to this exhibit have been omitted pursuant to Item 601(a)(5) of Regulation S-K.</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Portions of this exhibit have been omitted pursuant to Item 601(b)(10)(iv) of Regulation S-K.</w:t>
      </w:r>
    </w:p>
    <w:p>
      <w:pPr>
        <w:pStyle w:val="TextBody"/>
        <w:bidi w:val="0"/>
        <w:jc w:val="both"/>
        <w:rPr>
          <w:rFonts w:ascii="Times New Roman" w:hAnsi="Times New Roman"/>
          <w:sz w:val="20"/>
        </w:rPr>
      </w:pPr>
      <w:r>
        <w:rPr>
          <w:rFonts w:ascii="Times New Roman" w:hAnsi="Times New Roman"/>
          <w:color w:val="000000"/>
          <w:sz w:val="18"/>
        </w:rPr>
        <w:t xml:space="preserve"># </w:t>
      </w:r>
      <w:r>
        <w:rPr>
          <w:rFonts w:ascii="Times New Roman" w:hAnsi="Times New Roman"/>
          <w:color w:val="000000"/>
          <w:sz w:val="20"/>
        </w:rPr>
        <w:t>Represents management contracts or compensatory plans or arrangements.</w:t>
      </w:r>
    </w:p>
    <w:p>
      <w:pPr>
        <w:pStyle w:val="TextBody"/>
        <w:bidi w:val="0"/>
        <w:jc w:val="both"/>
        <w:rPr>
          <w:rFonts w:ascii="Times New Roman" w:hAnsi="Times New Roman"/>
          <w:color w:val="000000"/>
          <w:sz w:val="20"/>
        </w:rPr>
      </w:pPr>
      <w:r>
        <w:rPr>
          <w:rFonts w:ascii="Times New Roman" w:hAnsi="Times New Roman"/>
          <w:color w:val="000000"/>
          <w:sz w:val="20"/>
        </w:rPr>
        <w:t>** The certification attached as Exhibit 32.1 that accompanies this Annual Report on Form 10-K is to be deemed furnished and shall not be deemed “filed” with the SEC and is not to be incorporated by reference into any filing of Assembly Biosciences, Inc. under the Securities Act of 1933, as amended, or the Securities Exchange Act of 1934, as amended, whether made before or after the date of this Annual Report on Form 10-K, irrespective of any general incorporation language contained in such filing.</w:t>
      </w:r>
    </w:p>
    <w:p>
      <w:pPr>
        <w:pStyle w:val="TextBody"/>
        <w:bidi w:val="0"/>
        <w:spacing w:before="200" w:after="283"/>
        <w:jc w:val="both"/>
        <w:rPr>
          <w:rFonts w:ascii="Times New Roman" w:hAnsi="Times New Roman"/>
          <w:sz w:val="20"/>
        </w:rPr>
      </w:pPr>
      <w:bookmarkStart w:id="27" w:name="item_16_form_10k_summary"/>
      <w:bookmarkEnd w:id="27"/>
      <w:r>
        <w:rPr>
          <w:rFonts w:ascii="Times New Roman" w:hAnsi="Times New Roman"/>
          <w:b/>
          <w:color w:val="000000"/>
          <w:sz w:val="20"/>
        </w:rPr>
        <w:t>Item 16. Form</w:t>
      </w:r>
      <w:r>
        <w:rPr>
          <w:rFonts w:ascii="Times New Roman" w:hAnsi="Times New Roman"/>
          <w:color w:val="000000"/>
          <w:sz w:val="20"/>
        </w:rPr>
        <w:t xml:space="preserve"> </w:t>
      </w:r>
      <w:r>
        <w:rPr>
          <w:rFonts w:ascii="Times New Roman" w:hAnsi="Times New Roman"/>
          <w:b/>
          <w:color w:val="000000"/>
          <w:sz w:val="20"/>
        </w:rPr>
        <w:t>10-K Summary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8" w:name="signatures"/>
      <w:bookmarkEnd w:id="28"/>
      <w:r>
        <w:rPr>
          <w:rFonts w:ascii="Times New Roman" w:hAnsi="Times New Roman"/>
          <w:b/>
          <w:color w:val="000000"/>
          <w:sz w:val="20"/>
        </w:rPr>
        <w:t>SIGNATURES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accordance with Section 13 or 15(d) of the Securities Exchange Act, the Registrant caused this report to be signed on its behalf by the undersigned, thereunto duly authorized.</w:t>
      </w:r>
    </w:p>
    <w:p>
      <w:pPr>
        <w:pStyle w:val="TextBody"/>
        <w:bidi w:val="0"/>
        <w:jc w:val="both"/>
        <w:rPr/>
      </w:pPr>
      <w:r>
        <w:rPr/>
        <w:t> </w:t>
      </w:r>
    </w:p>
    <w:tbl>
      <w:tblPr>
        <w:tblW w:w="5733" w:type="dxa"/>
        <w:jc w:val="left"/>
        <w:tblInd w:w="0" w:type="dxa"/>
        <w:tblLayout w:type="fixed"/>
        <w:tblCellMar>
          <w:top w:w="28" w:type="dxa"/>
          <w:left w:w="28" w:type="dxa"/>
          <w:bottom w:w="28" w:type="dxa"/>
          <w:right w:w="28" w:type="dxa"/>
        </w:tblCellMar>
      </w:tblPr>
      <w:tblGrid>
        <w:gridCol w:w="1891"/>
        <w:gridCol w:w="631"/>
        <w:gridCol w:w="3211"/>
      </w:tblGrid>
      <w:tr>
        <w:trPr/>
        <w:tc>
          <w:tcPr>
            <w:tcW w:w="189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2"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ASSEMBLY BIOSCIENCES, INC.</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 March 20, 2025</w:t>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By:</w:t>
            </w:r>
          </w:p>
        </w:tc>
        <w:tc>
          <w:tcPr>
            <w:tcW w:w="321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Jason A. Okazaki</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Name:</w:t>
            </w:r>
          </w:p>
        </w:tc>
        <w:tc>
          <w:tcPr>
            <w:tcW w:w="3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Jason A. Okazaki</w:t>
            </w:r>
          </w:p>
        </w:tc>
      </w:tr>
      <w:tr>
        <w:trPr/>
        <w:tc>
          <w:tcPr>
            <w:tcW w:w="18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Title:</w:t>
            </w:r>
          </w:p>
        </w:tc>
        <w:tc>
          <w:tcPr>
            <w:tcW w:w="32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 and President</w:t>
            </w:r>
          </w:p>
        </w:tc>
      </w:tr>
    </w:tbl>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200" w:after="283"/>
        <w:jc w:val="both"/>
        <w:rPr>
          <w:rFonts w:ascii="Times New Roman" w:hAnsi="Times New Roman"/>
          <w:color w:val="000000"/>
          <w:sz w:val="20"/>
        </w:rPr>
      </w:pPr>
      <w:bookmarkStart w:id="29" w:name="know_all_persons_by_se_presents_that_eac"/>
      <w:bookmarkEnd w:id="29"/>
      <w:r>
        <w:rPr>
          <w:rFonts w:ascii="Times New Roman" w:hAnsi="Times New Roman"/>
          <w:color w:val="000000"/>
          <w:sz w:val="20"/>
        </w:rPr>
        <w:t>KNOW ALL PERSONS BY THESE PRESENTS, that each person whose signature appears below constitutes and appoints Jason A. Okazaki and John O. Gunderson, jointly and severally, his or her attorneys-in-fact, each with the power of substitution, for him or her in any and all capacities, to sign any amendments to this report,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this report has been signed by the following persons on behalf of the registrant in the capacities and on the dates indicated.</w:t>
      </w:r>
    </w:p>
    <w:p>
      <w:pPr>
        <w:pStyle w:val="TextBody"/>
        <w:bidi w:val="0"/>
        <w:jc w:val="both"/>
        <w:rPr/>
      </w:pPr>
      <w:r>
        <w:rPr/>
        <w:t> </w:t>
      </w:r>
    </w:p>
    <w:tbl>
      <w:tblPr>
        <w:tblW w:w="9775" w:type="dxa"/>
        <w:jc w:val="left"/>
        <w:tblInd w:w="0" w:type="dxa"/>
        <w:tblLayout w:type="fixed"/>
        <w:tblCellMar>
          <w:top w:w="28" w:type="dxa"/>
          <w:left w:w="28" w:type="dxa"/>
          <w:bottom w:w="28" w:type="dxa"/>
          <w:right w:w="28" w:type="dxa"/>
        </w:tblCellMar>
      </w:tblPr>
      <w:tblGrid>
        <w:gridCol w:w="3076"/>
        <w:gridCol w:w="146"/>
        <w:gridCol w:w="4966"/>
        <w:gridCol w:w="146"/>
        <w:gridCol w:w="1441"/>
      </w:tblGrid>
      <w:tr>
        <w:trPr/>
        <w:tc>
          <w:tcPr>
            <w:tcW w:w="30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9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Signature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w:t>
            </w:r>
          </w:p>
        </w:tc>
      </w:tr>
      <w:tr>
        <w:trPr/>
        <w:tc>
          <w:tcPr>
            <w:tcW w:w="30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Jason A. Okazaki</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Chief Executive Officer, President and 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20, 2025</w:t>
            </w:r>
          </w:p>
        </w:tc>
      </w:tr>
      <w:tr>
        <w:trPr/>
        <w:tc>
          <w:tcPr>
            <w:tcW w:w="30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Jason A. Okazaki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Executive Officer and Principal Financial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Jeanette M. Bjorkquist</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Executive Director, Accounting and Treasury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20, 2025</w:t>
            </w:r>
          </w:p>
        </w:tc>
      </w:tr>
      <w:tr>
        <w:trPr/>
        <w:tc>
          <w:tcPr>
            <w:tcW w:w="30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Jeanette M. Bjorkquist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(Principal Accounting Officer)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William R. Ringo, Jr.</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Chairman of the Board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20, 2025</w:t>
            </w:r>
          </w:p>
        </w:tc>
      </w:tr>
      <w:tr>
        <w:trPr/>
        <w:tc>
          <w:tcPr>
            <w:tcW w:w="30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William R. Ringo, Jr.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Anthony E. Altig</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20, 2025</w:t>
            </w:r>
          </w:p>
        </w:tc>
      </w:tr>
      <w:tr>
        <w:trPr/>
        <w:tc>
          <w:tcPr>
            <w:tcW w:w="30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Anthony E. Altig</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Tomas Cihlar, Ph.D.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both"/>
              <w:rPr/>
            </w:pPr>
            <w:r>
              <w:rPr/>
              <w:t> </w:t>
            </w:r>
          </w:p>
        </w:tc>
        <w:tc>
          <w:tcPr>
            <w:tcW w:w="49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20, 2025</w:t>
            </w:r>
          </w:p>
        </w:tc>
      </w:tr>
      <w:tr>
        <w:trPr/>
        <w:tc>
          <w:tcPr>
            <w:tcW w:w="30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Tomas Cihlar, Ph.D.</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96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07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4966"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1441"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3076"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Gina Consylman</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20, 2025</w:t>
            </w:r>
          </w:p>
        </w:tc>
      </w:tr>
      <w:tr>
        <w:trPr/>
        <w:tc>
          <w:tcPr>
            <w:tcW w:w="30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Gina Consylman</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Robert D. Cook II</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20, 2025</w:t>
            </w:r>
          </w:p>
        </w:tc>
      </w:tr>
      <w:tr>
        <w:trPr/>
        <w:tc>
          <w:tcPr>
            <w:tcW w:w="30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Robert D. Cook II</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Sir Michael Houghton, Ph.D.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20, 2025</w:t>
            </w:r>
          </w:p>
        </w:tc>
      </w:tr>
      <w:tr>
        <w:trPr/>
        <w:tc>
          <w:tcPr>
            <w:tcW w:w="30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Sir Michael Houghton, Ph.D.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Lisa R. Johnson-Pratt,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20, 2025</w:t>
            </w:r>
          </w:p>
        </w:tc>
      </w:tr>
      <w:tr>
        <w:trPr/>
        <w:tc>
          <w:tcPr>
            <w:tcW w:w="30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Lisa R. Johnson-Pratt, M.D.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Susan Mahony, Ph.D.</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20, 2025</w:t>
            </w:r>
          </w:p>
        </w:tc>
      </w:tr>
      <w:tr>
        <w:trPr/>
        <w:tc>
          <w:tcPr>
            <w:tcW w:w="30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Susan Mahony, Ph.D.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bottom w:val="single" w:sz="4"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John G. McHutchison, A.O.,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20, 2025</w:t>
            </w:r>
          </w:p>
        </w:tc>
      </w:tr>
      <w:tr>
        <w:trPr/>
        <w:tc>
          <w:tcPr>
            <w:tcW w:w="3076"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John G. McHutchison, A.O., M.D.</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30" w:name="financial_statements"/>
      <w:bookmarkEnd w:id="30"/>
      <w:r>
        <w:rPr>
          <w:rFonts w:ascii="Times New Roman" w:hAnsi="Times New Roman"/>
          <w:b/>
          <w:color w:val="000000"/>
          <w:sz w:val="20"/>
        </w:rPr>
        <w:t>FINANCIAL STATEMENTS</w:t>
      </w:r>
    </w:p>
    <w:tbl>
      <w:tblPr>
        <w:tblW w:w="10007" w:type="dxa"/>
        <w:jc w:val="left"/>
        <w:tblInd w:w="0" w:type="dxa"/>
        <w:tblLayout w:type="fixed"/>
        <w:tblCellMar>
          <w:top w:w="28" w:type="dxa"/>
          <w:left w:w="28" w:type="dxa"/>
          <w:bottom w:w="28" w:type="dxa"/>
          <w:right w:w="28" w:type="dxa"/>
        </w:tblCellMar>
      </w:tblPr>
      <w:tblGrid>
        <w:gridCol w:w="9436"/>
        <w:gridCol w:w="571"/>
      </w:tblGrid>
      <w:tr>
        <w:trPr/>
        <w:tc>
          <w:tcPr>
            <w:tcW w:w="943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r>
      <w:tr>
        <w:trPr/>
        <w:tc>
          <w:tcPr>
            <w:tcW w:w="943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943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report_of_independent_auditor">
              <w:r>
                <w:rPr>
                  <w:rStyle w:val="InternetLink"/>
                  <w:rFonts w:ascii="Times New Roman" w:hAnsi="Times New Roman"/>
                  <w:color w:val="0000FF"/>
                  <w:sz w:val="20"/>
                  <w:u w:val="single"/>
                </w:rPr>
                <w:t>Report of Independent Registered Public Accounting Firm (PCAOB ID: 42)</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F-2</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Consolidated Balance Sheets as of December 31, 2024 and 2023</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F-4</w:t>
            </w:r>
          </w:p>
        </w:tc>
      </w:tr>
      <w:tr>
        <w:trPr/>
        <w:tc>
          <w:tcPr>
            <w:tcW w:w="943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consolidated_statements_operations_compr">
              <w:r>
                <w:rPr>
                  <w:rStyle w:val="InternetLink"/>
                  <w:rFonts w:ascii="Times New Roman" w:hAnsi="Times New Roman"/>
                  <w:color w:val="0000FF"/>
                  <w:sz w:val="20"/>
                  <w:u w:val="single"/>
                </w:rPr>
                <w:t>Consolidated Statements of Operations and Comprehensive Loss for the Years Ended December 31, 2024 and 2023</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F-5</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consolidated_statements_changes_in_stock">
              <w:r>
                <w:rPr>
                  <w:rStyle w:val="InternetLink"/>
                  <w:rFonts w:ascii="Times New Roman" w:hAnsi="Times New Roman"/>
                  <w:color w:val="0000FF"/>
                  <w:sz w:val="20"/>
                  <w:u w:val="single"/>
                </w:rPr>
                <w:t>Consolidated Statements of Changes in Stockholders’ Equity for the Years Ended December 31, 2024 and 2023</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F-6</w:t>
            </w:r>
          </w:p>
        </w:tc>
      </w:tr>
      <w:tr>
        <w:trPr/>
        <w:tc>
          <w:tcPr>
            <w:tcW w:w="943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Consolidated Statements of Cash Flows for the Years Ended December 31, 2024 and 2023</w:t>
              </w:r>
            </w:hyperlink>
            <w:hyperlink w:anchor="consolidated_statements_cash_flows">
              <w:r>
                <w:rPr>
                  <w:rStyle w:val="InternetLink"/>
                  <w:rFonts w:ascii="Times New Roman" w:hAnsi="Times New Roman"/>
                  <w:color w:val="0000FF"/>
                  <w:sz w:val="20"/>
                </w:rPr>
                <w:t xml:space="preserve"> </w:t>
              </w:r>
            </w:hyperlink>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F-7</w:t>
            </w:r>
          </w:p>
        </w:tc>
      </w:tr>
      <w:tr>
        <w:trPr/>
        <w:tc>
          <w:tcPr>
            <w:tcW w:w="943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notes_to_consolidated_financial_statemen">
              <w:r>
                <w:rPr>
                  <w:rStyle w:val="InternetLink"/>
                  <w:rFonts w:ascii="Times New Roman" w:hAnsi="Times New Roman"/>
                  <w:color w:val="0000FF"/>
                  <w:sz w:val="20"/>
                  <w:u w:val="single"/>
                </w:rPr>
                <w:t>Notes to Consolidated Financial Statements</w:t>
              </w:r>
            </w:hyperlink>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F-8</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0"/>
        </w:rPr>
      </w:pPr>
      <w:bookmarkStart w:id="31" w:name="report_of_independent_auditor"/>
      <w:bookmarkEnd w:id="31"/>
      <w:r>
        <w:rPr>
          <w:rFonts w:ascii="Times New Roman" w:hAnsi="Times New Roman"/>
          <w:b/>
          <w:color w:val="000000"/>
          <w:sz w:val="20"/>
        </w:rPr>
        <w:t>Report of Independent Registered Public Accounting Firm</w:t>
      </w:r>
    </w:p>
    <w:p>
      <w:pPr>
        <w:pStyle w:val="TextBody"/>
        <w:bidi w:val="0"/>
        <w:spacing w:before="200" w:after="240"/>
        <w:jc w:val="left"/>
        <w:rPr>
          <w:rFonts w:ascii="Times New Roman" w:hAnsi="Times New Roman"/>
          <w:b/>
          <w:color w:val="000000"/>
          <w:sz w:val="20"/>
        </w:rPr>
      </w:pPr>
      <w:r>
        <w:rPr>
          <w:rFonts w:ascii="Times New Roman" w:hAnsi="Times New Roman"/>
          <w:b/>
          <w:color w:val="000000"/>
          <w:sz w:val="20"/>
        </w:rPr>
        <w:t>To the Stockholders and the Board of Directors of Assembly Biosciences, Inc.</w:t>
      </w:r>
    </w:p>
    <w:p>
      <w:pPr>
        <w:pStyle w:val="TextBody"/>
        <w:bidi w:val="0"/>
        <w:spacing w:before="0" w:after="240"/>
        <w:jc w:val="left"/>
        <w:rPr>
          <w:rFonts w:ascii="Times New Roman" w:hAnsi="Times New Roman"/>
          <w:sz w:val="20"/>
        </w:rPr>
      </w:pPr>
      <w:r>
        <w:rPr>
          <w:rFonts w:ascii="Times New Roman" w:hAnsi="Times New Roman"/>
          <w:b/>
          <w:color w:val="000000"/>
          <w:sz w:val="20"/>
        </w:rPr>
        <w:t>Opinion on the Financial Statements</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We have audited the accompanying consolidated balance sheets of Assembly Biosciences, Inc. (the Company) as of December 31, 2024 and 2023, the related consolidated statements of operations and comprehensive loss, changes in stockholders’ equity and cash flows for each of the two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two years in the period ended December 31, 2024, in conformity with U.S. generally accepted accounting principles. </w:t>
      </w:r>
    </w:p>
    <w:p>
      <w:pPr>
        <w:pStyle w:val="TextBody"/>
        <w:bidi w:val="0"/>
        <w:spacing w:before="0" w:after="240"/>
        <w:jc w:val="both"/>
        <w:rPr>
          <w:rFonts w:ascii="Times New Roman" w:hAnsi="Times New Roman"/>
          <w:b/>
          <w:color w:val="000000"/>
          <w:sz w:val="20"/>
        </w:rPr>
      </w:pPr>
      <w:r>
        <w:rPr>
          <w:rFonts w:ascii="Times New Roman" w:hAnsi="Times New Roman"/>
          <w:b/>
          <w:color w:val="000000"/>
          <w:sz w:val="20"/>
        </w:rPr>
        <w:t>Basis for Opinion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0" w:after="240"/>
        <w:jc w:val="both"/>
        <w:rPr>
          <w:rFonts w:ascii="Times New Roman" w:hAnsi="Times New Roman"/>
          <w:sz w:val="20"/>
        </w:rPr>
      </w:pPr>
      <w:r>
        <w:rPr>
          <w:rFonts w:ascii="Times New Roman" w:hAnsi="Times New Roman"/>
          <w:b/>
          <w:color w:val="000000"/>
          <w:sz w:val="20"/>
        </w:rPr>
        <w:t>Critical Audit Matter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84"/>
        <w:gridCol w:w="109"/>
        <w:gridCol w:w="8812"/>
      </w:tblGrid>
      <w:tr>
        <w:trPr/>
        <w:tc>
          <w:tcPr>
            <w:tcW w:w="1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12" w:type="dxa"/>
            <w:tcBorders/>
            <w:vAlign w:val="center"/>
          </w:tcPr>
          <w:p>
            <w:pPr>
              <w:pStyle w:val="TableContents"/>
              <w:bidi w:val="0"/>
              <w:spacing w:before="0" w:after="283"/>
              <w:jc w:val="left"/>
              <w:rPr>
                <w:sz w:val="4"/>
                <w:szCs w:val="4"/>
              </w:rPr>
            </w:pPr>
            <w:r>
              <w:rPr>
                <w:sz w:val="4"/>
                <w:szCs w:val="4"/>
              </w:rPr>
            </w:r>
          </w:p>
        </w:tc>
      </w:tr>
      <w:tr>
        <w:trPr/>
        <w:tc>
          <w:tcPr>
            <w:tcW w:w="128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sz w:val="20"/>
              </w:rPr>
            </w:pPr>
            <w:r>
              <w:rPr>
                <w:rFonts w:ascii="Times New Roman" w:hAnsi="Times New Roman"/>
                <w:b/>
                <w:i/>
                <w:color w:val="000000"/>
                <w:sz w:val="20"/>
              </w:rPr>
              <w:t>Collaboration Agreement with Gilead Sciences, Inc.</w:t>
            </w:r>
            <w:r>
              <w:rPr>
                <w:rFonts w:ascii="Times New Roman" w:hAnsi="Times New Roman"/>
                <w:color w:val="000000"/>
                <w:sz w:val="20"/>
              </w:rPr>
              <w:t xml:space="preserve"> </w:t>
            </w:r>
          </w:p>
        </w:tc>
      </w:tr>
      <w:tr>
        <w:trPr/>
        <w:tc>
          <w:tcPr>
            <w:tcW w:w="128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Description of the Matter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2" w:type="dxa"/>
            <w:tcBorders/>
            <w:tcMar>
              <w:top w:w="0" w:type="dxa"/>
              <w:left w:w="0" w:type="dxa"/>
              <w:bottom w:w="0" w:type="dxa"/>
              <w:right w:w="0" w:type="dxa"/>
            </w:tcMar>
            <w:vAlign w:val="center"/>
          </w:tcPr>
          <w:p>
            <w:pPr>
              <w:pStyle w:val="TableContents"/>
              <w:bidi w:val="0"/>
              <w:jc w:val="both"/>
              <w:rPr>
                <w:rFonts w:ascii="Times New Roman" w:hAnsi="Times New Roman"/>
                <w:color w:val="000000"/>
                <w:sz w:val="20"/>
              </w:rPr>
            </w:pPr>
            <w:r>
              <w:rPr>
                <w:rFonts w:ascii="Times New Roman" w:hAnsi="Times New Roman"/>
                <w:color w:val="000000"/>
                <w:sz w:val="20"/>
              </w:rPr>
              <w:t>As described in Note 8 to the consolidated financial statements, in December 2024, the Company entered into the First Amendment to its 2023 Gilead Collaboration Agreement, which restructured the timing of specific options exercisable in the agreement and the fees payable to the Company. The Company determined the First Amendment to the Gilead Collaboration Agreement represents a contract modification within the scope of the revenue from contracts with customers guidance. The Company concluded there is a single combined performance obligation for the discovery, research and development services during the remaining collaboration term, and will recognize revenue over time using a cost-based input method consisting of a series of distinct R&amp;D Services. As of December 31, 2024, the total transaction price was determined to be $74.2 million, consisting of the unrecognized portion of the transaction price under the original contract, a premium of $5.2 million on Gilead's purchase of the Company's common stock in December 2024, and $10.0 million received from Gilead pursuant to the First Amendment to the Gilead Collaboration Agreement.</w:t>
            </w:r>
          </w:p>
          <w:p>
            <w:pPr>
              <w:pStyle w:val="TableContents"/>
              <w:bidi w:val="0"/>
              <w:jc w:val="left"/>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Auditing the Company’s accounting for the First Amendment to the Gilead Collaboration Agreement required increased audit effort due to the complex and judgmental nature of evaluating the terms and assumptions of the related amendment and the appropriate accounting for the modification under the guidance.</w:t>
            </w:r>
          </w:p>
          <w:p>
            <w:pPr>
              <w:pStyle w:val="TableContents"/>
              <w:bidi w:val="0"/>
              <w:spacing w:before="0" w:after="283"/>
              <w:jc w:val="both"/>
              <w:rPr/>
            </w:pPr>
            <w:r>
              <w:rPr/>
              <w:t> </w:t>
            </w:r>
          </w:p>
        </w:tc>
      </w:tr>
      <w:tr>
        <w:trPr/>
        <w:tc>
          <w:tcPr>
            <w:tcW w:w="1284" w:type="dxa"/>
            <w:tcBorders/>
            <w:tcMar>
              <w:top w:w="0" w:type="dxa"/>
              <w:left w:w="0" w:type="dxa"/>
              <w:bottom w:w="0" w:type="dxa"/>
              <w:right w:w="0" w:type="dxa"/>
            </w:tcMar>
            <w:vAlign w:val="center"/>
          </w:tcPr>
          <w:p>
            <w:pPr>
              <w:pStyle w:val="TableContents"/>
              <w:bidi w:val="0"/>
              <w:spacing w:before="200" w:after="283"/>
              <w:jc w:val="left"/>
              <w:rPr>
                <w:rFonts w:ascii="Times New Roman" w:hAnsi="Times New Roman"/>
                <w:i/>
                <w:color w:val="000000"/>
                <w:sz w:val="20"/>
              </w:rPr>
            </w:pPr>
            <w:r>
              <w:rPr>
                <w:rFonts w:ascii="Times New Roman" w:hAnsi="Times New Roman"/>
                <w:i/>
                <w:color w:val="000000"/>
                <w:sz w:val="20"/>
              </w:rPr>
              <w:t>How We Addressed the Matter in Our Audit</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2"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To test the conclusion that the modification was accounted for appropriately, our audit procedures included, among others, reviewing the First Amendment to the Gilead Collaboration Agreement and evaluating whether management's accounting position considered all relevant facts and terms included in the agreement. We further evaluated management's technical analysis and assessed management's conclusions to determine whether they had appropriately considered and applied the guidance and associated interpretations.</w:t>
            </w:r>
          </w:p>
        </w:tc>
      </w:tr>
    </w:tbl>
    <w:p>
      <w:pPr>
        <w:pStyle w:val="TextBody"/>
        <w:bidi w:val="0"/>
        <w:jc w:val="left"/>
        <w:rPr>
          <w:rFonts w:ascii="Times New Roman" w:hAnsi="Times New Roman"/>
          <w:color w:val="000000"/>
          <w:sz w:val="20"/>
        </w:rPr>
      </w:pPr>
      <w:r>
        <w:rPr>
          <w:rFonts w:ascii="Times New Roman" w:hAnsi="Times New Roman"/>
          <w:color w:val="000000"/>
          <w:sz w:val="20"/>
        </w:rPr>
        <w:t>/s/ Ernst &amp; Young LLP</w:t>
      </w:r>
    </w:p>
    <w:p>
      <w:pPr>
        <w:pStyle w:val="TextBody"/>
        <w:bidi w:val="0"/>
        <w:jc w:val="left"/>
        <w:rPr>
          <w:rFonts w:ascii="Times New Roman" w:hAnsi="Times New Roman"/>
          <w:color w:val="000000"/>
          <w:sz w:val="20"/>
        </w:rPr>
      </w:pPr>
      <w:r>
        <w:rPr>
          <w:rFonts w:ascii="Times New Roman" w:hAnsi="Times New Roman"/>
          <w:color w:val="000000"/>
          <w:sz w:val="20"/>
        </w:rPr>
        <w:t>We have served as the Company’s auditor since 2015.</w:t>
      </w:r>
    </w:p>
    <w:p>
      <w:pPr>
        <w:pStyle w:val="TextBody"/>
        <w:bidi w:val="0"/>
        <w:jc w:val="left"/>
        <w:rPr>
          <w:rFonts w:ascii="Times New Roman" w:hAnsi="Times New Roman"/>
          <w:color w:val="000000"/>
          <w:sz w:val="20"/>
        </w:rPr>
      </w:pPr>
      <w:r>
        <w:rPr>
          <w:rFonts w:ascii="Times New Roman" w:hAnsi="Times New Roman"/>
          <w:color w:val="000000"/>
          <w:sz w:val="20"/>
        </w:rPr>
        <w:t>San Jose, California</w:t>
      </w:r>
    </w:p>
    <w:p>
      <w:pPr>
        <w:pStyle w:val="TextBody"/>
        <w:bidi w:val="0"/>
        <w:jc w:val="left"/>
        <w:rPr>
          <w:rFonts w:ascii="Times New Roman" w:hAnsi="Times New Roman"/>
          <w:color w:val="000000"/>
          <w:sz w:val="20"/>
        </w:rPr>
      </w:pPr>
      <w:r>
        <w:rPr>
          <w:rFonts w:ascii="Times New Roman" w:hAnsi="Times New Roman"/>
          <w:color w:val="000000"/>
          <w:sz w:val="20"/>
        </w:rPr>
        <w:t>March 20,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ASSEMBLY BIOSCIENCES, INC.</w:t>
      </w:r>
    </w:p>
    <w:p>
      <w:pPr>
        <w:pStyle w:val="TextBody"/>
        <w:bidi w:val="0"/>
        <w:jc w:val="center"/>
        <w:rPr>
          <w:rFonts w:ascii="Times New Roman" w:hAnsi="Times New Roman"/>
          <w:b/>
          <w:color w:val="000000"/>
          <w:sz w:val="20"/>
        </w:rPr>
      </w:pPr>
      <w:bookmarkStart w:id="32" w:name="consolidated_balance_sheets"/>
      <w:bookmarkEnd w:id="32"/>
      <w:r>
        <w:rPr>
          <w:rFonts w:ascii="Times New Roman" w:hAnsi="Times New Roman"/>
          <w:b/>
          <w:color w:val="000000"/>
          <w:sz w:val="20"/>
        </w:rPr>
        <w:t>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amounts and par value)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7232"/>
        <w:gridCol w:w="146"/>
        <w:gridCol w:w="211"/>
        <w:gridCol w:w="841"/>
        <w:gridCol w:w="166"/>
        <w:gridCol w:w="146"/>
        <w:gridCol w:w="211"/>
        <w:gridCol w:w="841"/>
        <w:gridCol w:w="411"/>
      </w:tblGrid>
      <w:tr>
        <w:trPr/>
        <w:tc>
          <w:tcPr>
            <w:tcW w:w="723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As of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receivable from collaboration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115,503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133,787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(ROU)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136,823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from a related party - short-term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 short-term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39,225</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 from a related party - long-term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55,379</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 - long-term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85,809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95,726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Preferred stock, $0.001 par value; 5,000,000 shares authorized; no shares issued or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Common stock, $0.001 par value; 150,000,000 shares authorized as of December 31, 2024 and December 31, 2023; 7,457,240 and 5,482,752 shares issued and outstanding as of December 31, 2024 and December 31, 2023,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859,488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826,921</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(825,925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(785,748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32"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33,359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41,097</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3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119,168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136,823</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ASSEMBLY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3" w:name="consolidated_statements_operations_compr"/>
      <w:bookmarkEnd w:id="33"/>
      <w:r>
        <w:rPr>
          <w:rFonts w:ascii="Times New Roman" w:hAnsi="Times New Roman"/>
          <w:b/>
          <w:color w:val="000000"/>
          <w:sz w:val="20"/>
        </w:rPr>
        <w:t>CONSOLIDATED STATEMENTS OF OPERATIONS AND COMPREHENSIVE LOSS</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and per share amounts)</w:t>
      </w:r>
    </w:p>
    <w:p>
      <w:pPr>
        <w:pStyle w:val="TextBody"/>
        <w:bidi w:val="0"/>
        <w:jc w:val="both"/>
        <w:rPr/>
      </w:pPr>
      <w:r>
        <w:rPr/>
        <w:t> </w:t>
      </w:r>
    </w:p>
    <w:tbl>
      <w:tblPr>
        <w:tblW w:w="8594" w:type="dxa"/>
        <w:jc w:val="left"/>
        <w:tblInd w:w="0" w:type="dxa"/>
        <w:tblLayout w:type="fixed"/>
        <w:tblCellMar>
          <w:top w:w="28" w:type="dxa"/>
          <w:left w:w="28" w:type="dxa"/>
          <w:bottom w:w="28" w:type="dxa"/>
          <w:right w:w="28" w:type="dxa"/>
        </w:tblCellMar>
      </w:tblPr>
      <w:tblGrid>
        <w:gridCol w:w="5461"/>
        <w:gridCol w:w="146"/>
        <w:gridCol w:w="211"/>
        <w:gridCol w:w="931"/>
        <w:gridCol w:w="166"/>
        <w:gridCol w:w="146"/>
        <w:gridCol w:w="211"/>
        <w:gridCol w:w="931"/>
        <w:gridCol w:w="391"/>
      </w:tblGrid>
      <w:tr>
        <w:trPr/>
        <w:tc>
          <w:tcPr>
            <w:tcW w:w="5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 xml:space="preserve">Collaboration revenue </w:t>
            </w:r>
            <w:r>
              <w:rPr>
                <w:rFonts w:ascii="Times New Roman" w:hAnsi="Times New Roman"/>
                <w:color w:val="000000"/>
                <w:sz w:val="20"/>
              </w:rPr>
              <w:t>($28,520 and $4,430 from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22,909</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73,940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71,809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(45,420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(64,646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Interest and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other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(39,847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(61,195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(40,177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(61,228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Unrealized (loss) gain on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(40,307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(60,506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common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6,004,560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4,577,371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sz w:val="20"/>
        </w:rPr>
      </w:pPr>
      <w:r>
        <w:rPr>
          <w:rFonts w:ascii="Times New Roman" w:hAnsi="Times New Roman"/>
          <w:i/>
          <w:color w:val="000000"/>
          <w:sz w:val="20"/>
        </w:rPr>
        <w:t>See Accompanying Notes to the Consolidated Financial Statements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ASSEMBLY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4" w:name="consolidated_statements_changes_in_stock"/>
      <w:bookmarkEnd w:id="34"/>
      <w:r>
        <w:rPr>
          <w:rFonts w:ascii="Times New Roman" w:hAnsi="Times New Roman"/>
          <w:b/>
          <w:color w:val="000000"/>
          <w:sz w:val="20"/>
        </w:rPr>
        <w:t>CONSOLIDATED STATEMENTS OF CHANGES IN STOCKHOLDERS’ EQUITY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(In thousands except for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84"/>
        <w:gridCol w:w="146"/>
        <w:gridCol w:w="146"/>
        <w:gridCol w:w="826"/>
        <w:gridCol w:w="146"/>
        <w:gridCol w:w="146"/>
        <w:gridCol w:w="249"/>
        <w:gridCol w:w="442"/>
        <w:gridCol w:w="146"/>
        <w:gridCol w:w="146"/>
        <w:gridCol w:w="196"/>
        <w:gridCol w:w="691"/>
        <w:gridCol w:w="146"/>
        <w:gridCol w:w="146"/>
        <w:gridCol w:w="377"/>
        <w:gridCol w:w="839"/>
        <w:gridCol w:w="166"/>
        <w:gridCol w:w="146"/>
        <w:gridCol w:w="217"/>
        <w:gridCol w:w="834"/>
        <w:gridCol w:w="166"/>
        <w:gridCol w:w="146"/>
        <w:gridCol w:w="238"/>
        <w:gridCol w:w="807"/>
        <w:gridCol w:w="213"/>
      </w:tblGrid>
      <w:tr>
        <w:trPr/>
        <w:tc>
          <w:tcPr>
            <w:tcW w:w="24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December 31, 2022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4,074,552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807,983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(724,520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82,664</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at-the-market (ATM) equity offering program,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261,170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4,546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in a private placement to a related party,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1,089,472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9,143</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Employee Stock Purchase Plan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14,453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129</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for settlement of restricted stock units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43,105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Unrealized gain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722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5,121</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(61,228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(61,228</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5,482,752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826,921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(785,748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41,097</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ATM equity offering program,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152,666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2,030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and warrants in a registered direct offering, net of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634,500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9,662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and warrants in private placements to a related party, net of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1,119,999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17,602</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upon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under ESPP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14,937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150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Issuance of common stock for settlement of RSUs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51,872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Unrealized loss on marketable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(130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3,120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(40,177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7"/>
              </w:rPr>
            </w:pPr>
            <w:r>
              <w:rPr>
                <w:rFonts w:ascii="Times New Roman" w:hAnsi="Times New Roman"/>
                <w:color w:val="000000"/>
                <w:sz w:val="17"/>
              </w:rPr>
              <w:t>(40,177</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7"/>
              </w:rPr>
            </w:pPr>
            <w:r>
              <w:rPr>
                <w:rFonts w:ascii="Times New Roman" w:hAnsi="Times New Roman"/>
                <w:color w:val="000000"/>
                <w:sz w:val="17"/>
              </w:rPr>
              <w:t>)</w:t>
            </w:r>
          </w:p>
        </w:tc>
      </w:tr>
      <w:tr>
        <w:trPr/>
        <w:tc>
          <w:tcPr>
            <w:tcW w:w="24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7,457,240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4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859,488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(211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3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(825,925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7"/>
              </w:rPr>
            </w:pPr>
            <w:r>
              <w:rPr>
                <w:rFonts w:ascii="Times New Roman" w:hAnsi="Times New Roman"/>
                <w:b/>
                <w:color w:val="000000"/>
                <w:sz w:val="17"/>
              </w:rPr>
              <w:t>$</w:t>
            </w:r>
          </w:p>
        </w:tc>
        <w:tc>
          <w:tcPr>
            <w:tcW w:w="8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7"/>
              </w:rPr>
            </w:pPr>
            <w:r>
              <w:rPr>
                <w:rFonts w:ascii="Times New Roman" w:hAnsi="Times New Roman"/>
                <w:b/>
                <w:color w:val="000000"/>
                <w:sz w:val="17"/>
              </w:rPr>
              <w:t>33,359</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ASSEMBLY BIOSCIENCES,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bookmarkStart w:id="35" w:name="consolidated_statements_cash_flows"/>
      <w:bookmarkEnd w:id="35"/>
      <w:r>
        <w:rPr>
          <w:rFonts w:ascii="Times New Roman" w:hAnsi="Times New Roman"/>
          <w:b/>
          <w:color w:val="000000"/>
          <w:sz w:val="20"/>
        </w:rPr>
        <w:t>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992"/>
        <w:gridCol w:w="246"/>
        <w:gridCol w:w="211"/>
        <w:gridCol w:w="781"/>
        <w:gridCol w:w="166"/>
        <w:gridCol w:w="146"/>
        <w:gridCol w:w="211"/>
        <w:gridCol w:w="841"/>
        <w:gridCol w:w="611"/>
      </w:tblGrid>
      <w:tr>
        <w:trPr/>
        <w:tc>
          <w:tcPr>
            <w:tcW w:w="699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Year Ended December 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(61,228</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provided by operating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Stock-based compensation</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accretion of investments in marketable debt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Non-cash rent expense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on disposal of property and equipment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Changes in operating assets and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receivable from collaboration</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assets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Accounts payable</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Accrued research and development expenses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accrued expenses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(1,571</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revenue (-$13,294 and $86,294 from a related party)</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83,561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provided by operating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22,743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maturities of marketable securities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130,700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65,015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marketable securities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(133,922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sale of property and equipment</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Purchases of property and equipment</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 investing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78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4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(69,138</w:t>
            </w:r>
          </w:p>
        </w:tc>
        <w:tc>
          <w:tcPr>
            <w:tcW w:w="6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stock and warrants in private placements to a related party, net of issuance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stock and warrants in a registered direct offering, net of issuance costs</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stock under ATM equity offering programs, net of issuance costs</w:t>
            </w:r>
          </w:p>
        </w:tc>
        <w:tc>
          <w:tcPr>
            <w:tcW w:w="24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4,546</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Proceeds from the issuance of common stock under ESPP</w:t>
            </w:r>
          </w:p>
        </w:tc>
        <w:tc>
          <w:tcPr>
            <w:tcW w:w="24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financing activities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29,449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13,818</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and cash equivalents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the beginning of the year</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and cash equivalents at the end of the year</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38,344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19,841</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non-cash investing and financing activities</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Operating lease liabilities arising from obtaining ROU assets</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9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 of cash flow information</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992" w:type="dxa"/>
            <w:tcBorders/>
            <w:shd w:fill="CFF0FC" w:val="clear"/>
            <w:tcMar>
              <w:top w:w="0" w:type="dxa"/>
              <w:left w:w="0" w:type="dxa"/>
              <w:bottom w:w="0" w:type="dxa"/>
              <w:right w:w="0" w:type="dxa"/>
            </w:tcMar>
            <w:vAlign w:val="center"/>
          </w:tcPr>
          <w:p>
            <w:pPr>
              <w:pStyle w:val="TableContents"/>
              <w:bidi w:val="0"/>
              <w:spacing w:before="0" w:after="283"/>
              <w:ind w:left="400" w:right="0" w:firstLine="400"/>
              <w:jc w:val="left"/>
              <w:rPr>
                <w:rFonts w:ascii="Times New Roman" w:hAnsi="Times New Roman"/>
                <w:color w:val="000000"/>
                <w:sz w:val="20"/>
              </w:rPr>
            </w:pPr>
            <w:r>
              <w:rPr>
                <w:rFonts w:ascii="Times New Roman" w:hAnsi="Times New Roman"/>
                <w:color w:val="000000"/>
                <w:sz w:val="20"/>
              </w:rPr>
              <w:t>Income taxes paid</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i/>
          <w:color w:val="000000"/>
          <w:sz w:val="20"/>
        </w:rPr>
      </w:pPr>
      <w:r>
        <w:rPr>
          <w:rFonts w:ascii="Times New Roman" w:hAnsi="Times New Roman"/>
          <w:i/>
          <w:color w:val="000000"/>
          <w:sz w:val="20"/>
        </w:rPr>
        <w:t>See Accompanying Notes to the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ASSEMBLY BIOSCIENCES, INC.</w:t>
      </w:r>
      <w:r>
        <w:rPr>
          <w:rFonts w:ascii="Times New Roman" w:hAnsi="Times New Roman"/>
          <w:color w:val="000000"/>
          <w:sz w:val="20"/>
        </w:rPr>
        <w:t xml:space="preserve"> </w:t>
      </w:r>
    </w:p>
    <w:p>
      <w:pPr>
        <w:pStyle w:val="TextBody"/>
        <w:bidi w:val="0"/>
        <w:jc w:val="center"/>
        <w:rPr>
          <w:rFonts w:ascii="Times New Roman" w:hAnsi="Times New Roman"/>
          <w:sz w:val="20"/>
        </w:rPr>
      </w:pPr>
      <w:bookmarkStart w:id="36" w:name="notes_to_consolidated_financial_statemen"/>
      <w:bookmarkEnd w:id="36"/>
      <w:r>
        <w:rPr>
          <w:rFonts w:ascii="Times New Roman" w:hAnsi="Times New Roman"/>
          <w:b/>
          <w:color w:val="000000"/>
          <w:sz w:val="20"/>
        </w:rPr>
        <w:t>Notes to Consolidated</w:t>
      </w:r>
      <w:r>
        <w:rPr>
          <w:rFonts w:ascii="Times New Roman" w:hAnsi="Times New Roman"/>
          <w:color w:val="000000"/>
          <w:sz w:val="20"/>
        </w:rPr>
        <w:t xml:space="preserve"> </w:t>
      </w:r>
      <w:r>
        <w:rPr>
          <w:rFonts w:ascii="Times New Roman" w:hAnsi="Times New Roman"/>
          <w:b/>
          <w:color w:val="000000"/>
          <w:sz w:val="20"/>
        </w:rPr>
        <w:t>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1 - Nature of Business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Overview</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Assembly Biosciences, Inc. (together with its subsidiaries, Assembly or the Company), incorporated in Delaware in October 2005, is a biotechnology company developing innovative therapeutics targeting serious viral diseases with the potential to improve the lives of patients worldwide. The Company's pipeline includes multiple clinical-stage investigational therapies, including: (1) two helicase-primase inhibitors (HPI) targeting recurrent genital herpes; (2) an orally bioavailable hepatitis delta virus (HDV) entry inhibitor; and (3) a highly potent next-generation capsid assembly modulator (CAM) designed to disrupt the replication cycle of hepatitis B virus (HBV) at several key points. The Company's pipeline also includes a novel, oral broad-spectrum non-nucleoside polymerase inhibitor (NNPI) targeting transplant-related herpesviruses, which is currently undergoing studies to enable a regulatory filing, and it has additional research programs against multiple antiviral targets. The Company operates in one segment and is headquartered in South San Francisco, California (see Note 13 - Segment Reporting).</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Liquidity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not derived any revenue from product sales to date and currently has no approved products. Once a product has been developed, it will need to be approved for sale by the U.S. Food and Drug Administration (FDA) or an applicable foreign regulatory agency. Since inception, the Company’s operations have been financed through the sale of equity securities, payments related to collaboration agreements, the proceeds from the exercise of warrants and stock options and the issuance of debt. The Company has incurred losses from operations since inception and expects to continue to incur substantial losses for the next several years as it continues its product development efforts. Management believes the Company currently has sufficient funds to meet its operating requirements for at least the next twelve months following the date these consolidated financial statements are issued. The Company intends to obtain any additional funding it requires through strategic relationships, public or private equity or debt financings, grants or other arrangements. The Company cannot assure such funding will be available on reasonable terms, if at all. Market volatility, inflation or other factors could also adversely impact the Company's ability to access capital when and as needed.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the Company is unable to secure additional sources of funding or generate enough revenue from its collaborations, it may be necessary to significantly reduce the current rate of spending through reductions in staff and delaying, scaling back, or discontinuing certain research and development programs, including more costly clinical trials.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2 - Summary of Significant Accounting Policies and Recent Accounting Pronouncements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Basis of Presentation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These consolidated financial statements have been prepared in accordance with accounting principles generally accepted in the United States (U.S. GAAP) and include the accounts of the Company and its wholly owned subsidiaries. All intercompany balances and transactions have been eliminated in consolidation.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Use of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preparation of the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Significant estimates inherent in the preparation of the accompanying consolidated financial statements include estimates for revenue recognition, including the standalone selling price (SSP) for the allocation of transaction price to performance obligations and cost-based inputs, as well as estimates of costs incurred but not yet invoiced for research and development accruals.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Other Risks and Uncertainties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U.S. and global financial markets have experienced volatility and disruption due to macroeconomic and geopolitical events such as rising inflation, changes in interest rates to combat inflation, the war between Russia and Ukraine, the conflicts in the Middle East, the rising tensions between China and Taiwan, as well as tariffs. The Company cannot predict at this time to what extent, if at all, it and its employees, contract research organizations (CROs), vendors and/or collaborators could potentially be negatively impacted by these events.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Cash and Cash Equivalents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highly liquid investments with original maturities of three months or less at the time of purchase are considered to be cash equivalents. All of the Company’s cash equivalents have liquid markets and high credit ratings.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Investments in Marketable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designated its investments in marketable securities as available-for-sale and measures these securities at their respective fair values. The Company reviews all available-for-sale securities at each period end to determine if they remain available-for-sale based on their current intent and ability to sell the security if it is required to do so. Marketable securities are classified as short-term or long-term based on the maturity date and their availability to meet current operating requirements. Marketable securities that mature in one year or less from the consolidated balance sheet date are classified as short-term available-for-sale securities, while marketable securities with maturities in one year or beyond one year from the consolidated balance sheet date are classified as long-term.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periodically reviews its marketable securities for declines in fair value below the amortized cost basis to determine whether the impairment, if any, is due to credit-related or other factors. This review includes the credit worthiness of the security issuers, the severity of the unrealized losses, whether the Company has the intent to sell the securities and whether it is more likely than not the Company will be required to sell the securities before the recovery of the amortized cost basis. Unrealized gains and losses on available-for-sale securities are reported in other comprehensive loss, and as a component of stockholders' equity until their disposition, with the exception of unrealized losses believed to be related to credit losses which are recognized as an allowance for credit losses on the consolidated balance sheet with the corresponding charge in other income in the period the impairment occurs. Impairment assessments are made at the individual security level each reporting period. The Company elected to exclude accrued interest receivable from the amortized cost basis of its available-for-sale debt securities and to not measure an allowance for credit losses for accrued interest receivable. To date, there have been no credit-related declines in value or other impairments of the Company’s investments in marketable securities. Realized gains and losses from the sale of marketable securities, if any, are calculated using the specific-identification method.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All of the Company’s leases are operating leases for facilities and equipment. The Company recognizes a lease asset for its right to use the underlying asset and a lease liability for the corresponding lease obligation. The Company determines if an arrangement is or contains a lease at inception or modification of the arrangement. Operating leases with a duration greater than one year are included in operating lease ROU assets, operating lease liabilities - short-term, and operating lease liabilities - long-term in the Company’s consolidated balance sheets. The Company elected the short-term lease exception policy, permitting it to not apply the recognition requirements to leases with terms of less than one year (short-term leases) for all classes of assets. Operating lease ROU assets and liabilities are recognized at the lease commencement date based on the present value of lease payments over the lease term. In determining the net present value of lease payments, the Company uses its incremental borrowing rate based on the information available at the lease commencement date. The incremental borrowing rate represents the interest rate the Company would incur at lease commencement to borrow an amount equal to the lease payments on a collateralized basis over the term of a lease. The Company considers a lease term to be the noncancelable period that it has the right to use the underlying asset, including any periods where it is reasonably assured the Company will exercise the option to extend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contract. Periods covered by an option to extend are included in the lease term if the lessor controls the exercise of that option.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operating lease ROU assets also include any lease payments made and exclude lease incentives. Lease expense is recognized on a straight-line basis over the expected lease term. Variable lease expenses are recorded when incurred. The Company has elected not to separate lease and non-lease components for its leased assets and accounts for all lease and non-lease components of its agreements as a single lease component.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Impairment of Long-Lived Assets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monitors the carrying value of long-lived assets, including ROU operating lease assets, for potential impairment and tests the recoverability of such assets whenever events or changes in circumstances indicate the carrying amounts may not be recoverable. If a change in circumstance occurs, the Company performs a test of recoverability by comparing the carrying value of the asset or asset group to its undiscounted expected future cash flows. If cash flows cannot be separately and independently identified for a single asset, the Company will determine whether impairment has occurred for the group of assets for which the Company can identify the projected cash flows. If the carrying values are in excess of undiscounted expected future cash flows, the Company measures any impairment by comparing the fair value of the asset or asset group to its carrying value. There was no impairment of long-lived assets during the years ended December 31, 2024 and 2023.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Fair Value Measurements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follows accounting guidance on fair value measurements for financial instruments measured on a recurring basis, as well as for certain assets and liabilities that are initially recorded at their estimated fair values. Fair value is defined as the exit price, or the amount that would be received from selling an asset or paid to transfer a liability in an orderly transaction between market participants at the measurement date. The Company uses the following three-level hierarchy that maximizes the use of observable inputs and minimizes the use of unobservable inputs to value its financial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1: Observable inputs such as unadjusted quoted prices in active markets for identical instruments.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2: Quoted prices for similar instruments that are directly or indirectly observable in the marketplace.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Level 3: Significant unobservable inputs which are supported by little or no market activity and that are financial instruments whose values are determined using pricing models, discounted cash flow methodologies, or similar techniques, as well as instruments for which the determination of fair value requires significant judgment or estimation.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Financial instruments measured at fair value are classified in their entirety based on the lowest level of input that is significant to the fair value measurement. The assessment of the significance of a particular input to the fair value measurement in its entirety requires the Company to make judgments and consider factors specific to the asset or liability. The use of different assumptions and/or estimation methodologies may have a material effect on estimated fair values. Accordingly, the fair value estimates disclosed or initial amounts recorded may not be indicative of the amount the Company or holders of the instruments could realize in a current market exchange.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carrying amounts of cash equivalents and marketable securities approximate their fair value based upon quoted market prices. Certain of the Company’s financial instruments are not measured at fair value on a recurring basis but are recorded at amounts which approximate their fair value due to their liquid or short-term nature, such as cash, accounts receivable, accounts payable and accrued expenses.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Revenue Recognition and Accounts Receivable from Collaboration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analyzes its collaboration arrangements to assess whether such arrangements, or transactions between arrangement participants, involve joint operating activities performed by parties that are both active participants in the activities and exposed to significant risks and rewards dependent on the commercial success of such activities or are more akin to a vendor-customer relationship. In making this evaluation, the Company considers whether the activities of the collaboration are considered to be distinct and deemed to be within the scope of the collaborative arrangement accounting standard and those that are more reflective of a vendor-customer relationship and, therefore, within the scope of the revenue with contracts with customers accounting standard. This assessment is performed throughout the life of the arrangement based on changes in the responsibilities of all parties in the arrangement.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For elements of collaboration arrangements that are not accounted for pursuant to the revenue from contracts with customers accounting standard, an appropriate recognition method is determined and applied consistently, generally by analogy to the revenue from contracts with customers accounting standard. Amounts related to transactions with a counterparty in a collaborative arrangement that is not a customer are presented on a separate line item from revenue recognized from contracts with customers, if any, in the Company’s consolidated statements of operations and comprehensive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Under certain collaborative arrangements, the Company has been reimbursed for a portion of its research and development expenses or participates in the cost-sharing of such research and development expenses. Such reimbursements and cost-sharing arrangements are reflected as a reduction of research and development expense in the Company’s consolidated statements of operations and comprehensive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For arrangements or transactions between arrangement participants determined to be within the scope of the contracts with customers accounting standard, the Company evaluates the term of the arrangement and recognizes revenue when the customer obtains control of promised goods or services in a contract for an amount that reflects the consideration the Company expects to receive in exchange for those goods or services. For contracts with customers, the Company applies the following five-step model in order to determine this amount: (1) identification of the promised goods or services in the contract; (2) determination of whether the promised goods or services are performance obligations, including whether they are distinct in the context of the contract; (3) measurement of the transaction price, including the constraint on variable consideration; (4) allocation of the transaction price to the performance obligations; and (5) recognition of revenue when (or as) the Company satisfies each performance obligation.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provided standard indemnification and protection of licensed intellectual property for its customers. These provisions are part of assurance the licenses meet the agreements, representations and are not obligations to provide goods or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only applies the five-step model to contracts when it is probable the Company will collect the consideration it is entitled to in exchange for the goods or services it transfers to the customer. As part of the accounting for contracts with customers, the Company must develop assumptions that require judgment to determine the estimated relative SSP of each performance obligation identified in the contract. The Company then allocates the total transaction price to each performance obligation based on the SSP of each performance obligation. The Company recognizes the amount of the transaction price that is allocated to the respective performance obligation when the performance obligation is satisfied or as it is satisfied as revenue.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Contract modifications, defined as changes in the scope or price (or both) of a contract that are approved by the parties to the contract, such as a contract amendment, exist when the parties to a contract approve a modification that either creates new, or changes existing, enforceable rights and obligations of the parties to the contract. The Company accounts for contract modifications using one of the following methods depending on facts and circumstances: (i) as a separate contract if the modification adds distinct goods or services and the price reflects the SSP of those additional goods or services; (ii) as a termination of the existing contract and creation of a new contract if the remaining goods or services are distinct from those transferred before the modification; or (iii) as a cumulative catch-up adjustment to the original contract if the remaining goods or services are not distinct from those transferred before the modification.</w:t>
      </w:r>
    </w:p>
    <w:p>
      <w:pPr>
        <w:pStyle w:val="TextBody"/>
        <w:bidi w:val="0"/>
        <w:spacing w:before="200" w:after="283"/>
        <w:jc w:val="both"/>
        <w:rPr>
          <w:rFonts w:ascii="Times New Roman" w:hAnsi="Times New Roman"/>
          <w:sz w:val="20"/>
        </w:rPr>
      </w:pPr>
      <w:r>
        <w:rPr>
          <w:rFonts w:ascii="Times New Roman" w:hAnsi="Times New Roman"/>
          <w:b/>
          <w:i/>
          <w:color w:val="000000"/>
          <w:sz w:val="20"/>
        </w:rPr>
        <w:t>Licenses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 license to the Company’s intellectual property is determined to be distinct from the other performance obligations identified in the arrangement, the Company recognizes revenues from nonrefundable, upfront license fees based on the relative value prescribed to the license compared to the total value of the arrangement. The revenue is recognized when the license is transferred to the collaborator and the collaborator is able to use and benefit from the license. For licenses that are not distinct from other obligations identified in the arrangement, the Company utilizes judgment to assess the nature of the combined performance obligation to determine whether the combined performance obligation is satisfied over time or at a point in time. If the combined performance obligation is satisfied over time, the Company applies an appropriate method of measuring progress for purposes of recognizing revenue from nonrefundable, upfront license fees. The Company evaluates the measure of progress each reporting period and, if necessary, adjusts the measure of performance and related revenue recognition.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Research and Development Services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promises under the Company’s agreements may include research and development services to be performed by the Company on behalf of the counterparty. If these services are determined to be distinct from the other promises or performance obligations identified in the arrangement, the Company recognizes the transaction price allocated to these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services as revenue over time based on an appropriate measure of progress when the performance by the Company does not create an asset with an alternative use and the Company either has received or has an enforceable right to payment for the performance completed to date. If these services are determined not to be distinct from the other promises or performance obligations identified in the arrangement, the Company recognizes the transaction price allocated to the combined performance obligation as the related performance obligations are satisfied.</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Customer Options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an arrangement contains customer options, the Company evaluates whether the options are material rights because they allow the customer to acquire additional goods or services for free or at a discount. If the customer options are determined to represent a material right, the material right is recognized as a separate performance obligation at the outset of the arrangement. The identification of a material right, and if identified as a material right, the allocation of the transaction price to it, is based on the SSP, which is determined using assumptions regarding estimated costs, discount rates, post-option development timeline, the probability of technical and regulatory success and the probability the customer will exercise the option. Amounts allocated to a material right are not recognized as revenue until, at the earliest, the option is exercised or expires. If the options are deemed not to be a material right, they are considered marketing offers which are excluded as performance obligations at the outset of the arrangement.</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Development and Regulatory Milestone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Depending on facts and circumstances, the Company may record revenues from certain milestones in a reporting period before the milestone is achieved if the Company concludes achievement of the milestone is probable and recognition of revenue related to the milestone will not result in a significant reversal in amounts recognized in future periods. The Company records a corresponding contract asset when this conclusion is reached. Milestone payments that have not been included in the transaction price to date are fully constrained. The Company re-evaluates the probability of achievement of such milestones and any related constraint each reporting period. The Company adjusts its estimate of the overall transaction price, including the amount of collaborative revenue that was recorded, if necessary.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Sales-based Milestone and Royalty Payments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Company’s customers may be required to pay the Company sales-based milestone payments or royalties on future sales of commercial products. The Company recognizes revenues related to sales-based milestone and royalty payments upon the later to occur of (i) achievement of the collaborator’s underlying sales or (ii) satisfaction of any performance obligation(s) related to these sales, in each case assuming the Company’s licensed intellectual property is deemed to be the predominant item to which the sales-based milestones and/or royalties relate.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receives payments from its customers based on billing schedules established in the contract. Upfront payments and fees are recorded as deferred revenue upon receipt or when due until the Company performs its obligations under the arrangement. If the related performance obligation is expected to be satisfied within the next twelve months, these amounts will be classified in current liabilities. The Company recognizes a contract asset relating to its conditional right to consideration that is not subject to a constraint. Amounts are recorded as accounts receivable when the Company’s right to consideration is unconditional.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 net contract asset or liability is presented for each contract with a customer. The Company does not assess whether a contract has a significant financing component if the expectation at contract inception is such that the period between payment by the customer and the transfer of the promised goods or services to the customer will be one year or less.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were no accounts receivable from collaboration as of December 31, 2024. At December 31, 2023, all accounts receivable from collaboration are deemed collectible.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Stock-Based Compensation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measures stock-based compensation to employees and board members at fair value on the grant date of the award. The fair value of RSUs is determined based on the number of shares granted and the quoted market price of the Company’s common stock on the date of grant. If stock-based awards are granted in contemplation of or shortly before a planned release of material nonpublic information, and such information is expected to result in a material increase in the Company’s share price, the Company considers whether an adjustment to the observable market price is required when estimating fair values. Compensation cost is recognized as expense on a straight-line basis over the requisite service period of the award. Stock-based awards with graded vesting schedules are recognized using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accelerated attribution method on a straight-line basis over the requisite service period for each separately vesting portion of the award. For awards that have a performance condition, compensation cost is measured based on the fair value of the award on the grant date, the date performance targets are established, and is expensed over the requisite service period for each separately vesting tranche when achievement of the performance condition becomes probable. The Company assesses the probability of the performance conditions being met on a continuous basis. For awards that have a market condition, compensation cost is measured based on the grant-date fair value of the award and is expensed over the derived service period regardless of whether the underlying market condition is met. Forfeitures are recognized when they occur.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estimates the fair value of stock option grants that do not contain market-based vesting conditions using the Black-Scholes option pricing model. The assumptions used in estimating the fair value of these awards, such as expected term, expected dividend yield, volatility and risk-free interest rate, represent management’s best estimates and involve inherent uncertainties and the application of management’s judgment. The Company calculates the weighted average expected term of options using the simplified method where permitted by accounting guidance for stock-based compensation when there is limited history of relevant stock option exercise activity. The Company uses an expected dividend yield of zero as the Company currently does not intend to pay dividends in the foreseeable future. The Company calculates the expected volatility based on the Company’s historical stock prices. The risk-free interest rate assumption is based on the rates for U.S. Treasury zero-coupon bonds with maturities similar to those of the expected term of the stock option being valued.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is also required to make estimates as to the probability of achieving the specific performance conditions. If actual results are not consistent with the Company’s assumptions and judgments used in making these estimates, the Company may be required to increase or decrease compensation expense, which could be material to the Company’s consolidated results of operations.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Research and Development Expense and Accruals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Research and development costs include personnel-related costs, outside contracted services including clinical study costs, facilities costs, fees paid to consultants, milestone payments prior to FDA approval, license fees prior to FDA approval, professional services, travel costs, dues and subscriptions, depreciation and materials used in clinical trials and research and development and costs incurred under the Company’s collaboration agreements. Research and development costs are expensed as incurred unless there is an alternative future use in other research and development projects. Payments made prior to the receipt of goods or services to be used in research and development are capitalized until the goods or services are received. Such payments are evaluated for current or long-term classification based on when they will be realized or consumed.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records expenses related to clinical studies and manufacturing development activities based on its estimates of the services received and efforts expended pursuant to contracts with multiple CROs and manufacturing vendors that conduct and manage these activities on its behalf. The financial terms of these agreements are subject to negotiation, vary from contract to contract, and may result in uneven payment flows. There may be instances in which payments made to the Company’s vendors will exceed the level of services provided and result in a prepayment of the expense. Payments under some of these contracts depend on factors such as the successful enrollment of subjects and the completion of clinical study milestones. In amortizing or accruing service fees, the Company estimates the time period over which services will be performed, enrollment of subjects, number of sites activated and the level of effort expended in each period. If the actual timing of the performance of services or the level of effort varies from the Company’s estimate, the Company will adjust the accrued or prepaid expense balance accordingly. To date, there have been no material differences from the Company’s estimates to the amounts actually incurred.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has entered and may continue to enter into license agreements to access and utilize certain technology. In each case, the Company evaluates if the license agreement results in the acquisition of an asset or a business. To date, none of the Company’s license agreements have been considered to be acquisitions of businesses. For asset acquisitions, the upfront payments to acquire such licenses, as well as any future milestone payments, are immediately recognized as research and development expense when paid, provided there is no alternative future use of the rights in other research and development projects. These license agreements may also include contingent consideration in the form of cash payments to be made for future milestone events. The Company assesses whether such contingent consideration meets the definition of a derivative and to date the Company has determined that such contingent consideration are not derivatives.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Income Taxes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records income taxes using the asset and liability method. Deferred income tax assets and liabilities are recognized for the future tax effects attributable to temporary differences between the financial statement carrying amounts of existing assets and liabilities and their respective income tax bases, and operating loss and tax credit carryforwards. The effect of a change in tax rates on deferred tax assets and liabilities is recognized in income in the period that includes the enactment date. The Company establishes a valuation allowance if it is more likely than not the deferred tax assets will not be realized based on an evaluation of objective verifiable evidence.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recognizes and measures tax benefits from uncertain tax positions only if it is more likely than not the tax position will be sustained in an audit, including resolution of any related appeals or litigation processes. The tax benefit recognized for a particular tax position is based on the largest amount that is more than 50% likely to be realized upon ultimate settlement. Significant judgment is required to evaluate uncertain tax positions. The Company evaluates uncertain tax positions on a regular basis. The evaluations are based on a number of factors, including changes in facts and circumstances, changes in tax law, correspondence with tax authorities during the course of the audit, and effective settlement of audit issues. The provision for income taxes includes the effects of any accruals which the Company believes are appropriate. It is the Company’s policy to recognize interest and penalties related to income tax matters in income tax expense.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Section 174 of the Internal Revenue Code (Sec. 174), expenses associated with research conducted in the United States are capitalized and amortized over a five-year period. For expenses associated with research outside of the United States, Sec. 174 expenses are capitalized and amortized over a 15-year period.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Net Loss per Share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Basic net loss per common share excludes dilution and is computed by dividing net loss by the weighted average number of common shares outstanding during the period. Diluted net loss per common share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Diluted net loss per share is the same as basic net loss per share in the years reported, since the effects of potentially dilutive securities are antidilutive given the net loss for each year presented.</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 reconciliation of the numerators and the denominators of the basic and diluted net loss per common share computations is as follows (in thousands, except for share and per share amounts):</w:t>
      </w:r>
    </w:p>
    <w:tbl>
      <w:tblPr>
        <w:tblW w:w="8779" w:type="dxa"/>
        <w:jc w:val="left"/>
        <w:tblInd w:w="0" w:type="dxa"/>
        <w:tblLayout w:type="fixed"/>
        <w:tblCellMar>
          <w:top w:w="28" w:type="dxa"/>
          <w:left w:w="28" w:type="dxa"/>
          <w:bottom w:w="28" w:type="dxa"/>
          <w:right w:w="28" w:type="dxa"/>
        </w:tblCellMar>
      </w:tblPr>
      <w:tblGrid>
        <w:gridCol w:w="5646"/>
        <w:gridCol w:w="146"/>
        <w:gridCol w:w="211"/>
        <w:gridCol w:w="931"/>
        <w:gridCol w:w="166"/>
        <w:gridCol w:w="146"/>
        <w:gridCol w:w="211"/>
        <w:gridCol w:w="931"/>
        <w:gridCol w:w="391"/>
      </w:tblGrid>
      <w:tr>
        <w:trPr/>
        <w:tc>
          <w:tcPr>
            <w:tcW w:w="56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64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Weighted average common shares outstanding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6,004,560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4,577,371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Securities excluded from the computation of diluted net loss per share because including them would have been antidilutive are as follows:</w:t>
      </w:r>
    </w:p>
    <w:tbl>
      <w:tblPr>
        <w:tblW w:w="6579" w:type="dxa"/>
        <w:jc w:val="left"/>
        <w:tblInd w:w="0" w:type="dxa"/>
        <w:tblLayout w:type="fixed"/>
        <w:tblCellMar>
          <w:top w:w="28" w:type="dxa"/>
          <w:left w:w="28" w:type="dxa"/>
          <w:bottom w:w="28" w:type="dxa"/>
          <w:right w:w="28" w:type="dxa"/>
        </w:tblCellMar>
      </w:tblPr>
      <w:tblGrid>
        <w:gridCol w:w="3946"/>
        <w:gridCol w:w="146"/>
        <w:gridCol w:w="146"/>
        <w:gridCol w:w="931"/>
        <w:gridCol w:w="146"/>
        <w:gridCol w:w="146"/>
        <w:gridCol w:w="146"/>
        <w:gridCol w:w="781"/>
        <w:gridCol w:w="191"/>
      </w:tblGrid>
      <w:tr>
        <w:trPr/>
        <w:tc>
          <w:tcPr>
            <w:tcW w:w="3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Warrants to purchase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to purchase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942,193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862,911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Common stock subject to purchase under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1,833,633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971,823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Comprehensive Loss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Comprehensive loss is comprised of net loss and adjustments for the change in unrealized gains and losses on investments in available-for-sale marketable securities. The Company displays comprehensive loss and its components in the consolidated statements of operations and comprehensive loss, net of tax effects if any.</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Concentrations of Risk</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Financial instruments which potentially subject the Company to credit risk consist primarily of cash, cash equivalents and marketable securities. The Company holds these investments in highly rated financial institutions, and, by policy, limits the amounts of credit exposure to any one financial institution. These amounts as of and at times during the year ended December 31, 2024 exceeded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Supplier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Certain materials and key components the Company utilizes in its operations are obtained through single suppliers. Since the suppliers of key components and materials must be named in a New Drug Application (NDA) filed with the FDA for a product, significant delays can occur if the qualification of a new supplier is required. If delivery of material from the Company’s suppliers were interrupted for any reason, the Company may be unable to supply any of its product candidates for clinical trials.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Customer Risk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During the year ended December 31, 2024, 100% of the Company's collaboration revenue was recognized from a related party, Gilead, under the Gilead Collaboration Agreement (see Note 8 - Collaboration Agreements). If the collaboration with Gilead does not result in the successful development and commercialization of products or if Gilead terminates the Gilead Collaboration Agreement, the Company may not receive any future payments under the collaboration.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Recently Adopted Accounting Standards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November 2023, the Financial Accounting Standards Board (the FASB) issued Accounting Standards Update (ASU) 2023-07, </w:t>
      </w:r>
      <w:r>
        <w:rPr>
          <w:rFonts w:ascii="Times New Roman" w:hAnsi="Times New Roman"/>
          <w:i/>
          <w:color w:val="000000"/>
          <w:sz w:val="20"/>
        </w:rPr>
        <w:t xml:space="preserve">Segment Reporting (Topic 280): Improvements to Reportable Segment Disclosures </w:t>
      </w:r>
      <w:r>
        <w:rPr>
          <w:rFonts w:ascii="Times New Roman" w:hAnsi="Times New Roman"/>
          <w:color w:val="000000"/>
          <w:sz w:val="20"/>
        </w:rPr>
        <w:t>(ASU 2023-07), which requires public entities to disclose information about their reportable segments’ significant expenses and other segment items on an interim and annual basis. Public entities with a single reportable segment are required to apply the disclosure requirements in ASU 2023-07, as well as all existing segment disclosures and reconciliation requirements in ASC 280 on an interim and annual basis. The Company adopted ASU 2023-07 during the year ended December 31, 2024. See Note 13 - Segment Reporting for further details.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Accounting Pronouncements to Be Adopted</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xml:space="preserve"> (ASU 2023-09). The update requires a public business entity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Adoption of ASU 2023-09 allows for either the prospective or retrospective application of the amendment and is effective for annual periods beginning after December 15, 2024, with early adoption permitted. The Company does not expect ASU 2023-09 to have a material impact on the Company’s consolidated financial statements.</w:t>
      </w:r>
    </w:p>
    <w:p>
      <w:pPr>
        <w:pStyle w:val="TextBody"/>
        <w:bidi w:val="0"/>
        <w:spacing w:before="200" w:after="283"/>
        <w:jc w:val="both"/>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 xml:space="preserve">Income Statement - Reporting Comprehensive Income - Expense Disaggregation Disclosures (Subtopic 220-40): Disaggregation of Income Statement Expenses </w:t>
      </w:r>
      <w:r>
        <w:rPr>
          <w:rFonts w:ascii="Times New Roman" w:hAnsi="Times New Roman"/>
          <w:color w:val="000000"/>
          <w:sz w:val="20"/>
        </w:rPr>
        <w:t xml:space="preserve">(ASU 2024-03), which requires the disaggregation of certain expense captions into specified categories in disclosures within the notes to the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financial statements to provide enhanced transparency into the expense captions presented on the face of the income statement. ASU 2024-03 is effective for annual reporting periods beginning after December 15, 2026 and interim periods beginning after December 15, 2027, with early adoption permitted, and may be applied either prospectively or retrospectively to financial statements issued for reporting periods after the effective date of ASU 2024-03 or retrospectively to any or all prior periods presented in the financial statements. The Company does not expect ASU 2024-03 to have a material impact on the Company’s consolidated financial statements.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3 - Related Party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October 2023, the Company entered into an Option, License and Collaboration Agreement (the Gilead Collaboration Agreement), and a Common Stock Purchase Agreement and an Investor Rights Agreement (collectively, the Gilead Equity Agreements) with Gilead Sciences, Inc. (Gilead) under which it received aggregate gross proceeds of $100.0 million. The Company recognized $28.5 million and $4.4 million of collaboration revenue under the Gilead Collaboration Agreement during the years ended December 31, 2024 and 2023,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Pursuant to the Investor Rights Agreement, Gilead designated two directors to the Company’s board of directors, who were appointed in December 2023 and February 2024.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June 2024, the Company entered into a Securities Purchase Agreement pursuant to which it issued and sold 179,500 shares of common stock and a warrant to purchase up to 179,500 shares of common stock in a private placement to Gilead (the June 2024 Private Placement). This transaction was executed concurrently with a Securities Purchase Agreement the Company entered into with an investor for a registered direct offering (the June 2024 Registered Direct Offering) pursuant to anti-dilution provisions in the Investor Rights Agreement. The common stock and warrant in the June 2024 Private Placement were sold at the same combined offering price as the June 2024 Registered Direct Offering of $15.46 per share, for aggregate gross proceeds to the Company of approximately $2.8 million. Also in June 2024, the Gilead Equity Agreements were amended to extend deadlines relating to the Company’s efforts to complete an equity financing and its right to require Gilead to purchase additional shares of the Company’s common stock by three months. This right expired in October 2024. The amendments also explicitly included the shares of the Company's common stock and warrant sold under the June 2024 Private Placement in the definition of registrable securities. The amendments to the Gilead Equity Agreements did not have an impact to the Company's consolidated financial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December 2024, the Company and Gilead entered into the First Amendment to the Gilead Collaboration Agreement, which restructured the timing of specific options exercisable in the agreement and the fees payable to the Company to support an accelerated development plan for ABI-6250 (6250), under which it received a non-refundable payment of $10.0 million. Also in December 2024, Gilead exercised its right under the Gilead Equity Agreements to purchase additional shares of common stock from the Company at a purchase price of $21.37 per share, for aggregate proceeds of $20.1 million, resulting in Gilead owning 29.9% of the Company's then-outstanding voting common stock.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Based on Gilead's ownership as of December 31, 2024, Gilead is considered a related party. See Note 6 - Stockholders' Equity and Note 8 - Collaboration Agreements for additional details.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4 - Investments in Marketable Securities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Investments in marketable available-for-sale securities consisted of the following (in thousands):</w:t>
      </w:r>
    </w:p>
    <w:tbl>
      <w:tblPr>
        <w:tblW w:w="9240" w:type="dxa"/>
        <w:jc w:val="left"/>
        <w:tblInd w:w="0" w:type="dxa"/>
        <w:tblLayout w:type="fixed"/>
        <w:tblCellMar>
          <w:top w:w="28" w:type="dxa"/>
          <w:left w:w="28" w:type="dxa"/>
          <w:bottom w:w="28" w:type="dxa"/>
          <w:right w:w="28" w:type="dxa"/>
        </w:tblCellMar>
      </w:tblPr>
      <w:tblGrid>
        <w:gridCol w:w="4051"/>
        <w:gridCol w:w="146"/>
        <w:gridCol w:w="211"/>
        <w:gridCol w:w="781"/>
        <w:gridCol w:w="146"/>
        <w:gridCol w:w="146"/>
        <w:gridCol w:w="335"/>
        <w:gridCol w:w="551"/>
        <w:gridCol w:w="146"/>
        <w:gridCol w:w="146"/>
        <w:gridCol w:w="335"/>
        <w:gridCol w:w="551"/>
        <w:gridCol w:w="166"/>
        <w:gridCol w:w="146"/>
        <w:gridCol w:w="211"/>
        <w:gridCol w:w="781"/>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48,077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73,673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111,176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9240" w:type="dxa"/>
        <w:jc w:val="left"/>
        <w:tblInd w:w="0" w:type="dxa"/>
        <w:tblLayout w:type="fixed"/>
        <w:tblCellMar>
          <w:top w:w="28" w:type="dxa"/>
          <w:left w:w="28" w:type="dxa"/>
          <w:bottom w:w="28" w:type="dxa"/>
          <w:right w:w="28" w:type="dxa"/>
        </w:tblCellMar>
      </w:tblPr>
      <w:tblGrid>
        <w:gridCol w:w="4051"/>
        <w:gridCol w:w="146"/>
        <w:gridCol w:w="211"/>
        <w:gridCol w:w="781"/>
        <w:gridCol w:w="146"/>
        <w:gridCol w:w="146"/>
        <w:gridCol w:w="295"/>
        <w:gridCol w:w="591"/>
        <w:gridCol w:w="146"/>
        <w:gridCol w:w="146"/>
        <w:gridCol w:w="335"/>
        <w:gridCol w:w="551"/>
        <w:gridCol w:w="166"/>
        <w:gridCol w:w="146"/>
        <w:gridCol w:w="211"/>
        <w:gridCol w:w="781"/>
        <w:gridCol w:w="391"/>
      </w:tblGrid>
      <w:tr>
        <w:trPr/>
        <w:tc>
          <w:tcPr>
            <w:tcW w:w="4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5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Amortized</w:t>
              <w:b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Gain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Unrealized</w:t>
              <w:b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 and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129,196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 xml:space="preserve">Short-term marketable securities held as of December 31, 2024 and 2023 had contractual maturities of less than one year.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There were no realized gains and losses for the years ended December 31, 2024 and 2023. As of December 31, 2024, investments which were in an unrealized loss position were not material and generally due to interest rate fluctuations, as opposed to declines in credit quality. The Company determined it has the intent and ability to hold all marketable securities that have been in a continuous loss position until recovery of their amortized cost basis, which may be until maturity. As a result, the Company did not recognize any credit losses related to its investments and all unrealized gains and losses on available-for-sale securities are recorded in accumulated other comprehensive loss on the consolidated balance sheets during the years ended December 31, 2024 and 2023.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Accrued interest receivable was $0.4 million and $0.3 million as of December 31, 2024 and 2023, respectively, and was recorded in prepaid expenses and other current assets on the consolidated balance sheets. The Company did not write off any accrued interest receivable during the years ended December 31, 2024 and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Fair Value Measurement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tables presents the Company’s financial assets measured at fair value on a recurring basis by level within the fair value hierarchy (in thousands):</w:t>
      </w:r>
    </w:p>
    <w:tbl>
      <w:tblPr>
        <w:tblW w:w="8460"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676"/>
        <w:gridCol w:w="146"/>
        <w:gridCol w:w="146"/>
        <w:gridCol w:w="239"/>
        <w:gridCol w:w="391"/>
        <w:gridCol w:w="146"/>
        <w:gridCol w:w="146"/>
        <w:gridCol w:w="211"/>
        <w:gridCol w:w="78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7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37,503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20,988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48,117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commercial paper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73,735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29,066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82,172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111,238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565" w:type="dxa"/>
        <w:jc w:val="left"/>
        <w:tblInd w:w="0" w:type="dxa"/>
        <w:tblLayout w:type="fixed"/>
        <w:tblCellMar>
          <w:top w:w="28" w:type="dxa"/>
          <w:left w:w="28" w:type="dxa"/>
          <w:bottom w:w="28" w:type="dxa"/>
          <w:right w:w="28" w:type="dxa"/>
        </w:tblCellMar>
      </w:tblPr>
      <w:tblGrid>
        <w:gridCol w:w="3651"/>
        <w:gridCol w:w="146"/>
        <w:gridCol w:w="211"/>
        <w:gridCol w:w="676"/>
        <w:gridCol w:w="146"/>
        <w:gridCol w:w="146"/>
        <w:gridCol w:w="211"/>
        <w:gridCol w:w="781"/>
        <w:gridCol w:w="146"/>
        <w:gridCol w:w="146"/>
        <w:gridCol w:w="239"/>
        <w:gridCol w:w="391"/>
        <w:gridCol w:w="146"/>
        <w:gridCol w:w="146"/>
        <w:gridCol w:w="211"/>
        <w:gridCol w:w="781"/>
        <w:gridCol w:w="391"/>
      </w:tblGrid>
      <w:tr>
        <w:trPr/>
        <w:tc>
          <w:tcPr>
            <w:tcW w:w="36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7"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Money market fund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17,633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U.S. and foreign 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15,755</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short-term 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 measured at fair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110,406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129,388</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Money market funds are highly liquid and actively traded marketable securities that generally transact at a stable $1.00 net asset value representing its estimated fair value. The Company estimates the fair value of its U.S. and foreign corporate debt securities, U.S. treasury securities and U.S. and foreign commercial paper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There were no transfers between Level 1, Level 2 or Level 3 for any of the years presented.</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0"/>
        </w:rPr>
        <w:t>Note 5 – Other Accrued Expenses</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Other accrued expenses consist of the following (in thousands): </w:t>
      </w:r>
    </w:p>
    <w:p>
      <w:pPr>
        <w:pStyle w:val="TextBody"/>
        <w:bidi w:val="0"/>
        <w:jc w:val="both"/>
        <w:rPr/>
      </w:pPr>
      <w:r>
        <w:rPr/>
        <w:t> </w:t>
      </w:r>
    </w:p>
    <w:tbl>
      <w:tblPr>
        <w:tblW w:w="5594" w:type="dxa"/>
        <w:jc w:val="left"/>
        <w:tblInd w:w="0" w:type="dxa"/>
        <w:tblLayout w:type="fixed"/>
        <w:tblCellMar>
          <w:top w:w="28" w:type="dxa"/>
          <w:left w:w="28" w:type="dxa"/>
          <w:bottom w:w="28" w:type="dxa"/>
          <w:right w:w="28" w:type="dxa"/>
        </w:tblCellMar>
      </w:tblPr>
      <w:tblGrid>
        <w:gridCol w:w="3201"/>
        <w:gridCol w:w="146"/>
        <w:gridCol w:w="211"/>
        <w:gridCol w:w="571"/>
        <w:gridCol w:w="146"/>
        <w:gridCol w:w="146"/>
        <w:gridCol w:w="211"/>
        <w:gridCol w:w="571"/>
        <w:gridCol w:w="391"/>
      </w:tblGrid>
      <w:tr>
        <w:trPr/>
        <w:tc>
          <w:tcPr>
            <w:tcW w:w="3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2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Accrued professional fees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accrued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5,744</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6 - Stockholders’ Equity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is authorized to issue 5,000,000 shares of preferred stock as of December 31, 2024 and 2023. As of December 31, 2024 and 2023, no shares of preferred stock were issued and outstanding. The Company is authorized to issue 150,000,000 shares of common stock as of December 31, 2024 and 2023.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Reverse Stock Split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September 2023, the Company received a letter from the Listing Qualifications Department of the Nasdaq Stock Market notifying the Company, as the bid price for its common stock had closed below $1.00 per share for the last 30 consecutive business days, it was not in compliance with Nasdaq Listing Rule 5450(a)(1), which is the minimum bid price requirement for continued listing on the Nasdaq Global Select Market. In accordance with Nasdaq Listing Rule 5810(c)(3)(A), the Company was provided a 180-calendar day period, or until March 25, 2024, to regain compliance with the minimum bid price requirement. The continued listing standard would be met once the closing bid price of the Company’s common stock was at least $1.00 per share for a minimum of ten consecutive business days during the 180-calendar day period. In January 2024, the Company's stockholders approved a reverse stock split of its common stock at a range of ratios between 1-for-7 to 1-for-17, and the Company's board of directors approved the implementation of the reverse stock split at a ratio of 1-for-12 (the Reverse Stock Split). The Reverse Stock Split was effective as of February 9, 2024 and the Company regained compliance with the minimum bid price requirement in February 2024.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the effective time of the Reverse Stock Split, every 12 issued and outstanding shares of the Company’s common stock was automatically reclassified into one issued and outstanding share of the Company’s common stock. This reduced the number of shares outstanding from 65.8 million shares to 5.5 million shares. The Reverse Stock Split did not affect the number of authorized shares of common stock or the par value of the common stock. No fractional shares of common stock were issued in connection with the Reverse Stock Split and all fractional shares were rounded down to the nearest whole share with respect to outstanding shares of common stock. Any holders of common stock who would have otherwise received a fractional share of common stock pursuant to the Reverse Stock Split, received cash in lieu of the fractional share. All share and per share amounts of the Company's common stock presented in this Annual Report on Form 10-K have been adjusted to reflect the 1-for-12 Reverse Stock Split. The Company's authorized shares of common stock remain at 150,000,000 and its authorized shares of preferred stock remain at 5,000,000.</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Sale of Common Stock and Warrants</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At-The-Market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August 2020, the Company entered into a sales agreement under which the Company may offer and sell shares of its common stock having an aggregate offering price of up to $100.0 million through “at-the-market” offerings (2020 ATM), pursuant to its shelf registration statement on Form S-3 with the SEC (File No. 333-248469), which became effective in September 2020. The Company did not sell any shares of its common stock under the 2020 ATM during the year ended December 31, 2024. During the year ended December 31, 2023, the Company issued and sold 261,170 shares of its common stock under the 2020 ATM, for which the Company received net proceeds of $4.5 million, after deducting commissions, fees and expenses.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November 2024, the Company terminated the 2020 ATM and entered into a new sales agreement under which the Company may offer and sell shares of its common stock having an aggregate offering price of up to $75.0 million through "at-the-market" offerings (2024 ATM), pursuant to its shelf registration statement on Form S-3 (File No. 333-270760), which became effective in April 2023. During the year ended December 31, 2024, the Company issued and sold 152,666 shares of its common stock under the 2024 ATM, for which the Company received net proceeds of $2.0 million, after deducting commissions, fees and expenses.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Registered Direct Offering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June 2024, under the June 2024 Registered Direct Offering and pursuant to its shelf registration statement on Form S-3 on file with the SEC, the Company issued and sold 634,500 shares of common stock and a warrant to purchase up to 634,500 shares of common stock. The common stock and warrant were sold at a combined offering price of $15.46 per share for aggregate gross proceeds to the Company of $9.8 million.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Private Placements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October 2023, the Company entered into the Gilead Equity Agreements, which were amended in June 2024. Pursuant to the Gilead Equity Agreements, Gilead purchased 1,089,472 shares of the Company’s common stock in a private placement at a purchase price of $13.92 per share for total proceeds of $15.2 million. Of these proceeds, $5.9 million was determined to be a premium on the purchase of the Company’s common stock and allocated to the single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combined performance obligation under the Gilead Collaboration Agreement (see Note 8 - Collaboration Agreements). The fair value of Gilead's common stock purchase was $9.3 million and total proceeds from the issuance of the Company's common stock under the Gilead Equity Agreements was $9.1 million, net of $0.2 million in issuance costs. Pursuant to the terms of the amended Gilead Equity Agreements, if the Company completed an equity financing by October 2024, which would have resulted in at least $30.0 million of proceeds to the Company, then, subject to approval by the Company’s stockholders (which was obtained on January 31, 2024), the Company would have had the right to require Gilead to purchase additional shares of its common stock from the Company in an amount that resulted in Gilead owning 29.9% of the Company’s common stock. This right expired in October 2024. The terms of the Gilead Equity Agreements also provided Gilead with the right to elect to purchase additional shares of common stock from the Company at a premium in an amount that would result in Gilead owning 29.9% of the Company's common stock. The Gilead Equity Agreements also include a three-year standstill provision and a two-year lockup provision, each with customary exceptions, and provide Gilead with certain other stock purchase rights and registration rights, as well as the right to designate two directors to the Company’s board of directors.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June 2024, the Company issued and sold 179,500 shares of common stock and a warrant to purchase up to 179,500 shares of common stock under the June 2024 Private Placement with Gilead. This transaction was executed concurrently with the June 2024 Registered Direct Offering pursuant to anti-dilution provisions in the Investor Rights Agreement, with the common stock and warrant sold at the same combined offering price of $15.46 per share for aggregate gross proceeds to the Company of $2.8 million.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December 2024, Gilead exercised its right under the Gilead Equity Agreements to purchase an additional 940,499 shares of common stock from the Company at a purchase price of $21.37 per share, which represents a 35% premium to the 30 trading day volume weighted average price immediately prior to the date of purchase. The Company received aggregate proceeds of $20.1 million, of which $5.2 million was determined to be a premium on the purchase of the Company’s common stock and allocated to the single combined performance obligation under the Gilead Collaboration Agreement (see Note 8 - Collaboration Agreements). The fair value of Gilead's common stock purchase was $14.9 million.</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Warrants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warrants sold in the June 2024 Registered Direct Offering and June 2024 Private Placement have an exercise price of $17.00 per share, were immediately exercisable upon issuance, and expire on June 18, 2029. Neither party may exercise any portion of the warrants to the extent it would beneficially own more than the limits defined in the warrant agreements. The exercise price and number of shares of the Company's common stock issuable upon the exercise of the warrants are subject to adjustment in the event of any stock dividends and distributions, stock splits, stock combinations or stock reclassifications, as described in the respective warrant agreements. Under certain circumstances, the warrants may be exercised on a “cashless” basis.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warrants were classified as a component of permanent stockholders’ equity within additional paid-in-capital and were recorded at the issuance date. The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such warrants do not provide any guarantee of value or return.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2024, there were 814,000 outstanding and no warrants exercised during the year then ended.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7 - Stock-Based Compensation</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Equity Incentive Plans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2023, the Company's stockholders approved an amendment to the Assembly Biosciences, Inc. Amended and Restated 2018 Stock Incentive Plan (the 2018 Plan), which increased the aggregate number of shares of common stock reserved under the 2018 Plan to 883,333.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2024, the Company's stockholders approved an amendment to the 2018 Plan, which increased the aggregate number of shares of common stock reserved under the 2018 Plan to 1,103,333.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2024, the Company had awards outstanding under the following shareholder approved plans: 2010 Equity Incentive Plan (the 2010 Plan), which has been frozen; the Assembly Biosciences, Inc. Amended and Restated 2014 Stock Incentive Plan (the 2014 Plan); and the 2018 Plan. Shares of common stock underlying awards that are forfeited under the 2010 Plan on or after June 2, 2016 will become available for issuance under the 2014 Plan. As of December 31, 2024, the Company also had awards outstanding under the Assembly Biosciences, Inc. 2017 Inducement Award Plan, the Assembly Biosciences, Inc. 2019 Inducement Award Plan, and the Assembly Biosciences, Inc. 2020 Inducement Award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issues new shares of common stock to settle options exercised or vested RSUs. The Company also issues new shares of common stock in connection with purchases of shares of common stock by eligible employees under the Assembly Biosciences, Inc. Second Amended and Restated Employee Stock Purchase Plan (the 2018 ESPP).</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February 2024, the Reverse Stock Split became effective. All outstanding stock options and restricted stock units presented have been adjusted to reflect the 1-for-12 Reverse Stock Split.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 Plan Activity</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Stock Options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stock option activity and related information for 2024:</w:t>
      </w:r>
    </w:p>
    <w:tbl>
      <w:tblPr>
        <w:tblW w:w="9664" w:type="dxa"/>
        <w:jc w:val="left"/>
        <w:tblInd w:w="0" w:type="dxa"/>
        <w:tblLayout w:type="fixed"/>
        <w:tblCellMar>
          <w:top w:w="28" w:type="dxa"/>
          <w:left w:w="28" w:type="dxa"/>
          <w:bottom w:w="28" w:type="dxa"/>
          <w:right w:w="28" w:type="dxa"/>
        </w:tblCellMar>
      </w:tblPr>
      <w:tblGrid>
        <w:gridCol w:w="4681"/>
        <w:gridCol w:w="146"/>
        <w:gridCol w:w="146"/>
        <w:gridCol w:w="841"/>
        <w:gridCol w:w="166"/>
        <w:gridCol w:w="146"/>
        <w:gridCol w:w="211"/>
        <w:gridCol w:w="676"/>
        <w:gridCol w:w="146"/>
        <w:gridCol w:w="146"/>
        <w:gridCol w:w="285"/>
        <w:gridCol w:w="706"/>
        <w:gridCol w:w="146"/>
        <w:gridCol w:w="146"/>
        <w:gridCol w:w="238"/>
        <w:gridCol w:w="647"/>
        <w:gridCol w:w="191"/>
      </w:tblGrid>
      <w:tr>
        <w:trPr/>
        <w:tc>
          <w:tcPr>
            <w:tcW w:w="4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w:t>
              <w:br/>
              <w:t>Price</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w:t>
              <w:br/>
              <w:t>(Years)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Intrinsic</w:t>
              <w:br/>
              <w:t>Value (in</w:t>
              <w:br/>
              <w:t>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220,165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Expired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(102,684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vested and exercisable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517,237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Options expected to vest as of December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942,193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weighted-average grant-date fair value of options granted was $10.04 and $7.68 during the years ended December 31, 2024 and 2023, respectively. The intrinsic value of options exercised was not material during the year ended December 31, 2024. There were no options exercised in 2023. </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RSUs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RSU activity and related information for 2024:</w:t>
      </w:r>
    </w:p>
    <w:tbl>
      <w:tblPr>
        <w:tblW w:w="5822" w:type="dxa"/>
        <w:jc w:val="left"/>
        <w:tblInd w:w="0" w:type="dxa"/>
        <w:tblLayout w:type="fixed"/>
        <w:tblCellMar>
          <w:top w:w="28" w:type="dxa"/>
          <w:left w:w="28" w:type="dxa"/>
          <w:bottom w:w="28" w:type="dxa"/>
          <w:right w:w="28" w:type="dxa"/>
        </w:tblCellMar>
      </w:tblPr>
      <w:tblGrid>
        <w:gridCol w:w="3091"/>
        <w:gridCol w:w="146"/>
        <w:gridCol w:w="146"/>
        <w:gridCol w:w="736"/>
        <w:gridCol w:w="166"/>
        <w:gridCol w:w="146"/>
        <w:gridCol w:w="322"/>
        <w:gridCol w:w="878"/>
        <w:gridCol w:w="191"/>
      </w:tblGrid>
      <w:tr>
        <w:trPr/>
        <w:tc>
          <w:tcPr>
            <w:tcW w:w="30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br/>
              <w:t>of RSUs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 Fair</w:t>
              <w:br/>
              <w:t>Value Per RSU</w:t>
              <w:br/>
              <w:t>at Grant Price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Nonvested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95,182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13.35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Forfeited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Nonvested as of December 31,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3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total fair value of RSUs vested and settled during 2024 and 2023 was $2.2 million and $2.8 million, respectively. The total intrinsic value of RSUs vested and settled during 2024 and 2023 was $0.7 million and $0.5 million, respectively.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July 2021, the Company granted 26,981 RSUs with performance-based vesting conditions upon the achievement of clinical milestones to the majority of employees, including executive officers. The awards had a grant date fair value of $1.2 million and vested upon achievement of performance conditions fully met by December 31, 2023. The Company did not recognize any stock-based compensation expense for these RSUs during the year ended December 31, 2024, compared to $0.3 million during the year ended December 31, 2023. All awards were fully vested with no remaining unrecognized compensation cost as of December 31, 2023.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March 2022, the Company granted 21,248 RSUs with market-based vesting conditions to members of management, including its executive officers. The awards had a grant date fair value of $0.4 million and were recognized over the derived service period of 1.5 years and vest upon the achievement of certain market-based conditions which have not been achieved as of December 31, 2024. The Company did not recognize any stock-based compensation expense for these RSUs during the year ended December 31, 2024, compared to $0.1 million for these RSUs during the year ended December 31, 2023.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2022, the Company granted 43,748 RSUs with performance-based vesting conditions upon the achievement of clinical milestones to its executive officers. The awards had a grant date fair value of $1.1 million and vested upon achievement of performance conditions fully met by December 31, 2024. The Company recognized stock-based compensation expense of $0.1 million and $0.6 million for these RSUs during the years ended December 31, 2024 and 2023, respectively. All awards were fully vested with no unrecognized compensation cost as of December 31, 2024.</w:t>
      </w:r>
    </w:p>
    <w:p>
      <w:pPr>
        <w:pStyle w:val="TextBody"/>
        <w:bidi w:val="0"/>
        <w:spacing w:before="200" w:after="283"/>
        <w:jc w:val="both"/>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May 2024, the Company's stockholders approved an amendment to the 2018 ESPP, which increased the aggregate number of shares of common stock available for purchase by employees up to an aggregate of 226,398 shares at a discount to the market price. Eligible employees may participate through payroll deductions of up to 15% of such employee’s compensation for each pay period subject to annual statutory limits.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Eligible employees can purchase the Company’s common stock at the end of a predetermined offering period at 85% of the lower of the fair market value at the beginning or end of the offering period. Under the 2018 ESPP, the offering periods end on the last business day occurring on or before May 14 or November 14. The ESPP is compensatory and results in stock-based compensation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May and November 2024, employees purchased 7,252 and 7,685 shares of common stock, respectively, under the 2018 ESPP. In May and November 2023, employees purchased 7,534 and 6,919 shares of common stock, respectively, under the 2018 ESPP. As of December 31, 2024, 156,815 shares of common stock are available for future sale under the Company’s 2018 ESPP. Stock-based compensation expense recorded in connection with the 2018 ESPP was $0.1 million for both the years ended December 31, 2024 and 2023.</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Valuation Assumptions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A summary of the assumptions used to estimate the fair values of stock options grants for the years presented is as follows: </w:t>
      </w:r>
    </w:p>
    <w:tbl>
      <w:tblPr>
        <w:tblW w:w="4900" w:type="dxa"/>
        <w:jc w:val="left"/>
        <w:tblInd w:w="0" w:type="dxa"/>
        <w:tblLayout w:type="fixed"/>
        <w:tblCellMar>
          <w:top w:w="28" w:type="dxa"/>
          <w:left w:w="28" w:type="dxa"/>
          <w:bottom w:w="28" w:type="dxa"/>
          <w:right w:w="28" w:type="dxa"/>
        </w:tblCellMar>
      </w:tblPr>
      <w:tblGrid>
        <w:gridCol w:w="2131"/>
        <w:gridCol w:w="146"/>
        <w:gridCol w:w="1246"/>
        <w:gridCol w:w="146"/>
        <w:gridCol w:w="1231"/>
      </w:tblGrid>
      <w:tr>
        <w:trPr/>
        <w:tc>
          <w:tcPr>
            <w:tcW w:w="2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2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price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$12.90</w:t>
            </w:r>
            <w:r>
              <w:rPr>
                <w:rFonts w:ascii="Times New Roman" w:hAnsi="Times New Roman"/>
                <w:color w:val="000000"/>
                <w:sz w:val="20"/>
              </w:rPr>
              <w:t> </w:t>
            </w:r>
            <w:r>
              <w:rPr>
                <w:rFonts w:ascii="Times New Roman" w:hAnsi="Times New Roman"/>
                <w:color w:val="000000"/>
                <w:sz w:val="18"/>
              </w:rPr>
              <w:t>- $16.75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$8.64</w:t>
            </w:r>
            <w:r>
              <w:rPr>
                <w:rFonts w:ascii="Times New Roman" w:hAnsi="Times New Roman"/>
                <w:color w:val="000000"/>
                <w:sz w:val="20"/>
              </w:rPr>
              <w:t> </w:t>
            </w:r>
            <w:r>
              <w:rPr>
                <w:rFonts w:ascii="Times New Roman" w:hAnsi="Times New Roman"/>
                <w:color w:val="000000"/>
                <w:sz w:val="18"/>
              </w:rPr>
              <w:t>- $18.36</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79.1% - 86.9%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77.5% - 87.1%</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3.50% - 4.57%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3.59% - 4.49%</w:t>
            </w:r>
          </w:p>
        </w:tc>
      </w:tr>
      <w:tr>
        <w:trPr/>
        <w:tc>
          <w:tcPr>
            <w:tcW w:w="2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term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5.5</w:t>
            </w:r>
            <w:r>
              <w:rPr>
                <w:rFonts w:ascii="Times New Roman" w:hAnsi="Times New Roman"/>
                <w:color w:val="000000"/>
                <w:sz w:val="20"/>
              </w:rPr>
              <w:t> </w:t>
            </w:r>
            <w:r>
              <w:rPr>
                <w:rFonts w:ascii="Times New Roman" w:hAnsi="Times New Roman"/>
                <w:color w:val="000000"/>
                <w:sz w:val="18"/>
              </w:rPr>
              <w:t>- 7.5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5.5</w:t>
            </w:r>
            <w:r>
              <w:rPr>
                <w:rFonts w:ascii="Times New Roman" w:hAnsi="Times New Roman"/>
                <w:color w:val="000000"/>
                <w:sz w:val="20"/>
              </w:rPr>
              <w:t> </w:t>
            </w:r>
            <w:r>
              <w:rPr>
                <w:rFonts w:ascii="Times New Roman" w:hAnsi="Times New Roman"/>
                <w:color w:val="000000"/>
                <w:sz w:val="18"/>
              </w:rPr>
              <w:t>- 7.5</w:t>
            </w:r>
          </w:p>
        </w:tc>
      </w:tr>
      <w:tr>
        <w:trPr/>
        <w:tc>
          <w:tcPr>
            <w:tcW w:w="2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 yield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3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0%</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The fair value of ESPP purchase rights and stock appreciation rights were not material for any period presented.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Stock-Based Compensation Expense</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Company recognized stock-based compensation expense included in the consolidated statement of operations and comprehensive loss for the years presented (in thousands):</w:t>
      </w:r>
    </w:p>
    <w:tbl>
      <w:tblPr>
        <w:tblW w:w="5780" w:type="dxa"/>
        <w:jc w:val="left"/>
        <w:tblInd w:w="0" w:type="dxa"/>
        <w:tblLayout w:type="fixed"/>
        <w:tblCellMar>
          <w:top w:w="28" w:type="dxa"/>
          <w:left w:w="28" w:type="dxa"/>
          <w:bottom w:w="28" w:type="dxa"/>
          <w:right w:w="28" w:type="dxa"/>
        </w:tblCellMar>
      </w:tblPr>
      <w:tblGrid>
        <w:gridCol w:w="3451"/>
        <w:gridCol w:w="146"/>
        <w:gridCol w:w="229"/>
        <w:gridCol w:w="597"/>
        <w:gridCol w:w="170"/>
        <w:gridCol w:w="170"/>
        <w:gridCol w:w="229"/>
        <w:gridCol w:w="597"/>
        <w:gridCol w:w="19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1,531</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3,003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3,120</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5,119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December 31, 2024, there was $2.3 million of total unrecognized stock-based compensation related to outstanding equity awards which is expected to be recognized over a weighted average remaining amortization period of 1.6 years.</w:t>
      </w:r>
    </w:p>
    <w:p>
      <w:pPr>
        <w:pStyle w:val="TextBody"/>
        <w:bidi w:val="0"/>
        <w:jc w:val="both"/>
        <w:rPr>
          <w:rFonts w:ascii="Times New Roman" w:hAnsi="Times New Roman"/>
          <w:b/>
          <w:color w:val="000000"/>
          <w:sz w:val="20"/>
        </w:rPr>
      </w:pPr>
      <w:r>
        <w:rPr>
          <w:rFonts w:ascii="Times New Roman" w:hAnsi="Times New Roman"/>
          <w:b/>
          <w:color w:val="000000"/>
          <w:sz w:val="20"/>
        </w:rPr>
        <w:t>Note 8 - Collaboration Agreements</w:t>
      </w:r>
    </w:p>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 summarizes the collaboration revenue recognized from the Company's collaboration agreements in the consolidated statement of operations and comprehensive loss for the years presented (in thousands):</w:t>
      </w:r>
    </w:p>
    <w:tbl>
      <w:tblPr>
        <w:tblW w:w="4716" w:type="dxa"/>
        <w:jc w:val="left"/>
        <w:tblInd w:w="0" w:type="dxa"/>
        <w:tblLayout w:type="fixed"/>
        <w:tblCellMar>
          <w:top w:w="28" w:type="dxa"/>
          <w:left w:w="28" w:type="dxa"/>
          <w:bottom w:w="28" w:type="dxa"/>
          <w:right w:w="28" w:type="dxa"/>
        </w:tblCellMar>
      </w:tblPr>
      <w:tblGrid>
        <w:gridCol w:w="2386"/>
        <w:gridCol w:w="146"/>
        <w:gridCol w:w="214"/>
        <w:gridCol w:w="688"/>
        <w:gridCol w:w="148"/>
        <w:gridCol w:w="148"/>
        <w:gridCol w:w="214"/>
        <w:gridCol w:w="581"/>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Gilead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28,520</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BeiGene, Ltd. (BeiGene)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collaboration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28,520</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120"/>
        <w:jc w:val="both"/>
        <w:rPr>
          <w:rFonts w:ascii="Times New Roman" w:hAnsi="Times New Roman"/>
          <w:color w:val="000000"/>
          <w:sz w:val="20"/>
        </w:rPr>
      </w:pPr>
      <w:r>
        <w:rPr>
          <w:rFonts w:ascii="Times New Roman" w:hAnsi="Times New Roman"/>
          <w:color w:val="000000"/>
          <w:sz w:val="20"/>
        </w:rPr>
        <w:t>The following tables present changes in the Company’s contract liabilities (in thousands):</w:t>
      </w:r>
    </w:p>
    <w:tbl>
      <w:tblPr>
        <w:tblW w:w="9232" w:type="dxa"/>
        <w:jc w:val="left"/>
        <w:tblInd w:w="0" w:type="dxa"/>
        <w:tblLayout w:type="fixed"/>
        <w:tblCellMar>
          <w:top w:w="28" w:type="dxa"/>
          <w:left w:w="28" w:type="dxa"/>
          <w:bottom w:w="28" w:type="dxa"/>
          <w:right w:w="28" w:type="dxa"/>
        </w:tblCellMar>
      </w:tblPr>
      <w:tblGrid>
        <w:gridCol w:w="2791"/>
        <w:gridCol w:w="346"/>
        <w:gridCol w:w="211"/>
        <w:gridCol w:w="676"/>
        <w:gridCol w:w="346"/>
        <w:gridCol w:w="346"/>
        <w:gridCol w:w="211"/>
        <w:gridCol w:w="676"/>
        <w:gridCol w:w="346"/>
        <w:gridCol w:w="346"/>
        <w:gridCol w:w="211"/>
        <w:gridCol w:w="736"/>
        <w:gridCol w:w="366"/>
        <w:gridCol w:w="346"/>
        <w:gridCol w:w="211"/>
        <w:gridCol w:w="676"/>
        <w:gridCol w:w="391"/>
      </w:tblGrid>
      <w:tr>
        <w:trPr/>
        <w:tc>
          <w:tcPr>
            <w:tcW w:w="279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w:t>
              <w:br/>
              <w:t>of Period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w:t>
              <w:br/>
              <w:t>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2024</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15,226</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(28,520</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Beginning</w:t>
              <w:br/>
              <w:t>of Period</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Additions</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Deductions</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Balance at</w:t>
              <w:br/>
              <w:t>End of</w:t>
              <w:br/>
              <w:t>Period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Year Ended December 31, 2023</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Contract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90,724</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3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86,294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8016" w:type="dxa"/>
        <w:jc w:val="left"/>
        <w:tblInd w:w="0" w:type="dxa"/>
        <w:tblLayout w:type="fixed"/>
        <w:tblCellMar>
          <w:top w:w="28" w:type="dxa"/>
          <w:left w:w="28" w:type="dxa"/>
          <w:bottom w:w="28" w:type="dxa"/>
          <w:right w:w="28" w:type="dxa"/>
        </w:tblCellMar>
      </w:tblPr>
      <w:tblGrid>
        <w:gridCol w:w="5686"/>
        <w:gridCol w:w="146"/>
        <w:gridCol w:w="214"/>
        <w:gridCol w:w="688"/>
        <w:gridCol w:w="148"/>
        <w:gridCol w:w="148"/>
        <w:gridCol w:w="214"/>
        <w:gridCol w:w="581"/>
        <w:gridCol w:w="191"/>
      </w:tblGrid>
      <w:tr>
        <w:trPr/>
        <w:tc>
          <w:tcPr>
            <w:tcW w:w="5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Collaboration revenue recognized in the period from</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deferred revenue at the beginning of the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28,271</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Performance obligations satisfied in previous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Gilead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October 2023, the Company entered into the Gilead Collaboration Agreement and the Gilead Equity Agreements under which it received total proceeds of $100.0 million. Under the Gilead Collaboration Agreement, Gilead exclusively licensed to the Company its HPI program and NNPI program, while retaining opt-in rights to these programs and has an option to take an exclusive license, on a program-by-program basis, to all of the Company’s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first product within the program—upon payment of an opt-in fee ranging from $45.0 million to $125.0 million per program depending on the type of program and when the option is exercised.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December 2024, the Company and Gilead entered into the First Amendment to the Gilead Collaboration Agreement, which restructured the timing of specific options exercisable in the agreement and the fees payable to the Company to support an accelerated development plan for 6250. To facilitate this development plan, the Company received a non-refundable payment of $10.0 million from Gilead and the opt-in fee payable by Gilead in connection with 6250 was restructured, though it remains in the range of opt-in fees detailed above. The $10.0 million payment received in connection with the First Amendment to the Gilead Collaboration Agreement is creditable towards future collaboration-related payments payable by Gilead.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If Gilead exercises its opt-in right to any current or future program under the collaboration, the Company is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program, the Company may opt in to cover 40% of the research and development costs in the United States and share 40% of the profits and operating loss in the United States for products within the program in lieu of receiving milestones and royalties for that program in the United States, unless the Company later opts out of the cost/profit share for the program. Prior to Gilead’s potential exercise of its opt-in, the Company will be primarily responsible for all discovery, research and development on its programs and the two Gilead-contributed programs. Following Gilead’s opt-in, Gilead will control the further discovery, research, development, and commercialization on any optioned programs. During the term, Gilead will continue to support the collaboration through extension fees of $75.0 million in each of the third, fifth and seventh years of the collaboration.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Gilead Collaboration Agreement is subject to termination by either party for the other party’s uncured, material breach or insolvency. Subject to certain limitations, the Company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the commencement of the arrangement, the Company concluded Gilead was a customer and accordingly, the Gilead Collaboration Agreement was within the scope of the revenue from contracts with customers guidance. The Company initially identified a single combined performance obligation for the discovery, research and development services (the R&amp;D Services) consisting of a series of distinct services that are substantially the same and have the same pattern of transfer. The Company concluded the R&amp;D Services were distinct from Gilead's right to obtain an exclusive license to any of the Company's programs as Gilead benefits from the knowledge and expertise gained from the R&amp;D Services and the Company's know-how is not highly specialized in nature. Gilead could perform the R&amp;D Services themselves, particularly considering Gilead contributed its HPI and NNPI programs and Gilead may continue to conduct development activities on programs being developed under the Gilead Collaboration Agreement. None of the options in the contract were deemed to be separate performance obligations as the options did not provide any discounts or other rights which would be considered a material right in the arrangement.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determined the Gilead Collaboration Agreement and Gilead Equity Agreements should be assessed as a single combined transaction because the agreements were negotiated and entered into together, with a single commercial objective. The Company accounted for the agreements based on the fair values of the assets and services exchanged. Of the $15.2 million in proceeds received under the Gilead Equity Agreements in October 2023, $5.9 million was determined to be a premium on the purchase of the Company’s common stock and allocated to the single combined performance obligation under the Gilead Collaboration Agreement. The value the Company received from the licenses Gilead contributed were not material within the context of the contract and accordingly, the Company made no adjustments to the transaction price for them at the commencement of the arrangement. In December 2024, Gilead exercised its right under the Gilead Equity Agreements to purchase additional shares of the Company's common stock for aggregate proceeds of $20.1 million, of which $5.2 million was determined to be a premium on the purchase of the Company’s common stock and allocated to the single combined performance obligation under the Gilead Collaboration Agreement.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determined the First Amendment to the Gilead Collaboration Agreement represents a contract modification within the scope of the revenue from contracts with customers guidance. The Company concluded there continues to be a single combined performance obligation consisting of a series of distinct R&amp;D Services, and therefore, the remaining services under the First Amendment to the Gilead Collaboration Agreement are distinct from the R&amp;D Services already provided. Accordingly, the Company accounted for the First Amendment to the Gilead Collaboration Agreement as a termination of the existing contract and the creation of a new contract and is recognizing the revenue prospectively by reassessing the transaction price and allocating it to the remaining R&amp;D Services.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amended transaction price as a result of the modification was determined to be $74.2 million, consisting of the unrecognized portion of the transaction price under the original contract, the premium of $5.2 million on Gilead's purchase of the Company's common stock in December 2024 and $10.0 million received from Gilead pursuant to the First Amendment to the Gilead Collaboration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variable consideration related to the regulatory and commercial milestones has not been included in the transaction price as of December 31, 2024, since Gilead has not opted in to take a license to any of the Company's programs. Any variable consideration related to sales-based milestones (including royalties) will be recognized when the related sales occur pursuant to the Gilead Collaboration Agreement. The Company will reevaluate the transaction price in each reporting period as uncertain events are resolved or other changes in circumstances occur.</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transaction price is reflected as collaboration revenue when realized in the Company’s consolidated statements of operations. The Company recognizes revenue over time using a cost-based input method, based on internal and external labor cost effort to perform the services, over the initial non-cancellable term of three years since this method best reflects the transfer of services to Gilead. In applying a cost-based input method of revenue recognition, the Company uses actual costs incurred relative to estimated total costs to fulfill each performance obligation. A cost-based input method of revenue recognition requires the Company to make estimates of costs to complete the performance obligation. The cumulative effect of any revisions to estimated costs to complete the performance obligation and associated variable consideration will be recorded in the period in which changes are identified and amounts can be reasonably estimated. A significant change in these assumptions and estimates could have a material impact on the timing and amount of revenue recognized in future periods.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recognized $28.5 million and $4.4 million of collaboration revenue under the Gilead Collaboration Agreement during the years ended December 31, 2024 and 2023, respectively. The transaction price for future collaborative activities was recorded as deferred revenue on the consolidated balance sheet as of December 31, 2024, of which $37.6 million was included in deferred revenue - short-term and $35.4 million was included in deferred revenue - long-term. During the year ended December 31, 2024, the Company incurred $0.3 million in reimbursable expenses due to Gilead. During the year ended December 31, 2023, the Company did not incur any reimbursable expenses due to Gilead.</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Arbutus Biopharma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August 2020, the Company and Arbutus Biopharma Corporation (Arbutus Biopharma) entered into a Clinical Trial Collaboration Agreement (the Arbutus Biopharma Agreement) to conduct a randomized, multi-center, open-label Phase 2 clinical trial to explore the safety, pharmacokinetics and antiviral activity of the triple combination of vebicorvir (VBR), AB-729 and a nucleos(t)ide analog reverse transcriptase inhibitor (NrtI) compared to the double combinations of VBR with a NrtI and AB-729 with a NrtI. Under the Arbutus Biopharma Agreement, Assembly and Arbutus Biopharma shared responsibility for the costs of the trial equally, excluding manufacturing supply which were the burden of each company to supply their respective drugs, VBR and AB-729. Assembly was responsible for conducting this clinical trial with Arbutus Biopharma reimbursing Assembly its share of expenses. In February 2023, Assembly and Arbutus Biopharma terminated the Phase 2 clinical trial early, at the end of the 48-week on-treatment period.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Arbutus Biopharma Agreement was within the scope of the collaborative arrangements guidance as both parties were active participants and were exposed to significant risks and rewards dependent on the success of the collaborative activity. Reimbursements and cost-sharing portions from Arbutus Biopharma were reflected as a reduction of research and development expense when realized in the Company’s consolidated statements of operations. During the year ended December 31, 2024, the Company recognized research and development expenses of $0.3 million for net amounts refundable to Arbutus Biopharma after the final reconciliation of clinical trial costs.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Amounts refundable to Arbutus Biopharma are recorded as accrued research and development expenses on the consolidated balance sheet as of December 31, 2024. During the year ended December 31, 2023, the Company recognized a reduction of research and development expense of $1.6 million under the Arbutus Biopharma Agreement.</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BeiGene Agreement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July 2020, the Company and BeiGene entered into a Collaboration Agreement (the BeiGene Agreement) to develop and commercialize the Company’s novel core inhibitor product candidates vebicorvir (VBR), ABI-H2158 (2158) and ABI-H3733 (3733) for chronic HBV infection (the Licensed Product Candidates) in the People’s Republic of China, Hong Kong, Taiwan and Macau (the Territory). Under the agreement, the Company and BeiGene collaborated on certain global clinical studies and both the Company and BeiGene would independently conduct other clinical studies in their own respective territories. During the term of the BeiGene Agreement, neither party will commercialize any competing products in the Territory. Pursuant to the terms of the BeiGene Agreement, the Company received an upfront cash payment of $40.0 million from BeiGene for the delivery of exclusive, royalty-bearing licenses to develop and commercialize the Licensed Product Candidates in the Territory, and the Company was eligible to receive up to approximately $500.0 million in cash milestone payments and tiered royalties on net sales. In conjunction with the Company entering into the Gilead Collaboration Agreement with Gilead in October 2023, the Company discontinued further development of 3733 leaving no remaining products in development which have been licensed to BeiGene. Due to the discontinuation of development of all Licensed Product Candidates, the Company is not eligible to receive any development and regulatory milestones or net sales milestones.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had no further performance obligations under the BeiGene Agreement following the discontinuation of development of 3733. Accordingly, the Company recognized the remaining contract liability of $2.7 million as collaboration revenue during the year ended December 31, 2023. The Company also recognized the remaining $0.2 million unamortized incremental costs of obtaining the BeiGene Agreement as general and administrative expenses during the year ended December 31, 2023. No revenue or amortization was recognized during the year ended December 31, 2024.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9 – Strategic License Agreements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HBV Research Agreement with Indiana University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Since September 2013, the Company was party to an exclusive License Agreement dated September 3, 2013 with Indiana University Research and Technology Corporation (IURTC) from whom it licensed aspects of the Company’s HBV program held by IURTC. The license agreement required the Company to make milestone payments based upon the successful accomplishment of clinical and regulatory milestones. The aggregate amount of all performance milestone payments under the IURTC license agreement, if all milestones through development were met, was $0.8 million, with a portion having been paid. The Company was obligated to pay IURTC royalty payments based on net sales of the licensed technology as well as a portion of any sublicensing revenue Assembly received. The Company was also required to pay diligence maintenance fees each year to the extent that the royalty, sublicensing, and milestone payments to IURTC were less than such fees for that year. Following its decision to discontinue further development of 3733, the Company terminated the IURTC license agreement effective April 2024. The Company paid IURTC $0.1 million in diligence maintenance fees during both the years ended December 31, 2024 and 2023, which are included in research and development expenses in the consolidated statements of operations and comprehensive loss. </w:t>
      </w:r>
    </w:p>
    <w:p>
      <w:pPr>
        <w:pStyle w:val="TextBody"/>
        <w:bidi w:val="0"/>
        <w:spacing w:before="200" w:after="283"/>
        <w:jc w:val="both"/>
        <w:rPr>
          <w:rFonts w:ascii="Times New Roman" w:hAnsi="Times New Roman"/>
          <w:sz w:val="20"/>
        </w:rPr>
      </w:pPr>
      <w:r>
        <w:rPr>
          <w:rFonts w:ascii="Times New Roman" w:hAnsi="Times New Roman"/>
          <w:b/>
          <w:color w:val="000000"/>
          <w:sz w:val="20"/>
        </w:rPr>
        <w:t>Microbiome Purchase Agreement</w:t>
      </w:r>
      <w:r>
        <w:rPr>
          <w:rFonts w:ascii="Times New Roman" w:hAnsi="Times New Roman"/>
          <w:color w:val="000000"/>
          <w:sz w:val="20"/>
        </w:rPr>
        <w:t xml:space="preserve">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December 2021, the Company entered into an asset purchase agreement (the Microbiome Purchase Agreement) with a third party pursuant to which the Company sold know-how, patents, materials and regulatory filings for the Company’s Microbiome program. The Company is entitled to receive a $10.0 million milestone payment upon the achievement of a regulatory approval milestone as defined in the purchase agreement. The variable consideration relating to the $10.0 million milestone has not been included in the transaction price as it was fully constrained as of December 31, 2024 and 2023. As part of the Company’s evaluation of the development milestone constraint, it determined the achievement of the milestone is contingent upon success in future clinical studies and regulatory approvals which are not within its control and uncertain at this stage.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10 - Income Taxes</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 xml:space="preserve">Income tax expense is as follows (in thousands): </w:t>
      </w:r>
    </w:p>
    <w:tbl>
      <w:tblPr>
        <w:tblW w:w="3644" w:type="dxa"/>
        <w:jc w:val="left"/>
        <w:tblInd w:w="0" w:type="dxa"/>
        <w:tblLayout w:type="fixed"/>
        <w:tblCellMar>
          <w:top w:w="28" w:type="dxa"/>
          <w:left w:w="28" w:type="dxa"/>
          <w:bottom w:w="28" w:type="dxa"/>
          <w:right w:w="28" w:type="dxa"/>
        </w:tblCellMar>
      </w:tblPr>
      <w:tblGrid>
        <w:gridCol w:w="1726"/>
        <w:gridCol w:w="146"/>
        <w:gridCol w:w="211"/>
        <w:gridCol w:w="421"/>
        <w:gridCol w:w="146"/>
        <w:gridCol w:w="146"/>
        <w:gridCol w:w="211"/>
        <w:gridCol w:w="346"/>
        <w:gridCol w:w="291"/>
      </w:tblGrid>
      <w:tr>
        <w:trPr/>
        <w:tc>
          <w:tcPr>
            <w:tcW w:w="1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Foreign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effective tax rate of the Company's provision for income taxes differs from the federal statutory rate as follows:</w:t>
      </w:r>
    </w:p>
    <w:tbl>
      <w:tblPr>
        <w:tblW w:w="5419" w:type="dxa"/>
        <w:jc w:val="left"/>
        <w:tblInd w:w="0" w:type="dxa"/>
        <w:tblLayout w:type="fixed"/>
        <w:tblCellMar>
          <w:top w:w="28" w:type="dxa"/>
          <w:left w:w="28" w:type="dxa"/>
          <w:bottom w:w="28" w:type="dxa"/>
          <w:right w:w="28" w:type="dxa"/>
        </w:tblCellMar>
      </w:tblPr>
      <w:tblGrid>
        <w:gridCol w:w="3196"/>
        <w:gridCol w:w="146"/>
        <w:gridCol w:w="146"/>
        <w:gridCol w:w="526"/>
        <w:gridCol w:w="271"/>
        <w:gridCol w:w="146"/>
        <w:gridCol w:w="146"/>
        <w:gridCol w:w="526"/>
        <w:gridCol w:w="316"/>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Statutory federal income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State taxes, net of federal tax benefit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Return to provision adjustments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Uncertain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(0.9</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provision (benefit)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00" w:after="200"/>
        <w:jc w:val="both"/>
        <w:rPr>
          <w:rFonts w:ascii="Times New Roman" w:hAnsi="Times New Roman"/>
          <w:color w:val="000000"/>
          <w:sz w:val="20"/>
        </w:rPr>
      </w:pPr>
      <w:r>
        <w:rPr>
          <w:rFonts w:ascii="Times New Roman" w:hAnsi="Times New Roman"/>
          <w:color w:val="000000"/>
          <w:sz w:val="20"/>
        </w:rPr>
        <w:t>Significant components of the Company’s deferred taxes are as follows (in thousands):</w:t>
      </w:r>
    </w:p>
    <w:tbl>
      <w:tblPr>
        <w:tblW w:w="6999" w:type="dxa"/>
        <w:jc w:val="left"/>
        <w:tblInd w:w="0" w:type="dxa"/>
        <w:tblLayout w:type="fixed"/>
        <w:tblCellMar>
          <w:top w:w="28" w:type="dxa"/>
          <w:left w:w="28" w:type="dxa"/>
          <w:bottom w:w="28" w:type="dxa"/>
          <w:right w:w="28" w:type="dxa"/>
        </w:tblCellMar>
      </w:tblPr>
      <w:tblGrid>
        <w:gridCol w:w="4026"/>
        <w:gridCol w:w="146"/>
        <w:gridCol w:w="211"/>
        <w:gridCol w:w="841"/>
        <w:gridCol w:w="166"/>
        <w:gridCol w:w="146"/>
        <w:gridCol w:w="211"/>
        <w:gridCol w:w="841"/>
        <w:gridCol w:w="411"/>
      </w:tblGrid>
      <w:tr>
        <w:trPr/>
        <w:tc>
          <w:tcPr>
            <w:tcW w:w="4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Federal and state-operating loss carryforwards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131,994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148,119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9,948</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Capitalized research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28,578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Research and development credits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15,816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212,420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203,074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Valuation allowance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(211,614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(202,428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tax asset, net of valuation allowance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 tax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(593</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deferred tax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0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deferred tax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 xml:space="preserve">The Company maintains a valuation allowance on deferred tax assets due to the uncertainty regarding the ability to utilize these deferred tax assets in the future. The valuation allowance increased by $9.2 million and $18.4 million for the years ended December 31, 2024 and 2023, respectively, primarily due to an increase in the Company’s federal and state-operating loss carryforwards. </w:t>
      </w:r>
    </w:p>
    <w:p>
      <w:pPr>
        <w:pStyle w:val="TextBody"/>
        <w:bidi w:val="0"/>
        <w:spacing w:before="0" w:after="120"/>
        <w:jc w:val="both"/>
        <w:rPr>
          <w:rFonts w:ascii="Times New Roman" w:hAnsi="Times New Roman"/>
          <w:color w:val="000000"/>
          <w:sz w:val="20"/>
        </w:rPr>
      </w:pPr>
      <w:r>
        <w:rPr>
          <w:rFonts w:ascii="Times New Roman" w:hAnsi="Times New Roman"/>
          <w:color w:val="000000"/>
          <w:sz w:val="20"/>
        </w:rPr>
        <w:t>Net operating loss and tax credit carryforwards as of December 31, 2024 are as follows (in thousands):</w:t>
      </w:r>
    </w:p>
    <w:tbl>
      <w:tblPr>
        <w:tblW w:w="7357" w:type="dxa"/>
        <w:jc w:val="left"/>
        <w:tblInd w:w="0" w:type="dxa"/>
        <w:tblLayout w:type="fixed"/>
        <w:tblCellMar>
          <w:top w:w="28" w:type="dxa"/>
          <w:left w:w="28" w:type="dxa"/>
          <w:bottom w:w="28" w:type="dxa"/>
          <w:right w:w="28" w:type="dxa"/>
        </w:tblCellMar>
      </w:tblPr>
      <w:tblGrid>
        <w:gridCol w:w="4531"/>
        <w:gridCol w:w="146"/>
        <w:gridCol w:w="211"/>
        <w:gridCol w:w="781"/>
        <w:gridCol w:w="146"/>
        <w:gridCol w:w="146"/>
        <w:gridCol w:w="1396"/>
      </w:tblGrid>
      <w:tr>
        <w:trPr/>
        <w:tc>
          <w:tcPr>
            <w:tcW w:w="4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Expiration Years</w:t>
            </w:r>
          </w:p>
        </w:tc>
      </w:tr>
      <w:tr>
        <w:trPr/>
        <w:tc>
          <w:tcPr>
            <w:tcW w:w="453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federal (post December 31, 2017)</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391,182</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DF2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Indefinite</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losses, federal (pre January 1, 2018)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2029 - 2037</w:t>
            </w:r>
          </w:p>
        </w:tc>
      </w:tr>
      <w:tr>
        <w:trPr/>
        <w:tc>
          <w:tcPr>
            <w:tcW w:w="453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state (Indefinite)</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DF2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DF2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Indefinite</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operating loss, state (Definite)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2029 - 2044</w:t>
            </w:r>
          </w:p>
        </w:tc>
      </w:tr>
      <w:tr>
        <w:trPr/>
        <w:tc>
          <w:tcPr>
            <w:tcW w:w="453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 federal</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17,820</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CDF2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2028 - 2044</w:t>
            </w:r>
          </w:p>
        </w:tc>
      </w:tr>
      <w:tr>
        <w:trPr/>
        <w:tc>
          <w:tcPr>
            <w:tcW w:w="4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tax credits, 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6,783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Indefinite</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Pursuant to Internal Revenue Code (IRC), Sections 382 and 383, use of the Company’s U.S. federal and state net operating loss and research and development income tax credit carryforwards may be limited in the event of a cumulative change in ownership of more than 50.0% within a three-year period. The Company has performed an ownership change study through December 31, 2024 and has determined a “change in ownership” as defined by IRC Section 382 and the rules and regulations promulgated thereunder, did occur in December 2010, January 2013 and October 2014. The Company has adjusted its net operating loss carryovers to appropriately reflect any attributes which will expire due to the limitation. If further changes in ownership occur, additional net operating loss and tax credit carryforwards could be eliminated or restricted. If eliminated, the related asset would be removed from the deferred tax asset schedule with a corresponding reduction in the valuation allowance.</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table summarizes activity related to the Company’s gross unrecognized tax benefits (in thousands):</w:t>
      </w:r>
    </w:p>
    <w:tbl>
      <w:tblPr>
        <w:tblW w:w="5979" w:type="dxa"/>
        <w:jc w:val="left"/>
        <w:tblInd w:w="0" w:type="dxa"/>
        <w:tblLayout w:type="fixed"/>
        <w:tblCellMar>
          <w:top w:w="28" w:type="dxa"/>
          <w:left w:w="28" w:type="dxa"/>
          <w:bottom w:w="28" w:type="dxa"/>
          <w:right w:w="28" w:type="dxa"/>
        </w:tblCellMar>
      </w:tblPr>
      <w:tblGrid>
        <w:gridCol w:w="3766"/>
        <w:gridCol w:w="146"/>
        <w:gridCol w:w="211"/>
        <w:gridCol w:w="571"/>
        <w:gridCol w:w="166"/>
        <w:gridCol w:w="146"/>
        <w:gridCol w:w="211"/>
        <w:gridCol w:w="571"/>
        <w:gridCol w:w="191"/>
      </w:tblGrid>
      <w:tr>
        <w:trPr/>
        <w:tc>
          <w:tcPr>
            <w:tcW w:w="37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December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6"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beginning of year</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16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3,873</w:t>
            </w:r>
          </w:p>
        </w:tc>
        <w:tc>
          <w:tcPr>
            <w:tcW w:w="19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related to prior year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Decreases related to prior year tax positions</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DF2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166"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DF2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Increases related to current year tax positions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6" w:type="dxa"/>
            <w:tcBorders/>
            <w:shd w:fill="CDF2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Balances as of end of year</w:t>
            </w:r>
          </w:p>
        </w:tc>
        <w:tc>
          <w:tcPr>
            <w:tcW w:w="146" w:type="dxa"/>
            <w:tcBorders/>
            <w:shd w:fill="CDF2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5,175</w:t>
            </w:r>
          </w:p>
        </w:tc>
        <w:tc>
          <w:tcPr>
            <w:tcW w:w="166"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4,495</w:t>
            </w:r>
          </w:p>
        </w:tc>
        <w:tc>
          <w:tcPr>
            <w:tcW w:w="191" w:type="dxa"/>
            <w:tcBorders>
              <w:bottom w:val="double" w:sz="6" w:space="0" w:color="000000"/>
            </w:tcBorders>
            <w:shd w:fill="CDF2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unrecognized tax benefits, if recognized, would not have an impact on the Company’s effective tax rate assuming the Company continues to maintain a full valuation allowance position. Based on the prior year’s operations and experience, the Company does not expect a significant change to its unrecognized tax benefits over the next twelve months. The unrecognized tax benefits may increase or change during the next year for unexpected or unusual items that arise in the ordinary course of business. In subsequent periods, any interest and penalties related to uncertain tax positions will be recognized as a component of income tax expense.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Company files income tax returns in the U.S. federal, California and other state and foreign jurisdictions and is not currently under examination by federal, state, or local taxing authorities for any open tax years. Due to net operating loss carryforwards, all years effectively remain open for income tax examination by tax authorities in the U.S. and states in which the Company files tax returns.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11 - Leases</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Operating Leases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In August 2023, the Company entered into a sublease agreement for office and laboratory space in South San Francisco, California to serve as the Company's corporate headquarters. The sublease originally expired in October 2025, with an option to extend through September 2029. In December 2024, the Company amended the sublease to extend the term through September 2029 and modify the base rent payments beginning in January 2025, with scheduled annual rent increases over the remaining lease term. The Company's previous corporate headquarters sub-sublease in South San Francisco, California expired in December 2023. The Company also leased office space in Carmel, Indiana under a lease agreement that expired in August 2023, which had been substantially subleased since February 2021. The Company dissolved its China subsidiary in 2024, allowing the lease for its registrational office in Shanghai to expire in March 2024. The lease for the Company's registrational office in Beijing, which was month-to-month, ended in 2023. The Company also leases certain laboratory equipment accounted for as operating leases expiring at various dates, with the final lease expiring in 2025.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When the Company cannot determine the implicit rate in its leasing arrangements, the Company uses its incremental borrowing rate as the discount rate when measuring operating lease liabilities. The incremental borrowing rate represents an estimate of the interest rate the Company would incur at lease commencement to borrow an amount equal to the lease payments on a collateralized basis over the term of a lease within a particular currency environment.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At December 31, 2024, the Company had operating lease liabilities of $3.1 million and ROU assets of $3.1 million.</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The following summarizes quantitative information about the Company’s operating leases (in thousands):</w:t>
      </w:r>
    </w:p>
    <w:tbl>
      <w:tblPr>
        <w:tblW w:w="4532" w:type="dxa"/>
        <w:jc w:val="left"/>
        <w:tblInd w:w="0" w:type="dxa"/>
        <w:tblLayout w:type="fixed"/>
        <w:tblCellMar>
          <w:top w:w="28" w:type="dxa"/>
          <w:left w:w="28" w:type="dxa"/>
          <w:bottom w:w="28" w:type="dxa"/>
          <w:right w:w="28" w:type="dxa"/>
        </w:tblCellMar>
      </w:tblPr>
      <w:tblGrid>
        <w:gridCol w:w="2001"/>
        <w:gridCol w:w="146"/>
        <w:gridCol w:w="226"/>
        <w:gridCol w:w="614"/>
        <w:gridCol w:w="157"/>
        <w:gridCol w:w="157"/>
        <w:gridCol w:w="226"/>
        <w:gridCol w:w="614"/>
        <w:gridCol w:w="391"/>
      </w:tblGrid>
      <w:tr>
        <w:trPr/>
        <w:tc>
          <w:tcPr>
            <w:tcW w:w="2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 Ended December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Variable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01" w:type="dxa"/>
            <w:tcBorders/>
            <w:shd w:fill="CFF0FC" w:val="clear"/>
            <w:tcMar>
              <w:top w:w="0" w:type="dxa"/>
              <w:left w:w="0" w:type="dxa"/>
              <w:bottom w:w="0" w:type="dxa"/>
              <w:right w:w="0" w:type="dxa"/>
            </w:tcMar>
            <w:vAlign w:val="center"/>
          </w:tcPr>
          <w:p>
            <w:pPr>
              <w:pStyle w:val="TableContents"/>
              <w:bidi w:val="0"/>
              <w:spacing w:before="0" w:after="283"/>
              <w:ind w:left="200" w:right="0" w:firstLine="200"/>
              <w:jc w:val="left"/>
              <w:rPr>
                <w:rFonts w:ascii="Times New Roman" w:hAnsi="Times New Roman"/>
                <w:color w:val="000000"/>
                <w:sz w:val="20"/>
              </w:rPr>
            </w:pPr>
            <w:r>
              <w:rPr>
                <w:rFonts w:ascii="Times New Roman" w:hAnsi="Times New Roman"/>
                <w:color w:val="000000"/>
                <w:sz w:val="20"/>
              </w:rPr>
              <w:t>Sublease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2,145</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4,921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color w:val="000000"/>
          <w:sz w:val="20"/>
        </w:rPr>
      </w:pPr>
      <w:r>
        <w:rPr>
          <w:rFonts w:ascii="Times New Roman" w:hAnsi="Times New Roman"/>
          <w:color w:val="000000"/>
          <w:sz w:val="20"/>
        </w:rPr>
        <w:t>As of December 31, 2024, the weighted-average remaining lease term for operating leases was 4.7 years and the weighted-average discount rate for operating leases was 10.0%.</w:t>
      </w:r>
    </w:p>
    <w:p>
      <w:pPr>
        <w:pStyle w:val="TextBody"/>
        <w:bidi w:val="0"/>
        <w:spacing w:before="200" w:after="200"/>
        <w:jc w:val="both"/>
        <w:rPr>
          <w:rFonts w:ascii="Times New Roman" w:hAnsi="Times New Roman"/>
          <w:color w:val="000000"/>
          <w:sz w:val="20"/>
        </w:rPr>
      </w:pPr>
      <w:r>
        <w:rPr>
          <w:rFonts w:ascii="Times New Roman" w:hAnsi="Times New Roman"/>
          <w:color w:val="000000"/>
          <w:sz w:val="20"/>
        </w:rPr>
        <w:t>As of December 31, 2024, the maturities of the Company’s operating lease liabilities were as follows (in thousands):</w:t>
      </w:r>
    </w:p>
    <w:tbl>
      <w:tblPr>
        <w:tblW w:w="3555" w:type="dxa"/>
        <w:jc w:val="left"/>
        <w:tblInd w:w="0" w:type="dxa"/>
        <w:tblLayout w:type="fixed"/>
        <w:tblCellMar>
          <w:top w:w="28" w:type="dxa"/>
          <w:left w:w="28" w:type="dxa"/>
          <w:bottom w:w="28" w:type="dxa"/>
          <w:right w:w="28" w:type="dxa"/>
        </w:tblCellMar>
      </w:tblPr>
      <w:tblGrid>
        <w:gridCol w:w="2416"/>
        <w:gridCol w:w="146"/>
        <w:gridCol w:w="211"/>
        <w:gridCol w:w="571"/>
        <w:gridCol w:w="211"/>
      </w:tblGrid>
      <w:tr>
        <w:trPr/>
        <w:tc>
          <w:tcPr>
            <w:tcW w:w="2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present value discount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Note 12 - Employee Benefit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January 2018, the Company established a defined contribution 401(k) plan (the Plan) for all employees who are at least 21 years of age. Employees are eligible to participate in the Plan upon commencement of employment. Under the terms of the Plan, employees may make voluntary contributions as a percentage of compensation. The Plan also permits the Company to make discretionary matching contributions. During both the years ended December 31, 2024 and 2023, the Company made discretionary matching contributions of $0.7 million.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00" w:after="283"/>
        <w:jc w:val="both"/>
        <w:rPr>
          <w:rFonts w:ascii="Times New Roman" w:hAnsi="Times New Roman"/>
          <w:b/>
          <w:color w:val="000000"/>
          <w:sz w:val="20"/>
        </w:rPr>
      </w:pPr>
      <w:r>
        <w:rPr>
          <w:rFonts w:ascii="Times New Roman" w:hAnsi="Times New Roman"/>
          <w:b/>
          <w:color w:val="000000"/>
          <w:sz w:val="20"/>
        </w:rPr>
        <w:t>Note 13 - Segment Reporting</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Company operates as a single operating segment focusing on developing innovative therapeutics targeting serious viral diseases. The Company's chief operating decision maker (CODM) is its Chief Executive Officer and President, who reviews financial information presented on a consolidated basis for purposes of making operating decisions, assessing financial performance, and allocating resources.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measure of segment profit or loss used by the CODM to evaluate performance and allocate resources is consolidated net loss as reported in the Company's consolidated statements of operations. This measure is used by the CODM to assess its cash runway and make strategic decisions about resource allocation. The CODM does not use asset measures to evaluate segment performance or make resource allocation decisions.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Operating expenses include all costs necessary to operate the Company's business, primarily consisting of research and development and general and administrative expenses directly related to advancing the Company's programs. These expenses are reviewed by the CODM on a consolidated basis as part of evaluating the Company's overall financial performance. During the years ended December 31, 2024 and 2023, the Company generated all of its collaboration revenue from two customers, one of which is a related party (see Notes 3 - Related Party and 8 - Collaboration Agreements). For the years ended December 31, 2024 and 2023, all of the Company's revenue and long-lived assets were in the United States.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The following table presents the significant segment expenses and other segment items regularly reviewed by the Company's CODM: </w:t>
      </w:r>
    </w:p>
    <w:tbl>
      <w:tblPr>
        <w:tblW w:w="8339" w:type="dxa"/>
        <w:jc w:val="left"/>
        <w:tblInd w:w="0" w:type="dxa"/>
        <w:tblLayout w:type="fixed"/>
        <w:tblCellMar>
          <w:top w:w="28" w:type="dxa"/>
          <w:left w:w="28" w:type="dxa"/>
          <w:bottom w:w="28" w:type="dxa"/>
          <w:right w:w="28" w:type="dxa"/>
        </w:tblCellMar>
      </w:tblPr>
      <w:tblGrid>
        <w:gridCol w:w="5371"/>
        <w:gridCol w:w="146"/>
        <w:gridCol w:w="211"/>
        <w:gridCol w:w="736"/>
        <w:gridCol w:w="166"/>
        <w:gridCol w:w="271"/>
        <w:gridCol w:w="211"/>
        <w:gridCol w:w="736"/>
        <w:gridCol w:w="491"/>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Years Ended December 31,</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 ($28,520 and $4,430 from a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28,520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7,163</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External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Research and discovery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9,741</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ABI-6250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421</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ABI-5366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ABI-1179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ABI-4334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1,947</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Vebicorvir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ABI-H3733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ind w:left="300" w:right="0" w:firstLine="300"/>
              <w:jc w:val="left"/>
              <w:rPr>
                <w:rFonts w:ascii="Times New Roman" w:hAnsi="Times New Roman"/>
                <w:color w:val="000000"/>
                <w:sz w:val="20"/>
              </w:rPr>
            </w:pPr>
            <w:r>
              <w:rPr>
                <w:rFonts w:ascii="Times New Roman" w:hAnsi="Times New Roman"/>
                <w:color w:val="000000"/>
                <w:sz w:val="20"/>
              </w:rPr>
              <w:t>ABI-H2158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Total external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28,438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20,342</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sz w:val="20"/>
              </w:rPr>
            </w:pPr>
            <w:r>
              <w:rPr>
                <w:rFonts w:ascii="Times New Roman" w:hAnsi="Times New Roman"/>
                <w:color w:val="000000"/>
                <w:sz w:val="20"/>
              </w:rPr>
              <w:t xml:space="preserve">Employee and contractor-related expenses </w:t>
            </w:r>
            <w:r>
              <w:rPr>
                <w:rFonts w:ascii="Times New Roman" w:hAnsi="Times New Roman"/>
                <w:color w:val="000000"/>
                <w:sz w:val="13"/>
              </w:rPr>
              <w:t>(2)</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22,956</w:t>
            </w:r>
          </w:p>
        </w:tc>
        <w:tc>
          <w:tcPr>
            <w:tcW w:w="4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ind w:left="100" w:right="0" w:firstLine="100"/>
              <w:jc w:val="left"/>
              <w:rPr>
                <w:rFonts w:ascii="Times New Roman" w:hAnsi="Times New Roman"/>
                <w:color w:val="000000"/>
                <w:sz w:val="20"/>
              </w:rPr>
            </w:pPr>
            <w:r>
              <w:rPr>
                <w:rFonts w:ascii="Times New Roman" w:hAnsi="Times New Roman"/>
                <w:color w:val="000000"/>
                <w:sz w:val="20"/>
              </w:rPr>
              <w:t>Facility and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3,676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5,602</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48,900</w:t>
            </w:r>
          </w:p>
        </w:tc>
        <w:tc>
          <w:tcPr>
            <w:tcW w:w="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General and administrative </w:t>
            </w:r>
            <w:r>
              <w:rPr>
                <w:rFonts w:ascii="Times New Roman" w:hAnsi="Times New Roman"/>
                <w:color w:val="000000"/>
                <w:sz w:val="13"/>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22,909</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segment items </w:t>
            </w:r>
            <w:r>
              <w:rPr>
                <w:rFonts w:ascii="Times New Roman" w:hAnsi="Times New Roman"/>
                <w:color w:val="000000"/>
                <w:sz w:val="13"/>
              </w:rPr>
              <w:t>(3)</w:t>
            </w:r>
          </w:p>
        </w:tc>
        <w:tc>
          <w:tcPr>
            <w:tcW w:w="146" w:type="dxa"/>
            <w:tcBorders/>
            <w:shd w:fill="CCEC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(3,418</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(40,177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(61,228</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Reflects net amounts refundable to the Company after the final reconciliation of costs of the clinical trial conducted pursuant to the Arbutus Biopharma Agreement, which was terminated in February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Includes stock-based compensation expense, see Note 7 - Stock-Based Compensation for further details.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segment items include interest and other income, net, and income tax expense as reported in the Company's consolidated statements of operations and comprehensive loss.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F-30</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2"/>
        </w:rPr>
      </w:pPr>
      <w:bookmarkStart w:id="37" w:name="asmb-ex4_1.htm"/>
      <w:bookmarkStart w:id="38" w:name="ksasmbex4_1"/>
      <w:bookmarkEnd w:id="37"/>
      <w:bookmarkEnd w:id="38"/>
      <w:r>
        <w:rPr>
          <w:rFonts w:ascii="Arial" w:hAnsi="Arial"/>
          <w:b/>
          <w:color w:val="000000"/>
          <w:sz w:val="22"/>
        </w:rPr>
        <w:t>Exhibit 4.1</w:t>
      </w:r>
      <w:r>
        <w:br w:type="page"/>
      </w:r>
    </w:p>
    <w:p>
      <w:pPr>
        <w:pStyle w:val="TextBody"/>
        <w:bidi w:val="0"/>
        <w:jc w:val="left"/>
        <w:rPr/>
      </w:pPr>
      <w:r>
        <w:rPr/>
        <w:t> </w:t>
      </w:r>
    </w:p>
    <w:p>
      <w:pPr>
        <w:pStyle w:val="TextBody"/>
        <w:bidi w:val="0"/>
        <w:jc w:val="center"/>
        <w:rPr/>
      </w:pPr>
      <w:r>
        <w:rPr/>
        <w:drawing>
          <wp:inline distT="0" distB="0" distL="0" distR="0">
            <wp:extent cx="9144000" cy="5981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45"/>
                    <a:stretch>
                      <a:fillRect/>
                    </a:stretch>
                  </pic:blipFill>
                  <pic:spPr bwMode="auto">
                    <a:xfrm>
                      <a:off x="0" y="0"/>
                      <a:ext cx="9144000" cy="5981700"/>
                    </a:xfrm>
                    <a:prstGeom prst="rect">
                      <a:avLst/>
                    </a:prstGeom>
                  </pic:spPr>
                </pic:pic>
              </a:graphicData>
            </a:graphic>
          </wp:inline>
        </w:drawing>
      </w:r>
    </w:p>
    <w:p>
      <w:pPr>
        <w:pStyle w:val="TextBody"/>
        <w:bidi w:val="0"/>
        <w:jc w:val="both"/>
        <w:rPr>
          <w:rFonts w:ascii="Calibri;sans-serif" w:hAnsi="Calibri;sans-serif"/>
          <w:color w:val="FFFFFF"/>
          <w:sz w:val="2"/>
        </w:rPr>
      </w:pPr>
      <w:r>
        <w:rPr>
          <w:rFonts w:ascii="Calibri;sans-serif" w:hAnsi="Calibri;sans-serif"/>
          <w:color w:val="FFFFFF"/>
          <w:sz w:val="2"/>
        </w:rPr>
        <w:t>INCORPORATED UNDER THE LAWS OF THE STATE OF DELAWARE CUSIP 045396 20 7 SEE REVERSE FOR CERTAIN DEFINITIONS AND LEGENDS is the record holder of FULLY PAID AND NONASSESSABLE SHARES OF COMMON STOCK, $0.001 PAR VALUE PER SHARE, OF Assembly Biosciences, Inc. transferable on the books of the Corporation in person or by duly authorized attorney upon surrender of this Certificate properly endorsed. This Certificate is not valid until countersigned by the Transfer Agent and registered by the Registrar. WITNESS the facsimile seal of the Corporation and the facsimile signatures of its duly authorized officers. Dated: CHIEF EXECUTIVE OFFICER CORPORATE SECRETARY AUTHORIZED SIGNATURE OUNTERSIGNED AND REGISTERED QUINITI TRUST COMPANY, LLC TRANSFER AGENT AND REGISTRAR ASSEMBLY BIOSCIENCES, INC October 7, 2005 SEAL</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pPr>
      <w:r>
        <w:rPr/>
        <w:drawing>
          <wp:inline distT="0" distB="0" distL="0" distR="0">
            <wp:extent cx="6724650" cy="83248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6"/>
                    <a:stretch>
                      <a:fillRect/>
                    </a:stretch>
                  </pic:blipFill>
                  <pic:spPr bwMode="auto">
                    <a:xfrm>
                      <a:off x="0" y="0"/>
                      <a:ext cx="6724650" cy="8324850"/>
                    </a:xfrm>
                    <a:prstGeom prst="rect">
                      <a:avLst/>
                    </a:prstGeom>
                  </pic:spPr>
                </pic:pic>
              </a:graphicData>
            </a:graphic>
          </wp:inline>
        </w:drawing>
      </w:r>
    </w:p>
    <w:p>
      <w:pPr>
        <w:pStyle w:val="TextBody"/>
        <w:bidi w:val="0"/>
        <w:jc w:val="both"/>
        <w:rPr>
          <w:rFonts w:ascii="Calibri;sans-serif" w:hAnsi="Calibri;sans-serif"/>
          <w:color w:val="FFFFFF"/>
          <w:sz w:val="2"/>
        </w:rPr>
      </w:pPr>
      <w:r>
        <w:rPr>
          <w:rFonts w:ascii="Calibri;sans-serif" w:hAnsi="Calibri;sans-serif"/>
          <w:color w:val="FFFFFF"/>
          <w:sz w:val="2"/>
        </w:rPr>
        <w:t>The Corporation shall furnish without charge to each stockholder who so requests a statement of the powers, designations, preferences and relative, participating, optional or other special rights of each class of stock of the Corporation or series thereof and the qualifications, limitations or restrictions of such preferences and/or rights. Such requests shall be made to the Corporation’s Secretary at the principal office of the Corporation. KEEP THIS CERTIFICATE IN A SAFE PLACE. IF IT IS LOST, STOLEN, OR DESTROYED THE CORPORATION WILL REQUIRE A BOND INDEMNITY AS A CONDITION TO THE ISSUANCE OF A REPLACEMENT CERTIFICATE. The following abbreviations, when used in the inscription on the face of this certificate, shall be construed as though they were written out in full according to applicable laws or regulations: TEN COM – as tenants in common TEN ENT – as tenants by the entireties JT TEN – as joint tenants with right of survivorship and not as tenants in common COM PROP – as community property UNIF GIFT MIN ACT – Custodian (Cust) (Minor) under Uniform Gifts to Minors Act (State) UNIF TRF MIN ACT – Custodian (until age (Cust) under Uniform Transfers (Minor) to Minors Act (State) Additional abbreviations may also be used though not in the above list. FOR VALUE RECEIVED, hereby sell(s), assign(s) and transfer(s) unto PLEASE INSERT SOCIAL SECURITY OR OTHER IDENTIFYING NUMBER OF ASSIGNEE (PLEASE PRINT OR TYPEWRITE NAME AND ADDRESS, INCLUDING ZIP CODE, OF ASSIGNEE) shares of the capital stock represented by within Certificate, and do hereby irrevocably constitute and appoint attorney-in-fact to transfer the said stock on the books of the within named Corporation with full power of the substitution in the premises. Dated NOTICE: THE SIGNATURE TO THIS ASSIGNMENT MUST CORRESPOND WITH THE NAME AS WRITTEN UPON THE FACE OF THE CERTIFICATE IN EVERY PARTICULAR, WITHOUT ALTERATION OR ENLARGEMENT OR ANY CHANGE WHATSOEVER. By THE SIGNATURE(S) SHOULD BE GUARANTEED BY AN ELIGIBLE GUARANTOR INSTITUTION, (BANKS, STOCKBROKERS, SAVINGS AND LOAN ASSOCIATIONS AND CREDIT UNIONS WITH MEMBERSHIP IN AN APPROVED SIGNATURE GUARANTEE MEDALLION PROGRAM), PURSUANT TO S.E.C. RULE 17Ad-15. GUARANTEES BY A NOTARY PUBLIC ARE NOT ACCEPTABLE. SIGNATURE GUARANTEES MUST NOT BE DATED Signature(s) Guaranteed: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asmb-ex19_1.htm"/>
      <w:bookmarkStart w:id="40" w:name="ksasmbex19_1"/>
      <w:bookmarkEnd w:id="39"/>
      <w:bookmarkEnd w:id="40"/>
      <w:r>
        <w:rPr/>
        <w:t> </w:t>
      </w:r>
      <w:r>
        <w:br w:type="page"/>
      </w:r>
    </w:p>
    <w:p>
      <w:pPr>
        <w:pStyle w:val="TextBody"/>
        <w:bidi w:val="0"/>
        <w:jc w:val="right"/>
        <w:rPr>
          <w:rFonts w:ascii="Arial" w:hAnsi="Arial"/>
          <w:b/>
          <w:color w:val="000000"/>
          <w:sz w:val="22"/>
        </w:rPr>
      </w:pPr>
      <w:r>
        <w:rPr>
          <w:rFonts w:ascii="Arial" w:hAnsi="Arial"/>
          <w:b/>
          <w:color w:val="000000"/>
          <w:sz w:val="22"/>
        </w:rPr>
        <w:t>Exhibit 19.1</w:t>
      </w:r>
    </w:p>
    <w:p>
      <w:pPr>
        <w:pStyle w:val="TextBody"/>
        <w:bidi w:val="0"/>
        <w:jc w:val="left"/>
        <w:rPr/>
      </w:pPr>
      <w:r>
        <w:rPr/>
        <w:drawing>
          <wp:inline distT="0" distB="0" distL="0" distR="0">
            <wp:extent cx="2219325" cy="6572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7"/>
                    <a:stretch>
                      <a:fillRect/>
                    </a:stretch>
                  </pic:blipFill>
                  <pic:spPr bwMode="auto">
                    <a:xfrm>
                      <a:off x="0" y="0"/>
                      <a:ext cx="2219325" cy="657225"/>
                    </a:xfrm>
                    <a:prstGeom prst="rect">
                      <a:avLst/>
                    </a:prstGeom>
                  </pic:spPr>
                </pic:pic>
              </a:graphicData>
            </a:graphic>
          </wp:inline>
        </w:drawing>
      </w:r>
    </w:p>
    <w:p>
      <w:pPr>
        <w:pStyle w:val="TextBody"/>
        <w:bidi w:val="0"/>
        <w:jc w:val="center"/>
        <w:rPr>
          <w:rFonts w:ascii="Calibri;sans-serif" w:hAnsi="Calibri;sans-serif"/>
          <w:b/>
          <w:color w:val="1867A9"/>
          <w:sz w:val="32"/>
        </w:rPr>
      </w:pPr>
      <w:r>
        <w:rPr>
          <w:rFonts w:ascii="Calibri;sans-serif" w:hAnsi="Calibri;sans-serif"/>
          <w:b/>
          <w:color w:val="1867A9"/>
          <w:sz w:val="32"/>
        </w:rPr>
        <w:t>INSIDER TRADING POLICY</w:t>
      </w:r>
    </w:p>
    <w:p>
      <w:pPr>
        <w:pStyle w:val="TextBody"/>
        <w:bidi w:val="0"/>
        <w:spacing w:before="240" w:after="283"/>
        <w:jc w:val="left"/>
        <w:rPr>
          <w:rFonts w:ascii="Calibri;sans-serif" w:hAnsi="Calibri;sans-serif"/>
          <w:b/>
          <w:color w:val="FF0000"/>
          <w:sz w:val="22"/>
        </w:rPr>
      </w:pPr>
      <w:r>
        <w:rPr>
          <w:rFonts w:ascii="Calibri;sans-serif" w:hAnsi="Calibri;sans-serif"/>
          <w:b/>
          <w:color w:val="FF0000"/>
          <w:sz w:val="22"/>
        </w:rPr>
        <w:t>INTRODUCTION</w:t>
      </w:r>
    </w:p>
    <w:p>
      <w:pPr>
        <w:pStyle w:val="TextBody"/>
        <w:bidi w:val="0"/>
        <w:spacing w:before="240" w:after="283"/>
        <w:jc w:val="left"/>
        <w:rPr>
          <w:rFonts w:ascii="Times New Roman" w:hAnsi="Times New Roman"/>
          <w:sz w:val="20"/>
        </w:rPr>
      </w:pPr>
      <w:r>
        <w:rPr>
          <w:rFonts w:ascii="Calibri;sans-serif" w:hAnsi="Calibri;sans-serif"/>
          <w:color w:val="000000"/>
          <w:sz w:val="22"/>
        </w:rPr>
        <w:t>While performing their duties, officers, directors, employees, consultants and contractors (each a “</w:t>
      </w:r>
      <w:r>
        <w:rPr>
          <w:rFonts w:ascii="Calibri;sans-serif" w:hAnsi="Calibri;sans-serif"/>
          <w:b/>
          <w:color w:val="000000"/>
          <w:sz w:val="22"/>
        </w:rPr>
        <w:t>Covered Person</w:t>
      </w:r>
      <w:r>
        <w:rPr>
          <w:rFonts w:ascii="Times New Roman" w:hAnsi="Times New Roman"/>
          <w:color w:val="000000"/>
          <w:sz w:val="20"/>
        </w:rPr>
        <w:t>”</w:t>
      </w:r>
      <w:r>
        <w:rPr>
          <w:rFonts w:ascii="Calibri;sans-serif" w:hAnsi="Calibri;sans-serif"/>
          <w:color w:val="000000"/>
          <w:sz w:val="22"/>
        </w:rPr>
        <w:t>) of Assembly Biosciences, Inc. (“</w:t>
      </w:r>
      <w:r>
        <w:rPr>
          <w:rFonts w:ascii="Calibri;sans-serif" w:hAnsi="Calibri;sans-serif"/>
          <w:b/>
          <w:color w:val="000000"/>
          <w:sz w:val="22"/>
        </w:rPr>
        <w:t>Assembly Bio</w:t>
      </w:r>
      <w:r>
        <w:rPr>
          <w:rFonts w:ascii="Times New Roman" w:hAnsi="Times New Roman"/>
          <w:color w:val="000000"/>
          <w:sz w:val="20"/>
        </w:rPr>
        <w:t>”</w:t>
      </w:r>
      <w:r>
        <w:rPr>
          <w:rFonts w:ascii="Calibri;sans-serif" w:hAnsi="Calibri;sans-serif"/>
          <w:color w:val="000000"/>
          <w:sz w:val="22"/>
        </w:rPr>
        <w:t>) may receive information regarding Assembly Bio (and possibly other public companies) that is not generally available to the public. U.S. federal securities laws contain provisions designed to protect investors from information disparities a corporate insider may have by trading in securities while in possession of insider information. Any person who, by virtue of his or her position or relationship with Assembly Bio, possesses material nonpublic information concerning Assembly Bio, is prohibited by U.S. law from buying or selling our securities or directly or indirectly passing that information to others who may engage in such transactions (sometimes referred to as “tipping”). This also includes using such information to recommend that someone else buy, hold or sell securities. Violations can be based solely on the fact that a Covered Person possesses material nonpublic information, whether or not a decision to trade or recommend a trade was based on that information.</w:t>
      </w:r>
    </w:p>
    <w:p>
      <w:pPr>
        <w:pStyle w:val="TextBody"/>
        <w:bidi w:val="0"/>
        <w:spacing w:before="240" w:after="283"/>
        <w:jc w:val="left"/>
        <w:rPr>
          <w:rFonts w:ascii="Times New Roman" w:hAnsi="Times New Roman"/>
          <w:sz w:val="20"/>
        </w:rPr>
      </w:pPr>
      <w:r>
        <w:rPr>
          <w:rFonts w:ascii="Calibri;sans-serif" w:hAnsi="Calibri;sans-serif"/>
          <w:color w:val="000000"/>
          <w:sz w:val="22"/>
        </w:rPr>
        <w:t>The Nasdaq stock exchange maintains sophisticated trade tracking software and routinely cross-checks trade information with employee lists to determine if employees of a company have traded in advance of significant news (positive or negative). If Nasdaq sees unusual trading activity, it will send the company a letter with a list of the names of persons who traded in advance of the significant news. Even when persons do not in fact have any information in advance of the news, the fact that the inquiry has begun may need to be disclosed publicly.</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Calibri;sans-serif" w:hAnsi="Calibri;sans-serif"/>
          <w:color w:val="000000"/>
          <w:sz w:val="22"/>
        </w:rPr>
        <w:t>A Covered Person will remain bound by this policy (1) while employed by or affiliated with Assembly Bio and (2) for the later of (a) three months and (b) when the Covered Person is no longer in possession of material nonpublic information, in each case, after his or her employment or affiliation with Assembly Bio ends. The term "Covered Persons" also includes a Covered Person’s spouse, significant other, child, parent or other family member, in each case, living in the same household and any investment fund, trust, retirement plan, partnership, corporation or other entity over which a Covered Person has the ability to influence or direct investment decisions concerning securities.</w:t>
      </w:r>
      <w:r>
        <w:rPr>
          <w:rFonts w:ascii="Times New Roman" w:hAnsi="Times New Roman"/>
          <w:color w:val="000000"/>
          <w:sz w:val="20"/>
        </w:rPr>
        <w:t xml:space="preserve"> </w:t>
      </w:r>
    </w:p>
    <w:p>
      <w:pPr>
        <w:pStyle w:val="TextBody"/>
        <w:bidi w:val="0"/>
        <w:spacing w:before="240" w:after="283"/>
        <w:jc w:val="left"/>
        <w:rPr>
          <w:rFonts w:ascii="Calibri;sans-serif" w:hAnsi="Calibri;sans-serif"/>
          <w:b/>
          <w:color w:val="FF0000"/>
          <w:sz w:val="22"/>
        </w:rPr>
      </w:pPr>
      <w:r>
        <w:rPr>
          <w:rFonts w:ascii="Calibri;sans-serif" w:hAnsi="Calibri;sans-serif"/>
          <w:b/>
          <w:color w:val="FF0000"/>
          <w:sz w:val="22"/>
        </w:rPr>
        <w:t>KEY DEFINITIONS</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To enable compliance with this policy, Covered Persons need to understand what is meant by “material nonpublic information.” Material nonpublic information is sometimes called “insider information.”</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It is also important for Covered Persons to understand what generally constitutes a “security.”</w:t>
      </w:r>
    </w:p>
    <w:p>
      <w:pPr>
        <w:pStyle w:val="TextBody"/>
        <w:bidi w:val="0"/>
        <w:spacing w:before="240" w:after="283"/>
        <w:jc w:val="left"/>
        <w:rPr>
          <w:rFonts w:ascii="Calibri;sans-serif" w:hAnsi="Calibri;sans-serif"/>
          <w:b/>
          <w:color w:val="1867A9"/>
          <w:sz w:val="22"/>
        </w:rPr>
      </w:pPr>
      <w:r>
        <w:rPr>
          <w:rFonts w:ascii="Calibri;sans-serif" w:hAnsi="Calibri;sans-serif"/>
          <w:b/>
          <w:color w:val="1867A9"/>
          <w:sz w:val="22"/>
        </w:rPr>
        <w:t>MATERIAL INFORMATION</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Information is “material” if there is a substantial likelihood that a reasonable investor would consider the information important in a decision to buy, hold or sell securities and would therefore be likely to affect the price of securities; in short, any information that could reasonably affect the price of Assembly Bio’s securities is material. Either positive or negative information may be material. Examples of potentially material information about Assembly Bio include, but are not limited to:</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earnings results or expectations;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financial forecasts;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potential restatements of Assembly Bio’s financial statements, changes in auditors or auditor notification that Assembly Bio may no longer rely on an auditor’s audit report;</w:t>
      </w:r>
    </w:p>
    <w:p>
      <w:pPr>
        <w:pStyle w:val="TextBody"/>
        <w:bidi w:val="0"/>
        <w:jc w:val="center"/>
        <w:rPr>
          <w:rFonts w:ascii="Times New Roman" w:hAnsi="Times New Roman"/>
          <w:sz w:val="20"/>
        </w:rPr>
      </w:pPr>
      <w:r>
        <w:rPr>
          <w:rFonts w:ascii="Arial" w:hAnsi="Arial"/>
          <w:color w:val="5B6670"/>
          <w:sz w:val="19"/>
        </w:rPr>
        <w:t>Two Tower Place, 7</w:t>
      </w:r>
      <w:r>
        <w:rPr>
          <w:rFonts w:ascii="Arial" w:hAnsi="Arial"/>
          <w:color w:val="5B6670"/>
          <w:sz w:val="13"/>
        </w:rPr>
        <w:t>th</w:t>
      </w:r>
      <w:r>
        <w:rPr>
          <w:rFonts w:ascii="Times New Roman" w:hAnsi="Times New Roman"/>
          <w:color w:val="5B6670"/>
          <w:sz w:val="20"/>
        </w:rPr>
        <w:t xml:space="preserve"> </w:t>
      </w:r>
      <w:r>
        <w:rPr>
          <w:rFonts w:ascii="Arial" w:hAnsi="Arial"/>
          <w:color w:val="5B6670"/>
          <w:sz w:val="19"/>
        </w:rPr>
        <w:t>Floor, South San Francisco, CA 94080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pending or proposed mergers, acquisitions, tender offers, joint ventures, changes in assets or divestitures or other strategic transactions;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new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developments regarding customers or suppliers;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competitive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status of, and results from, preclinical studies or clinical trials conducted by or on behalf of Assembly Bio, including enrollment, results or expected timing;</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adverse events involving Assembly Bio’s products;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information related to decisions by regulatory authorities regarding Assembly Bio’s product candidates, including related to status of regulatory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changes in control, management or the Board of Directors;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public offerings or private sales of debt or equity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major financing developments;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litigation developments or governmental investigations, including both actual and threatened litigation or investigations;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changes in auditors or notices from auditors;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expansion or curtailment of significant operations;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write-down or write-offs of substantial assets;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labor disputes, including strikes or lockouts;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events regarding Assembly Bio’s securities (defaults, calls, repurchases, splits, dividends, etc.);</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existence of material liquidity deficiencies; and</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bankruptcies or receiverships.</w:t>
      </w:r>
    </w:p>
    <w:p>
      <w:pPr>
        <w:pStyle w:val="TextBody"/>
        <w:bidi w:val="0"/>
        <w:spacing w:before="240" w:after="283"/>
        <w:jc w:val="left"/>
        <w:rPr>
          <w:rFonts w:ascii="Times New Roman" w:hAnsi="Times New Roman"/>
          <w:sz w:val="20"/>
        </w:rPr>
      </w:pPr>
      <w:r>
        <w:rPr>
          <w:rFonts w:ascii="Calibri;sans-serif" w:hAnsi="Calibri;sans-serif"/>
          <w:color w:val="000000"/>
          <w:sz w:val="22"/>
        </w:rPr>
        <w:t>Other types of information can be material at any particular time, depending on the circumstances. You may not need knowledge of specific facts to be deemed in possession of material information. If you know (1) that material information exists regarding Assembly Bio or a publicly held company with which Assembly Bio does business and (2) the general impact of that information, you should not trade in securities of either Assembly Bio or the other company.</w:t>
      </w:r>
      <w:r>
        <w:rPr>
          <w:rFonts w:ascii="Times New Roman" w:hAnsi="Times New Roman"/>
          <w:color w:val="000000"/>
          <w:sz w:val="20"/>
        </w:rPr>
        <w:t xml:space="preserve"> </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If you are unsure at any time as to whether you are in possession of material nonpublic information about Assembly Bio or if you are aware of events that you believe may raise disclosure issues, you should contact your department head and Assembly Bio’s internal legal team for clarification.</w:t>
      </w:r>
    </w:p>
    <w:p>
      <w:pPr>
        <w:pStyle w:val="TextBody"/>
        <w:bidi w:val="0"/>
        <w:spacing w:before="240" w:after="283"/>
        <w:jc w:val="center"/>
        <w:rPr>
          <w:rFonts w:ascii="Calibri;sans-serif" w:hAnsi="Calibri;sans-serif"/>
          <w:b/>
          <w:color w:val="000000"/>
          <w:sz w:val="22"/>
        </w:rPr>
      </w:pPr>
      <w:r>
        <w:rPr>
          <w:rFonts w:ascii="Calibri;sans-serif" w:hAnsi="Calibri;sans-serif"/>
          <w:b/>
          <w:color w:val="000000"/>
          <w:sz w:val="22"/>
        </w:rPr>
        <w:t>WHEN IN DOUBT, ASSUME THAT INFORMATION IS MATERIAL.</w:t>
      </w:r>
    </w:p>
    <w:p>
      <w:pPr>
        <w:pStyle w:val="TextBody"/>
        <w:bidi w:val="0"/>
        <w:spacing w:before="240" w:after="283"/>
        <w:jc w:val="left"/>
        <w:rPr>
          <w:rFonts w:ascii="Calibri;sans-serif" w:hAnsi="Calibri;sans-serif"/>
          <w:b/>
          <w:color w:val="1867A9"/>
          <w:sz w:val="22"/>
        </w:rPr>
      </w:pPr>
      <w:r>
        <w:rPr>
          <w:rFonts w:ascii="Calibri;sans-serif" w:hAnsi="Calibri;sans-serif"/>
          <w:b/>
          <w:color w:val="1867A9"/>
          <w:sz w:val="22"/>
        </w:rPr>
        <w:t>NONPUBLIC INFORMATION</w:t>
      </w:r>
    </w:p>
    <w:p>
      <w:pPr>
        <w:pStyle w:val="TextBody"/>
        <w:bidi w:val="0"/>
        <w:spacing w:before="240" w:after="283"/>
        <w:jc w:val="left"/>
        <w:rPr>
          <w:rFonts w:ascii="Times New Roman" w:hAnsi="Times New Roman"/>
          <w:sz w:val="20"/>
        </w:rPr>
      </w:pPr>
      <w:r>
        <w:rPr>
          <w:rFonts w:ascii="Calibri;sans-serif" w:hAnsi="Calibri;sans-serif"/>
          <w:color w:val="000000"/>
          <w:sz w:val="22"/>
        </w:rPr>
        <w:t>Material information is “nonpublic” if it has not been disseminated in a manner making it available to investors generally. To show that information is public, it is necessary to point to some fact that establishes that the information has become publicly available, such as the filing of a report with the Securities and Exchange Commission (“</w:t>
      </w:r>
      <w:r>
        <w:rPr>
          <w:rFonts w:ascii="Calibri;sans-serif" w:hAnsi="Calibri;sans-serif"/>
          <w:b/>
          <w:color w:val="000000"/>
          <w:sz w:val="22"/>
        </w:rPr>
        <w:t>SEC</w:t>
      </w:r>
      <w:r>
        <w:rPr>
          <w:rFonts w:ascii="Times New Roman" w:hAnsi="Times New Roman"/>
          <w:color w:val="000000"/>
          <w:sz w:val="20"/>
        </w:rPr>
        <w:t>”</w:t>
      </w:r>
      <w:r>
        <w:rPr>
          <w:rFonts w:ascii="Calibri;sans-serif" w:hAnsi="Calibri;sans-serif"/>
          <w:color w:val="000000"/>
          <w:sz w:val="22"/>
        </w:rPr>
        <w:t>), the distribution of a press release through a widely disseminated news or wire service, or by other means that are reasonably designed to provide broad public access.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Calibri;sans-serif" w:hAnsi="Calibri;sans-serif"/>
          <w:color w:val="000000"/>
          <w:sz w:val="22"/>
        </w:rPr>
        <w:t>Information should only be considered “publicly available” if there has been adequate time for the market as a whole to absorb the information that has been disclosed. For the purposes of this policy, information will be considered public</w:t>
      </w:r>
      <w:r>
        <w:rPr>
          <w:rFonts w:ascii="Times New Roman" w:hAnsi="Times New Roman"/>
          <w:color w:val="000000"/>
          <w:sz w:val="20"/>
        </w:rPr>
        <w:t xml:space="preserve"> </w:t>
      </w:r>
      <w:r>
        <w:rPr>
          <w:rFonts w:ascii="Calibri;sans-serif" w:hAnsi="Calibri;sans-serif"/>
          <w:b/>
          <w:color w:val="000000"/>
          <w:sz w:val="22"/>
        </w:rPr>
        <w:t>after the close of trading on the second full trading day</w:t>
      </w:r>
      <w:r>
        <w:rPr>
          <w:rFonts w:ascii="Times New Roman" w:hAnsi="Times New Roman"/>
          <w:color w:val="000000"/>
          <w:sz w:val="20"/>
        </w:rPr>
        <w:t xml:space="preserve"> </w:t>
      </w:r>
      <w:r>
        <w:rPr>
          <w:rFonts w:ascii="Calibri;sans-serif" w:hAnsi="Calibri;sans-serif"/>
          <w:color w:val="000000"/>
          <w:sz w:val="22"/>
        </w:rPr>
        <w:t>following Assembly Bio’s public release of the information.</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For example, if Assembly Bio announces material information of which you are aware before trading begins on a Tuesday, the first time you can buy or sell Assembly Bio securities is the opening of the market on Thursday. However, if Assembly Bio announces this material information after trading begins on that Tuesday, the first time that you can buy or sell Assembly Bio securities is the opening of the market on Friday.</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There may be a valid corporate purpose for withholding public disclosure of material information at certain times. There may also be occasions where information concerning Assembly Bio is material but may not yet be ready for public disclosure. For example, because of the risk of inaccuracy, premature release of certain information (e.g., clinical data) may be misleading if there has not been adequate opportunity to verify the information. Although Assembly Bio has the legal right to withhold public disclosure in such circumstances, Covered Persons are prohibited by the U.S. federal securities laws and this policy from trading on, or tipping, such information. The scope and timing of public disclosure must be determined in a coordinated and appropriate manner by proper personnel of Assembly Bio in accordance with the Assembly Bio’s Corporate Communications Policy.</w:t>
      </w:r>
    </w:p>
    <w:p>
      <w:pPr>
        <w:pStyle w:val="TextBody"/>
        <w:bidi w:val="0"/>
        <w:spacing w:before="240" w:after="283"/>
        <w:jc w:val="left"/>
        <w:rPr>
          <w:rFonts w:ascii="Calibri;sans-serif" w:hAnsi="Calibri;sans-serif"/>
          <w:b/>
          <w:color w:val="1867A9"/>
          <w:sz w:val="22"/>
        </w:rPr>
      </w:pPr>
      <w:r>
        <w:rPr>
          <w:rFonts w:ascii="Calibri;sans-serif" w:hAnsi="Calibri;sans-serif"/>
          <w:b/>
          <w:color w:val="1867A9"/>
          <w:sz w:val="22"/>
        </w:rPr>
        <w:t>SECURITIES</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Assembly Bio’s “securities” include, but are not limited to, Assembly Bio’s common stock, which is publicly traded, and stock options, restricted stock units (RSUs), warrants, rights, privileges or other derivatives with respect to the common stock. Securities also include preferred stock, certain debt instruments and securities indices. All types of securities are covered by this policy, whether or not they are traded on an exchange, in the over-the-counter market or otherwise.</w:t>
      </w:r>
    </w:p>
    <w:p>
      <w:pPr>
        <w:pStyle w:val="TextBody"/>
        <w:bidi w:val="0"/>
        <w:spacing w:before="240" w:after="283"/>
        <w:jc w:val="left"/>
        <w:rPr>
          <w:rFonts w:ascii="Calibri;sans-serif" w:hAnsi="Calibri;sans-serif"/>
          <w:b/>
          <w:color w:val="FF0000"/>
          <w:sz w:val="22"/>
        </w:rPr>
      </w:pPr>
      <w:r>
        <w:rPr>
          <w:rFonts w:ascii="Calibri;sans-serif" w:hAnsi="Calibri;sans-serif"/>
          <w:b/>
          <w:color w:val="FF0000"/>
          <w:sz w:val="22"/>
        </w:rPr>
        <w:t>POLICY</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For purposes of the following policy statements and procedures, transactions by a Covered Person shall include any purchase or sale of a security, directly or indirectly, (a) by or at the direction of a Covered Person, (b) by or at the direction of a relative who resides with the Covered Person, (c) by any person or entity over which the Covered Person has or shares voting or investment influence or control, whether the trade is for the benefit of the Covered Person or another person, or (d) by the Covered Person or such relative or controlled person at any time within the period ending the later of (a) three months and (b) when the Covered Person is no longer in possession of material nonpublic information, in each case, after his or her employment or affiliation with Assembly Bio ends.</w:t>
      </w:r>
    </w:p>
    <w:p>
      <w:pPr>
        <w:pStyle w:val="TextBody"/>
        <w:bidi w:val="0"/>
        <w:spacing w:before="240" w:after="283"/>
        <w:jc w:val="left"/>
        <w:rPr>
          <w:rFonts w:ascii="Times New Roman" w:hAnsi="Times New Roman"/>
          <w:sz w:val="20"/>
        </w:rPr>
      </w:pPr>
      <w:r>
        <w:rPr>
          <w:rFonts w:ascii="Calibri;sans-serif" w:hAnsi="Calibri;sans-serif"/>
          <w:color w:val="000000"/>
          <w:sz w:val="22"/>
        </w:rPr>
        <w:t>For purposes of the following statements and procedures, “</w:t>
      </w:r>
      <w:r>
        <w:rPr>
          <w:rFonts w:ascii="Calibri;sans-serif" w:hAnsi="Calibri;sans-serif"/>
          <w:b/>
          <w:color w:val="000000"/>
          <w:sz w:val="22"/>
        </w:rPr>
        <w:t>Insiders</w:t>
      </w:r>
      <w:r>
        <w:rPr>
          <w:rFonts w:ascii="Times New Roman" w:hAnsi="Times New Roman"/>
          <w:color w:val="000000"/>
          <w:sz w:val="20"/>
        </w:rPr>
        <w:t xml:space="preserve">” </w:t>
      </w:r>
      <w:r>
        <w:rPr>
          <w:rFonts w:ascii="Calibri;sans-serif" w:hAnsi="Calibri;sans-serif"/>
          <w:color w:val="000000"/>
          <w:sz w:val="22"/>
        </w:rPr>
        <w:t>are (1) members of the Assembly Bio Board of Directors; (b) employees with a title of Senior Vice President or higher; and (c) certain other Assembly Bio employees who are designated as Insiders by the Insider Trading Compliance Team (as defined below).</w:t>
      </w:r>
      <w:r>
        <w:rPr>
          <w:rFonts w:ascii="Times New Roman" w:hAnsi="Times New Roman"/>
          <w:color w:val="000000"/>
          <w:sz w:val="20"/>
        </w:rPr>
        <w:t xml:space="preserve"> </w:t>
      </w:r>
    </w:p>
    <w:p>
      <w:pPr>
        <w:pStyle w:val="TextBody"/>
        <w:bidi w:val="0"/>
        <w:spacing w:before="240" w:after="283"/>
        <w:jc w:val="left"/>
        <w:rPr>
          <w:rFonts w:ascii="Calibri" w:hAnsi="Calibri"/>
          <w:color w:val="010000"/>
          <w:sz w:val="22"/>
        </w:rPr>
      </w:pPr>
      <w:r>
        <w:rPr>
          <w:rFonts w:ascii="Calibri" w:hAnsi="Calibri"/>
          <w:color w:val="010000"/>
          <w:sz w:val="22"/>
        </w:rPr>
        <w:t>1.</w:t>
      </w:r>
    </w:p>
    <w:p>
      <w:pPr>
        <w:pStyle w:val="TextBody"/>
        <w:bidi w:val="0"/>
        <w:spacing w:before="240" w:after="283"/>
        <w:jc w:val="left"/>
        <w:rPr/>
      </w:pPr>
      <w:r>
        <w:rPr>
          <w:rFonts w:ascii="Calibri;sans-serif" w:hAnsi="Calibri;sans-serif"/>
          <w:color w:val="000000"/>
          <w:sz w:val="22"/>
          <w:u w:val="single"/>
        </w:rPr>
        <w:t>General:</w:t>
      </w:r>
      <w:r>
        <w:rPr>
          <w:color w:val="000000"/>
        </w:rPr>
        <w:t xml:space="preserve"> </w:t>
      </w:r>
      <w:r>
        <w:rPr>
          <w:rFonts w:ascii="Calibri;sans-serif" w:hAnsi="Calibri;sans-serif"/>
          <w:color w:val="000000"/>
          <w:sz w:val="22"/>
        </w:rPr>
        <w:t>No Covered Person possessing material nonpublic information concerning Assembly Bio or any publicly held company with which Assembly Bio does business may trade (i.e., buy or sell) securities of either Assembly Bio or such other company until the information has been made publicly available and, to the extent applicable, the trade has been pre-cleared as required by this policy.</w:t>
      </w:r>
    </w:p>
    <w:p>
      <w:pPr>
        <w:pStyle w:val="TextBody"/>
        <w:bidi w:val="0"/>
        <w:spacing w:before="240" w:after="283"/>
        <w:jc w:val="left"/>
        <w:rPr>
          <w:rFonts w:ascii="Calibri" w:hAnsi="Calibri"/>
          <w:color w:val="010000"/>
          <w:sz w:val="22"/>
        </w:rPr>
      </w:pPr>
      <w:r>
        <w:rPr>
          <w:rFonts w:ascii="Calibri" w:hAnsi="Calibri"/>
          <w:color w:val="010000"/>
          <w:sz w:val="22"/>
        </w:rPr>
        <w:t>2.</w:t>
      </w:r>
    </w:p>
    <w:p>
      <w:pPr>
        <w:pStyle w:val="TextBody"/>
        <w:bidi w:val="0"/>
        <w:spacing w:before="240" w:after="283"/>
        <w:jc w:val="left"/>
        <w:rPr/>
      </w:pPr>
      <w:r>
        <w:rPr>
          <w:rFonts w:ascii="Calibri;sans-serif" w:hAnsi="Calibri;sans-serif"/>
          <w:color w:val="000000"/>
          <w:sz w:val="22"/>
          <w:u w:val="single"/>
        </w:rPr>
        <w:t>Blackout Periods:</w:t>
      </w:r>
      <w:r>
        <w:rPr>
          <w:color w:val="000000"/>
        </w:rPr>
        <w:t xml:space="preserve"> </w:t>
      </w:r>
      <w:r>
        <w:rPr>
          <w:rFonts w:ascii="Calibri;sans-serif" w:hAnsi="Calibri;sans-serif"/>
          <w:color w:val="000000"/>
          <w:sz w:val="22"/>
        </w:rPr>
        <w:t>No Insider may purchase, sell or otherwise transfer any Assembly Bio securities during a Quarterly Blackout Period (as defined below), and no Covered persons may purchase, sell or otherwise transfer any Assembly Bio securities during a Special Blackout Period.</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Calibri;sans-serif" w:hAnsi="Calibri;sans-serif"/>
          <w:i/>
          <w:color w:val="000000"/>
          <w:sz w:val="22"/>
        </w:rPr>
        <w:t>Quarterly Blackout Period.</w:t>
      </w:r>
      <w:r>
        <w:rPr>
          <w:color w:val="000000"/>
        </w:rPr>
        <w:t xml:space="preserve"> </w:t>
      </w:r>
      <w:r>
        <w:rPr>
          <w:rFonts w:ascii="Calibri;sans-serif" w:hAnsi="Calibri;sans-serif"/>
          <w:color w:val="000000"/>
          <w:sz w:val="22"/>
        </w:rPr>
        <w:t>The period begins on the close of business on the last trading day of each fiscal quarter and ends following the second trading day after Assembly Bio’s results of operations for the quarter have been publicly disclosed.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 xml:space="preserve">If an Insider ceases to be an Insider during a Quarterly or Special Blackout Period, the applicable Blackout will continue to apply until its expiration, and such person will not be subject to any subsequent Blackouts but will remain bound by this policy for a period of the later of (a) three months and (b) when the Covered Person is no longer in possession of material nonpublic information, in each case, after his or her employment or affiliation with Assembly Bio ends.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Calibri;sans-serif" w:hAnsi="Calibri;sans-serif"/>
          <w:i/>
          <w:color w:val="000000"/>
          <w:sz w:val="22"/>
        </w:rPr>
        <w:t>Special Blackout Period.</w:t>
      </w:r>
      <w:r>
        <w:rPr>
          <w:color w:val="000000"/>
        </w:rPr>
        <w:t xml:space="preserve"> </w:t>
      </w:r>
      <w:r>
        <w:rPr>
          <w:rFonts w:ascii="Calibri;sans-serif" w:hAnsi="Calibri;sans-serif"/>
          <w:color w:val="000000"/>
          <w:sz w:val="22"/>
        </w:rPr>
        <w:t xml:space="preserve">Other events may result in the establishment of Special Blackout Periods during which trades in Assembly Bio’s securities by specified individuals are prohibited. The reason for a Special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Calibri;sans-serif" w:hAnsi="Calibri;sans-serif"/>
          <w:color w:val="000000"/>
          <w:sz w:val="22"/>
        </w:rPr>
        <w:t>Blackout Period may not be disclosed, and any person made aware of the existence of a Special Blackout Period should not disclose the existence of the Special Blackout Period to any other person.</w:t>
      </w:r>
      <w:r>
        <w:rPr>
          <w:color w:val="000000"/>
        </w:rPr>
        <w:t xml:space="preserve">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The failure of the Insider Trading Compliance Team to designate a person as being subject to a Special Blackout Period will not relieve that person of their obligation to avoid trading while aware of material nonpublic information.</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Calibri;sans-serif" w:hAnsi="Calibri;sans-serif"/>
          <w:i/>
          <w:color w:val="000000"/>
          <w:sz w:val="22"/>
        </w:rPr>
        <w:t>No Safe Harbor</w:t>
      </w:r>
      <w:r>
        <w:rPr>
          <w:rFonts w:ascii="Calibri;sans-serif" w:hAnsi="Calibri;sans-serif"/>
          <w:color w:val="000000"/>
          <w:sz w:val="22"/>
        </w:rPr>
        <w:t>. Even if a Covered Person is not subject to a blackout, he or she must still obey all applicable securities laws. Compliance with this policy is not intended to, and does not, constitute a “safe harbor” from securities laws.</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Calibri;sans-serif" w:hAnsi="Calibri;sans-serif"/>
          <w:i/>
          <w:color w:val="000000"/>
          <w:sz w:val="22"/>
        </w:rPr>
        <w:t>Exceptions.</w:t>
      </w:r>
      <w:r>
        <w:rPr>
          <w:color w:val="000000"/>
        </w:rPr>
        <w:t xml:space="preserve"> </w:t>
      </w:r>
      <w:r>
        <w:rPr>
          <w:rFonts w:ascii="Calibri;sans-serif" w:hAnsi="Calibri;sans-serif"/>
          <w:color w:val="000000"/>
          <w:sz w:val="22"/>
        </w:rPr>
        <w:t>Only the following transactions may be made during a Blackout Period: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pPr>
      <w:r>
        <w:rPr>
          <w:rFonts w:ascii="Calibri;sans-serif" w:hAnsi="Calibri;sans-serif"/>
          <w:color w:val="000000"/>
          <w:sz w:val="22"/>
        </w:rPr>
        <w:t xml:space="preserve">Cash </w:t>
      </w:r>
      <w:r>
        <w:rPr>
          <w:rFonts w:ascii="Calibri;sans-serif" w:hAnsi="Calibri;sans-serif"/>
          <w:b/>
          <w:color w:val="000000"/>
          <w:sz w:val="22"/>
        </w:rPr>
        <w:t>exercises</w:t>
      </w:r>
      <w:r>
        <w:rPr>
          <w:color w:val="000000"/>
        </w:rPr>
        <w:t xml:space="preserve"> </w:t>
      </w:r>
      <w:r>
        <w:rPr>
          <w:rFonts w:ascii="Calibri;sans-serif" w:hAnsi="Calibri;sans-serif"/>
          <w:color w:val="000000"/>
          <w:sz w:val="22"/>
        </w:rPr>
        <w:t>of stock options;</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pPr>
      <w:r>
        <w:rPr>
          <w:rFonts w:ascii="Calibri;sans-serif" w:hAnsi="Calibri;sans-serif"/>
          <w:b/>
          <w:color w:val="000000"/>
          <w:sz w:val="22"/>
        </w:rPr>
        <w:t>Purchases</w:t>
      </w:r>
      <w:r>
        <w:rPr>
          <w:color w:val="000000"/>
        </w:rPr>
        <w:t xml:space="preserve"> </w:t>
      </w:r>
      <w:r>
        <w:rPr>
          <w:rFonts w:ascii="Calibri;sans-serif" w:hAnsi="Calibri;sans-serif"/>
          <w:color w:val="000000"/>
          <w:sz w:val="22"/>
        </w:rPr>
        <w:t>of common stock through Assembly Bio’s Employee Stock Purchase Plan;</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pPr>
      <w:r>
        <w:rPr>
          <w:rFonts w:ascii="Calibri;sans-serif" w:hAnsi="Calibri;sans-serif"/>
          <w:color w:val="000000"/>
          <w:sz w:val="22"/>
        </w:rPr>
        <w:t xml:space="preserve">Gifting of shares </w:t>
      </w:r>
      <w:r>
        <w:rPr>
          <w:rFonts w:ascii="Calibri;sans-serif" w:hAnsi="Calibri;sans-serif"/>
          <w:b/>
          <w:color w:val="000000"/>
          <w:sz w:val="22"/>
        </w:rPr>
        <w:t>if the instruction or commitment was made outside the Blackout Period</w:t>
      </w:r>
      <w:r>
        <w:rPr>
          <w:rFonts w:ascii="Calibri;sans-serif" w:hAnsi="Calibri;sans-serif"/>
          <w:color w:val="000000"/>
          <w:sz w:val="22"/>
        </w:rPr>
        <w:t xml:space="preserve">;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pPr>
      <w:r>
        <w:rPr>
          <w:rFonts w:ascii="Calibri;sans-serif" w:hAnsi="Calibri;sans-serif"/>
          <w:color w:val="000000"/>
          <w:sz w:val="22"/>
        </w:rPr>
        <w:t xml:space="preserve">Sales of common stock </w:t>
      </w:r>
      <w:r>
        <w:rPr>
          <w:rFonts w:ascii="Calibri;sans-serif" w:hAnsi="Calibri;sans-serif"/>
          <w:b/>
          <w:color w:val="000000"/>
          <w:sz w:val="22"/>
        </w:rPr>
        <w:t xml:space="preserve">to cover taxes incurred upon vesting or settlement of RSUs, whether such RSUs are time-based or performance-based, </w:t>
      </w:r>
      <w:r>
        <w:rPr>
          <w:rFonts w:ascii="Calibri;sans-serif" w:hAnsi="Calibri;sans-serif"/>
          <w:color w:val="000000"/>
          <w:sz w:val="22"/>
        </w:rPr>
        <w:t>pursuant to the administrative rule adopted by the Compensation Committee of the Assembly Bio Board of Directors on February 1, 2023; and</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o</w:t>
      </w:r>
    </w:p>
    <w:p>
      <w:pPr>
        <w:pStyle w:val="TextBody"/>
        <w:bidi w:val="0"/>
        <w:spacing w:before="120" w:after="283"/>
        <w:jc w:val="left"/>
        <w:rPr/>
      </w:pPr>
      <w:r>
        <w:rPr>
          <w:rFonts w:ascii="Calibri;sans-serif" w:hAnsi="Calibri;sans-serif"/>
          <w:color w:val="000000"/>
          <w:sz w:val="22"/>
        </w:rPr>
        <w:t xml:space="preserve">Transactions </w:t>
      </w:r>
      <w:r>
        <w:rPr>
          <w:rFonts w:ascii="Calibri;sans-serif" w:hAnsi="Calibri;sans-serif"/>
          <w:b/>
          <w:color w:val="000000"/>
          <w:sz w:val="22"/>
        </w:rPr>
        <w:t>pursuant to a Rule 10b5-1 trading plan that has been pre-cleared by the Assembly Bio’s General Counsel</w:t>
      </w:r>
      <w:r>
        <w:rPr>
          <w:color w:val="000000"/>
        </w:rPr>
        <w:t xml:space="preserve"> </w:t>
      </w:r>
      <w:r>
        <w:rPr>
          <w:rFonts w:ascii="Calibri;sans-serif" w:hAnsi="Calibri;sans-serif"/>
          <w:color w:val="000000"/>
          <w:sz w:val="22"/>
        </w:rPr>
        <w:t xml:space="preserve">and entered into (1) during a trading window (2) when the Covered Person did not possess material nonpublic information. </w:t>
      </w:r>
    </w:p>
    <w:p>
      <w:pPr>
        <w:pStyle w:val="TextBody"/>
        <w:bidi w:val="0"/>
        <w:spacing w:before="240" w:after="283"/>
        <w:jc w:val="left"/>
        <w:rPr>
          <w:rFonts w:ascii="Calibri" w:hAnsi="Calibri"/>
          <w:color w:val="010000"/>
          <w:sz w:val="22"/>
        </w:rPr>
      </w:pPr>
      <w:r>
        <w:rPr>
          <w:rFonts w:ascii="Calibri" w:hAnsi="Calibri"/>
          <w:color w:val="010000"/>
          <w:sz w:val="22"/>
        </w:rPr>
        <w:t>3.</w:t>
      </w:r>
    </w:p>
    <w:p>
      <w:pPr>
        <w:pStyle w:val="TextBody"/>
        <w:bidi w:val="0"/>
        <w:spacing w:before="240" w:after="283"/>
        <w:jc w:val="left"/>
        <w:rPr/>
      </w:pPr>
      <w:r>
        <w:rPr>
          <w:rFonts w:ascii="Calibri;sans-serif" w:hAnsi="Calibri;sans-serif"/>
          <w:color w:val="000000"/>
          <w:sz w:val="22"/>
          <w:u w:val="single"/>
        </w:rPr>
        <w:t>Pre-Clearance:</w:t>
      </w:r>
      <w:r>
        <w:rPr>
          <w:color w:val="000000"/>
        </w:rPr>
        <w:t xml:space="preserve"> </w:t>
      </w:r>
      <w:r>
        <w:rPr>
          <w:rFonts w:ascii="Calibri;sans-serif" w:hAnsi="Calibri;sans-serif"/>
          <w:color w:val="000000"/>
          <w:sz w:val="22"/>
        </w:rPr>
        <w:t>Insiders and relatives sharing the same home with the Insider or persons or entities over which such Insider has or shares voting or investment influence or control (each a “</w:t>
      </w:r>
      <w:r>
        <w:rPr>
          <w:rFonts w:ascii="Calibri;sans-serif" w:hAnsi="Calibri;sans-serif"/>
          <w:b/>
          <w:color w:val="000000"/>
          <w:sz w:val="22"/>
        </w:rPr>
        <w:t>Restricted Person</w:t>
      </w:r>
      <w:r>
        <w:rPr>
          <w:color w:val="000000"/>
        </w:rPr>
        <w:t>”</w:t>
      </w:r>
      <w:r>
        <w:rPr>
          <w:rFonts w:ascii="Calibri;sans-serif" w:hAnsi="Calibri;sans-serif"/>
          <w:color w:val="000000"/>
          <w:sz w:val="22"/>
        </w:rPr>
        <w:t>) may not trade any Assembly Bio securities without receiving pre-clearance from the Insider Trading Compliance Team, including approval of the transaction and amount of securities involved in the proposed trade.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Calibri;sans-serif" w:hAnsi="Calibri;sans-serif"/>
          <w:color w:val="000000"/>
          <w:sz w:val="22"/>
        </w:rPr>
        <w:t xml:space="preserve">Pre-clearance enables the Insider Trading Compliance Team to determine whether circumstances exist that could subject a Restricted Person to a charge of trading on material nonpublic information. Restricted Persons must realize that, as a condition of their employment, Assembly Bio may prohibit trading in its securities by Restricted Persons for any reason. Restricted Persons must also realize that </w:t>
      </w:r>
      <w:r>
        <w:rPr>
          <w:rFonts w:ascii="Calibri;sans-serif" w:hAnsi="Calibri;sans-serif"/>
          <w:b/>
          <w:color w:val="000000"/>
          <w:sz w:val="22"/>
        </w:rPr>
        <w:t>pre-clearance is not legal advice and is not a defense against liability for insider trading.</w:t>
      </w:r>
      <w:r>
        <w:rPr>
          <w:color w:val="000000"/>
        </w:rPr>
        <w:t xml:space="preserve"> </w:t>
      </w:r>
      <w:r>
        <w:rPr>
          <w:rFonts w:ascii="Calibri;sans-serif" w:hAnsi="Calibri;sans-serif"/>
          <w:color w:val="000000"/>
          <w:sz w:val="22"/>
        </w:rPr>
        <w:t>It is the Restricted Person’s responsibility to determine whether he or she possesses material nonpublic information.</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Restricted Persons ceasing to be a Restricted Person will no longer be subject to the pre-clearance requirement, but will remain bound by this policy for a period of the later of (a) three months and (b) when the Covered Person is no longer in possession of material nonpublic information, in each case, after his or her employment or affiliation with Assembly Bio ends.</w:t>
      </w:r>
    </w:p>
    <w:p>
      <w:pPr>
        <w:pStyle w:val="TextBody"/>
        <w:bidi w:val="0"/>
        <w:spacing w:before="240" w:after="283"/>
        <w:jc w:val="left"/>
        <w:rPr>
          <w:rFonts w:ascii="Calibri" w:hAnsi="Calibri"/>
          <w:color w:val="010000"/>
          <w:sz w:val="22"/>
        </w:rPr>
      </w:pPr>
      <w:r>
        <w:rPr>
          <w:rFonts w:ascii="Calibri" w:hAnsi="Calibri"/>
          <w:color w:val="010000"/>
          <w:sz w:val="22"/>
        </w:rPr>
        <w:t>4.</w:t>
      </w:r>
    </w:p>
    <w:p>
      <w:pPr>
        <w:pStyle w:val="TextBody"/>
        <w:bidi w:val="0"/>
        <w:spacing w:before="240" w:after="283"/>
        <w:jc w:val="left"/>
        <w:rPr/>
      </w:pPr>
      <w:r>
        <w:rPr>
          <w:rFonts w:ascii="Calibri;sans-serif" w:hAnsi="Calibri;sans-serif"/>
          <w:color w:val="000000"/>
          <w:sz w:val="22"/>
          <w:u w:val="single"/>
        </w:rPr>
        <w:t>Tipping:</w:t>
      </w:r>
      <w:r>
        <w:rPr>
          <w:color w:val="000000"/>
        </w:rPr>
        <w:t xml:space="preserve"> </w:t>
      </w:r>
      <w:r>
        <w:rPr>
          <w:rFonts w:ascii="Calibri;sans-serif" w:hAnsi="Calibri;sans-serif"/>
          <w:color w:val="000000"/>
          <w:sz w:val="22"/>
        </w:rPr>
        <w:t>No Covered Person may provide material nonpublic information concerning Assembly Bio or any publicly held company that Assembly Bio does business with to anyone (“tipping”) prior to public disclosure of the applicable material nonpublic information.</w:t>
      </w:r>
    </w:p>
    <w:p>
      <w:pPr>
        <w:pStyle w:val="TextBody"/>
        <w:bidi w:val="0"/>
        <w:spacing w:before="240" w:after="283"/>
        <w:jc w:val="left"/>
        <w:rPr>
          <w:rFonts w:ascii="Calibri" w:hAnsi="Calibri"/>
          <w:color w:val="010000"/>
          <w:sz w:val="22"/>
        </w:rPr>
      </w:pPr>
      <w:r>
        <w:rPr>
          <w:rFonts w:ascii="Calibri" w:hAnsi="Calibri"/>
          <w:color w:val="010000"/>
          <w:sz w:val="22"/>
        </w:rPr>
        <w:t>5.</w:t>
      </w:r>
    </w:p>
    <w:p>
      <w:pPr>
        <w:pStyle w:val="TextBody"/>
        <w:bidi w:val="0"/>
        <w:spacing w:before="240" w:after="283"/>
        <w:jc w:val="left"/>
        <w:rPr/>
      </w:pPr>
      <w:r>
        <w:rPr>
          <w:rFonts w:ascii="Calibri;sans-serif" w:hAnsi="Calibri;sans-serif"/>
          <w:color w:val="000000"/>
          <w:sz w:val="22"/>
          <w:u w:val="single"/>
        </w:rPr>
        <w:t>Advice:</w:t>
      </w:r>
      <w:r>
        <w:rPr>
          <w:color w:val="000000"/>
        </w:rPr>
        <w:t xml:space="preserve"> </w:t>
      </w:r>
      <w:r>
        <w:rPr>
          <w:rFonts w:ascii="Calibri;sans-serif" w:hAnsi="Calibri;sans-serif"/>
          <w:color w:val="000000"/>
          <w:sz w:val="22"/>
        </w:rPr>
        <w:t>No Covered Person may advise any other person regarding Assembly Bio securities or any publicly held company that Assembly Bio does business with while he or she possesses material nonpublic information about either company.</w:t>
      </w:r>
    </w:p>
    <w:p>
      <w:pPr>
        <w:pStyle w:val="TextBody"/>
        <w:bidi w:val="0"/>
        <w:spacing w:before="240" w:after="283"/>
        <w:jc w:val="left"/>
        <w:rPr>
          <w:rFonts w:ascii="Calibri" w:hAnsi="Calibri"/>
          <w:color w:val="010000"/>
          <w:sz w:val="22"/>
        </w:rPr>
      </w:pPr>
      <w:r>
        <w:rPr>
          <w:rFonts w:ascii="Calibri" w:hAnsi="Calibri"/>
          <w:color w:val="010000"/>
          <w:sz w:val="22"/>
        </w:rPr>
        <w:t>6.</w:t>
      </w:r>
    </w:p>
    <w:p>
      <w:pPr>
        <w:pStyle w:val="TextBody"/>
        <w:bidi w:val="0"/>
        <w:spacing w:before="240" w:after="283"/>
        <w:jc w:val="left"/>
        <w:rPr/>
      </w:pPr>
      <w:r>
        <w:rPr>
          <w:rFonts w:ascii="Calibri;sans-serif" w:hAnsi="Calibri;sans-serif"/>
          <w:color w:val="000000"/>
          <w:sz w:val="22"/>
          <w:u w:val="single"/>
        </w:rPr>
        <w:t>Reporting.</w:t>
      </w:r>
      <w:r>
        <w:rPr>
          <w:color w:val="000000"/>
        </w:rPr>
        <w:t xml:space="preserve"> </w:t>
      </w:r>
      <w:r>
        <w:rPr>
          <w:rFonts w:ascii="Calibri;sans-serif" w:hAnsi="Calibri;sans-serif"/>
          <w:color w:val="000000"/>
          <w:sz w:val="22"/>
        </w:rPr>
        <w:t>Covered Persons who become aware that any other Covered Person is violating or is about to violate this policy, must immediately report the violation or potential violation to the Chief Legal and Business Officer.</w:t>
      </w:r>
    </w:p>
    <w:p>
      <w:pPr>
        <w:pStyle w:val="TextBody"/>
        <w:bidi w:val="0"/>
        <w:spacing w:before="240" w:after="283"/>
        <w:jc w:val="left"/>
        <w:rPr>
          <w:rFonts w:ascii="Calibri;sans-serif" w:hAnsi="Calibri;sans-serif"/>
          <w:b/>
          <w:color w:val="FF0000"/>
          <w:sz w:val="22"/>
        </w:rPr>
      </w:pPr>
      <w:r>
        <w:rPr>
          <w:rFonts w:ascii="Calibri;sans-serif" w:hAnsi="Calibri;sans-serif"/>
          <w:b/>
          <w:color w:val="FF0000"/>
          <w:sz w:val="22"/>
        </w:rPr>
        <w:t>PRE-CLEARANCE PROCEDURE</w:t>
      </w:r>
    </w:p>
    <w:p>
      <w:pPr>
        <w:pStyle w:val="TextBody"/>
        <w:bidi w:val="0"/>
        <w:spacing w:before="240" w:after="283"/>
        <w:jc w:val="left"/>
        <w:rPr>
          <w:rFonts w:ascii="Times New Roman" w:hAnsi="Times New Roman"/>
          <w:sz w:val="20"/>
        </w:rPr>
      </w:pPr>
      <w:r>
        <w:rPr>
          <w:rFonts w:ascii="Calibri;sans-serif" w:hAnsi="Calibri;sans-serif"/>
          <w:color w:val="000000"/>
          <w:sz w:val="22"/>
        </w:rPr>
        <w:t xml:space="preserve">The “Insider Trading Compliance Team” is comprised of Assembly Bio’s Chief Executive Officer and General Counsel and is charged with implementing the pre-clearance procedure applicable to Restricted Persons. The Insider Trading Compliance Team can be reached at </w:t>
      </w:r>
      <w:r>
        <w:rPr>
          <w:rFonts w:ascii="Calibri;sans-serif" w:hAnsi="Calibri;sans-serif"/>
          <w:sz w:val="22"/>
        </w:rPr>
        <w:t>trading@assemblybio.com</w:t>
      </w:r>
      <w:r>
        <w:rPr>
          <w:rFonts w:ascii="Calibri;sans-serif" w:hAnsi="Calibri;sans-serif"/>
          <w:color w:val="000000"/>
          <w:sz w:val="22"/>
        </w:rPr>
        <w:t>.</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All Restricted Persons must seek approval of the Insider Trading Compliance team prior to engaging in a transaction in Assembly Bio’s securities, including providing the number of shares or options proposed to be traded. For the sake of clarity, Restricted Persons must also seek pre-clearance of transactions in Assembly Bio’s securities by persons or entities over which they have or share voting or investment influence or control or relatives who live with them. Pre-clearance is not required in connection with sales of common stock to cover taxes incurred upon vesting or settlement of RSUs.</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Restricted Persons may not trade in Assembly Bio securities until: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Calibri;sans-serif" w:hAnsi="Calibri;sans-serif"/>
          <w:color w:val="000000"/>
          <w:sz w:val="22"/>
        </w:rPr>
        <w:t>The Restricted Person has notified the Insider Trading Compliance Team of the amount and nature of the proposed trade(s). To provide adequate time for the preparation of any required reports under Section 16 of the Securities Exchange Act of 1934, as amended (the “</w:t>
      </w:r>
      <w:r>
        <w:rPr>
          <w:rFonts w:ascii="Calibri;sans-serif" w:hAnsi="Calibri;sans-serif"/>
          <w:b/>
          <w:color w:val="000000"/>
          <w:sz w:val="22"/>
        </w:rPr>
        <w:t>Exchange Act</w:t>
      </w:r>
      <w:r>
        <w:rPr>
          <w:color w:val="000000"/>
        </w:rPr>
        <w:t>”</w:t>
      </w:r>
      <w:r>
        <w:rPr>
          <w:rFonts w:ascii="Calibri;sans-serif" w:hAnsi="Calibri;sans-serif"/>
          <w:color w:val="000000"/>
          <w:sz w:val="22"/>
        </w:rPr>
        <w:t xml:space="preserve">), a pre-clearance request should, if practicable, be received by the Insider Trading Compliance Team at least </w:t>
      </w:r>
      <w:r>
        <w:rPr>
          <w:rFonts w:ascii="Calibri;sans-serif" w:hAnsi="Calibri;sans-serif"/>
          <w:b/>
          <w:color w:val="000000"/>
          <w:sz w:val="22"/>
        </w:rPr>
        <w:t>two business days</w:t>
      </w:r>
      <w:r>
        <w:rPr>
          <w:color w:val="000000"/>
        </w:rPr>
        <w:t xml:space="preserve"> </w:t>
      </w:r>
      <w:r>
        <w:rPr>
          <w:rFonts w:ascii="Calibri;sans-serif" w:hAnsi="Calibri;sans-serif"/>
          <w:color w:val="000000"/>
          <w:sz w:val="22"/>
        </w:rPr>
        <w:t>prior to the intended trade date;</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Calibri;sans-serif" w:hAnsi="Calibri;sans-serif"/>
          <w:color w:val="000000"/>
          <w:sz w:val="22"/>
        </w:rPr>
        <w:t xml:space="preserve">The Restricted Person has informed the Insider Trading Compliance Team whether, to the Restricted Person’s best knowledge, the Restricted Person has (or is deemed to have) engaged in any opposite way transactions within the previous </w:t>
      </w:r>
      <w:r>
        <w:rPr>
          <w:rFonts w:ascii="Calibri;sans-serif" w:hAnsi="Calibri;sans-serif"/>
          <w:b/>
          <w:color w:val="000000"/>
          <w:sz w:val="22"/>
        </w:rPr>
        <w:t>six months</w:t>
      </w:r>
      <w:r>
        <w:rPr>
          <w:color w:val="000000"/>
        </w:rPr>
        <w:t xml:space="preserve"> </w:t>
      </w:r>
      <w:r>
        <w:rPr>
          <w:rFonts w:ascii="Calibri;sans-serif" w:hAnsi="Calibri;sans-serif"/>
          <w:color w:val="000000"/>
          <w:sz w:val="22"/>
        </w:rPr>
        <w:t>that were not exempt from Section 16(b) of the Exchange Act; and</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 xml:space="preserve">The Insider Trading Compliance Team has approved the trade(s) and has certified such approval in writing, which may be by email. </w:t>
      </w:r>
    </w:p>
    <w:p>
      <w:pPr>
        <w:pStyle w:val="TextBody"/>
        <w:bidi w:val="0"/>
        <w:spacing w:before="240" w:after="283"/>
        <w:jc w:val="left"/>
        <w:rPr>
          <w:rFonts w:ascii="Calibri;sans-serif" w:hAnsi="Calibri;sans-serif"/>
          <w:b/>
          <w:color w:val="000000"/>
          <w:sz w:val="22"/>
        </w:rPr>
      </w:pPr>
      <w:r>
        <w:rPr>
          <w:rFonts w:ascii="Calibri;sans-serif" w:hAnsi="Calibri;sans-serif"/>
          <w:b/>
          <w:color w:val="000000"/>
          <w:sz w:val="22"/>
        </w:rPr>
        <w:t>The Insider Trading Compliance Team does not assume the responsibility for, and approval from the Insider Trading Compliance Team does not protect the Insider from, the consequences of prohibited insider trading.</w:t>
      </w:r>
    </w:p>
    <w:p>
      <w:pPr>
        <w:pStyle w:val="TextBody"/>
        <w:bidi w:val="0"/>
        <w:spacing w:before="240" w:after="283"/>
        <w:jc w:val="left"/>
        <w:rPr>
          <w:rFonts w:ascii="Times New Roman" w:hAnsi="Times New Roman"/>
          <w:sz w:val="20"/>
        </w:rPr>
      </w:pPr>
      <w:r>
        <w:rPr>
          <w:rFonts w:ascii="Calibri;sans-serif" w:hAnsi="Calibri;sans-serif"/>
          <w:color w:val="000000"/>
          <w:sz w:val="22"/>
        </w:rPr>
        <w:t xml:space="preserve">Pre-clearance may be sought by contacting the Insider Trading Compliance Team at </w:t>
      </w:r>
      <w:r>
        <w:rPr>
          <w:rFonts w:ascii="Calibri;sans-serif" w:hAnsi="Calibri;sans-serif"/>
          <w:sz w:val="22"/>
        </w:rPr>
        <w:t>trading@assemblybio.com</w:t>
      </w:r>
      <w:r>
        <w:rPr>
          <w:rFonts w:ascii="Calibri;sans-serif" w:hAnsi="Calibri;sans-serif"/>
          <w:color w:val="000000"/>
          <w:sz w:val="22"/>
        </w:rPr>
        <w:t>. A team member will respond as soon as possible but is under no obligation to approve a proposed trade. If pre-clearance is granted, the trade must be consummated within four full trading days following the date specified in the pre-clearance response. Pre-clearance will be automatically revoked upon the start of any Quarterly or Special Blackout Period. Decisions by the Insider Trading Compliance Team should not be disclosed to any other person, as such a decision could be considered material nonpublic information.</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It is the responsibility of all Covered Persons to manage any prearranged trades other than trades under valid Rule 10b5-1 plans to ensure that no prearranged trades are executed during a Blackout Period and, if subject to the pre-clearance procedures, during any trading window for which pre-clearance has not been obtained.</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Other Covered Persons may, but are not required to, ask for pre-clearance prior to engaging in a transaction in Assembly Bio’s securities.</w:t>
      </w:r>
    </w:p>
    <w:p>
      <w:pPr>
        <w:pStyle w:val="TextBody"/>
        <w:bidi w:val="0"/>
        <w:spacing w:before="240" w:after="283"/>
        <w:jc w:val="left"/>
        <w:rPr>
          <w:rFonts w:ascii="Calibri;sans-serif" w:hAnsi="Calibri;sans-serif"/>
          <w:b/>
          <w:color w:val="FF0000"/>
          <w:sz w:val="22"/>
        </w:rPr>
      </w:pPr>
      <w:r>
        <w:rPr>
          <w:rFonts w:ascii="Calibri;sans-serif" w:hAnsi="Calibri;sans-serif"/>
          <w:b/>
          <w:color w:val="FF0000"/>
          <w:sz w:val="22"/>
        </w:rPr>
        <w:t>PENALTIES</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U.S. federal and state laws prohibit the purchase or sale of securities while in possession of material nonpublic information, or the disclosure of material nonpublic information to others who then trade in the securities. The SEC, U.S. Attorneys and state and foreign enforcement authorities vigorously pursue insider trading violations. Punishment for insider trading violations is severe and could include significant fines and imprisonment.</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U.S. federal securities laws also impose potential liability on companies and other "controlling persons" who fail to take appropriate steps to prevent illegal trading. Directors, officers and certain managerial personnel could become controlling persons subject to liability if they knew of, or recklessly disregarded, a likely trading violation by an employee or other personnel under their control.</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In addition, failure to comply with this policy may subject employees to Assembly Bio-imposed disciplinary action, including dismissal or removal for cause, whether or not such failure to comply results in a violation of law, subject to local laws.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Calibri;sans-serif" w:hAnsi="Calibri;sans-serif"/>
          <w:b/>
          <w:color w:val="FF0000"/>
          <w:sz w:val="22"/>
        </w:rPr>
      </w:pPr>
      <w:r>
        <w:rPr>
          <w:rFonts w:ascii="Calibri;sans-serif" w:hAnsi="Calibri;sans-serif"/>
          <w:b/>
          <w:color w:val="FF0000"/>
          <w:sz w:val="22"/>
        </w:rPr>
        <w:t>OTHER PROHIBITED TRANSACTIONS</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There is a heightened legal risk and the appearance of improper or inappropriate conduct if Covered Persons engage in certain types of transactions related to Assembly Bio securities. As a result, Assembly Bio has taken the position that Covered Persons, whether or not in possession of insider information, may not engage in any of the following transactions related to Assembly Bio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Short sales;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Publicly traded options, including put options, call options or other derivative securities;</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Hedging and monetization transactions, including through the use of financial instruments such as prepaid variable forwards, equity swaps, collars and exchange funds; and</w:t>
      </w:r>
    </w:p>
    <w:p>
      <w:pPr>
        <w:pStyle w:val="TextBody"/>
        <w:bidi w:val="0"/>
        <w:spacing w:before="120" w:after="283"/>
        <w:jc w:val="left"/>
        <w:rPr>
          <w:color w:val="000000"/>
        </w:rPr>
      </w:pPr>
      <w:r>
        <w:rPr>
          <w:color w:val="000000"/>
        </w:rPr>
        <w:t>•</w:t>
      </w:r>
    </w:p>
    <w:p>
      <w:pPr>
        <w:pStyle w:val="TextBody"/>
        <w:bidi w:val="0"/>
        <w:spacing w:before="120" w:after="283"/>
        <w:jc w:val="left"/>
        <w:rPr>
          <w:rFonts w:ascii="Calibri;sans-serif" w:hAnsi="Calibri;sans-serif"/>
          <w:color w:val="000000"/>
          <w:sz w:val="22"/>
        </w:rPr>
      </w:pPr>
      <w:r>
        <w:rPr>
          <w:rFonts w:ascii="Calibri;sans-serif" w:hAnsi="Calibri;sans-serif"/>
          <w:color w:val="000000"/>
          <w:sz w:val="22"/>
        </w:rPr>
        <w:t>Margin accounts and pledged securities.</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It is also a violation of law to trade on or tip material nonpublic information concerning other public companies with which Assembly Bio has a current or prospective business relationship, including, without limitation, collaboration partners, lenders, vendors or suppliers. From time to time, Assembly Bio may pursue potential business transactions with other companies and may receive material nonpublic information concerning those companies. Such transactions are conducted under confidentiality agreements. All nonpublic information with respect to other companies with which Assembly Bio has, or proposes to have, a business relationship is fully covered by this policy, because misuse of such information may result in a violation of U.S. federal securities laws.</w:t>
      </w:r>
    </w:p>
    <w:p>
      <w:pPr>
        <w:pStyle w:val="TextBody"/>
        <w:bidi w:val="0"/>
        <w:spacing w:before="240" w:after="283"/>
        <w:jc w:val="left"/>
        <w:rPr>
          <w:rFonts w:ascii="Calibri;sans-serif" w:hAnsi="Calibri;sans-serif"/>
          <w:b/>
          <w:color w:val="FF0000"/>
          <w:sz w:val="22"/>
        </w:rPr>
      </w:pPr>
      <w:r>
        <w:rPr>
          <w:rFonts w:ascii="Calibri;sans-serif" w:hAnsi="Calibri;sans-serif"/>
          <w:b/>
          <w:color w:val="FF0000"/>
          <w:sz w:val="22"/>
        </w:rPr>
        <w:t>GENERAL</w:t>
      </w:r>
    </w:p>
    <w:p>
      <w:pPr>
        <w:pStyle w:val="TextBody"/>
        <w:bidi w:val="0"/>
        <w:spacing w:before="240" w:after="283"/>
        <w:jc w:val="left"/>
        <w:rPr>
          <w:rFonts w:ascii="Calibri;sans-serif" w:hAnsi="Calibri;sans-serif"/>
          <w:b/>
          <w:color w:val="000000"/>
          <w:sz w:val="22"/>
        </w:rPr>
      </w:pPr>
      <w:r>
        <w:rPr>
          <w:rFonts w:ascii="Calibri;sans-serif" w:hAnsi="Calibri;sans-serif"/>
          <w:b/>
          <w:color w:val="000000"/>
          <w:sz w:val="22"/>
        </w:rPr>
        <w:t>ASSEMBLY BIO’S INTERNAL LEGAL TEAM DOES NOT GIVE “LEGAL ADVICE” TO INDIVIDUAL EMPLOYEES.</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Although you may direct any questions you may have regarding this Policy to Assembly Bio’s internal legal team, the team’s client is Assembly Bio and not individual Assembly Bio employees. Employees are not entitled to rely on Assembly Bio’s internal legal team’s reply or any preclearance determination by the Insider Trading Compliance Team as “legal advice” and there will not be any attorney-client privilege covering the conversation with Assembly Bio’s internal legal team from the employee's perspective. Employees should consult with their own advisors, including personal attorneys, regarding trading decisions, but are not permitted to disclose any Assembly Bio confidential information of the Company, including potentially material, non-public financial information, to their advisors without the consent of Assembly Bio’s internal legal team.</w:t>
      </w:r>
    </w:p>
    <w:p>
      <w:pPr>
        <w:pStyle w:val="TextBody"/>
        <w:bidi w:val="0"/>
        <w:spacing w:before="240" w:after="283"/>
        <w:jc w:val="left"/>
        <w:rPr>
          <w:rFonts w:ascii="Times New Roman" w:hAnsi="Times New Roman"/>
          <w:sz w:val="20"/>
        </w:rPr>
      </w:pPr>
      <w:r>
        <w:rPr>
          <w:rFonts w:ascii="Calibri;sans-serif" w:hAnsi="Calibri;sans-serif"/>
          <w:color w:val="000000"/>
          <w:sz w:val="22"/>
        </w:rPr>
        <w:t>The prohibition against trading during a Quarterly Blackout Period or Special Blackout Period does not mean that trading during other periods is necessarily permitted. This policy continues to govern trading on, and disclosure of, material nonpublic information during any trading window.</w:t>
      </w:r>
      <w:r>
        <w:rPr>
          <w:rFonts w:ascii="Times New Roman" w:hAnsi="Times New Roman"/>
          <w:color w:val="000000"/>
          <w:sz w:val="20"/>
        </w:rPr>
        <w:t xml:space="preserve"> </w:t>
      </w:r>
    </w:p>
    <w:p>
      <w:pPr>
        <w:pStyle w:val="TextBody"/>
        <w:bidi w:val="0"/>
        <w:spacing w:before="240" w:after="283"/>
        <w:jc w:val="left"/>
        <w:rPr>
          <w:rFonts w:ascii="Calibri;sans-serif" w:hAnsi="Calibri;sans-serif"/>
          <w:b/>
          <w:color w:val="000000"/>
          <w:sz w:val="22"/>
        </w:rPr>
      </w:pPr>
      <w:r>
        <w:rPr>
          <w:rFonts w:ascii="Calibri;sans-serif" w:hAnsi="Calibri;sans-serif"/>
          <w:b/>
          <w:color w:val="000000"/>
          <w:sz w:val="22"/>
        </w:rPr>
        <w:t>ALL COVERED PERSONS ARE ALWAYS PROHIBITED FROM TRADING ON OR DISCLOSING MATERIAL NONPUBLIC INFORMATION.</w:t>
      </w:r>
    </w:p>
    <w:p>
      <w:pPr>
        <w:pStyle w:val="TextBody"/>
        <w:bidi w:val="0"/>
        <w:spacing w:before="240" w:after="283"/>
        <w:jc w:val="left"/>
        <w:rPr>
          <w:rFonts w:ascii="Calibri;sans-serif" w:hAnsi="Calibri;sans-serif"/>
          <w:color w:val="000000"/>
          <w:sz w:val="22"/>
        </w:rPr>
      </w:pPr>
      <w:r>
        <w:rPr>
          <w:rFonts w:ascii="Calibri;sans-serif" w:hAnsi="Calibri;sans-serif"/>
          <w:color w:val="000000"/>
          <w:sz w:val="22"/>
        </w:rPr>
        <w:t>Adopted by the Board of Directors on March 16, 2023.</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1" w:name="asmb-ex21_1.htm"/>
      <w:bookmarkStart w:id="42" w:name="ksasmbex21_1"/>
      <w:bookmarkEnd w:id="41"/>
      <w:bookmarkEnd w:id="42"/>
      <w:r>
        <w:rPr>
          <w:rFonts w:ascii="Times New Roman" w:hAnsi="Times New Roman"/>
          <w:b/>
          <w:color w:val="000000"/>
          <w:sz w:val="20"/>
        </w:rPr>
        <w:t>Exhibit 21.1</w:t>
      </w:r>
      <w:r>
        <w:br w:type="page"/>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Subsidiaries of Assembly Biosciences, Inc.</w:t>
      </w:r>
    </w:p>
    <w:p>
      <w:pPr>
        <w:pStyle w:val="TextBody"/>
        <w:bidi w:val="0"/>
        <w:jc w:val="both"/>
        <w:rPr/>
      </w:pPr>
      <w:r>
        <w:rPr/>
        <w:t> </w:t>
      </w:r>
    </w:p>
    <w:tbl>
      <w:tblPr>
        <w:tblW w:w="7242" w:type="dxa"/>
        <w:jc w:val="left"/>
        <w:tblInd w:w="0" w:type="dxa"/>
        <w:tblLayout w:type="fixed"/>
        <w:tblCellMar>
          <w:top w:w="28" w:type="dxa"/>
          <w:left w:w="28" w:type="dxa"/>
          <w:bottom w:w="28" w:type="dxa"/>
          <w:right w:w="28" w:type="dxa"/>
        </w:tblCellMar>
      </w:tblPr>
      <w:tblGrid>
        <w:gridCol w:w="3968"/>
        <w:gridCol w:w="146"/>
        <w:gridCol w:w="3128"/>
      </w:tblGrid>
      <w:tr>
        <w:trPr/>
        <w:tc>
          <w:tcPr>
            <w:tcW w:w="3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r>
      <w:tr>
        <w:trPr/>
        <w:tc>
          <w:tcPr>
            <w:tcW w:w="3968"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Subsidiaries</w:t>
            </w:r>
          </w:p>
        </w:tc>
        <w:tc>
          <w:tcPr>
            <w:tcW w:w="146"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28" w:type="dxa"/>
            <w:tcBorders>
              <w:bottom w:val="single" w:sz="6" w:space="0" w:color="000000"/>
            </w:tcBorders>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State or Other Jurisdiction of</w:t>
            </w:r>
          </w:p>
          <w:p>
            <w:pPr>
              <w:pStyle w:val="TableContents"/>
              <w:bidi w:val="0"/>
              <w:spacing w:before="0" w:after="283"/>
              <w:ind w:left="0" w:right="0" w:firstLine="352"/>
              <w:jc w:val="center"/>
              <w:rPr>
                <w:rFonts w:ascii="Times New Roman" w:hAnsi="Times New Roman"/>
                <w:b/>
                <w:color w:val="000000"/>
                <w:sz w:val="20"/>
              </w:rPr>
            </w:pPr>
            <w:r>
              <w:rPr>
                <w:rFonts w:ascii="Times New Roman" w:hAnsi="Times New Roman"/>
                <w:b/>
                <w:color w:val="000000"/>
                <w:sz w:val="20"/>
              </w:rPr>
              <w:t>Incorporation or Organization</w:t>
            </w:r>
          </w:p>
        </w:tc>
      </w:tr>
      <w:tr>
        <w:trPr/>
        <w:tc>
          <w:tcPr>
            <w:tcW w:w="3968" w:type="dxa"/>
            <w:tcBorders/>
            <w:tcMar>
              <w:top w:w="0" w:type="dxa"/>
              <w:left w:w="0" w:type="dxa"/>
              <w:bottom w:w="0" w:type="dxa"/>
              <w:right w:w="0" w:type="dxa"/>
            </w:tcMar>
            <w:vAlign w:val="center"/>
          </w:tcPr>
          <w:p>
            <w:pPr>
              <w:pStyle w:val="TableContents"/>
              <w:bidi w:val="0"/>
              <w:spacing w:before="0" w:after="283"/>
              <w:ind w:left="0" w:right="0" w:firstLine="352"/>
              <w:jc w:val="left"/>
              <w:rPr>
                <w:rFonts w:ascii="Times New Roman" w:hAnsi="Times New Roman"/>
                <w:color w:val="000000"/>
                <w:sz w:val="20"/>
              </w:rPr>
            </w:pPr>
            <w:r>
              <w:rPr>
                <w:rFonts w:ascii="Times New Roman" w:hAnsi="Times New Roman"/>
                <w:color w:val="000000"/>
                <w:sz w:val="20"/>
              </w:rPr>
              <w:t>Assembly Pharmaceuticals, Inc.</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tcBorders/>
            <w:tcMar>
              <w:top w:w="0" w:type="dxa"/>
              <w:left w:w="0" w:type="dxa"/>
              <w:bottom w:w="0" w:type="dxa"/>
              <w:right w:w="0" w:type="dxa"/>
            </w:tcMar>
            <w:vAlign w:val="center"/>
          </w:tcPr>
          <w:p>
            <w:pPr>
              <w:pStyle w:val="TableContents"/>
              <w:bidi w:val="0"/>
              <w:spacing w:before="0" w:after="283"/>
              <w:ind w:left="0" w:right="0" w:firstLine="352"/>
              <w:jc w:val="center"/>
              <w:rPr>
                <w:rFonts w:ascii="Times New Roman" w:hAnsi="Times New Roman"/>
                <w:color w:val="000000"/>
                <w:sz w:val="20"/>
              </w:rPr>
            </w:pPr>
            <w:r>
              <w:rPr>
                <w:rFonts w:ascii="Times New Roman" w:hAnsi="Times New Roman"/>
                <w:color w:val="000000"/>
                <w:sz w:val="20"/>
              </w:rPr>
              <w:t>Delaware</w:t>
            </w:r>
          </w:p>
        </w:tc>
      </w:tr>
      <w:tr>
        <w:trPr/>
        <w:tc>
          <w:tcPr>
            <w:tcW w:w="3968" w:type="dxa"/>
            <w:tcBorders/>
            <w:tcMar>
              <w:top w:w="0" w:type="dxa"/>
              <w:left w:w="0" w:type="dxa"/>
              <w:bottom w:w="0" w:type="dxa"/>
              <w:right w:w="0" w:type="dxa"/>
            </w:tcMar>
            <w:vAlign w:val="center"/>
          </w:tcPr>
          <w:p>
            <w:pPr>
              <w:pStyle w:val="TableContents"/>
              <w:bidi w:val="0"/>
              <w:spacing w:before="0" w:after="283"/>
              <w:ind w:left="0" w:right="0" w:firstLine="352"/>
              <w:jc w:val="left"/>
              <w:rPr>
                <w:rFonts w:ascii="Times New Roman" w:hAnsi="Times New Roman"/>
                <w:color w:val="000000"/>
                <w:sz w:val="20"/>
              </w:rPr>
            </w:pPr>
            <w:r>
              <w:rPr>
                <w:rFonts w:ascii="Times New Roman" w:hAnsi="Times New Roman"/>
                <w:color w:val="000000"/>
                <w:sz w:val="20"/>
              </w:rPr>
              <w:t>Assembly Biosciences Hong Kong Limited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128" w:type="dxa"/>
            <w:tcBorders/>
            <w:tcMar>
              <w:top w:w="0" w:type="dxa"/>
              <w:left w:w="0" w:type="dxa"/>
              <w:bottom w:w="0" w:type="dxa"/>
              <w:right w:w="0" w:type="dxa"/>
            </w:tcMar>
            <w:vAlign w:val="center"/>
          </w:tcPr>
          <w:p>
            <w:pPr>
              <w:pStyle w:val="TableContents"/>
              <w:bidi w:val="0"/>
              <w:spacing w:before="0" w:after="283"/>
              <w:ind w:left="0" w:right="0" w:firstLine="352"/>
              <w:jc w:val="center"/>
              <w:rPr>
                <w:rFonts w:ascii="Times New Roman" w:hAnsi="Times New Roman"/>
                <w:color w:val="000000"/>
                <w:sz w:val="20"/>
              </w:rPr>
            </w:pPr>
            <w:r>
              <w:rPr>
                <w:rFonts w:ascii="Times New Roman" w:hAnsi="Times New Roman"/>
                <w:color w:val="000000"/>
                <w:sz w:val="20"/>
              </w:rPr>
              <w:t>Hong Kong</w:t>
            </w:r>
          </w:p>
        </w:tc>
      </w:tr>
      <w:tr>
        <w:trPr/>
        <w:tc>
          <w:tcPr>
            <w:tcW w:w="3968" w:type="dxa"/>
            <w:tcBorders/>
            <w:tcMar>
              <w:top w:w="0" w:type="dxa"/>
              <w:left w:w="0" w:type="dxa"/>
              <w:bottom w:w="0" w:type="dxa"/>
              <w:right w:w="0" w:type="dxa"/>
            </w:tcMar>
            <w:vAlign w:val="center"/>
          </w:tcPr>
          <w:p>
            <w:pPr>
              <w:pStyle w:val="TableContents"/>
              <w:bidi w:val="0"/>
              <w:spacing w:before="0" w:after="283"/>
              <w:ind w:left="0" w:right="0" w:firstLine="352"/>
              <w:jc w:val="left"/>
              <w:rPr>
                <w:rFonts w:ascii="Times New Roman" w:hAnsi="Times New Roman"/>
                <w:color w:val="000000"/>
                <w:sz w:val="20"/>
              </w:rPr>
            </w:pPr>
            <w:r>
              <w:rPr>
                <w:rFonts w:ascii="Times New Roman" w:hAnsi="Times New Roman"/>
                <w:color w:val="000000"/>
                <w:sz w:val="20"/>
              </w:rPr>
              <w:t xml:space="preserve">Assembly Biosciences Cayman </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8"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Cayman Islands</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43" w:name="asmb-ex23_1.htm"/>
      <w:bookmarkStart w:id="44" w:name="ksasmbex23_1"/>
      <w:bookmarkEnd w:id="43"/>
      <w:bookmarkEnd w:id="44"/>
      <w:r>
        <w:rPr/>
        <w:t> </w:t>
      </w:r>
      <w:r>
        <w:br w:type="page"/>
      </w:r>
    </w:p>
    <w:p>
      <w:pPr>
        <w:pStyle w:val="TextBody"/>
        <w:bidi w:val="0"/>
        <w:spacing w:before="0" w:after="200"/>
        <w:jc w:val="right"/>
        <w:rPr>
          <w:rFonts w:ascii="Times New Roman" w:hAnsi="Times New Roman"/>
          <w:b/>
          <w:color w:val="000000"/>
          <w:sz w:val="20"/>
        </w:rPr>
      </w:pPr>
      <w:r>
        <w:rPr>
          <w:rFonts w:ascii="Times New Roman" w:hAnsi="Times New Roman"/>
          <w:b/>
          <w:color w:val="000000"/>
          <w:sz w:val="20"/>
        </w:rPr>
        <w:t>Exhibit 23.1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Consent of Independent Registered Public Accounting Firm</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We consent to the incorporation by reference in the following Registration Statements: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S-3 No. 333-270760) of Assembly Biosciences, Inc.,</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333-173613) pertaining to the Ventrus Biosciences, Inc. 2007 Stock Incentive Plan and the Ventrus Biosciences, Inc. 2010 Equity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333-182167) pertaining to the Ventrus Biosciences, Inc. 2010 Equity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333-198803) pertaining to the Assembly Biosciences, Inc. 2014 Stock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333-213019) pertaining to the Assembly Biosciences, Inc. Amended and Restated 2014 Stock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(6)</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333-216902) pertaining to certain Non-Qualified Stock Option Agreements dated May 16, 2014,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(7)</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333-219919) pertaining to the Assembly Biosciences, Inc. 2017 Inducement Award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(8)</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333-226703) pertaining to the Assembly Biosciences, Inc. 2018 Stock Incentive Plan and the Assembly Biosciences, Inc. 2018 Employee Stock Purchase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(9)</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333-233030) pertaining to the Assembly Biosciences, Inc. 2018 Stock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(10)</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333-234580) pertaining to the Assembly Biosciences, Inc. 2019 Inducement Award Plan and the Assembly Biosciences, Inc. Amended and Restated 2014 Stock Incentive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 xml:space="preserve">Registration Statement (Form S-8 No. 333-248476) pertaining to the Assembly Biosciences, Inc. 2018 Stock Incentive Plan and the Assembly Biosciences, Inc. 2020 Inducement Award Plan, </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333-258516) pertaining to the Assembly Biosciences, Inc. 2018 Stock Incentive Plan and the Assembly Biosciences, Inc. Amended and Restated 2018 Employee Stock Purchase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Registration Statement (Form S-8 No. 333-266711) pertaining to the Assembly Biosciences, Inc. 2018 Stock Incentive Plan,</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Registration Statement (Form S-8 No. 333-273836) pertaining to the Assembly Biosciences, Inc. 2018 Stock Incentive Plan and the Assembly Biosciences, Inc. Amended and Restated 2014 Stock Incentive Plan,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Registration Statement (Form S-8 No. 333-281388) pertaining to the Assembly Biosciences, Inc. Amended and Restated 2018 Stock Incentive Plan and the Assembly Biosciences, Inc. Second Amended and Restated 2018 Employee Stock Purchase Plan: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of our report dated March 20, 2025, with respect to the consolidated financial statements of Assembly Biosciences, Inc. included in this Annual Report (Form 10-K) of Assembly Biosciences, Inc. for the year ended December 31, 2024.</w:t>
      </w:r>
    </w:p>
    <w:p>
      <w:pPr>
        <w:pStyle w:val="TextBody"/>
        <w:bidi w:val="0"/>
        <w:jc w:val="both"/>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283"/>
              <w:jc w:val="left"/>
              <w:rPr>
                <w:sz w:val="4"/>
                <w:szCs w:val="4"/>
              </w:rPr>
            </w:pPr>
            <w:r>
              <w:rPr>
                <w:sz w:val="4"/>
                <w:szCs w:val="4"/>
              </w:rPr>
            </w:r>
          </w:p>
        </w:tc>
      </w:tr>
      <w:tr>
        <w:trPr/>
        <w:tc>
          <w:tcPr>
            <w:tcW w:w="201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Ernst &amp; Young LLP</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771" w:type="dxa"/>
        <w:jc w:val="left"/>
        <w:tblInd w:w="0" w:type="dxa"/>
        <w:tblLayout w:type="fixed"/>
        <w:tblCellMar>
          <w:top w:w="28" w:type="dxa"/>
          <w:left w:w="28" w:type="dxa"/>
          <w:bottom w:w="28" w:type="dxa"/>
          <w:right w:w="28" w:type="dxa"/>
        </w:tblCellMar>
      </w:tblPr>
      <w:tblGrid>
        <w:gridCol w:w="1771"/>
      </w:tblGrid>
      <w:tr>
        <w:trPr/>
        <w:tc>
          <w:tcPr>
            <w:tcW w:w="1771" w:type="dxa"/>
            <w:tcBorders/>
            <w:vAlign w:val="center"/>
          </w:tcPr>
          <w:p>
            <w:pPr>
              <w:pStyle w:val="TableContents"/>
              <w:bidi w:val="0"/>
              <w:spacing w:before="0" w:after="283"/>
              <w:jc w:val="left"/>
              <w:rPr>
                <w:sz w:val="4"/>
                <w:szCs w:val="4"/>
              </w:rPr>
            </w:pPr>
            <w:r>
              <w:rPr>
                <w:sz w:val="4"/>
                <w:szCs w:val="4"/>
              </w:rPr>
            </w:r>
          </w:p>
        </w:tc>
      </w:tr>
      <w:tr>
        <w:trPr/>
        <w:tc>
          <w:tcPr>
            <w:tcW w:w="17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7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San Jose, California</w:t>
            </w:r>
          </w:p>
        </w:tc>
      </w:tr>
      <w:tr>
        <w:trPr/>
        <w:tc>
          <w:tcPr>
            <w:tcW w:w="177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March 20, 2025</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5" w:name="asmb-ex31_1.htm"/>
      <w:bookmarkStart w:id="46" w:name="ksasmbex31_1"/>
      <w:bookmarkEnd w:id="45"/>
      <w:bookmarkEnd w:id="46"/>
      <w:r>
        <w:rPr>
          <w:rFonts w:ascii="Times New Roman" w:hAnsi="Times New Roman"/>
          <w:b/>
          <w:color w:val="000000"/>
          <w:sz w:val="20"/>
        </w:rPr>
        <w:t>Exhibit 31.1</w:t>
      </w:r>
      <w:r>
        <w:br w:type="page"/>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CERTIFICATION OF THE CHIEF EXECUTIVE OFFICER PURSUANT TO</w:t>
      </w:r>
    </w:p>
    <w:p>
      <w:pPr>
        <w:pStyle w:val="TextBody"/>
        <w:bidi w:val="0"/>
        <w:jc w:val="center"/>
        <w:rPr>
          <w:rFonts w:ascii="Times New Roman" w:hAnsi="Times New Roman"/>
          <w:color w:val="000000"/>
          <w:sz w:val="20"/>
        </w:rPr>
      </w:pPr>
      <w:r>
        <w:rPr>
          <w:rFonts w:ascii="Times New Roman" w:hAnsi="Times New Roman"/>
          <w:color w:val="000000"/>
          <w:sz w:val="20"/>
        </w:rPr>
        <w:t>SECTION 302 OF THE SARBANES-OXLEY ACT OF 2002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Jason A. Okazaki, certify that: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I have reviewed this annual report on Form 10-K for the year ended December 31, 2024 of Assembly Biosciences, Inc.;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0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5135" w:type="dxa"/>
        <w:jc w:val="left"/>
        <w:tblInd w:w="0" w:type="dxa"/>
        <w:tblLayout w:type="fixed"/>
        <w:tblCellMar>
          <w:top w:w="28" w:type="dxa"/>
          <w:left w:w="28" w:type="dxa"/>
          <w:bottom w:w="28" w:type="dxa"/>
          <w:right w:w="28" w:type="dxa"/>
        </w:tblCellMar>
      </w:tblPr>
      <w:tblGrid>
        <w:gridCol w:w="4981"/>
        <w:gridCol w:w="154"/>
      </w:tblGrid>
      <w:tr>
        <w:trPr/>
        <w:tc>
          <w:tcPr>
            <w:tcW w:w="49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Dated: March 20, 2025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tcBorders>
              <w:bottom w:val="single" w:sz="6" w:space="0" w:color="000000"/>
            </w:tcBorders>
            <w:tcMar>
              <w:top w:w="0" w:type="dxa"/>
              <w:left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/s/ Jason A. Okazaki</w:t>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Jason A. Okazaki</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br/>
              <w:t>(Principal Executive Officer and Principal Financial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47" w:name="asmb-ex32_1.htm"/>
      <w:bookmarkStart w:id="48" w:name="ksasmbex32_1"/>
      <w:bookmarkEnd w:id="47"/>
      <w:bookmarkEnd w:id="48"/>
      <w:r>
        <w:rPr>
          <w:rFonts w:ascii="Times New Roman" w:hAnsi="Times New Roman"/>
          <w:b/>
          <w:color w:val="000000"/>
          <w:sz w:val="20"/>
        </w:rPr>
        <w:t>Exhibit 32.1</w:t>
      </w:r>
      <w:r>
        <w:br w:type="page"/>
      </w:r>
    </w:p>
    <w:p>
      <w:pPr>
        <w:pStyle w:val="TextBody"/>
        <w:bidi w:val="0"/>
        <w:spacing w:before="200" w:after="283"/>
        <w:jc w:val="center"/>
        <w:rPr>
          <w:rFonts w:ascii="Times New Roman" w:hAnsi="Times New Roman"/>
          <w:color w:val="000000"/>
          <w:sz w:val="20"/>
        </w:rPr>
      </w:pPr>
      <w:r>
        <w:rPr>
          <w:rFonts w:ascii="Times New Roman" w:hAnsi="Times New Roman"/>
          <w:color w:val="000000"/>
          <w:sz w:val="20"/>
        </w:rPr>
        <w:t>CERTIFICATION OF THE CHIEF EXECUTIVE OFFICER</w:t>
      </w:r>
    </w:p>
    <w:p>
      <w:pPr>
        <w:pStyle w:val="TextBody"/>
        <w:bidi w:val="0"/>
        <w:jc w:val="center"/>
        <w:rPr>
          <w:rFonts w:ascii="Times New Roman" w:hAnsi="Times New Roman"/>
          <w:color w:val="000000"/>
          <w:sz w:val="20"/>
        </w:rPr>
      </w:pPr>
      <w:r>
        <w:rPr>
          <w:rFonts w:ascii="Times New Roman" w:hAnsi="Times New Roman"/>
          <w:color w:val="000000"/>
          <w:sz w:val="20"/>
        </w:rPr>
        <w:t>PURSUANT TO 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In connection with the annual report on Form 10-K of Assembly Biosciences, Inc. (the Company) for the fiscal year ended December 31, 2024, as filed with the Securities and Exchange Commission on the date hereof (the Report), I, Jason A. Okazaki, Chief Executive Officer and President (Principal Executive Officer and Principal Financial Officer) of the Company, certify, pursuant to 18 U.S.C. Section 1350, as adopted pursuant to Section 906 of the Sarbanes-Oxley Act of 2002, that, to my knowledge:</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Dated: March 20, 2025</w:t>
      </w:r>
    </w:p>
    <w:p>
      <w:pPr>
        <w:pStyle w:val="TextBody"/>
        <w:bidi w:val="0"/>
        <w:jc w:val="left"/>
        <w:rPr/>
      </w:pPr>
      <w:r>
        <w:rPr/>
        <w:t> </w:t>
      </w:r>
    </w:p>
    <w:tbl>
      <w:tblPr>
        <w:tblW w:w="5135" w:type="dxa"/>
        <w:jc w:val="left"/>
        <w:tblInd w:w="0" w:type="dxa"/>
        <w:tblLayout w:type="fixed"/>
        <w:tblCellMar>
          <w:top w:w="28" w:type="dxa"/>
          <w:left w:w="28" w:type="dxa"/>
          <w:bottom w:w="28" w:type="dxa"/>
          <w:right w:w="28" w:type="dxa"/>
        </w:tblCellMar>
      </w:tblPr>
      <w:tblGrid>
        <w:gridCol w:w="4981"/>
        <w:gridCol w:w="154"/>
      </w:tblGrid>
      <w:tr>
        <w:trPr/>
        <w:tc>
          <w:tcPr>
            <w:tcW w:w="49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Jason A. Okazaki</w:t>
            </w:r>
          </w:p>
        </w:tc>
        <w:tc>
          <w:tcPr>
            <w:tcW w:w="154"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Jason A. Okazaki</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 and President</w:t>
              <w:br/>
              <w:t>(Principal Executive Officer and Principal Financial Officer)</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Calibri">
    <w:altName w:val="sans-serif"/>
    <w:charset w:val="01"/>
    <w:family w:val="auto"/>
    <w:pitch w:val="default"/>
  </w:font>
  <w:font w:name="Calibri">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26800/000095017024038057/asmb-ex3_1.htm" TargetMode="External"/><Relationship Id="rId3" Type="http://schemas.openxmlformats.org/officeDocument/2006/relationships/hyperlink" Target="https://www.sec.gov/Archives/edgar/data/1426800/000095017024014534/asmb-ex3_1.htm" TargetMode="External"/><Relationship Id="rId4" Type="http://schemas.openxmlformats.org/officeDocument/2006/relationships/hyperlink" Target="https://www.sec.gov/Archives/edgar/data/1426800/000095017024136183/asmb-ex3_1.htm" TargetMode="External"/><Relationship Id="rId5" Type="http://schemas.openxmlformats.org/officeDocument/2006/relationships/hyperlink" Target="https://www.sec.gov/Archives/edgar/data/1426800/000095017024038057/asmb-ex4_2.htm" TargetMode="External"/><Relationship Id="rId6" Type="http://schemas.openxmlformats.org/officeDocument/2006/relationships/hyperlink" Target="https://www.sec.gov/Archives/edgar/data/1426800/000119312524163398/d852840dex41.htm" TargetMode="External"/><Relationship Id="rId7" Type="http://schemas.openxmlformats.org/officeDocument/2006/relationships/hyperlink" Target="https://www.sec.gov/Archives/edgar/data/1426800/000119312524163398/d852840dex42.htm" TargetMode="External"/><Relationship Id="rId8" Type="http://schemas.openxmlformats.org/officeDocument/2006/relationships/hyperlink" Target="https://www.sec.gov/Archives/edgar/data/1426800/000095017023061134/asmb-ex10_1.htm" TargetMode="External"/><Relationship Id="rId9" Type="http://schemas.openxmlformats.org/officeDocument/2006/relationships/hyperlink" Target="https://www.sec.gov/Archives/edgar/data/1426800/000095017025001141/asmb-ex10_1.htm" TargetMode="External"/><Relationship Id="rId10" Type="http://schemas.openxmlformats.org/officeDocument/2006/relationships/hyperlink" Target="https://www.sec.gov/Archives/edgar/data/1426800/000119312523257271/d518980dex101.htm" TargetMode="External"/><Relationship Id="rId11" Type="http://schemas.openxmlformats.org/officeDocument/2006/relationships/hyperlink" Target="https://www.sec.gov/Archives/edgar/data/1426800/000095017024138242/asmb-ex10_1.htm" TargetMode="External"/><Relationship Id="rId12" Type="http://schemas.openxmlformats.org/officeDocument/2006/relationships/hyperlink" Target="https://www.sec.gov/Archives/edgar/data/1426800/000119312523257271/d518980dex102.htm" TargetMode="External"/><Relationship Id="rId13" Type="http://schemas.openxmlformats.org/officeDocument/2006/relationships/hyperlink" Target="https://www.sec.gov/Archives/edgar/data/1426800/000119312524163398/d852840dex103.htm" TargetMode="External"/><Relationship Id="rId14" Type="http://schemas.openxmlformats.org/officeDocument/2006/relationships/hyperlink" Target="https://www.sec.gov/Archives/edgar/data/1426800/000119312523257271/d518980dex103.htm" TargetMode="External"/><Relationship Id="rId15" Type="http://schemas.openxmlformats.org/officeDocument/2006/relationships/hyperlink" Target="https://www.sec.gov/Archives/edgar/data/1426800/000119312524163398/d852840dex104.htm" TargetMode="External"/><Relationship Id="rId16" Type="http://schemas.openxmlformats.org/officeDocument/2006/relationships/hyperlink" Target="https://www.sec.gov/Archives/edgar/data/1426800/000095017023009184/asmb-ex10_7.htm" TargetMode="External"/><Relationship Id="rId17" Type="http://schemas.openxmlformats.org/officeDocument/2006/relationships/hyperlink" Target="https://www.sec.gov/Archives/edgar/data/1426800/000156459021008878/asmb-ex1012_16.htm" TargetMode="External"/><Relationship Id="rId18" Type="http://schemas.openxmlformats.org/officeDocument/2006/relationships/hyperlink" Target="https://www.sec.gov/Archives/edgar/data/1426800/000095017024038057/asmb-ex10_11.htm" TargetMode="External"/><Relationship Id="rId19" Type="http://schemas.openxmlformats.org/officeDocument/2006/relationships/hyperlink" Target="https://www.sec.gov/Archives/edgar/data/1426800/000095017024038057/asmb-ex10_12.htm" TargetMode="External"/><Relationship Id="rId20" Type="http://schemas.openxmlformats.org/officeDocument/2006/relationships/hyperlink" Target="https://www.sec.gov/Archives/edgar/data/1426800/000114420410052266/v196825_ex10-14.htm" TargetMode="External"/><Relationship Id="rId21" Type="http://schemas.openxmlformats.org/officeDocument/2006/relationships/hyperlink" Target="https://www.sec.gov/Archives/edgar/data/1426800/000114420416107050/v441808_ex10-1.htm" TargetMode="External"/><Relationship Id="rId22" Type="http://schemas.openxmlformats.org/officeDocument/2006/relationships/hyperlink" Target="https://www.sec.gov/Archives/edgar/data/1426800/000156459020023566/asmb-ex102_85.htm" TargetMode="External"/><Relationship Id="rId23" Type="http://schemas.openxmlformats.org/officeDocument/2006/relationships/hyperlink" Target="https://www.sec.gov/Archives/edgar/data/1426800/000095017023009184/asmb-ex10_12.htm" TargetMode="External"/><Relationship Id="rId24" Type="http://schemas.openxmlformats.org/officeDocument/2006/relationships/hyperlink" Target="https://www.sec.gov/Archives/edgar/data/1426800/000114420417055501/tv477592_ex10-1.htm" TargetMode="External"/><Relationship Id="rId25" Type="http://schemas.openxmlformats.org/officeDocument/2006/relationships/hyperlink" Target="https://www.sec.gov/Archives/edgar/data/1426800/000114420417041660/v472206_ex10-1.htm" TargetMode="External"/><Relationship Id="rId26" Type="http://schemas.openxmlformats.org/officeDocument/2006/relationships/hyperlink" Target="https://www.sec.gov/Archives/edgar/data/1426800/000114420417041660/v472206_ex10-2.htm" TargetMode="External"/><Relationship Id="rId27" Type="http://schemas.openxmlformats.org/officeDocument/2006/relationships/hyperlink" Target="https://www.sec.gov/Archives/edgar/data/1426800/000114420417041660/v472206_ex10-3.htm" TargetMode="External"/><Relationship Id="rId28" Type="http://schemas.openxmlformats.org/officeDocument/2006/relationships/hyperlink" Target="https://www.sec.gov/Archives/edgar/data/1426800/000095017024067951/asmb-ex10_1.htm" TargetMode="External"/><Relationship Id="rId29" Type="http://schemas.openxmlformats.org/officeDocument/2006/relationships/hyperlink" Target="https://www.sec.gov/Archives/edgar/data/1426800/000095017023009184/asmb-ex10_22.htm" TargetMode="External"/><Relationship Id="rId30" Type="http://schemas.openxmlformats.org/officeDocument/2006/relationships/hyperlink" Target="https://www.sec.gov/Archives/edgar/data/1426800/000114420418032371/tv495357_ex10-3.htm" TargetMode="External"/><Relationship Id="rId31" Type="http://schemas.openxmlformats.org/officeDocument/2006/relationships/hyperlink" Target="https://www.sec.gov/Archives/edgar/data/1426800/000114420418053659/tv504698_ex10-4.htm" TargetMode="External"/><Relationship Id="rId32" Type="http://schemas.openxmlformats.org/officeDocument/2006/relationships/hyperlink" Target="https://www.sec.gov/Archives/edgar/data/1426800/000156459022009855/asmb-ex1027_104.htm" TargetMode="External"/><Relationship Id="rId33" Type="http://schemas.openxmlformats.org/officeDocument/2006/relationships/hyperlink" Target="https://www.sec.gov/Archives/edgar/data/1426800/000095017024067951/asmb-ex10_2.htm" TargetMode="External"/><Relationship Id="rId34" Type="http://schemas.openxmlformats.org/officeDocument/2006/relationships/hyperlink" Target="https://www.sec.gov/Archives/edgar/data/1426800/000095012319010301/asmb-ex104_186.htm" TargetMode="External"/><Relationship Id="rId35" Type="http://schemas.openxmlformats.org/officeDocument/2006/relationships/hyperlink" Target="https://www.sec.gov/Archives/edgar/data/1426800/000095012319010301/asmb-ex105_185.htm" TargetMode="External"/><Relationship Id="rId36" Type="http://schemas.openxmlformats.org/officeDocument/2006/relationships/hyperlink" Target="https://www.sec.gov/Archives/edgar/data/1426800/000156459020023566/asmb-ex103_84.htm" TargetMode="External"/><Relationship Id="rId37" Type="http://schemas.openxmlformats.org/officeDocument/2006/relationships/hyperlink" Target="https://www.sec.gov/Archives/edgar/data/1426800/000156459020023566/asmb-ex104_83.htm" TargetMode="External"/><Relationship Id="rId38" Type="http://schemas.openxmlformats.org/officeDocument/2006/relationships/hyperlink" Target="https://www.sec.gov/Archives/edgar/data/1426800/000156459020023566/asmb-ex104_83.htm" TargetMode="External"/><Relationship Id="rId39" Type="http://schemas.openxmlformats.org/officeDocument/2006/relationships/hyperlink" Target="https://www.sec.gov/Archives/edgar/data/1426800/000156459020023566/asmb-ex105_82.htm" TargetMode="External"/><Relationship Id="rId40" Type="http://schemas.openxmlformats.org/officeDocument/2006/relationships/hyperlink" Target="https://www.sec.gov/Archives/edgar/data/1426800/000119312524163398/d852840dex101.htm" TargetMode="External"/><Relationship Id="rId41" Type="http://schemas.openxmlformats.org/officeDocument/2006/relationships/hyperlink" Target="https://www.sec.gov/Archives/edgar/data/1426800/000119312524163398/d852840dex102.htm" TargetMode="External"/><Relationship Id="rId42" Type="http://schemas.openxmlformats.org/officeDocument/2006/relationships/hyperlink" Target="https://www.sec.gov/Archives/edgar/data/1426800/000095017024123466/asmb-ex1_1.htm" TargetMode="External"/><Relationship Id="rId43" Type="http://schemas.openxmlformats.org/officeDocument/2006/relationships/hyperlink" Target="https://www.sec.gov/Archives/edgar/data/1426800/000095017024032162/asmb-ex10_1.htm" TargetMode="External"/><Relationship Id="rId44" Type="http://schemas.openxmlformats.org/officeDocument/2006/relationships/hyperlink" Target="https://www.sec.gov/Archives/edgar/data/1426800/000095017024038057/asmb-ex97_1.htm" TargetMode="External"/><Relationship Id="rId45" Type="http://schemas.openxmlformats.org/officeDocument/2006/relationships/image" Target="media/image1.jpeg"/><Relationship Id="rId46" Type="http://schemas.openxmlformats.org/officeDocument/2006/relationships/image" Target="media/image2.jpeg"/><Relationship Id="rId47" Type="http://schemas.openxmlformats.org/officeDocument/2006/relationships/image" Target="media/image3.jpeg"/><Relationship Id="rId48" Type="http://schemas.openxmlformats.org/officeDocument/2006/relationships/fontTable" Target="fontTable.xml"/><Relationship Id="rId4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58865</Words>
  <Characters>328606</Characters>
  <CharactersWithSpaces>387537</CharactersWithSpaces>
  <Paragraphs>5944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