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96" w:type="dxa"/>
        <w:jc w:val="left"/>
        <w:tblInd w:w="0" w:type="dxa"/>
        <w:tblLayout w:type="fixed"/>
        <w:tblCellMar>
          <w:top w:w="28" w:type="dxa"/>
          <w:left w:w="28" w:type="dxa"/>
          <w:bottom w:w="28" w:type="dxa"/>
          <w:right w:w="28" w:type="dxa"/>
        </w:tblCellMar>
      </w:tblPr>
      <w:tblGrid>
        <w:gridCol w:w="6196"/>
      </w:tblGrid>
      <w:tr>
        <w:trPr/>
        <w:tc>
          <w:tcPr>
            <w:tcW w:w="619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9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96" w:type="dxa"/>
            <w:tcBorders/>
            <w:vAlign w:val="center"/>
          </w:tcPr>
          <w:p>
            <w:pPr>
              <w:pStyle w:val="TableContents"/>
              <w:bidi w:val="0"/>
              <w:spacing w:before="0" w:after="0"/>
              <w:jc w:val="left"/>
              <w:rPr/>
            </w:pPr>
            <w:r>
              <w:rPr/>
              <w:t xml:space="preserve">UNDER THE SECURITIES EXCHANGE ACT OF 1934 </w:t>
            </w:r>
          </w:p>
        </w:tc>
      </w:tr>
      <w:tr>
        <w:trPr/>
        <w:tc>
          <w:tcPr>
            <w:tcW w:w="619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196" w:type="dxa"/>
            <w:tcBorders/>
            <w:vAlign w:val="center"/>
          </w:tcPr>
          <w:p>
            <w:pPr>
              <w:pStyle w:val="TableContents"/>
              <w:bidi w:val="0"/>
              <w:spacing w:before="0" w:after="0"/>
              <w:jc w:val="center"/>
              <w:rPr>
                <w:b/>
                <w:color w:val="0000FF"/>
              </w:rPr>
            </w:pPr>
            <w:r>
              <w:rPr>
                <w:b/>
                <w:color w:val="0000FF"/>
              </w:rPr>
              <w:t>Assembly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96" w:type="dxa"/>
            <w:tcBorders/>
            <w:vAlign w:val="center"/>
          </w:tcPr>
          <w:p>
            <w:pPr>
              <w:pStyle w:val="TableContents"/>
              <w:bidi w:val="0"/>
              <w:spacing w:before="0" w:after="0"/>
              <w:jc w:val="center"/>
              <w:rPr>
                <w:b/>
                <w:color w:val="0000FF"/>
              </w:rPr>
            </w:pPr>
            <w:r>
              <w:rPr>
                <w:b/>
                <w:color w:val="0000FF"/>
              </w:rPr>
              <w:t>Common Stock, par value $0.001 per shares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9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9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item1to9"/>
      <w:bookmarkStart w:id="115" w:name="item1to9"/>
      <w:bookmarkEnd w:id="115"/>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Assembly Biosciences,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Tower Place, 7th Floor,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shares (the "Shares")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and (viii) Farallon Capital F5 Master I, L.P., a Cayman Islands exempted limited partnership ("F5MI"). FCP, FCIP, FCIP II, FCIP III, FCIP V, FCOI II, FCAMI and F5MI are together referred to herein as the "Farallon Funds." As of the date requiring the filing of this statement, the Farallon Funds hold an aggregate of: (i) 1,604,590 Shares; (ii) 510,205 Class A Warrants (the "Class A Warrants"), each of which currently is exercisable, subject to the Beneficial Ownership Limitation (as defined below), to purchase one Share; and (iii) 510,205 Class B Warrants (the "Class B Warrants" and together with the Class A Warrants, the "Warrants"), each of which is exercisable beginning on November 15, 2026, subject to the Beneficial Ownership Limitation, to purchase one Share. The terms of the Warrants provide that the Warrants may not be exercised to the extent that, after giving effect to such exercise, the Reporting Persons would beneficially own, as determined in accordance with Section 13(d) of the Securities Exchange Act of 1934, as amended, more than 4.99% of the Shares then issued and outstanding (the "Beneficial Ownership Limitation"). Due to the Beneficial Ownership Limitation and the fact that the Class B Warrants are not exercisable until November 15, 2026, in providing the beneficial ownership information set forth herein, the Reporting Persons have assumed that the aggregate 1,020,410 Warrants held by the Farallon Funds are not exercisable within 60 days of the date hereof and therefore do not confer on the Reporting Persons beneficial ownership of any underlying Shares.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certifications"/>
      <w:bookmarkStart w:id="117" w:name="certifications"/>
      <w:bookmarkEnd w:id="1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signatureInfo"/>
      <w:bookmarkStart w:id="119" w:name="signatureInfo"/>
      <w:bookmarkEnd w:id="1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0" w:name="jas.htm"/>
      <w:bookmarkStart w:id="121" w:name="ksjas"/>
      <w:bookmarkEnd w:id="120"/>
      <w:bookmarkEnd w:id="121"/>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Dated:</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 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5264</Words>
  <Characters>27249</Characters>
  <CharactersWithSpaces>31996</CharactersWithSpaces>
  <Paragraphs>1378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