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94615</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96520</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94" w:lineRule="exact"/>
        <w:rPr>
          <w:sz w:val="24"/>
          <w:szCs w:val="24"/>
          <w:color w:val="auto"/>
        </w:rPr>
      </w:pPr>
    </w:p>
    <w:p>
      <w:pPr>
        <w:ind w:left="4060" w:right="2560" w:hanging="4039"/>
        <w:spacing w:after="0" w:line="431" w:lineRule="auto"/>
        <w:tabs>
          <w:tab w:leader="none" w:pos="49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181" w:lineRule="exact"/>
        <w:rPr>
          <w:sz w:val="24"/>
          <w:szCs w:val="24"/>
          <w:color w:val="auto"/>
        </w:rPr>
      </w:pPr>
    </w:p>
    <w:p>
      <w:pPr>
        <w:ind w:left="3580" w:right="2540" w:hanging="3559"/>
        <w:spacing w:after="0" w:line="431" w:lineRule="auto"/>
        <w:tabs>
          <w:tab w:leader="none" w:pos="49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114935</wp:posOffset>
            </wp:positionV>
            <wp:extent cx="210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6"/>
              </w:rPr>
              <w:t>ASSEMBLY BIOSCIENCES, INC.</w:t>
            </w: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2"/>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324"/>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gridSpan w:val="2"/>
          </w:tcPr>
          <w:p>
            <w:pPr>
              <w:jc w:val="right"/>
              <w:ind w:right="2342"/>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29"/>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80" w:type="dxa"/>
            <w:vAlign w:val="bottom"/>
            <w:gridSpan w:val="2"/>
          </w:tcPr>
          <w:p>
            <w:pPr>
              <w:jc w:val="center"/>
              <w:ind w:right="1562"/>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29"/>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7260" w:type="dxa"/>
            <w:vAlign w:val="bottom"/>
            <w:gridSpan w:val="5"/>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60" w:type="dxa"/>
            <w:vAlign w:val="bottom"/>
            <w:gridSpan w:val="5"/>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gridSpan w:val="2"/>
          </w:tcPr>
          <w:p>
            <w:pPr>
              <w:jc w:val="right"/>
              <w:ind w:right="2522"/>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29"/>
        </w:trPr>
        <w:tc>
          <w:tcPr>
            <w:tcW w:w="7260" w:type="dxa"/>
            <w:vAlign w:val="bottom"/>
            <w:gridSpan w:val="5"/>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20" w:type="dxa"/>
            <w:vAlign w:val="bottom"/>
          </w:tcPr>
          <w:p>
            <w:pPr>
              <w:spacing w:after="0"/>
              <w:rPr>
                <w:sz w:val="19"/>
                <w:szCs w:val="19"/>
                <w:color w:val="auto"/>
              </w:rPr>
            </w:pPr>
          </w:p>
        </w:tc>
        <w:tc>
          <w:tcPr>
            <w:tcW w:w="3960" w:type="dxa"/>
            <w:vAlign w:val="bottom"/>
          </w:tcPr>
          <w:p>
            <w:pPr>
              <w:jc w:val="center"/>
              <w:ind w:right="1582"/>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93"/>
        </w:trPr>
        <w:tc>
          <w:tcPr>
            <w:tcW w:w="3840" w:type="dxa"/>
            <w:vAlign w:val="bottom"/>
          </w:tcPr>
          <w:p>
            <w:pPr>
              <w:spacing w:after="0"/>
              <w:rPr>
                <w:sz w:val="24"/>
                <w:szCs w:val="24"/>
                <w:color w:val="auto"/>
              </w:rPr>
            </w:pPr>
          </w:p>
        </w:tc>
        <w:tc>
          <w:tcPr>
            <w:tcW w:w="292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3"/>
              </w:rPr>
              <w:t>(833) 509-4583</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2"/>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jc w:val="center"/>
              <w:ind w:right="462"/>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47"/>
        </w:trPr>
        <w:tc>
          <w:tcPr>
            <w:tcW w:w="3840" w:type="dxa"/>
            <w:vAlign w:val="bottom"/>
            <w:tcBorders>
              <w:left w:val="single" w:sz="8" w:color="auto"/>
              <w:bottom w:val="single" w:sz="8" w:color="auto"/>
            </w:tcBorders>
          </w:tcPr>
          <w:p>
            <w:pPr>
              <w:jc w:val="center"/>
              <w:ind w:left="580"/>
              <w:spacing w:after="0"/>
              <w:rPr>
                <w:sz w:val="20"/>
                <w:szCs w:val="20"/>
                <w:color w:val="auto"/>
              </w:rPr>
            </w:pPr>
            <w:r>
              <w:rPr>
                <w:rFonts w:ascii="Arial" w:cs="Arial" w:eastAsia="Arial" w:hAnsi="Arial"/>
                <w:sz w:val="16"/>
                <w:szCs w:val="16"/>
                <w:color w:val="auto"/>
                <w:w w:val="91"/>
              </w:rPr>
              <w:t>Common Stock, par value $0.001</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jc w:val="center"/>
              <w:ind w:right="462"/>
              <w:spacing w:after="0"/>
              <w:rPr>
                <w:sz w:val="20"/>
                <w:szCs w:val="20"/>
                <w:color w:val="auto"/>
              </w:rPr>
            </w:pPr>
            <w:r>
              <w:rPr>
                <w:rFonts w:ascii="Arial" w:cs="Arial" w:eastAsia="Arial" w:hAnsi="Arial"/>
                <w:sz w:val="16"/>
                <w:szCs w:val="16"/>
                <w:color w:val="auto"/>
                <w:w w:val="92"/>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66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66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65"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820"/>
        <w:spacing w:after="0" w:line="26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4, 2023, there were 52,614,194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Number</w:t>
            </w:r>
          </w:p>
        </w:tc>
      </w:tr>
      <w:tr>
        <w:trPr>
          <w:trHeight w:val="33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PART I:</w:t>
            </w:r>
          </w:p>
        </w:tc>
        <w:tc>
          <w:tcPr>
            <w:tcW w:w="22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FINANCIAL INFORMATION</w:t>
            </w:r>
          </w:p>
        </w:tc>
        <w:tc>
          <w:tcPr>
            <w:tcW w:w="714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Financial Statements</w:t>
            </w:r>
          </w:p>
        </w:tc>
        <w:tc>
          <w:tcPr>
            <w:tcW w:w="788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at June 30, 2023 (unaudited) and December 31, 2022</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3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for the Three and Six Months Ended June 30, 2023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0" w:type="dxa"/>
            <w:vAlign w:val="bottom"/>
            <w:gridSpan w:val="20"/>
          </w:tcPr>
          <w:p>
            <w:pPr>
              <w:spacing w:after="0" w:line="196" w:lineRule="exact"/>
              <w:rPr>
                <w:sz w:val="20"/>
                <w:szCs w:val="20"/>
                <w:color w:val="auto"/>
              </w:rPr>
            </w:pPr>
            <w:r>
              <w:rPr>
                <w:rFonts w:ascii="Arial" w:cs="Arial" w:eastAsia="Arial" w:hAnsi="Arial"/>
                <w:sz w:val="18"/>
                <w:szCs w:val="18"/>
                <w:color w:val="0000FF"/>
              </w:rPr>
              <w:t>and 2022 (unaudited)</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3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Condensed Consolidated Statements of Changes in Stockholders’ Equity for the Three and Six Months Ended June 30, 2023 and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0" w:type="dxa"/>
            <w:vAlign w:val="bottom"/>
            <w:gridSpan w:val="20"/>
          </w:tcPr>
          <w:p>
            <w:pPr>
              <w:spacing w:after="0" w:line="196" w:lineRule="exact"/>
              <w:rPr>
                <w:sz w:val="20"/>
                <w:szCs w:val="20"/>
                <w:color w:val="auto"/>
              </w:rPr>
            </w:pPr>
            <w:r>
              <w:rPr>
                <w:rFonts w:ascii="Arial" w:cs="Arial" w:eastAsia="Arial" w:hAnsi="Arial"/>
                <w:sz w:val="18"/>
                <w:szCs w:val="18"/>
                <w:color w:val="0000FF"/>
              </w:rPr>
              <w:t>2022 (unaudited)</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6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114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508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762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PART II:</w:t>
            </w:r>
          </w:p>
        </w:tc>
        <w:tc>
          <w:tcPr>
            <w:tcW w:w="19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6"/>
              </w:rPr>
              <w:t>OTHER INFORMATION</w:t>
            </w:r>
          </w:p>
        </w:tc>
        <w:tc>
          <w:tcPr>
            <w:tcW w:w="750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gridSpan w:val="3"/>
          </w:tcPr>
          <w:p>
            <w:pPr>
              <w:spacing w:after="0"/>
              <w:rPr>
                <w:sz w:val="24"/>
                <w:szCs w:val="24"/>
                <w:color w:val="auto"/>
              </w:rPr>
            </w:pPr>
          </w:p>
        </w:tc>
        <w:tc>
          <w:tcPr>
            <w:tcW w:w="80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04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Defaults Upon Senior Securities</w:t>
            </w:r>
          </w:p>
        </w:tc>
        <w:tc>
          <w:tcPr>
            <w:tcW w:w="706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1"/>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Mine Safety Disclosures</w:t>
            </w:r>
          </w:p>
        </w:tc>
        <w:tc>
          <w:tcPr>
            <w:tcW w:w="762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94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808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10440" w:type="dxa"/>
            <w:vAlign w:val="bottom"/>
            <w:gridSpan w:val="22"/>
          </w:tcPr>
          <w:p>
            <w:pPr>
              <w:ind w:left="20"/>
              <w:spacing w:after="0"/>
              <w:rPr>
                <w:sz w:val="20"/>
                <w:szCs w:val="20"/>
                <w:color w:val="auto"/>
              </w:rPr>
            </w:pPr>
            <w:r>
              <w:rPr>
                <w:rFonts w:ascii="Arial" w:cs="Arial" w:eastAsia="Arial" w:hAnsi="Arial"/>
                <w:sz w:val="18"/>
                <w:szCs w:val="18"/>
                <w:color w:val="0000FF"/>
              </w:rPr>
              <w:t>SIGNATURES</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581"/>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March 22, 2023 (2022 Annual Report) and Part II, Item 1A of this Quarterly Report on Form 10-Q under the heading “Risk Factors,” that could cause actual results to materially differ. Such risks and uncertainties include, among other things:</w:t>
      </w:r>
    </w:p>
    <w:p>
      <w:pPr>
        <w:spacing w:after="0" w:line="79" w:lineRule="exact"/>
        <w:rPr>
          <w:sz w:val="20"/>
          <w:szCs w:val="20"/>
          <w:color w:val="auto"/>
        </w:rPr>
      </w:pPr>
    </w:p>
    <w:p>
      <w:pPr>
        <w:ind w:left="640" w:hanging="37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financial resources necessary to continue our research activities, clinical studies and other business operations;</w:t>
      </w:r>
    </w:p>
    <w:p>
      <w:pPr>
        <w:spacing w:after="0" w:line="128" w:lineRule="exact"/>
        <w:rPr>
          <w:rFonts w:ascii="Arial" w:cs="Arial" w:eastAsia="Arial" w:hAnsi="Arial"/>
          <w:sz w:val="17"/>
          <w:szCs w:val="17"/>
          <w:color w:val="auto"/>
        </w:rPr>
      </w:pPr>
    </w:p>
    <w:p>
      <w:pPr>
        <w:ind w:left="640" w:hanging="37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clinical studies involving our therapeutic product candidates, including studies contemplated by collaboration agreements, in the anticipated timeframes;</w:t>
      </w:r>
    </w:p>
    <w:p>
      <w:pPr>
        <w:spacing w:after="0" w:line="62" w:lineRule="exact"/>
        <w:rPr>
          <w:rFonts w:ascii="Arial" w:cs="Arial" w:eastAsia="Arial" w:hAnsi="Arial"/>
          <w:sz w:val="18"/>
          <w:szCs w:val="18"/>
          <w:color w:val="auto"/>
        </w:rPr>
      </w:pPr>
    </w:p>
    <w:p>
      <w:pPr>
        <w:ind w:left="640" w:hanging="37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or nonclinical studies may not warrant further development of our product candidates;</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 and</w:t>
      </w:r>
    </w:p>
    <w:p>
      <w:pPr>
        <w:spacing w:after="0" w:line="128" w:lineRule="exact"/>
        <w:rPr>
          <w:rFonts w:ascii="Arial" w:cs="Arial" w:eastAsia="Arial" w:hAnsi="Arial"/>
          <w:sz w:val="17"/>
          <w:szCs w:val="17"/>
          <w:color w:val="auto"/>
        </w:rPr>
      </w:pPr>
    </w:p>
    <w:p>
      <w:pPr>
        <w:ind w:left="640" w:hanging="37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nonclinical studies may not be representative of disease behavior in a clinical setting and may not be predictive of the outcomes of clinical studies.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trials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291"/>
              <w:spacing w:after="0"/>
              <w:rPr>
                <w:sz w:val="20"/>
                <w:szCs w:val="20"/>
                <w:color w:val="auto"/>
              </w:rPr>
            </w:pPr>
            <w:r>
              <w:rPr>
                <w:rFonts w:ascii="Arial" w:cs="Arial" w:eastAsia="Arial" w:hAnsi="Arial"/>
                <w:sz w:val="16"/>
                <w:szCs w:val="16"/>
                <w:b w:val="1"/>
                <w:bCs w:val="1"/>
                <w:color w:val="auto"/>
                <w:w w:val="87"/>
              </w:rPr>
              <w:t>June 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71"/>
              <w:spacing w:after="0"/>
              <w:rPr>
                <w:sz w:val="20"/>
                <w:szCs w:val="20"/>
                <w:color w:val="auto"/>
              </w:rPr>
            </w:pPr>
            <w:r>
              <w:rPr>
                <w:rFonts w:ascii="Arial" w:cs="Arial" w:eastAsia="Arial" w:hAnsi="Arial"/>
                <w:sz w:val="16"/>
                <w:szCs w:val="16"/>
                <w:b w:val="1"/>
                <w:bCs w:val="1"/>
                <w:color w:val="auto"/>
                <w:w w:val="97"/>
              </w:rPr>
              <w:t>December 31,</w:t>
            </w:r>
          </w:p>
        </w:tc>
      </w:tr>
      <w:tr>
        <w:trPr>
          <w:trHeight w:val="242"/>
        </w:trPr>
        <w:tc>
          <w:tcPr>
            <w:tcW w:w="7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w w:val="89"/>
              </w:rPr>
              <w:t>2023</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2022</w:t>
            </w:r>
          </w:p>
        </w:tc>
      </w:tr>
      <w:tr>
        <w:trPr>
          <w:trHeight w:val="233"/>
        </w:trPr>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291"/>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21,623</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52,418</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38,208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39,192</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from collaboration</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944</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3,908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4,413</w:t>
            </w: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64,081</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96,967</w:t>
            </w:r>
          </w:p>
        </w:tc>
      </w:tr>
      <w:tr>
        <w:trPr>
          <w:trHeight w:val="243"/>
        </w:trPr>
        <w:tc>
          <w:tcPr>
            <w:tcW w:w="7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743</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Operating lease right-of-use (ROU) assets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3,195</w:t>
            </w: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889</w:t>
            </w:r>
          </w:p>
        </w:tc>
      </w:tr>
      <w:tr>
        <w:trPr>
          <w:trHeight w:val="23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b w:val="1"/>
                <w:bCs w:val="1"/>
                <w:color w:val="auto"/>
              </w:rPr>
              <w:t>66,577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b w:val="1"/>
                <w:bCs w:val="1"/>
                <w:color w:val="auto"/>
              </w:rPr>
              <w:t>101,794</w:t>
            </w: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904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2,493</w:t>
            </w: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3,122</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4,188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7,317</w:t>
            </w: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 - short-term</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1,702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3,364</w:t>
            </w: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8,831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16,296</w:t>
            </w:r>
          </w:p>
        </w:tc>
      </w:tr>
      <w:tr>
        <w:trPr>
          <w:trHeight w:val="243"/>
        </w:trPr>
        <w:tc>
          <w:tcPr>
            <w:tcW w:w="7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2,733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2,733</w:t>
            </w: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 - long-term</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101</w:t>
            </w:r>
          </w:p>
        </w:tc>
      </w:tr>
      <w:tr>
        <w:trPr>
          <w:trHeight w:val="23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11,628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19,130</w:t>
            </w:r>
          </w:p>
        </w:tc>
      </w:tr>
      <w:tr>
        <w:trPr>
          <w:trHeight w:val="241"/>
        </w:trPr>
        <w:tc>
          <w:tcPr>
            <w:tcW w:w="7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Preferred stock, $0.001 par value; 5,000,000 shares authorized; no shares issued or outstanding</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ind w:left="200"/>
              <w:spacing w:after="0"/>
              <w:rPr>
                <w:sz w:val="20"/>
                <w:szCs w:val="20"/>
                <w:color w:val="auto"/>
              </w:rPr>
            </w:pPr>
            <w:r>
              <w:rPr>
                <w:rFonts w:ascii="Arial" w:cs="Arial" w:eastAsia="Arial" w:hAnsi="Arial"/>
                <w:sz w:val="18"/>
                <w:szCs w:val="18"/>
                <w:color w:val="auto"/>
                <w:w w:val="91"/>
              </w:rPr>
              <w:t>Common stock, $0.001 par value; 150,000,000 shares authorized as of June 30, 2023 and December</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w w:val="99"/>
              </w:rPr>
              <w:t>31, 2022; 52,450,731 and 48,894,973 shares issued and outstanding as of June 30, 2023 and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December 31, 2022, respectively</w:t>
            </w:r>
          </w:p>
        </w:tc>
        <w:tc>
          <w:tcPr>
            <w:tcW w:w="24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49</w:t>
            </w:r>
          </w:p>
        </w:tc>
      </w:tr>
      <w:tr>
        <w:trPr>
          <w:trHeight w:val="25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815,588</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807,938</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(325 )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(803 )</w:t>
            </w: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(760,366 )</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(724,520 )</w:t>
            </w: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54,949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82,664</w:t>
            </w:r>
          </w:p>
        </w:tc>
      </w:tr>
      <w:tr>
        <w:trPr>
          <w:trHeight w:val="27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66,577</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rPr>
              <w:t>101,794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-4714240</wp:posOffset>
            </wp:positionV>
            <wp:extent cx="12890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-4088130</wp:posOffset>
            </wp:positionV>
            <wp:extent cx="12890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-2819400</wp:posOffset>
            </wp:positionV>
            <wp:extent cx="1289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-2185670</wp:posOffset>
            </wp:positionV>
            <wp:extent cx="1289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-350520</wp:posOffset>
            </wp:positionV>
            <wp:extent cx="1289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28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8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96"/>
              </w:rPr>
              <w:t>Three Months Ended June 30,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1"/>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12,523</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17,792</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27,070</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4,965</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6,781</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9,977</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17,488</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24,573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37,047</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47,735</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(17,488 )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(24,573 )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(37,047 )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(47,735 )</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0"/>
              <w:spacing w:after="0"/>
              <w:rPr>
                <w:sz w:val="20"/>
                <w:szCs w:val="20"/>
                <w:color w:val="auto"/>
              </w:rPr>
            </w:pPr>
            <w:r>
              <w:rPr>
                <w:rFonts w:ascii="Arial" w:cs="Arial" w:eastAsia="Arial" w:hAnsi="Arial"/>
                <w:sz w:val="18"/>
                <w:szCs w:val="18"/>
                <w:color w:val="auto"/>
              </w:rPr>
              <w:t>Interest and other income, net</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592</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1,201</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(16,896 )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(24,461 )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(35,846 )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(47,552 )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(579 )</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(16,708 )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(24,551 )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(35,368 )</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(48,131 )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(0.32 )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(0.51 )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(0.69 )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(0.99 )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93"/>
              </w:rPr>
              <w:t>Weighted average common shares outstanding, basic and</w:t>
            </w:r>
          </w:p>
        </w:tc>
        <w:tc>
          <w:tcPr>
            <w:tcW w:w="280" w:type="dxa"/>
            <w:vAlign w:val="bottom"/>
            <w:shd w:val="clear" w:color="auto" w:fill="CFF0FC"/>
          </w:tcPr>
          <w:p>
            <w:pPr>
              <w:spacing w:after="0"/>
              <w:rPr>
                <w:sz w:val="17"/>
                <w:szCs w:val="17"/>
                <w:color w:val="auto"/>
              </w:rPr>
            </w:pPr>
          </w:p>
        </w:tc>
        <w:tc>
          <w:tcPr>
            <w:tcW w:w="132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52,260,088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48,293,495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51,638,928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48,208,735</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-2425065</wp:posOffset>
            </wp:positionV>
            <wp:extent cx="946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-2425065</wp:posOffset>
            </wp:positionV>
            <wp:extent cx="1028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-2425065</wp:posOffset>
            </wp:positionV>
            <wp:extent cx="946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-2099945</wp:posOffset>
            </wp:positionV>
            <wp:extent cx="9461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-2099945</wp:posOffset>
            </wp:positionV>
            <wp:extent cx="10287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-2099945</wp:posOffset>
            </wp:positionV>
            <wp:extent cx="9461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-1464945</wp:posOffset>
            </wp:positionV>
            <wp:extent cx="9461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-1464945</wp:posOffset>
            </wp:positionV>
            <wp:extent cx="10287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-1464945</wp:posOffset>
            </wp:positionV>
            <wp:extent cx="9461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-814070</wp:posOffset>
            </wp:positionV>
            <wp:extent cx="9461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-814070</wp:posOffset>
            </wp:positionV>
            <wp:extent cx="10287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-814070</wp:posOffset>
            </wp:positionV>
            <wp:extent cx="9461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94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94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For the Three Month Period</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36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as of March 31, 2023</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b w:val="1"/>
                <w:bCs w:val="1"/>
                <w:color w:val="auto"/>
              </w:rPr>
              <w:t>52,015,268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b w:val="1"/>
                <w:bCs w:val="1"/>
                <w:color w:val="auto"/>
              </w:rPr>
              <w:t>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814,264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(513 )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(743,470 )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b w:val="1"/>
                <w:bCs w:val="1"/>
                <w:color w:val="auto"/>
              </w:rPr>
              <w:t>70,333</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7"/>
                <w:szCs w:val="17"/>
                <w:color w:val="auto"/>
              </w:rPr>
              <w:t>Issuance of common stock under at-the-</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7"/>
                <w:szCs w:val="17"/>
                <w:color w:val="auto"/>
                <w:w w:val="99"/>
              </w:rPr>
              <w:t>market (ATM) equity offering program, net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color w:val="auto"/>
              </w:rPr>
              <w:t>of issuance costs</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83,599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7"/>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w w:val="95"/>
              </w:rPr>
              <w:t>Issuance of common stock under Employee</w:t>
            </w:r>
          </w:p>
        </w:tc>
        <w:tc>
          <w:tcPr>
            <w:tcW w:w="136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8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9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32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16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140" w:type="dxa"/>
            <w:vAlign w:val="bottom"/>
            <w:shd w:val="clear" w:color="auto" w:fill="CEF1F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rPr>
              <w:t>Stock Purchase Plan (ESPP)</w:t>
            </w:r>
          </w:p>
        </w:tc>
        <w:tc>
          <w:tcPr>
            <w:tcW w:w="13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90,407</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800" w:type="dxa"/>
            <w:vAlign w:val="bottom"/>
            <w:shd w:val="clear" w:color="auto" w:fill="CEF1FE"/>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94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32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1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140" w:type="dxa"/>
            <w:vAlign w:val="bottom"/>
            <w:shd w:val="clear" w:color="auto" w:fill="CEF1FE"/>
          </w:tcPr>
          <w:p>
            <w:pPr>
              <w:jc w:val="right"/>
              <w:ind w:right="58"/>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7"/>
                <w:szCs w:val="17"/>
                <w:color w:val="auto"/>
                <w:w w:val="95"/>
              </w:rPr>
              <w:t>Issuance of common stock for settlement of</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color w:val="auto"/>
              </w:rPr>
              <w:t>restricted stock units (RSUs)</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261,457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rPr>
              <w:t>Unrealized gain on marketable debt</w:t>
            </w:r>
          </w:p>
        </w:tc>
        <w:tc>
          <w:tcPr>
            <w:tcW w:w="136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8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9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32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16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140" w:type="dxa"/>
            <w:vAlign w:val="bottom"/>
            <w:shd w:val="clear" w:color="auto" w:fill="CEF1F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rPr>
              <w:t>securities</w:t>
            </w:r>
          </w:p>
        </w:tc>
        <w:tc>
          <w:tcPr>
            <w:tcW w:w="13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800" w:type="dxa"/>
            <w:vAlign w:val="bottom"/>
            <w:shd w:val="clear" w:color="auto" w:fill="CEF1FE"/>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94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32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188</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1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140" w:type="dxa"/>
            <w:vAlign w:val="bottom"/>
            <w:shd w:val="clear" w:color="auto" w:fill="CEF1FE"/>
          </w:tcPr>
          <w:p>
            <w:pPr>
              <w:jc w:val="right"/>
              <w:ind w:right="58"/>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1,190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1,190</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EF1FE"/>
            </w:tcBorders>
            <w:shd w:val="clear" w:color="auto" w:fill="CEF1FE"/>
          </w:tcPr>
          <w:p>
            <w:pPr>
              <w:ind w:left="20"/>
              <w:spacing w:after="0"/>
              <w:rPr>
                <w:sz w:val="20"/>
                <w:szCs w:val="20"/>
                <w:color w:val="auto"/>
              </w:rPr>
            </w:pPr>
            <w:r>
              <w:rPr>
                <w:rFonts w:ascii="Arial" w:cs="Arial" w:eastAsia="Arial" w:hAnsi="Arial"/>
                <w:sz w:val="17"/>
                <w:szCs w:val="17"/>
                <w:color w:val="auto"/>
              </w:rPr>
              <w:t>Net loss</w:t>
            </w:r>
          </w:p>
        </w:tc>
        <w:tc>
          <w:tcPr>
            <w:tcW w:w="1360" w:type="dxa"/>
            <w:vAlign w:val="bottom"/>
            <w:tcBorders>
              <w:bottom w:val="single" w:sz="8" w:color="auto"/>
            </w:tcBorders>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EF1FE"/>
            </w:tcBorders>
            <w:shd w:val="clear" w:color="auto" w:fill="CEF1FE"/>
          </w:tcPr>
          <w:p>
            <w:pPr>
              <w:spacing w:after="0"/>
              <w:rPr>
                <w:sz w:val="19"/>
                <w:szCs w:val="19"/>
                <w:color w:val="auto"/>
              </w:rPr>
            </w:pPr>
          </w:p>
        </w:tc>
        <w:tc>
          <w:tcPr>
            <w:tcW w:w="140" w:type="dxa"/>
            <w:vAlign w:val="bottom"/>
            <w:tcBorders>
              <w:bottom w:val="single" w:sz="8" w:color="auto"/>
            </w:tcBorders>
            <w:shd w:val="clear" w:color="auto" w:fill="CEF1FE"/>
          </w:tcPr>
          <w:p>
            <w:pPr>
              <w:spacing w:after="0"/>
              <w:rPr>
                <w:sz w:val="19"/>
                <w:szCs w:val="19"/>
                <w:color w:val="auto"/>
              </w:rPr>
            </w:pPr>
          </w:p>
        </w:tc>
        <w:tc>
          <w:tcPr>
            <w:tcW w:w="800" w:type="dxa"/>
            <w:vAlign w:val="bottom"/>
            <w:tcBorders>
              <w:bottom w:val="single" w:sz="8" w:color="auto"/>
            </w:tcBorders>
            <w:shd w:val="clear" w:color="auto" w:fill="CEF1FE"/>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EF1FE"/>
            </w:tcBorders>
            <w:shd w:val="clear" w:color="auto" w:fill="CEF1FE"/>
          </w:tcPr>
          <w:p>
            <w:pPr>
              <w:spacing w:after="0"/>
              <w:rPr>
                <w:sz w:val="19"/>
                <w:szCs w:val="19"/>
                <w:color w:val="auto"/>
              </w:rPr>
            </w:pPr>
          </w:p>
        </w:tc>
        <w:tc>
          <w:tcPr>
            <w:tcW w:w="100" w:type="dxa"/>
            <w:vAlign w:val="bottom"/>
            <w:tcBorders>
              <w:bottom w:val="single" w:sz="8" w:color="auto"/>
            </w:tcBorders>
            <w:shd w:val="clear" w:color="auto" w:fill="CEF1FE"/>
          </w:tcPr>
          <w:p>
            <w:pPr>
              <w:spacing w:after="0"/>
              <w:rPr>
                <w:sz w:val="19"/>
                <w:szCs w:val="19"/>
                <w:color w:val="auto"/>
              </w:rPr>
            </w:pPr>
          </w:p>
        </w:tc>
        <w:tc>
          <w:tcPr>
            <w:tcW w:w="940" w:type="dxa"/>
            <w:vAlign w:val="bottom"/>
            <w:tcBorders>
              <w:bottom w:val="single" w:sz="8" w:color="auto"/>
            </w:tcBorders>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EF1FE"/>
            </w:tcBorders>
            <w:shd w:val="clear" w:color="auto" w:fill="CEF1FE"/>
          </w:tcPr>
          <w:p>
            <w:pPr>
              <w:spacing w:after="0"/>
              <w:rPr>
                <w:sz w:val="19"/>
                <w:szCs w:val="19"/>
                <w:color w:val="auto"/>
              </w:rPr>
            </w:pPr>
          </w:p>
        </w:tc>
        <w:tc>
          <w:tcPr>
            <w:tcW w:w="140" w:type="dxa"/>
            <w:vAlign w:val="bottom"/>
            <w:tcBorders>
              <w:bottom w:val="single" w:sz="8" w:color="auto"/>
            </w:tcBorders>
            <w:shd w:val="clear" w:color="auto" w:fill="CEF1FE"/>
          </w:tcPr>
          <w:p>
            <w:pPr>
              <w:spacing w:after="0"/>
              <w:rPr>
                <w:sz w:val="19"/>
                <w:szCs w:val="19"/>
                <w:color w:val="auto"/>
              </w:rPr>
            </w:pPr>
          </w:p>
        </w:tc>
        <w:tc>
          <w:tcPr>
            <w:tcW w:w="1320" w:type="dxa"/>
            <w:vAlign w:val="bottom"/>
            <w:tcBorders>
              <w:bottom w:val="single" w:sz="8" w:color="auto"/>
            </w:tcBorders>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EF1FE"/>
            </w:tcBorders>
            <w:shd w:val="clear" w:color="auto" w:fill="CEF1FE"/>
          </w:tcPr>
          <w:p>
            <w:pPr>
              <w:spacing w:after="0"/>
              <w:rPr>
                <w:sz w:val="19"/>
                <w:szCs w:val="19"/>
                <w:color w:val="auto"/>
              </w:rPr>
            </w:pPr>
          </w:p>
        </w:tc>
        <w:tc>
          <w:tcPr>
            <w:tcW w:w="140" w:type="dxa"/>
            <w:vAlign w:val="bottom"/>
            <w:tcBorders>
              <w:bottom w:val="single" w:sz="8" w:color="auto"/>
            </w:tcBorders>
            <w:shd w:val="clear" w:color="auto" w:fill="CEF1FE"/>
          </w:tcPr>
          <w:p>
            <w:pPr>
              <w:spacing w:after="0"/>
              <w:rPr>
                <w:sz w:val="19"/>
                <w:szCs w:val="19"/>
                <w:color w:val="auto"/>
              </w:rPr>
            </w:pPr>
          </w:p>
        </w:tc>
        <w:tc>
          <w:tcPr>
            <w:tcW w:w="116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7"/>
                <w:szCs w:val="17"/>
                <w:color w:val="auto"/>
              </w:rPr>
              <w:t>(16,896 )</w:t>
            </w:r>
          </w:p>
        </w:tc>
        <w:tc>
          <w:tcPr>
            <w:tcW w:w="140" w:type="dxa"/>
            <w:vAlign w:val="bottom"/>
            <w:tcBorders>
              <w:bottom w:val="single" w:sz="8" w:color="CEF1FE"/>
            </w:tcBorders>
            <w:shd w:val="clear" w:color="auto" w:fill="CEF1FE"/>
          </w:tcPr>
          <w:p>
            <w:pPr>
              <w:spacing w:after="0"/>
              <w:rPr>
                <w:sz w:val="19"/>
                <w:szCs w:val="19"/>
                <w:color w:val="auto"/>
              </w:rPr>
            </w:pPr>
          </w:p>
        </w:tc>
        <w:tc>
          <w:tcPr>
            <w:tcW w:w="120" w:type="dxa"/>
            <w:vAlign w:val="bottom"/>
            <w:tcBorders>
              <w:bottom w:val="single" w:sz="8" w:color="auto"/>
            </w:tcBorders>
            <w:shd w:val="clear" w:color="auto" w:fill="CEF1FE"/>
          </w:tcPr>
          <w:p>
            <w:pPr>
              <w:spacing w:after="0"/>
              <w:rPr>
                <w:sz w:val="19"/>
                <w:szCs w:val="19"/>
                <w:color w:val="auto"/>
              </w:rPr>
            </w:pPr>
          </w:p>
        </w:tc>
        <w:tc>
          <w:tcPr>
            <w:tcW w:w="114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7"/>
                <w:szCs w:val="17"/>
                <w:color w:val="auto"/>
              </w:rPr>
              <w:t>(16,896 )</w:t>
            </w: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Balance as of June 30, 2023</w:t>
            </w:r>
          </w:p>
        </w:tc>
        <w:tc>
          <w:tcPr>
            <w:tcW w:w="1360" w:type="dxa"/>
            <w:vAlign w:val="bottom"/>
          </w:tcPr>
          <w:p>
            <w:pPr>
              <w:jc w:val="right"/>
              <w:ind w:right="57"/>
              <w:spacing w:after="0"/>
              <w:rPr>
                <w:sz w:val="20"/>
                <w:szCs w:val="20"/>
                <w:color w:val="auto"/>
              </w:rPr>
            </w:pPr>
            <w:r>
              <w:rPr>
                <w:rFonts w:ascii="Arial" w:cs="Arial" w:eastAsia="Arial" w:hAnsi="Arial"/>
                <w:sz w:val="17"/>
                <w:szCs w:val="17"/>
                <w:b w:val="1"/>
                <w:bCs w:val="1"/>
                <w:color w:val="auto"/>
              </w:rPr>
              <w:t>52,450,731</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rPr>
              <w:t>52</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7"/>
                <w:szCs w:val="17"/>
                <w:b w:val="1"/>
                <w:bCs w:val="1"/>
                <w:color w:val="auto"/>
              </w:rPr>
              <w:t>815,588</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(325 )</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(760,366 )</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8"/>
              <w:spacing w:after="0"/>
              <w:rPr>
                <w:sz w:val="20"/>
                <w:szCs w:val="20"/>
                <w:color w:val="auto"/>
              </w:rPr>
            </w:pPr>
            <w:r>
              <w:rPr>
                <w:rFonts w:ascii="Arial" w:cs="Arial" w:eastAsia="Arial" w:hAnsi="Arial"/>
                <w:sz w:val="17"/>
                <w:szCs w:val="17"/>
                <w:b w:val="1"/>
                <w:bCs w:val="1"/>
                <w:color w:val="auto"/>
              </w:rPr>
              <w:t>54,949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180" w:type="dxa"/>
            <w:vAlign w:val="bottom"/>
          </w:tcPr>
          <w:p>
            <w:pPr>
              <w:spacing w:after="0"/>
              <w:rPr>
                <w:sz w:val="23"/>
                <w:szCs w:val="23"/>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36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as of March 31, 2022</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b w:val="1"/>
                <w:bCs w:val="1"/>
                <w:color w:val="auto"/>
              </w:rPr>
              <w:t>48,132,937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b w:val="1"/>
                <w:bCs w:val="1"/>
                <w:color w:val="auto"/>
              </w:rPr>
              <w:t>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802,170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(908 )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(654,519 )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b w:val="1"/>
                <w:bCs w:val="1"/>
                <w:color w:val="auto"/>
              </w:rPr>
              <w:t>146,791</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color w:val="auto"/>
              </w:rPr>
              <w:t>Issuance of common stock under ESPP</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134,888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177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5"/>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w w:val="95"/>
              </w:rPr>
              <w:t>Issuance of common stock for settlement of</w:t>
            </w:r>
          </w:p>
        </w:tc>
        <w:tc>
          <w:tcPr>
            <w:tcW w:w="136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8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00" w:type="dxa"/>
            <w:vAlign w:val="bottom"/>
            <w:shd w:val="clear" w:color="auto" w:fill="CEF1FE"/>
          </w:tcPr>
          <w:p>
            <w:pPr>
              <w:spacing w:after="0"/>
              <w:rPr>
                <w:sz w:val="17"/>
                <w:szCs w:val="17"/>
                <w:color w:val="auto"/>
              </w:rPr>
            </w:pPr>
          </w:p>
        </w:tc>
        <w:tc>
          <w:tcPr>
            <w:tcW w:w="9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32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16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140" w:type="dxa"/>
            <w:vAlign w:val="bottom"/>
            <w:shd w:val="clear" w:color="auto" w:fill="CEF1F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rPr>
              <w:t>RSUs</w:t>
            </w:r>
          </w:p>
        </w:tc>
        <w:tc>
          <w:tcPr>
            <w:tcW w:w="13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94,911</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800" w:type="dxa"/>
            <w:vAlign w:val="bottom"/>
            <w:shd w:val="clear" w:color="auto" w:fill="CEF1FE"/>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94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32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1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140" w:type="dxa"/>
            <w:vAlign w:val="bottom"/>
            <w:shd w:val="clear" w:color="auto" w:fill="CEF1FE"/>
          </w:tcPr>
          <w:p>
            <w:pPr>
              <w:jc w:val="right"/>
              <w:ind w:right="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7"/>
                <w:szCs w:val="17"/>
                <w:color w:val="auto"/>
              </w:rPr>
              <w:t>Unrealized loss on marketable debt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38"/>
        </w:trPr>
        <w:tc>
          <w:tcPr>
            <w:tcW w:w="3180" w:type="dxa"/>
            <w:vAlign w:val="bottom"/>
            <w:shd w:val="clear" w:color="auto" w:fill="CEF1FE"/>
          </w:tcPr>
          <w:p>
            <w:pPr>
              <w:ind w:left="20"/>
              <w:spacing w:after="0"/>
              <w:rPr>
                <w:sz w:val="20"/>
                <w:szCs w:val="20"/>
                <w:color w:val="auto"/>
              </w:rPr>
            </w:pPr>
            <w:r>
              <w:rPr>
                <w:rFonts w:ascii="Arial" w:cs="Arial" w:eastAsia="Arial" w:hAnsi="Arial"/>
                <w:sz w:val="17"/>
                <w:szCs w:val="17"/>
                <w:color w:val="auto"/>
              </w:rPr>
              <w:t>Stock-based compensation</w:t>
            </w:r>
          </w:p>
        </w:tc>
        <w:tc>
          <w:tcPr>
            <w:tcW w:w="13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800" w:type="dxa"/>
            <w:vAlign w:val="bottom"/>
            <w:shd w:val="clear" w:color="auto" w:fill="CEF1FE"/>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00" w:type="dxa"/>
            <w:vAlign w:val="bottom"/>
            <w:shd w:val="clear" w:color="auto" w:fill="CEF1FE"/>
          </w:tcPr>
          <w:p>
            <w:pPr>
              <w:spacing w:after="0"/>
              <w:rPr>
                <w:sz w:val="20"/>
                <w:szCs w:val="20"/>
                <w:color w:val="auto"/>
              </w:rPr>
            </w:pPr>
          </w:p>
        </w:tc>
        <w:tc>
          <w:tcPr>
            <w:tcW w:w="94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1,563</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320" w:type="dxa"/>
            <w:vAlign w:val="bottom"/>
            <w:shd w:val="clear" w:color="auto" w:fill="CEF1FE"/>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40" w:type="dxa"/>
            <w:vAlign w:val="bottom"/>
            <w:shd w:val="clear" w:color="auto" w:fill="CEF1FE"/>
          </w:tcPr>
          <w:p>
            <w:pPr>
              <w:spacing w:after="0"/>
              <w:rPr>
                <w:sz w:val="20"/>
                <w:szCs w:val="20"/>
                <w:color w:val="auto"/>
              </w:rPr>
            </w:pPr>
          </w:p>
        </w:tc>
        <w:tc>
          <w:tcPr>
            <w:tcW w:w="1160" w:type="dxa"/>
            <w:vAlign w:val="bottom"/>
            <w:shd w:val="clear" w:color="auto" w:fill="CEF1FE"/>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EF1FE"/>
          </w:tcPr>
          <w:p>
            <w:pPr>
              <w:spacing w:after="0"/>
              <w:rPr>
                <w:sz w:val="20"/>
                <w:szCs w:val="20"/>
                <w:color w:val="auto"/>
              </w:rPr>
            </w:pPr>
          </w:p>
        </w:tc>
        <w:tc>
          <w:tcPr>
            <w:tcW w:w="120" w:type="dxa"/>
            <w:vAlign w:val="bottom"/>
            <w:shd w:val="clear" w:color="auto" w:fill="CEF1FE"/>
          </w:tcPr>
          <w:p>
            <w:pPr>
              <w:spacing w:after="0"/>
              <w:rPr>
                <w:sz w:val="20"/>
                <w:szCs w:val="20"/>
                <w:color w:val="auto"/>
              </w:rPr>
            </w:pPr>
          </w:p>
        </w:tc>
        <w:tc>
          <w:tcPr>
            <w:tcW w:w="1140" w:type="dxa"/>
            <w:vAlign w:val="bottom"/>
            <w:shd w:val="clear" w:color="auto" w:fill="CEF1FE"/>
          </w:tcPr>
          <w:p>
            <w:pPr>
              <w:jc w:val="right"/>
              <w:ind w:right="58"/>
              <w:spacing w:after="0"/>
              <w:rPr>
                <w:sz w:val="20"/>
                <w:szCs w:val="20"/>
                <w:color w:val="auto"/>
              </w:rPr>
            </w:pPr>
            <w:r>
              <w:rPr>
                <w:rFonts w:ascii="Arial" w:cs="Arial" w:eastAsia="Arial" w:hAnsi="Arial"/>
                <w:sz w:val="17"/>
                <w:szCs w:val="17"/>
                <w:color w:val="auto"/>
              </w:rPr>
              <w:t>1,563</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(24,461 )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(24,461 )</w:t>
            </w:r>
          </w:p>
        </w:tc>
        <w:tc>
          <w:tcPr>
            <w:tcW w:w="0" w:type="dxa"/>
            <w:vAlign w:val="bottom"/>
          </w:tcPr>
          <w:p>
            <w:pPr>
              <w:spacing w:after="0"/>
              <w:rPr>
                <w:sz w:val="1"/>
                <w:szCs w:val="1"/>
                <w:color w:val="auto"/>
              </w:rPr>
            </w:pPr>
          </w:p>
        </w:tc>
      </w:tr>
      <w:tr>
        <w:trPr>
          <w:trHeight w:val="265"/>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Balance as of June 30, 2022</w:t>
            </w:r>
          </w:p>
        </w:tc>
        <w:tc>
          <w:tcPr>
            <w:tcW w:w="13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7"/>
                <w:szCs w:val="17"/>
                <w:b w:val="1"/>
                <w:bCs w:val="1"/>
                <w:color w:val="auto"/>
              </w:rPr>
              <w:t>48,362,736</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7"/>
                <w:szCs w:val="17"/>
                <w:b w:val="1"/>
                <w:bCs w:val="1"/>
                <w:color w:val="auto"/>
              </w:rPr>
              <w:t>48</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803,910</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(998 )</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(678,980 )</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7"/>
                <w:szCs w:val="17"/>
                <w:b w:val="1"/>
                <w:bCs w:val="1"/>
                <w:color w:val="auto"/>
              </w:rPr>
              <w:t>123,980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-2005330</wp:posOffset>
            </wp:positionV>
            <wp:extent cx="8572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-2005330</wp:posOffset>
            </wp:positionV>
            <wp:extent cx="8572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-2005330</wp:posOffset>
            </wp:positionV>
            <wp:extent cx="8572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-2005330</wp:posOffset>
            </wp:positionV>
            <wp:extent cx="8572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-2005330</wp:posOffset>
            </wp:positionV>
            <wp:extent cx="8572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For the Six Month Period</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36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as of December 31, 2022</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b w:val="1"/>
                <w:bCs w:val="1"/>
                <w:color w:val="auto"/>
              </w:rPr>
              <w:t>48,894,973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b w:val="1"/>
                <w:bCs w:val="1"/>
                <w:color w:val="auto"/>
              </w:rPr>
              <w:t>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807,938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(803 )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(724,520 )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b w:val="1"/>
                <w:bCs w:val="1"/>
                <w:color w:val="auto"/>
              </w:rPr>
              <w:t>82,664</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7"/>
                <w:szCs w:val="17"/>
                <w:color w:val="auto"/>
              </w:rPr>
              <w:t>Issuance of common stock under ATM</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7"/>
                <w:szCs w:val="17"/>
                <w:color w:val="auto"/>
              </w:rPr>
              <w:t>equity offering program, net of issuance</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color w:val="auto"/>
              </w:rPr>
              <w:t>costs</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3,134,045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4,543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4,546</w:t>
            </w:r>
          </w:p>
        </w:tc>
        <w:tc>
          <w:tcPr>
            <w:tcW w:w="0" w:type="dxa"/>
            <w:vAlign w:val="bottom"/>
          </w:tcPr>
          <w:p>
            <w:pPr>
              <w:spacing w:after="0"/>
              <w:rPr>
                <w:sz w:val="1"/>
                <w:szCs w:val="1"/>
                <w:color w:val="auto"/>
              </w:rPr>
            </w:pPr>
          </w:p>
        </w:tc>
      </w:tr>
      <w:tr>
        <w:trPr>
          <w:trHeight w:val="238"/>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Issuance of common stock under ESPP</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90,407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7"/>
                <w:szCs w:val="17"/>
                <w:color w:val="auto"/>
                <w:w w:val="95"/>
              </w:rPr>
              <w:t>Issuance of common stock for settlement of</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color w:val="auto"/>
              </w:rPr>
              <w:t>RSUs</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331,306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Unrealized gain on marketable debt</w:t>
            </w: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securities</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478</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3,027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3,027</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13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(35,846 )</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(35,846 )</w:t>
            </w: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Balance as of June 30, 2023</w:t>
            </w:r>
          </w:p>
        </w:tc>
        <w:tc>
          <w:tcPr>
            <w:tcW w:w="1360" w:type="dxa"/>
            <w:vAlign w:val="bottom"/>
          </w:tcPr>
          <w:p>
            <w:pPr>
              <w:jc w:val="right"/>
              <w:ind w:right="57"/>
              <w:spacing w:after="0"/>
              <w:rPr>
                <w:sz w:val="20"/>
                <w:szCs w:val="20"/>
                <w:color w:val="auto"/>
              </w:rPr>
            </w:pPr>
            <w:r>
              <w:rPr>
                <w:rFonts w:ascii="Arial" w:cs="Arial" w:eastAsia="Arial" w:hAnsi="Arial"/>
                <w:sz w:val="17"/>
                <w:szCs w:val="17"/>
                <w:b w:val="1"/>
                <w:bCs w:val="1"/>
                <w:color w:val="auto"/>
              </w:rPr>
              <w:t>52,450,731</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56"/>
              <w:spacing w:after="0"/>
              <w:rPr>
                <w:sz w:val="20"/>
                <w:szCs w:val="20"/>
                <w:color w:val="auto"/>
              </w:rPr>
            </w:pPr>
            <w:r>
              <w:rPr>
                <w:rFonts w:ascii="Arial" w:cs="Arial" w:eastAsia="Arial" w:hAnsi="Arial"/>
                <w:sz w:val="17"/>
                <w:szCs w:val="17"/>
                <w:b w:val="1"/>
                <w:bCs w:val="1"/>
                <w:color w:val="auto"/>
              </w:rPr>
              <w:t>52</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7"/>
                <w:szCs w:val="17"/>
                <w:b w:val="1"/>
                <w:bCs w:val="1"/>
                <w:color w:val="auto"/>
              </w:rPr>
              <w:t>815,588</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(325 )</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(760,366 )</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8"/>
              <w:spacing w:after="0"/>
              <w:rPr>
                <w:sz w:val="20"/>
                <w:szCs w:val="20"/>
                <w:color w:val="auto"/>
              </w:rPr>
            </w:pPr>
            <w:r>
              <w:rPr>
                <w:rFonts w:ascii="Arial" w:cs="Arial" w:eastAsia="Arial" w:hAnsi="Arial"/>
                <w:sz w:val="17"/>
                <w:szCs w:val="17"/>
                <w:b w:val="1"/>
                <w:bCs w:val="1"/>
                <w:color w:val="auto"/>
              </w:rPr>
              <w:t>54,949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180" w:type="dxa"/>
            <w:vAlign w:val="bottom"/>
          </w:tcPr>
          <w:p>
            <w:pPr>
              <w:spacing w:after="0"/>
              <w:rPr>
                <w:sz w:val="24"/>
                <w:szCs w:val="24"/>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199"/>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36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b w:val="1"/>
                <w:bCs w:val="1"/>
                <w:color w:val="auto"/>
              </w:rPr>
              <w:t>48,120,437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b w:val="1"/>
                <w:bCs w:val="1"/>
                <w:color w:val="auto"/>
              </w:rPr>
              <w:t>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800,728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(419 )</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(631,428 )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b w:val="1"/>
                <w:bCs w:val="1"/>
                <w:color w:val="auto"/>
              </w:rPr>
              <w:t>168,929</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color w:val="auto"/>
              </w:rPr>
              <w:t>Issuance of common stock under ESPP</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134,888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177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5"/>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color w:val="auto"/>
                <w:w w:val="95"/>
              </w:rPr>
              <w:t>Issuance of common stock for settlement of</w:t>
            </w: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RSUs</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107,411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180" w:type="dxa"/>
            <w:vAlign w:val="bottom"/>
          </w:tcPr>
          <w:p>
            <w:pPr>
              <w:ind w:left="20"/>
              <w:spacing w:after="0"/>
              <w:rPr>
                <w:sz w:val="20"/>
                <w:szCs w:val="20"/>
                <w:color w:val="auto"/>
              </w:rPr>
            </w:pPr>
            <w:r>
              <w:rPr>
                <w:rFonts w:ascii="Arial" w:cs="Arial" w:eastAsia="Arial" w:hAnsi="Arial"/>
                <w:sz w:val="17"/>
                <w:szCs w:val="17"/>
                <w:color w:val="auto"/>
              </w:rPr>
              <w:t>Unrealized loss on marketable debt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13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(579 )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(579 )</w:t>
            </w:r>
          </w:p>
        </w:tc>
        <w:tc>
          <w:tcPr>
            <w:tcW w:w="0" w:type="dxa"/>
            <w:vAlign w:val="bottom"/>
          </w:tcPr>
          <w:p>
            <w:pPr>
              <w:spacing w:after="0"/>
              <w:rPr>
                <w:sz w:val="1"/>
                <w:szCs w:val="1"/>
                <w:color w:val="auto"/>
              </w:rPr>
            </w:pPr>
          </w:p>
        </w:tc>
      </w:tr>
      <w:tr>
        <w:trPr>
          <w:trHeight w:val="238"/>
        </w:trPr>
        <w:tc>
          <w:tcPr>
            <w:tcW w:w="31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3,005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8"/>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(47,552 )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(47,552 )</w:t>
            </w:r>
          </w:p>
        </w:tc>
        <w:tc>
          <w:tcPr>
            <w:tcW w:w="0" w:type="dxa"/>
            <w:vAlign w:val="bottom"/>
          </w:tcPr>
          <w:p>
            <w:pPr>
              <w:spacing w:after="0"/>
              <w:rPr>
                <w:sz w:val="1"/>
                <w:szCs w:val="1"/>
                <w:color w:val="auto"/>
              </w:rPr>
            </w:pPr>
          </w:p>
        </w:tc>
      </w:tr>
      <w:tr>
        <w:trPr>
          <w:trHeight w:val="265"/>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Balance as of June 30, 2022</w:t>
            </w:r>
          </w:p>
        </w:tc>
        <w:tc>
          <w:tcPr>
            <w:tcW w:w="13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7"/>
                <w:szCs w:val="17"/>
                <w:b w:val="1"/>
                <w:bCs w:val="1"/>
                <w:color w:val="auto"/>
              </w:rPr>
              <w:t>48,362,736</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7"/>
                <w:szCs w:val="17"/>
                <w:b w:val="1"/>
                <w:bCs w:val="1"/>
                <w:color w:val="auto"/>
              </w:rPr>
              <w:t>48</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7"/>
                <w:szCs w:val="17"/>
                <w:b w:val="1"/>
                <w:bCs w:val="1"/>
                <w:color w:val="auto"/>
              </w:rPr>
              <w:t>803,910</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(998 )</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(678,980 )</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7"/>
                <w:szCs w:val="17"/>
                <w:b w:val="1"/>
                <w:bCs w:val="1"/>
                <w:color w:val="auto"/>
              </w:rPr>
              <w:t>123,980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-2065655</wp:posOffset>
            </wp:positionV>
            <wp:extent cx="8572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-2065655</wp:posOffset>
            </wp:positionV>
            <wp:extent cx="8572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-2065655</wp:posOffset>
            </wp:positionV>
            <wp:extent cx="8572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-2065655</wp:posOffset>
            </wp:positionV>
            <wp:extent cx="8572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-2065655</wp:posOffset>
            </wp:positionV>
            <wp:extent cx="8572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8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2022</w:t>
            </w:r>
          </w:p>
        </w:tc>
      </w:tr>
      <w:tr>
        <w:trPr>
          <w:trHeight w:val="24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(35,846 )</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(47,552 )</w:t>
            </w:r>
          </w:p>
        </w:tc>
      </w:tr>
      <w:tr>
        <w:trPr>
          <w:trHeight w:val="249"/>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8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240</w:t>
            </w:r>
          </w:p>
        </w:tc>
      </w:tr>
      <w:tr>
        <w:trPr>
          <w:trHeight w:val="249"/>
        </w:trPr>
        <w:tc>
          <w:tcPr>
            <w:tcW w:w="8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3,025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3,024</w:t>
            </w:r>
          </w:p>
        </w:tc>
      </w:tr>
      <w:tr>
        <w:trPr>
          <w:trHeight w:val="237"/>
        </w:trPr>
        <w:tc>
          <w:tcPr>
            <w:tcW w:w="8100" w:type="dxa"/>
            <w:vAlign w:val="bottom"/>
          </w:tcPr>
          <w:p>
            <w:pPr>
              <w:ind w:left="200"/>
              <w:spacing w:after="0"/>
              <w:rPr>
                <w:sz w:val="20"/>
                <w:szCs w:val="20"/>
                <w:color w:val="auto"/>
              </w:rPr>
            </w:pPr>
            <w:r>
              <w:rPr>
                <w:rFonts w:ascii="Arial" w:cs="Arial" w:eastAsia="Arial" w:hAnsi="Arial"/>
                <w:sz w:val="18"/>
                <w:szCs w:val="18"/>
                <w:color w:val="auto"/>
              </w:rPr>
              <w:t>Net (accretion) amortization of investments in marketable debt securities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214</w:t>
            </w:r>
          </w:p>
        </w:tc>
      </w:tr>
      <w:tr>
        <w:trPr>
          <w:trHeight w:val="249"/>
        </w:trPr>
        <w:tc>
          <w:tcPr>
            <w:tcW w:w="8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rent expense</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1,709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1,784</w:t>
            </w:r>
          </w:p>
        </w:tc>
      </w:tr>
      <w:tr>
        <w:trPr>
          <w:trHeight w:val="237"/>
        </w:trPr>
        <w:tc>
          <w:tcPr>
            <w:tcW w:w="81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9"/>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 from collaboration</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(187 )</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159</w:t>
            </w:r>
          </w:p>
        </w:tc>
      </w:tr>
      <w:tr>
        <w:trPr>
          <w:trHeight w:val="249"/>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68</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49"/>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1,046</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(2,132 )</w:t>
            </w:r>
          </w:p>
        </w:tc>
      </w:tr>
      <w:tr>
        <w:trPr>
          <w:trHeight w:val="243"/>
        </w:trPr>
        <w:tc>
          <w:tcPr>
            <w:tcW w:w="8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(1,846 )</w:t>
            </w:r>
          </w:p>
        </w:tc>
      </w:tr>
      <w:tr>
        <w:trPr>
          <w:trHeight w:val="236"/>
        </w:trPr>
        <w:tc>
          <w:tcPr>
            <w:tcW w:w="81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(37,056 )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(45,387 )</w:t>
            </w:r>
          </w:p>
        </w:tc>
      </w:tr>
      <w:tr>
        <w:trPr>
          <w:trHeight w:val="249"/>
        </w:trPr>
        <w:tc>
          <w:tcPr>
            <w:tcW w:w="8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24,645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46,500</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(15,854 )</w:t>
            </w:r>
          </w:p>
        </w:tc>
      </w:tr>
      <w:tr>
        <w:trPr>
          <w:trHeight w:val="237"/>
        </w:trPr>
        <w:tc>
          <w:tcPr>
            <w:tcW w:w="81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sale of marketable securities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12,000</w:t>
            </w:r>
          </w:p>
        </w:tc>
      </w:tr>
      <w:tr>
        <w:trPr>
          <w:trHeight w:val="24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1,635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42,646</w:t>
            </w:r>
          </w:p>
        </w:tc>
      </w:tr>
      <w:tr>
        <w:trPr>
          <w:trHeight w:val="243"/>
        </w:trPr>
        <w:tc>
          <w:tcPr>
            <w:tcW w:w="8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w w:val="93"/>
              </w:rPr>
              <w:t>Proceeds from the issuance of common stock under ATM equity offering program, net of issuance costs</w:t>
            </w:r>
          </w:p>
        </w:tc>
        <w:tc>
          <w:tcPr>
            <w:tcW w:w="3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4,546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the issuance of common stock under ESPP</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4,626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177</w:t>
            </w:r>
          </w:p>
        </w:tc>
      </w:tr>
      <w:tr>
        <w:trPr>
          <w:trHeight w:val="249"/>
        </w:trPr>
        <w:tc>
          <w:tcPr>
            <w:tcW w:w="8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(30,795 )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(2,564 )</w:t>
            </w:r>
          </w:p>
        </w:tc>
      </w:tr>
      <w:tr>
        <w:trPr>
          <w:trHeight w:val="243"/>
        </w:trPr>
        <w:tc>
          <w:tcPr>
            <w:tcW w:w="8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52,418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45,627</w:t>
            </w:r>
          </w:p>
        </w:tc>
      </w:tr>
      <w:tr>
        <w:trPr>
          <w:trHeight w:val="238"/>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21,623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43,063</w:t>
            </w: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Operating lease liabilities arising from obtaining ROU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-2983230</wp:posOffset>
            </wp:positionV>
            <wp:extent cx="10287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-1894205</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-488315</wp:posOffset>
            </wp:positionV>
            <wp:extent cx="10287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biotechnology company developing innovative antiviral therapeutics with the potential to improve the lives of patients worldwide by targeting serious viral diseases, including high-recurrence genital herpes, transplant-related herpesviruses, chronic hepatitis delta virus (HDV) infection and chronic hepatitis B virus (HBV) infection. The Company operates in one segment and is headquartered in South San Francisco, California.</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a broad research and development portfolio with multiple targets, including (1) a long-acting helicase-primase inhibitor for the treatment of high-recurrence genital herpes, ABI-5366, (2) a pan-herpes non-nucleoside polymerase inhibitor to treat transplant-associated herpesvirus infections, (3) an oral small molecule approach to inhibit cell entry for both HDV and HBV, (4) a small molecule interferon-α receptor agonist designed to selectively activate the interferon-α pathway within the liver and offer the convenience of oral dosing and (5) small molecule core inhibitors that inhibit the HBV replication cycle and block the generation of covalently closed circular DNA (cccDNA).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The Company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could also adversely impact the Company’s ability to access capital when and as needed.</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secure additional sources of funding, generate enough revenue from its collaborations,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2022, which are contained in the 2022 Annual Report. The results for the three and six months ended June 30, 2023 are not necessarily indicative of results to be expected for the entire year ending December 31, 2023 or future operating periods.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estimates inherent in the preparation of the accompanying unaudited condensed consolidated financial statements include estimates of costs incurred but not yet invoiced for research and development accruals.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relies on contract research organizations (CROs), including one located in Ukraine that temporarily shut down operations due to Russia’s invasion. Though this CRO has resumed operations and the Company continues to utilize this CRO, the Company has reallocated certain work to other global CROs in case the CRO shuts down operations again.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and global financial markets have experienced volatility and disruption due to other macroeconomic and geopolitical events such as rising inflation, the risk of a recession, the ongoing conflict between Russia and Ukraine, as well as the ongoing impact of the COVID-19 pandemic. The Company cannot predict at this time to what extent, if at all, it and its employees, CROs, vendors and/or collaborators could potentially be negatively impacted by these events.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announced it was evaluating potential partnering options for its core inhibitor portfolio. If the Company is unable to reach an agreement with a suitable collaboration partner for its core inhibitors or any such agreement has unfavorable terms, the Company may be unable to advance the product candidates through further clinical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37"/>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51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(16,896 )</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(24,461 )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(35,846 )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(47,552 )</w:t>
            </w:r>
          </w:p>
        </w:tc>
      </w:tr>
      <w:tr>
        <w:trPr>
          <w:trHeight w:val="20"/>
        </w:trPr>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7"/>
        </w:trPr>
        <w:tc>
          <w:tcPr>
            <w:tcW w:w="5180" w:type="dxa"/>
            <w:vAlign w:val="bottom"/>
          </w:tcPr>
          <w:p>
            <w:pPr>
              <w:ind w:left="200"/>
              <w:spacing w:after="0"/>
              <w:rPr>
                <w:sz w:val="20"/>
                <w:szCs w:val="20"/>
                <w:color w:val="auto"/>
              </w:rPr>
            </w:pPr>
            <w:r>
              <w:rPr>
                <w:rFonts w:ascii="Arial" w:cs="Arial" w:eastAsia="Arial" w:hAnsi="Arial"/>
                <w:sz w:val="18"/>
                <w:szCs w:val="18"/>
                <w:color w:val="auto"/>
                <w:w w:val="93"/>
              </w:rPr>
              <w:t>Weighted average common shares outstanding - basic and diluted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52,260,088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48,293,495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51,638,928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48,208,735</w:t>
            </w:r>
          </w:p>
        </w:tc>
      </w:tr>
      <w:tr>
        <w:trPr>
          <w:trHeight w:val="20"/>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(0.32 )</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(0.51 )</w:t>
            </w:r>
          </w:p>
        </w:tc>
        <w:tc>
          <w:tcPr>
            <w:tcW w:w="1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(0.69 )</w:t>
            </w:r>
          </w:p>
        </w:tc>
        <w:tc>
          <w:tcPr>
            <w:tcW w:w="1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(0.99 )</w:t>
            </w:r>
          </w:p>
        </w:tc>
      </w:tr>
      <w:tr>
        <w:trPr>
          <w:trHeight w:val="648"/>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816"/>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Securities excluded from the computation of diluted net loss per share because including them would have been antidilutive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64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rPr>
              <w:t>June 30,</w:t>
            </w:r>
          </w:p>
        </w:tc>
        <w:tc>
          <w:tcPr>
            <w:tcW w:w="1540" w:type="dxa"/>
            <w:vAlign w:val="bottom"/>
            <w:tcBorders>
              <w:bottom w:val="single" w:sz="8" w:color="auto"/>
            </w:tcBorders>
          </w:tcPr>
          <w:p>
            <w:pPr>
              <w:spacing w:after="0"/>
              <w:rPr>
                <w:sz w:val="16"/>
                <w:szCs w:val="16"/>
                <w:color w:val="auto"/>
              </w:rPr>
            </w:pPr>
          </w:p>
        </w:tc>
      </w:tr>
      <w:tr>
        <w:trPr>
          <w:trHeight w:val="223"/>
        </w:trPr>
        <w:tc>
          <w:tcPr>
            <w:tcW w:w="7060" w:type="dxa"/>
            <w:vAlign w:val="bottom"/>
          </w:tcPr>
          <w:p>
            <w:pPr>
              <w:spacing w:after="0"/>
              <w:rPr>
                <w:sz w:val="19"/>
                <w:szCs w:val="19"/>
                <w:color w:val="auto"/>
              </w:rPr>
            </w:pPr>
          </w:p>
        </w:tc>
        <w:tc>
          <w:tcPr>
            <w:tcW w:w="19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2022</w:t>
            </w:r>
          </w:p>
        </w:tc>
      </w:tr>
      <w:tr>
        <w:trPr>
          <w:trHeight w:val="236"/>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9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10,132,603</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7,370,204</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Common stock subject to purchase under ESPP</w:t>
            </w:r>
          </w:p>
        </w:tc>
        <w:tc>
          <w:tcPr>
            <w:tcW w:w="1960" w:type="dxa"/>
            <w:vAlign w:val="bottom"/>
          </w:tcPr>
          <w:p>
            <w:pPr>
              <w:jc w:val="right"/>
              <w:ind w:right="76"/>
              <w:spacing w:after="0"/>
              <w:rPr>
                <w:sz w:val="20"/>
                <w:szCs w:val="20"/>
                <w:color w:val="auto"/>
              </w:rPr>
            </w:pPr>
            <w:r>
              <w:rPr>
                <w:rFonts w:ascii="Arial" w:cs="Arial" w:eastAsia="Arial" w:hAnsi="Arial"/>
                <w:sz w:val="18"/>
                <w:szCs w:val="18"/>
                <w:color w:val="auto"/>
              </w:rPr>
              <w:t>64,021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92,555</w:t>
            </w:r>
          </w:p>
        </w:tc>
      </w:tr>
      <w:tr>
        <w:trPr>
          <w:trHeight w:val="249"/>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RSUs</w:t>
            </w:r>
          </w:p>
        </w:tc>
        <w:tc>
          <w:tcPr>
            <w:tcW w:w="19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1,403,833</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1,516,609</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11,600,457</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8,979,368</w:t>
            </w:r>
          </w:p>
        </w:tc>
      </w:tr>
      <w:tr>
        <w:trPr>
          <w:trHeight w:val="20"/>
        </w:trPr>
        <w:tc>
          <w:tcPr>
            <w:tcW w:w="70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-187960</wp:posOffset>
            </wp:positionV>
            <wp:extent cx="17145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8859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Financial Accounting Standards Board (the FASB) issued Accounting Standards Update (ASU) No. 2016-13, </w:t>
      </w:r>
      <w:r>
        <w:rPr>
          <w:rFonts w:ascii="Arial" w:cs="Arial" w:eastAsia="Arial" w:hAnsi="Arial"/>
          <w:sz w:val="17"/>
          <w:szCs w:val="17"/>
          <w:i w:val="1"/>
          <w:iCs w:val="1"/>
          <w:color w:val="auto"/>
        </w:rPr>
        <w:t>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Measurement of Credit Losses on Financial Instruments </w:t>
      </w:r>
      <w:r>
        <w:rPr>
          <w:rFonts w:ascii="Arial" w:cs="Arial" w:eastAsia="Arial" w:hAnsi="Arial"/>
          <w:sz w:val="17"/>
          <w:szCs w:val="17"/>
          <w:color w:val="auto"/>
        </w:rPr>
        <w:t>(ASU 2016-13), which requires expected credit losses relating to financial assets measured</w:t>
      </w:r>
      <w:r>
        <w:rPr>
          <w:rFonts w:ascii="Arial" w:cs="Arial" w:eastAsia="Arial" w:hAnsi="Arial"/>
          <w:sz w:val="17"/>
          <w:szCs w:val="17"/>
          <w:i w:val="1"/>
          <w:iCs w:val="1"/>
          <w:color w:val="auto"/>
        </w:rPr>
        <w:t xml:space="preserve"> </w:t>
      </w:r>
      <w:r>
        <w:rPr>
          <w:rFonts w:ascii="Arial" w:cs="Arial" w:eastAsia="Arial" w:hAnsi="Arial"/>
          <w:sz w:val="17"/>
          <w:szCs w:val="17"/>
          <w:color w:val="auto"/>
        </w:rPr>
        <w:t>on an amortized cost basis 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The FASB issued additional amendments to the new guidance related to transition and clarification and deferred the effective date of this standard for all entities except SEC filers that are not smaller reporting companies to fiscal years beginning after December 15, 2022, including interim periods within those fiscal years. The Company adopted ASU 2016-13 effective January 1, 2023 on a modified retrospective basis. The Company elected to exclude accrued interest receivable from the amortized cost basis of its available-for-sale debt securities and to not measure an allowance for credit losses for accrued interest receivable. The adoption of ASU 2016-13 did not have a material impact on the Company’s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 in Marketable Securities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w w:val="90"/>
              </w:rPr>
              <w:t>June 30, 2023</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980" w:type="dxa"/>
            <w:vAlign w:val="bottom"/>
          </w:tcPr>
          <w:p>
            <w:pPr>
              <w:jc w:val="center"/>
              <w:ind w:left="224"/>
              <w:spacing w:after="0" w:line="133" w:lineRule="exact"/>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left="204"/>
              <w:spacing w:after="0" w:line="133"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5"/>
              </w:rPr>
              <w:t>Unrealized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6"/>
              </w:rPr>
              <w:t>Gain</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85"/>
              </w:rPr>
              <w:t>Loss</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20,221</w:t>
            </w:r>
          </w:p>
        </w:tc>
        <w:tc>
          <w:tcPr>
            <w:tcW w:w="1120" w:type="dxa"/>
            <w:vAlign w:val="bottom"/>
            <w:gridSpan w:val="2"/>
          </w:tcPr>
          <w:p>
            <w:pPr>
              <w:jc w:val="right"/>
              <w:ind w:right="804"/>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2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20,221</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20,221</w:t>
            </w:r>
          </w:p>
        </w:tc>
        <w:tc>
          <w:tcPr>
            <w:tcW w:w="1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20,221</w:t>
            </w:r>
          </w:p>
        </w:tc>
        <w:tc>
          <w:tcPr>
            <w:tcW w:w="0" w:type="dxa"/>
            <w:vAlign w:val="bottom"/>
          </w:tcPr>
          <w:p>
            <w:pPr>
              <w:spacing w:after="0"/>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3,182</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26,174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(36 )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26,142</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8,904</w:t>
            </w:r>
          </w:p>
        </w:tc>
        <w:tc>
          <w:tcPr>
            <w:tcW w:w="1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38,260</w:t>
            </w:r>
          </w:p>
        </w:tc>
        <w:tc>
          <w:tcPr>
            <w:tcW w:w="1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(56 )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38,208</w:t>
            </w: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58,481</w:t>
            </w:r>
          </w:p>
        </w:tc>
        <w:tc>
          <w:tcPr>
            <w:tcW w:w="1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2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(56 )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58,429</w:t>
            </w:r>
          </w:p>
        </w:tc>
        <w:tc>
          <w:tcPr>
            <w:tcW w:w="0" w:type="dxa"/>
            <w:vAlign w:val="bottom"/>
          </w:tcPr>
          <w:p>
            <w:pPr>
              <w:spacing w:after="0"/>
              <w:rPr>
                <w:sz w:val="1"/>
                <w:szCs w:val="1"/>
                <w:color w:val="auto"/>
              </w:rPr>
            </w:pPr>
          </w:p>
        </w:tc>
      </w:tr>
      <w:tr>
        <w:trPr>
          <w:trHeight w:val="635"/>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7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-1473835</wp:posOffset>
            </wp:positionV>
            <wp:extent cx="8572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-1473835</wp:posOffset>
            </wp:positionV>
            <wp:extent cx="8572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-1473835</wp:posOffset>
            </wp:positionV>
            <wp:extent cx="85725"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-847725</wp:posOffset>
            </wp:positionV>
            <wp:extent cx="8572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-847725</wp:posOffset>
            </wp:positionV>
            <wp:extent cx="857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-847725</wp:posOffset>
            </wp:positionV>
            <wp:extent cx="8572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-522605</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-504825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-522605</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-504825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-522605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-504825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875"/>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1"/>
                <w:szCs w:val="11"/>
                <w:color w:val="auto"/>
              </w:rPr>
            </w:pPr>
          </w:p>
        </w:tc>
        <w:tc>
          <w:tcPr>
            <w:tcW w:w="1020" w:type="dxa"/>
            <w:vAlign w:val="bottom"/>
          </w:tcPr>
          <w:p>
            <w:pPr>
              <w:jc w:val="center"/>
              <w:ind w:left="184"/>
              <w:spacing w:after="0" w:line="13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235"/>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96"/>
              </w:rPr>
              <w:t>Gain</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49,676</w:t>
            </w:r>
          </w:p>
        </w:tc>
        <w:tc>
          <w:tcPr>
            <w:tcW w:w="1160" w:type="dxa"/>
            <w:vAlign w:val="bottom"/>
            <w:gridSpan w:val="2"/>
          </w:tcPr>
          <w:p>
            <w:pPr>
              <w:jc w:val="right"/>
              <w:ind w:right="844"/>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49,676</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49,676</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49,676</w:t>
            </w: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18,903</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18,597</w:t>
            </w:r>
          </w:p>
        </w:tc>
        <w:tc>
          <w:tcPr>
            <w:tcW w:w="0" w:type="dxa"/>
            <w:vAlign w:val="bottom"/>
          </w:tcPr>
          <w:p>
            <w:pPr>
              <w:spacing w:after="0"/>
              <w:rPr>
                <w:sz w:val="1"/>
                <w:szCs w:val="1"/>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11,968</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11,744</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8,851</w:t>
            </w: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39,722</w:t>
            </w:r>
          </w:p>
        </w:tc>
        <w:tc>
          <w:tcPr>
            <w:tcW w:w="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39,192</w:t>
            </w:r>
          </w:p>
        </w:tc>
        <w:tc>
          <w:tcPr>
            <w:tcW w:w="0" w:type="dxa"/>
            <w:vAlign w:val="bottom"/>
          </w:tcPr>
          <w:p>
            <w:pPr>
              <w:spacing w:after="0"/>
              <w:rPr>
                <w:sz w:val="1"/>
                <w:szCs w:val="1"/>
                <w:color w:val="auto"/>
              </w:rPr>
            </w:pPr>
          </w:p>
        </w:tc>
      </w:tr>
      <w:tr>
        <w:trPr>
          <w:trHeight w:val="276"/>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89,398</w:t>
            </w:r>
          </w:p>
        </w:tc>
        <w:tc>
          <w:tcPr>
            <w:tcW w:w="1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4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88,868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-976630</wp:posOffset>
            </wp:positionV>
            <wp:extent cx="8572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-976630</wp:posOffset>
            </wp:positionV>
            <wp:extent cx="8572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-350520</wp:posOffset>
            </wp:positionV>
            <wp:extent cx="8572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-350520</wp:posOffset>
            </wp:positionV>
            <wp:extent cx="8572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-350520</wp:posOffset>
            </wp:positionV>
            <wp:extent cx="857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2023 and 2022,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condensed consolidated balance sheets during the three and six months ended June 30, 2023 and 2022.</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Accrued interest receivable was $0.1 million and $0.3 million as of June 30, 2023 and December 31, 2022, respectively, and was recorded in prepaid expenses and other current assets on the condensed consolidated balance sheets. The Company did not write off any accrued interest receivable during the three and six months ended June 30, 2023 and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June 30, 2023</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20,221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20,221</w:t>
            </w:r>
          </w:p>
        </w:tc>
      </w:tr>
      <w:tr>
        <w:trPr>
          <w:trHeight w:val="237"/>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20,221</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20,221</w:t>
            </w: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3,162</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3,162</w:t>
            </w: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26,142</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26,142</w:t>
            </w:r>
          </w:p>
        </w:tc>
      </w:tr>
      <w:tr>
        <w:trPr>
          <w:trHeight w:val="243"/>
        </w:trPr>
        <w:tc>
          <w:tcPr>
            <w:tcW w:w="5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8,904</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8,904</w:t>
            </w: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38,208</w:t>
            </w:r>
          </w:p>
        </w:tc>
        <w:tc>
          <w:tcPr>
            <w:tcW w:w="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38,208</w:t>
            </w:r>
          </w:p>
        </w:tc>
      </w:tr>
      <w:tr>
        <w:trPr>
          <w:trHeight w:val="277"/>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20,221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38,208</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58,429</w:t>
            </w:r>
          </w:p>
        </w:tc>
      </w:tr>
      <w:tr>
        <w:trPr>
          <w:trHeight w:val="311"/>
        </w:trPr>
        <w:tc>
          <w:tcPr>
            <w:tcW w:w="5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Level 3</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49,676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49,676</w:t>
            </w:r>
          </w:p>
        </w:tc>
      </w:tr>
      <w:tr>
        <w:trPr>
          <w:trHeight w:val="237"/>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49,676</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49,676</w:t>
            </w: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9"/>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18,597</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18,597</w:t>
            </w: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11,744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11,744</w:t>
            </w:r>
          </w:p>
        </w:tc>
      </w:tr>
      <w:tr>
        <w:trPr>
          <w:trHeight w:val="243"/>
        </w:trPr>
        <w:tc>
          <w:tcPr>
            <w:tcW w:w="5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8,851</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8,851</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39,192</w:t>
            </w:r>
          </w:p>
        </w:tc>
        <w:tc>
          <w:tcPr>
            <w:tcW w:w="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39,192</w:t>
            </w:r>
          </w:p>
        </w:tc>
      </w:tr>
      <w:tr>
        <w:trPr>
          <w:trHeight w:val="276"/>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49,676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39,192</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88,868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-2759710</wp:posOffset>
            </wp:positionV>
            <wp:extent cx="8572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-2759710</wp:posOffset>
            </wp:positionV>
            <wp:extent cx="85725"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-2759710</wp:posOffset>
            </wp:positionV>
            <wp:extent cx="85725"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-2133600</wp:posOffset>
            </wp:positionV>
            <wp:extent cx="8572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-2133600</wp:posOffset>
            </wp:positionV>
            <wp:extent cx="8572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-2133600</wp:posOffset>
            </wp:positionV>
            <wp:extent cx="8572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-1807845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-1790700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-1807845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-1790700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-1807845</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-1790700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-976630</wp:posOffset>
            </wp:positionV>
            <wp:extent cx="8572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-976630</wp:posOffset>
            </wp:positionV>
            <wp:extent cx="8572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-976630</wp:posOffset>
            </wp:positionV>
            <wp:extent cx="85725"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-350520</wp:posOffset>
            </wp:positionV>
            <wp:extent cx="857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-350520</wp:posOffset>
            </wp:positionV>
            <wp:extent cx="8572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-350520</wp:posOffset>
            </wp:positionV>
            <wp:extent cx="8572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Other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260" w:type="dxa"/>
            <w:vAlign w:val="bottom"/>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51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220" w:type="dxa"/>
            <w:vAlign w:val="bottom"/>
          </w:tcPr>
          <w:p>
            <w:pPr>
              <w:spacing w:after="0"/>
              <w:rPr>
                <w:sz w:val="16"/>
                <w:szCs w:val="16"/>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2022</w:t>
            </w:r>
          </w:p>
        </w:tc>
      </w:tr>
      <w:tr>
        <w:trPr>
          <w:trHeight w:val="237"/>
        </w:trPr>
        <w:tc>
          <w:tcPr>
            <w:tcW w:w="7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r>
      <w:tr>
        <w:trPr>
          <w:trHeight w:val="237"/>
        </w:trPr>
        <w:tc>
          <w:tcPr>
            <w:tcW w:w="72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3,915</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6"/>
              <w:spacing w:after="0"/>
              <w:rPr>
                <w:sz w:val="20"/>
                <w:szCs w:val="20"/>
                <w:color w:val="auto"/>
              </w:rPr>
            </w:pPr>
            <w:r>
              <w:rPr>
                <w:rFonts w:ascii="Arial" w:cs="Arial" w:eastAsia="Arial" w:hAnsi="Arial"/>
                <w:sz w:val="18"/>
                <w:szCs w:val="18"/>
                <w:color w:val="auto"/>
              </w:rPr>
              <w:t>6,228</w:t>
            </w:r>
          </w:p>
        </w:tc>
      </w:tr>
      <w:tr>
        <w:trPr>
          <w:trHeight w:val="249"/>
        </w:trPr>
        <w:tc>
          <w:tcPr>
            <w:tcW w:w="7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EF1FE"/>
          </w:tcPr>
          <w:p>
            <w:pPr>
              <w:spacing w:after="0"/>
              <w:rPr>
                <w:sz w:val="21"/>
                <w:szCs w:val="21"/>
                <w:color w:val="auto"/>
              </w:rPr>
            </w:pPr>
          </w:p>
        </w:tc>
        <w:tc>
          <w:tcPr>
            <w:tcW w:w="660" w:type="dxa"/>
            <w:vAlign w:val="bottom"/>
            <w:shd w:val="clear" w:color="auto" w:fill="CEF1FE"/>
          </w:tcPr>
          <w:p>
            <w:pPr>
              <w:jc w:val="right"/>
              <w:ind w:right="7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21"/>
                <w:szCs w:val="21"/>
                <w:color w:val="auto"/>
              </w:rPr>
            </w:pPr>
          </w:p>
        </w:tc>
        <w:tc>
          <w:tcPr>
            <w:tcW w:w="300" w:type="dxa"/>
            <w:vAlign w:val="bottom"/>
            <w:shd w:val="clear" w:color="auto" w:fill="CEF1FE"/>
          </w:tcPr>
          <w:p>
            <w:pPr>
              <w:spacing w:after="0"/>
              <w:rPr>
                <w:sz w:val="21"/>
                <w:szCs w:val="21"/>
                <w:color w:val="auto"/>
              </w:rPr>
            </w:pPr>
          </w:p>
        </w:tc>
        <w:tc>
          <w:tcPr>
            <w:tcW w:w="1620" w:type="dxa"/>
            <w:vAlign w:val="bottom"/>
            <w:shd w:val="clear" w:color="auto" w:fill="CEF1FE"/>
          </w:tcPr>
          <w:p>
            <w:pPr>
              <w:jc w:val="right"/>
              <w:ind w:right="76"/>
              <w:spacing w:after="0"/>
              <w:rPr>
                <w:sz w:val="20"/>
                <w:szCs w:val="20"/>
                <w:color w:val="auto"/>
              </w:rPr>
            </w:pPr>
            <w:r>
              <w:rPr>
                <w:rFonts w:ascii="Arial" w:cs="Arial" w:eastAsia="Arial" w:hAnsi="Arial"/>
                <w:sz w:val="18"/>
                <w:szCs w:val="18"/>
                <w:color w:val="auto"/>
              </w:rPr>
              <w:t>599</w:t>
            </w:r>
          </w:p>
        </w:tc>
      </w:tr>
      <w:tr>
        <w:trPr>
          <w:trHeight w:val="237"/>
        </w:trPr>
        <w:tc>
          <w:tcPr>
            <w:tcW w:w="7220" w:type="dxa"/>
            <w:vAlign w:val="bottom"/>
          </w:tcPr>
          <w:p>
            <w:pPr>
              <w:ind w:left="20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490</w:t>
            </w:r>
          </w:p>
        </w:tc>
      </w:tr>
      <w:tr>
        <w:trPr>
          <w:trHeight w:val="283"/>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4,188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7,317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20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2022, the Company and its board of directors approved a strategic plan to align with its refocused pipeline on its next generation core inhibitors and research programs and reduced its workforce by approximately 30%. Restructuring charges consist solely of employee severance and related benefits which include $1.0 million in severance payments to executive officers impacted by the restructuring, $0.8 million in one-time termination severance payments and other employee-related costs associated with the restructuring and a reversal of $0.7 million for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restructuring charges incurred during the three and six months ended June 30, 2023. The Company incurred $1.0 million in restructuring charges for the three and six months ended June 30, 2022, $0.5 million of which were included in research and development expenses and $0.5 million in general and administrative expenses. The Company incurred cumulative restructuring charges of $1.1 million through June 30, 2023.</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accrued restructuring charges, included as a component of other accrued expenses on the Company's condensed consolidated balance sheet as of June 30, 2023,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shd w:val="clear" w:color="auto" w:fill="CEF1FE"/>
          </w:tcPr>
          <w:p>
            <w:pPr>
              <w:ind w:left="20"/>
              <w:spacing w:after="0"/>
              <w:rPr>
                <w:sz w:val="20"/>
                <w:szCs w:val="20"/>
                <w:color w:val="auto"/>
              </w:rPr>
            </w:pPr>
            <w:r>
              <w:rPr>
                <w:rFonts w:ascii="Arial" w:cs="Arial" w:eastAsia="Arial" w:hAnsi="Arial"/>
                <w:sz w:val="18"/>
                <w:szCs w:val="18"/>
                <w:color w:val="auto"/>
              </w:rPr>
              <w:t>Accrued balance as of December 31, 2022</w:t>
            </w:r>
          </w:p>
        </w:tc>
        <w:tc>
          <w:tcPr>
            <w:tcW w:w="1480" w:type="dxa"/>
            <w:vAlign w:val="bottom"/>
            <w:shd w:val="clear" w:color="auto" w:fill="CEF1FE"/>
          </w:tcPr>
          <w:p>
            <w:pPr>
              <w:jc w:val="right"/>
              <w:ind w:right="12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EF1FE"/>
          </w:tcPr>
          <w:p>
            <w:pPr>
              <w:jc w:val="right"/>
              <w:ind w:right="70"/>
              <w:spacing w:after="0"/>
              <w:rPr>
                <w:sz w:val="20"/>
                <w:szCs w:val="20"/>
                <w:color w:val="auto"/>
              </w:rPr>
            </w:pPr>
            <w:r>
              <w:rPr>
                <w:rFonts w:ascii="Arial" w:cs="Arial" w:eastAsia="Arial" w:hAnsi="Arial"/>
                <w:sz w:val="18"/>
                <w:szCs w:val="18"/>
                <w:color w:val="auto"/>
              </w:rPr>
              <w:t>599</w:t>
            </w:r>
          </w:p>
        </w:tc>
      </w:tr>
      <w:tr>
        <w:trPr>
          <w:trHeight w:val="237"/>
        </w:trPr>
        <w:tc>
          <w:tcPr>
            <w:tcW w:w="7900" w:type="dxa"/>
            <w:vAlign w:val="bottom"/>
            <w:tcBorders>
              <w:bottom w:val="single" w:sz="8" w:color="CEF1FE"/>
            </w:tcBorders>
          </w:tcPr>
          <w:p>
            <w:pPr>
              <w:ind w:left="200"/>
              <w:spacing w:after="0"/>
              <w:rPr>
                <w:sz w:val="20"/>
                <w:szCs w:val="20"/>
                <w:color w:val="auto"/>
              </w:rPr>
            </w:pPr>
            <w:r>
              <w:rPr>
                <w:rFonts w:ascii="Arial" w:cs="Arial" w:eastAsia="Arial" w:hAnsi="Arial"/>
                <w:sz w:val="18"/>
                <w:szCs w:val="18"/>
                <w:color w:val="auto"/>
              </w:rPr>
              <w:t>Reductions for cash payments</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(500 )</w:t>
            </w:r>
          </w:p>
        </w:tc>
      </w:tr>
      <w:tr>
        <w:trPr>
          <w:trHeight w:val="277"/>
        </w:trPr>
        <w:tc>
          <w:tcPr>
            <w:tcW w:w="7900" w:type="dxa"/>
            <w:vAlign w:val="bottom"/>
            <w:tcBorders>
              <w:bottom w:val="single" w:sz="8" w:color="CEF1FE"/>
            </w:tcBorders>
            <w:shd w:val="clear" w:color="auto" w:fill="CEF1FE"/>
          </w:tcPr>
          <w:p>
            <w:pPr>
              <w:ind w:left="20"/>
              <w:spacing w:after="0"/>
              <w:rPr>
                <w:sz w:val="20"/>
                <w:szCs w:val="20"/>
                <w:color w:val="auto"/>
              </w:rPr>
            </w:pPr>
            <w:r>
              <w:rPr>
                <w:rFonts w:ascii="Arial" w:cs="Arial" w:eastAsia="Arial" w:hAnsi="Arial"/>
                <w:sz w:val="18"/>
                <w:szCs w:val="18"/>
                <w:color w:val="auto"/>
              </w:rPr>
              <w:t>Accrued balance as of June 30, 2023</w:t>
            </w:r>
          </w:p>
        </w:tc>
        <w:tc>
          <w:tcPr>
            <w:tcW w:w="1480" w:type="dxa"/>
            <w:vAlign w:val="bottom"/>
            <w:tcBorders>
              <w:bottom w:val="single" w:sz="8" w:color="auto"/>
            </w:tcBorders>
            <w:shd w:val="clear" w:color="auto" w:fill="CEF1FE"/>
          </w:tcPr>
          <w:p>
            <w:pPr>
              <w:jc w:val="right"/>
              <w:ind w:right="12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EF1FE"/>
          </w:tcPr>
          <w:p>
            <w:pPr>
              <w:jc w:val="right"/>
              <w:ind w:right="70"/>
              <w:spacing w:after="0"/>
              <w:rPr>
                <w:sz w:val="20"/>
                <w:szCs w:val="20"/>
                <w:color w:val="auto"/>
              </w:rPr>
            </w:pPr>
            <w:r>
              <w:rPr>
                <w:rFonts w:ascii="Arial" w:cs="Arial" w:eastAsia="Arial" w:hAnsi="Arial"/>
                <w:sz w:val="18"/>
                <w:szCs w:val="18"/>
                <w:color w:val="auto"/>
              </w:rPr>
              <w:t>99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accrued restructuring charges to be fully paid in the third quarter of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Sale of Common Stock</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entered into a sales agreement under which the Company may offer and sell shares of its common stock having an aggregate offering price of up to $100.0 million through “at-the-market” offerings (2020 ATM), pursuant to its shelf registration statement on Form S-3 on file with the SEC. During the six months ended June 30, 2023, the Company sold 3,134,045 shares of common stock under the 2020 ATM, for which the Company received net proceeds of $4.5 million, after deducting commissions, fees and expenses. The Company did not sell any shares of common stock under the 2020 ATM during the six months ended June 30,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1,235</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20"/>
                <w:szCs w:val="20"/>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1,790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1,593</w:t>
            </w:r>
          </w:p>
        </w:tc>
        <w:tc>
          <w:tcPr>
            <w:tcW w:w="220" w:type="dxa"/>
            <w:vAlign w:val="bottom"/>
          </w:tcPr>
          <w:p>
            <w:pPr>
              <w:spacing w:after="0"/>
              <w:rPr>
                <w:sz w:val="20"/>
                <w:szCs w:val="20"/>
                <w:color w:val="auto"/>
              </w:rPr>
            </w:pPr>
          </w:p>
        </w:tc>
      </w:tr>
      <w:tr>
        <w:trPr>
          <w:trHeight w:val="27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1,190</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1,581</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3,025</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3,024</w:t>
            </w:r>
          </w:p>
        </w:tc>
        <w:tc>
          <w:tcPr>
            <w:tcW w:w="2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1460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154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154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154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60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60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$5.0 million of total unrecognized stock-based compensation related to outstanding equity awards, which is expected to be recognized over a weighted average remaining amortization period of 1.6 years.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granted during the periods indicated was estimated using the Black-Scholes option pricing model, based on the following assumptions: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34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Six Months Ended June 30,</w:t>
            </w:r>
          </w:p>
        </w:tc>
        <w:tc>
          <w:tcPr>
            <w:tcW w:w="840" w:type="dxa"/>
            <w:vAlign w:val="bottom"/>
            <w:tcBorders>
              <w:bottom w:val="single" w:sz="8" w:color="auto"/>
            </w:tcBorders>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236"/>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$0.97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$2.06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$0.89</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$1.53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$2.45</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77.6%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78.9%</w:t>
            </w:r>
          </w:p>
        </w:tc>
        <w:tc>
          <w:tcPr>
            <w:tcW w:w="840" w:type="dxa"/>
            <w:vAlign w:val="bottom"/>
          </w:tcPr>
          <w:p>
            <w:pPr>
              <w:ind w:left="20"/>
              <w:spacing w:after="0"/>
              <w:rPr>
                <w:sz w:val="20"/>
                <w:szCs w:val="20"/>
                <w:color w:val="auto"/>
              </w:rPr>
            </w:pPr>
            <w:r>
              <w:rPr>
                <w:rFonts w:ascii="Arial" w:cs="Arial" w:eastAsia="Arial" w:hAnsi="Arial"/>
                <w:sz w:val="16"/>
                <w:szCs w:val="16"/>
                <w:color w:val="auto"/>
              </w:rPr>
              <w:t>- 81.7%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77.5%</w:t>
            </w:r>
          </w:p>
        </w:tc>
        <w:tc>
          <w:tcPr>
            <w:tcW w:w="840" w:type="dxa"/>
            <w:vAlign w:val="bottom"/>
          </w:tcPr>
          <w:p>
            <w:pPr>
              <w:ind w:left="20"/>
              <w:spacing w:after="0"/>
              <w:rPr>
                <w:sz w:val="20"/>
                <w:szCs w:val="20"/>
                <w:color w:val="auto"/>
              </w:rPr>
            </w:pPr>
            <w:r>
              <w:rPr>
                <w:rFonts w:ascii="Arial" w:cs="Arial" w:eastAsia="Arial" w:hAnsi="Arial"/>
                <w:sz w:val="16"/>
                <w:szCs w:val="16"/>
                <w:color w:val="auto"/>
              </w:rPr>
              <w:t>- 82.8%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78.9%</w:t>
            </w:r>
          </w:p>
        </w:tc>
        <w:tc>
          <w:tcPr>
            <w:tcW w:w="840" w:type="dxa"/>
            <w:vAlign w:val="bottom"/>
          </w:tcPr>
          <w:p>
            <w:pPr>
              <w:ind w:left="20"/>
              <w:spacing w:after="0"/>
              <w:rPr>
                <w:sz w:val="20"/>
                <w:szCs w:val="20"/>
                <w:color w:val="auto"/>
              </w:rPr>
            </w:pPr>
            <w:r>
              <w:rPr>
                <w:rFonts w:ascii="Arial" w:cs="Arial" w:eastAsia="Arial" w:hAnsi="Arial"/>
                <w:sz w:val="16"/>
                <w:szCs w:val="16"/>
                <w:color w:val="auto"/>
              </w:rPr>
              <w:t>- 81.7%</w:t>
            </w:r>
          </w:p>
        </w:tc>
      </w:tr>
      <w:tr>
        <w:trPr>
          <w:trHeight w:val="24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rate</w:t>
            </w:r>
          </w:p>
        </w:tc>
        <w:tc>
          <w:tcPr>
            <w:tcW w:w="1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3.82%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- 3.02%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- 4.00%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- 3.02%</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840" w:type="dxa"/>
            <w:vAlign w:val="bottom"/>
          </w:tcPr>
          <w:p>
            <w:pPr>
              <w:ind w:left="20"/>
              <w:spacing w:after="0"/>
              <w:rPr>
                <w:sz w:val="20"/>
                <w:szCs w:val="20"/>
                <w:color w:val="auto"/>
              </w:rPr>
            </w:pPr>
            <w:r>
              <w:rPr>
                <w:rFonts w:ascii="Arial" w:cs="Arial" w:eastAsia="Arial" w:hAnsi="Arial"/>
                <w:sz w:val="16"/>
                <w:szCs w:val="16"/>
                <w:color w:val="auto"/>
              </w:rPr>
              <w:t>- 7.5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840" w:type="dxa"/>
            <w:vAlign w:val="bottom"/>
          </w:tcPr>
          <w:p>
            <w:pPr>
              <w:ind w:left="20"/>
              <w:spacing w:after="0"/>
              <w:rPr>
                <w:sz w:val="20"/>
                <w:szCs w:val="20"/>
                <w:color w:val="auto"/>
              </w:rPr>
            </w:pPr>
            <w:r>
              <w:rPr>
                <w:rFonts w:ascii="Arial" w:cs="Arial" w:eastAsia="Arial" w:hAnsi="Arial"/>
                <w:sz w:val="16"/>
                <w:szCs w:val="16"/>
                <w:color w:val="auto"/>
              </w:rPr>
              <w:t>- 7.5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840" w:type="dxa"/>
            <w:vAlign w:val="bottom"/>
          </w:tcPr>
          <w:p>
            <w:pPr>
              <w:ind w:left="20"/>
              <w:spacing w:after="0"/>
              <w:rPr>
                <w:sz w:val="20"/>
                <w:szCs w:val="20"/>
                <w:color w:val="auto"/>
              </w:rPr>
            </w:pPr>
            <w:r>
              <w:rPr>
                <w:rFonts w:ascii="Arial" w:cs="Arial" w:eastAsia="Arial" w:hAnsi="Arial"/>
                <w:sz w:val="16"/>
                <w:szCs w:val="16"/>
                <w:color w:val="auto"/>
              </w:rPr>
              <w:t>- 7.5</w:t>
            </w:r>
          </w:p>
        </w:tc>
      </w:tr>
      <w:tr>
        <w:trPr>
          <w:trHeight w:val="24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0%</w:t>
            </w:r>
          </w:p>
        </w:tc>
        <w:tc>
          <w:tcPr>
            <w:tcW w:w="1820" w:type="dxa"/>
            <w:vAlign w:val="bottom"/>
            <w:gridSpan w:val="3"/>
            <w:shd w:val="clear" w:color="auto" w:fill="CFF0FC"/>
          </w:tcPr>
          <w:p>
            <w:pPr>
              <w:jc w:val="right"/>
              <w:ind w:right="599"/>
              <w:spacing w:after="0"/>
              <w:rPr>
                <w:sz w:val="20"/>
                <w:szCs w:val="20"/>
                <w:color w:val="auto"/>
              </w:rPr>
            </w:pPr>
            <w:r>
              <w:rPr>
                <w:rFonts w:ascii="Arial" w:cs="Arial" w:eastAsia="Arial" w:hAnsi="Arial"/>
                <w:sz w:val="16"/>
                <w:szCs w:val="16"/>
                <w:color w:val="auto"/>
              </w:rPr>
              <w:t>0%</w:t>
            </w:r>
          </w:p>
        </w:tc>
        <w:tc>
          <w:tcPr>
            <w:tcW w:w="1820" w:type="dxa"/>
            <w:vAlign w:val="bottom"/>
            <w:gridSpan w:val="3"/>
            <w:shd w:val="clear" w:color="auto" w:fill="CFF0FC"/>
          </w:tcPr>
          <w:p>
            <w:pPr>
              <w:jc w:val="right"/>
              <w:ind w:right="601"/>
              <w:spacing w:after="0"/>
              <w:rPr>
                <w:sz w:val="20"/>
                <w:szCs w:val="20"/>
                <w:color w:val="auto"/>
              </w:rPr>
            </w:pPr>
            <w:r>
              <w:rPr>
                <w:rFonts w:ascii="Arial" w:cs="Arial" w:eastAsia="Arial" w:hAnsi="Arial"/>
                <w:sz w:val="16"/>
                <w:szCs w:val="16"/>
                <w:color w:val="auto"/>
              </w:rPr>
              <w:t>0%</w:t>
            </w:r>
          </w:p>
        </w:tc>
        <w:tc>
          <w:tcPr>
            <w:tcW w:w="1840" w:type="dxa"/>
            <w:vAlign w:val="bottom"/>
            <w:gridSpan w:val="3"/>
            <w:shd w:val="clear" w:color="auto" w:fill="CFF0FC"/>
          </w:tcPr>
          <w:p>
            <w:pPr>
              <w:jc w:val="right"/>
              <w:ind w:right="599"/>
              <w:spacing w:after="0"/>
              <w:rPr>
                <w:sz w:val="20"/>
                <w:szCs w:val="20"/>
                <w:color w:val="auto"/>
              </w:rPr>
            </w:pPr>
            <w:r>
              <w:rPr>
                <w:rFonts w:ascii="Arial" w:cs="Arial" w:eastAsia="Arial" w:hAnsi="Arial"/>
                <w:sz w:val="16"/>
                <w:szCs w:val="16"/>
                <w:color w:val="auto"/>
              </w:rPr>
              <w:t>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and BeiGene, Ltd. (BeiGene) entered into a Collaboration Agreement (the BeiGene Agreement) to develop and commercialize the Company’s novel core inhibitor product candidates vebicorvir (VBR), ABI-H2158 and ABI-H3733 (the Licensed Product Candidates) for chronic HBV infection in the People’s Republic of China, Hong Kong, Taiwan and Macau.</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2023, the only remaining performance obligation under the BeiGene Agreement not considered to be complete is the transfer of the ABI-H3733 License. The transaction price allocated to ABI-H3733 of $2.7 million was recognized as a long-term deferred revenue contract liability as of June 30, 2023 and December 31, 2022, and will be recognized as revenue when the Company provides pre-Phase 3 clinical study know-how and development results for ABI-H3733 to BeiGene or a termination of the BeiGene Agreement for ABI-H3733. During the three and six months ended June 30, 2023 and 2022, the Company did not recognize any revenue or increase or reduction of research and development expense under the BeiGene Agreement.</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incurred $3.5 million in incremental costs of obtaining the BeiGene Agreement in 2020. These contract costs have been capitalized and are being recognized consistent with the pattern of recognition of revenue associated with the Licensed Product Candidates. As of June 30, 2023 and December 31, 2022, the remaining unamortized contract costs are $0.2 million and are included in other assets on the condensed consolidated balance sheet.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Biopharma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VBR, AB-729 and a nucleos(t)ide analog reverse transcriptase inhibitor (NrtI) compared to the double combinations of VBR with a NrtI and AB-729 with a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Biopharma reimbursing Assembly its share of expenses. In February 2023, Assembly and Arbutus Biopharma decided to terminate the Phase 2 clinical trial early, at the end of the 48-week on-treatment period, and are in the process of closing the study.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8"/>
          <w:szCs w:val="18"/>
          <w:color w:val="auto"/>
        </w:rPr>
        <w:t>Reimbursements and cost-sharing portions from Arbutus Biopharma are reflected as a reduction of research and development expense when realized in the Company’s condensed consolidated statements of operations. During the three and six months ended June 30, 2023, the Company recognized a reduction of research and development expenses of $0.5 million and $1.1 million, respectively, under the Arbutus Biopharma Agreement. During the three and six months ended June 30, 2022, the Company recognized a reduction of research and development expenses of $0.6 million and $1.2 million, respectively, under the Arbutus Biopharma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Milestones and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 million in diligence maintenance fees during both the six months ended June 30, 2023 and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2023, the Company entered into a sublease agreement for office and laboratory space in South San Francisco, California to serve as the Company's new corporate headquarters. The lease is expected to commence in November 2023 for a term of 24 months with monthly base rent of $0.1 million. The Company has the option to extend the sublease through September 30, 2029.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2022 and the related Management’s Discussion and Analysis of Financial Condition and Results of Operations, both of which are contained in our Annual Report on Form 10-K for the fiscal year ended December 31, 2022 filed with the U.S. Securities and Exchange Commission on March 22, 2023 (2022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2022 Annual Report and “Part II. Item 1A. Risk Factors”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biotechnology company developing innovative antiviral therapeutics targeting serious viral diseases, including candidates with the potential to improve the lives of patients worldwide. Our pipeline includes an early-stage development program targeting high-recurrence genital herpes, research programs focused on the discovery of antivirals to treat devastating viral diseases, including hepatitis delta virus (HDV) and transplant-related herpesviruses, and two clinical core inhibitor (CI) candidates designed to disrupt the replication cycle of hepatitis B virus (HBV) at several key points with the aim of achieving finite treatment and functional cures.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2022, we implemented a strategic restructuring plan to: (1) discontinue development of our first-generation CI, vebicorvir (VBR), based on review of interim on-treatment efficacy data from then ongoing triple combination studies that did not support continuation; (2) advance our next-generation CIs, ABI-H3733 (3733) and ABI-4334 (4334), in clinical studies; and (3) prioritize research activities, including our: HBV/HDV entry inhibitor; orally bioavailable, liver-focused interferon-α (IFN-α) receptor (IFNAR) agonist; long-acting helicase-primase inhibitor targeting high-recurrence genital herpes; and pan-herpes non-nucleoside polymerase inhibitors (NNPIs) for transplant-associated infections. The strategic plan included a reduction of our workforce by 30 employees, resulting in a total of approximately 70 remaining employees. In connection with the plan, our Chief Medical Officer and Chief Financial Officer stepped down from their roles.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we announced the evaluation of potential partnering options for our CI portfolio prior to further clinical advancement of CIs and the prioritization of our broader antiviral pipeline, including ABI-5366 (5366), our recently announced development candidate for our long-acting helicase-primase inhibitor program targeting high-recurrence genital herpes.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Herpesvirus Programs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2022, we introduced our first programs outside of hepatitis, which target high-recurrence genital herpes and transplant-associated herpesviruses. In February 2023, we announced the nomination of our first herpesvirus development candidate, 5366, a long-acting helicase-primase inhibitor for treatment of high-recurrence genital herpes, to progress to Investigational New Drug (IND) application-enabling studies.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High-Recurrence Genital Herpes/HSV-1 and HSV-2</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Genital herpes can be caused by either herpes simplex virus type 1 (HSV-1) or herpes simplex virus type 2 (HSV-2), with approximately 80% of genital herpes infections caused by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localized pain and painful lesions. Genital herpes recurrence is common and can cause symptomatic recurrences of painful genital lesions that can lead to increased transmission and debilitate patients, and symptoms may become more serious with additional episodes. Additional complications include increased risk of HIV infection, as well as associated psychological stress and isolationary thoughts, depression and suicidal ideation. Immunocompromised patients may experience more severe and prolonged symptoms due to increased recurrence rates. While genital herpes can be caused by either HSV-1 or HSV-2, recurrences are more likely to be experienced by patients infected by HSV-2.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While HSV-1 and HSV-2 infections frequently go undiagnosed, in the United States and the European Union (EU)4/United Kingdom, approximately 46 million people have been diagnosed with an HSV infection, and approximately 20 million people have been diagnosed with genital herpes. High recurrence genital herpes, defined as three or more recurrences annually, is estimated to affect approximately four million of these genital herpes patients, reflecting an estimated 5% of HSV-1 patients and 50% of HSV-2 patients.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Helicase-primase inhibitors are antiviral agents in development for HSV-1 and HSV-2, with a novel mechanism of action that has been clinically validated. They inhibit the viral protein complex consisting of helicase, primase, and cofactor subunits, which have functions that are essential for viral DNA replication and are conserved across HSV-1 and HSV-2. Unlike nucleoside analogs, these compounds do not require phosphorylation by the HSV thymidine kinase (TK) to become active drugs; therefore, helicase-primase inhibitors are active immediately upon reactivation of latent HSV-1 and HSV-2. Furthermore, helicase-primase inhibitors are active against TK-deficient HSV-1 and HSV-2, which is a major mechanism of resistance to nucleoside analogs.</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Currently, there are three antiviral drugs (all nucleoside analogs) that have been approved in the United States and the EU/UK for the treatment of genital herpes. Nucleoside analogs were first approved for genital herpes over 40 years ago, with the most recent approval more than 20 years ago. In addition to the approved nucleoside analogs, agents such as local anesthetics or analgesics may be used to alleviate local symptoms of minor pain and discomfort, and a pyrophosphate analog has been approved for the treatment of nucleoside analog resistant infection in immunocompromised patients.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Nucleoside analogs can be administered as episodic therapy as individual outbreaks arise or daily as chronic suppressive therapy for those with high post-exposure recurrences. However, these agents have a high daily pill burden and are only partially effective at controlling the infection or reducing transmission risk. There are still high titer (greater than 10</w:t>
      </w:r>
      <w:r>
        <w:rPr>
          <w:rFonts w:ascii="Arial" w:cs="Arial" w:eastAsia="Arial" w:hAnsi="Arial"/>
          <w:sz w:val="23"/>
          <w:szCs w:val="23"/>
          <w:color w:val="auto"/>
          <w:vertAlign w:val="superscript"/>
        </w:rPr>
        <w:t>4</w:t>
      </w:r>
      <w:r>
        <w:rPr>
          <w:rFonts w:ascii="Arial" w:cs="Arial" w:eastAsia="Arial" w:hAnsi="Arial"/>
          <w:sz w:val="17"/>
          <w:szCs w:val="17"/>
          <w:color w:val="auto"/>
        </w:rPr>
        <w:t xml:space="preserve"> HSV-2 DNA copies) shedding episodes under this current standard of care for HSV-2, which can lead to recurrences and transmission of genital herpes. For high-recurrence genital herpes patients receiving daily suppressive therapy of oral nucleoside analogs, less than 35% remained recurrence free after 12 months and transmission is reduced by less than 50%.</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limitations of current therapies, we identified an opportunity to develop a potent, long-acting helicase-primase inhibitor for high-recurrence genital herpes with the potential to improve efficacy, convenience and patient compliance.</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2023, we nominated 5366 as a development candidate for our long-acting helicase-primase inhibitor program. In nonclinical studies, 5366 has demonstrated strong potential to serve as a long-acting agent, including low nanomolar potency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against both HSV-1 and HSV-2 clinical isolates and exceptionally low plasma clearance rates in multiple preclinical models. This preclinical profile has led us to target 5366 for development as a long-acting treatment with the potential to be administered orally or as an injectable. To date, 5366 has also demonstrated a favorable preclinical safety profile in non-Good Laboratory Practice (GLP) toxicology studies, high exposure margins and minimal potential for off-target effects, and we initiated GLP toxicology studies early in the third quarter of 2023. We currently anticipate the initiation of clinical studies of 5366 in the first half of 2024. At the International Herpesvirus Workshop in July 2023, we presented a preclinical characterization of 5366 for the treatment of high recurrence genital herpes.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Transplant-Associated Herpesviruses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 transplant setting, when patients are experiencing immunosuppression, they are at high risk of uncontrolled viral replication and severe disease brought on by one or more members of the herpesvirus family of viruses, including cytomegalovirus (CMV), HSV-1, HSV-2 and varicella zoster virus (VZV). Each of these herpesviruses are highly prevalent, as approximately (1) 60% of transplant patients are CMV-positive; (2) 60% of transplant patients are HSV-positive; and (3) 80% of transplant patients are VZV-positive. These viruses establish lifelong latent infections and frequently reactivate in transplant patients due to the use of immunosuppressive drugs following the transplant. These uncontrolled viral infections increase the risk of severe disease and serious complications, including organ rejection, graft loss and death, and impacted approximately 60,000 patients in 2018.</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with HSV-2, there are approved antivirals that are administered in a transplant setting. However, currently approved antivirals are not broad spectrum and pose the risk of potentially serious side effects and drug-drug interactions. As a result of these limitations, we identified an opportunity to develop an oral pan-herpes NNPI for these transplant-associated herpesvirus infections, which would greatly advance treatment. Our research team has discovered multiple series of potent, broad-spectrum herpesvirus polymerase inhibitors.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HBV and HDV Programs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approximately three times the number of people infected with hepatitis C virus and HIV infections combined, according to the WHO, and has a higher morbidity and mortality rate.</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HDV is a “satellite virus,” because it can only infect people (1) who are already infected with HBV or (2) at the same time as a person is infected with HBV. HDV impacts a subset of approximately 12 million HBV patients. These patients, which only comprise an estimated 4.5% of hepatitis B surface antigen (HBsAg) positive patients, experience a substantially increased disease burden, as they account for 18% of cirrhosis and 20% of hepatocellular carcinoma associated with HBV.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current standard of care for chronic HBV infection, nucleos(t)ide analog reverse transcriptase inhibitors (NrtIs), are taken life-long and reduce, but do not eliminate, the virus and result in very low cure rates. No new mechanisms of action (MOA) have been approved for chronic HBV infection in over 25 years. The current standard of care treatment for HDV is off-label pegylated IFN-α injected weekly or, in some regions, a large, complex molecule that requires daily injections. There are no approved HDV treatments in the United States, and there is only one approved HDV treatment in Europe.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focus of our HBV/HDV programs is to improve outcomes and increase the number of patients diagnosed and treated through the development of finite and curative therapies for HBV and to advance programs targeting HDV, due to the immediate disease burden facing these patients.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HBV/HDV Entry Inhibitor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The inhibition of HBV and HDV infection by molecules that bind NTCP has been demonstrated in vitro, in animal models and clinically.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2022, we announced our research program focused on a novel, orally bioavailable small molecule approach to inhibit entry of HBV and HDV by targeting NTCP. We believe a safe and effective oral small molecule entry inhibitor would be a significant innovation for patients living with HDV and could significantly improve treatment uptake and diagnosis rates, especially when compared with currently available injectable products. At the American Association for the Study Liver Diseases (AASLD) The Liver Meeting® in November 2022 (AASLD 2022), we presented the preclinical characterization of our novel class of highly potent small molecule HBV/HDV entry inhibitors. At the European Association for the Study of the Liver's (EASL)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International Liver Congress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June 2023 (EASL 2023), we presented further characterization of the potencies and properties of these orally-bioavailable entry inhibitors.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IFNAR Agonist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2022, we introduced our new research program advancing a novel, small molecule IFNAR agonist designed to selectively activate the IFN-α pathway within the liver and offer the convenience of oral dosing. IFN-α is a subcutaneous injectable immune modularity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 At AASLD 2022, we presented the preclinical characterization of our novel liver-focused small molecule agonists efficiently inhibiting HBV by activating type 1 interferon signaling.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Inhibitors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HBV is a DNA virus that infects hepatocytes and establishes a reservoir of covalently closed circular DNA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we have worked to discover and develop compounds targeting the core protein, a viral protein involved in numerous aspects of the HBV replication cycle, including the generation of HBV cccDNA. Through our research efforts, we have discovered several chemically distinct series of small molecule CIs that directly target and allosterically inhibit core protein functions. As a result, we believe that our pipeline offers the potential for best-in-class compounds that target critical steps involved in cccDNA generation and the HBV viral replication cycle.</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benchmark for therapeutic agents aiming to decrease cccDNA levels is the use of several key viral antigens as surrogate biomarkers of active cccDNA. The same biomarkers can be used in both primary human hepatocytes and patients. On this basis, our CIs have shown preclinical proof of principle. In a variety of cell culture models, CIs have demonstrated the ability to reduce production of viral HBV DNA levels as well as the surrogate markers for cccDNA establishment: HBV e antigen (HBeAg), HBV core-related antigen (HBcrAg) and viral pre-genomic RNA (pgRNA).</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organizations have advanced our two next-generation CIs, 4334 and 3733, through Phase 1a and Phase 1b, respectively. These candidates, which exhibit multiple MOAs, have been optimized to potently disrupt both viral replication (MOA #1) and, importantly, prevent the establishment and replenishment of new cccDNA (MOA #2). First-generation CIs have not demonstrated adequate potency to sufficiently block cccDNA formation. Further, the current standard of care, NrtIs, impacts the viral life cycle after establishment of cccDNA and can only inhibit production of new virus, and it does so incompletely.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leveraged our prior experience with our first-generation CI, VBR, in the development of our next-generation CIs. VBR was evaluated in a Phase 2 program with treatment for up to 1.5 years across patient populations and exhibited a favorable safety profile. VBR was observed to be potent against MOA #1 but not MOA #2, and, while it demonstrated greater viral suppression in combination with standard-of-care NrtIs as compared to NrtIs alone, it did not achieve functional cure or finite treatment in our clinical studies. As a result, we discontinued development of VBR. Our two next-generation CIs, 4334 and 3733, were developed to optimize activity against both MOAs and show significantly enhanced potency against both mechanisms preclinically. In June, at EASL 2023, we presented the significantly improved potency and target coverage of 3733 and 4334 for both MOA #1 and MOA #2 as compared to first-generation CIs.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we announced that, despite promising results in both a Phase 1a clinical study of 4334 and a Phase 1b clinical study of 3733, we will evaluate partnering options for our CI portfolio prior to pursuing further clinical development of 4334 and 3733. We believe that partnering our CI portfolio will enable additional opportunities for further clinical development for CIs aimed at achieving a functional cure for chronic HBV infection, including combination approaches.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4334</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mid-2021, we announced the selection of 4334 for clinical development. As with all of our CI product candidates nominated after VBR, 4334 was internally discovered and developed. In addition, the chemical scaffold of 4334 is also novel and distinct from 3733 and our two first-generation CIs, VBR, which is licensed from Indiana University, and ABI-H2158 (2158).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18"/>
          <w:szCs w:val="18"/>
          <w:color w:val="auto"/>
        </w:rPr>
        <w:t>We nominated 4334 based on a preclinical target drug profile that indicates enhanced target coverage and potency against both MOA #1 and MOA #2.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AASLD's The Liver Meeting® in November 2021 (AASLD 2021). At EASL's International Liver Congress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June 2022 (EASL 2022), we presented preclinical data demonstrating that 4334 promotes formation of empty capsids and prevents cccDNA formation by disrupting incoming capsids. At AASLD 2022, we presented preclinical data demonstrating that 4334 also accelerates capsid assembly and inhibits cccDNA formation and showed that 4334 can prematurely disrupt capsids containing duplex linear DNA, which has the potential to impact HBV integration.</w:t>
      </w:r>
    </w:p>
    <w:p>
      <w:pPr>
        <w:spacing w:after="0" w:line="1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2022, we initiated a Phase 1a clinical study of 4334 to evaluate safety, tolerability and pharmacokinetics (PK) following single ascending dose and multiple ascending dose administration in healthy subjects in New Zealand. We shared interim data from this Phase 1a trial at three time points: (1) as of mid-December 2022 for the initial 30 mg single dose cohort; (2) as of mid-March 2023 for all remaining single dose cohorts (100 mg, 200 mg and 400 mg) and the first 100 mg multiple-dose cohort; and (3) as of April 2023 for the final 200 mg multiple-dose cohort.</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At EASL 2023, we presented safety and PK data from the Phase 1a study. Based on the PK data from the Phase 1a cohorts and preclinical studies, plasma trough concentrations (C</w:t>
      </w:r>
      <w:r>
        <w:rPr>
          <w:rFonts w:ascii="Arial" w:cs="Arial" w:eastAsia="Arial" w:hAnsi="Arial"/>
          <w:sz w:val="24"/>
          <w:szCs w:val="24"/>
          <w:color w:val="auto"/>
          <w:vertAlign w:val="subscript"/>
        </w:rPr>
        <w:t>min</w:t>
      </w:r>
      <w:r>
        <w:rPr>
          <w:rFonts w:ascii="Arial" w:cs="Arial" w:eastAsia="Arial" w:hAnsi="Arial"/>
          <w:sz w:val="18"/>
          <w:szCs w:val="18"/>
          <w:color w:val="auto"/>
        </w:rPr>
        <w:t>) were in multiple-fold excess of the in vitro EC</w:t>
      </w:r>
      <w:r>
        <w:rPr>
          <w:rFonts w:ascii="Arial" w:cs="Arial" w:eastAsia="Arial" w:hAnsi="Arial"/>
          <w:sz w:val="24"/>
          <w:szCs w:val="24"/>
          <w:color w:val="auto"/>
          <w:vertAlign w:val="subscript"/>
        </w:rPr>
        <w:t>50</w:t>
      </w:r>
      <w:r>
        <w:rPr>
          <w:rFonts w:ascii="Arial" w:cs="Arial" w:eastAsia="Arial" w:hAnsi="Arial"/>
          <w:sz w:val="18"/>
          <w:szCs w:val="18"/>
          <w:color w:val="auto"/>
        </w:rPr>
        <w:t xml:space="preserve"> values for the inhibition of HBV DNA and cccDNA formation at all doses. These data indicate that 4334 has the potential to provide potent inhibition of HBV with QD dosing, and potential best-in-class activity is projected, with a dose of 200 mg estimated to achieve 175× protein-adjusted EC50 (paEC50) for DNA replication inhibition and 34× paEC</w:t>
      </w:r>
      <w:r>
        <w:rPr>
          <w:rFonts w:ascii="Arial" w:cs="Arial" w:eastAsia="Arial" w:hAnsi="Arial"/>
          <w:sz w:val="24"/>
          <w:szCs w:val="24"/>
          <w:color w:val="auto"/>
          <w:vertAlign w:val="subscript"/>
        </w:rPr>
        <w:t>50</w:t>
      </w:r>
      <w:r>
        <w:rPr>
          <w:rFonts w:ascii="Arial" w:cs="Arial" w:eastAsia="Arial" w:hAnsi="Arial"/>
          <w:sz w:val="18"/>
          <w:szCs w:val="18"/>
          <w:color w:val="auto"/>
        </w:rPr>
        <w:t xml:space="preserve"> for the prevention of cccDNA formation.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Treatment-emergent adverse events (AEs) and laboratory abnormalities were mild to moderate, with the majority being mild, and there were no patterns of AEs or laboratory abnormalities noted to be associated with 4334 and no clinically significant ECG abnormalities were reported.</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3733</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3733 was internally discovered and developed. The chemical scaffold of 3733 is novel and distinct from 4334 and both of our discontinued first-generation CI product candidates, VBR and 2158.</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preclinical studies, 3733 demonstrated pan-genotypic activity and an improved resistance profile, as well as significantly increased potency against both MOA #1 and MOA #2 and target coverage as compared to both VBR and 2158. In 2020, we initiated and completed a Phase 1a clinical study of 3733 to evaluate safety, tolerability and PK following single ascending dose and multiple ascending dose administration in healthy subjects in New Zealand. Data indicated that 3733 was generally well-tolerated and had favorable PK. Results detailing 3733’s safety and PK from this study were presented in a poster presentation at AASLD 2021. In 2021, following the completion of the Phase 1a trial, our chemistry, manufacturing and controls organization developed a new tablet formulation to support Phase 1b for 3733. At EASL 2022, we presented 3733’s improved PK profile resulting from the new formulation activities mentioned above.</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addition, at EASL's International Liver Congress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June 2021, we presented observations on 3733’s enhanced potency and target coverage for both antiviral activity and inhibition of cccDNA generation as compared to VBR and 2158.</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2022, we initiated a randomized, multi-center, double-blind and placebo-controlled Phase 1b trial of 3733 evaluating the safety, PK and antiviral activity of 3733 in adults with chronic HBV infection who are treatment, naïve or off treatment, including changes in HBV DNA and other viral parameters associated with 3733 treatment. Patients were randomized 8:2 between the new tablet formulation of 3733 and placebo for a period of 28 days. We shared interim data from this Phase 1b trial twice: (1) as of mid-December 2022 for the initial 50 mg cohort, and (2) as of mid-March 2023 for the 100 mg cohort.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At EASL 2023, we presented efficacy, safety, and PK data from the Phase 1b study. The presentation was focused on HBeAg negative patients as 28 of 31 patients enrolled were HBeAg negative. 3733 was well tolerated and all AEs were Grade 1 or 2, with no serious AEs, AEs leading to treatment discontinuation, or death. As the dose of 3733 increased, more rapid and consistent declines in HBV DNA were observed, with greater proportions of patients achieving HBV DNA less than the lower limit of quantification target not detected by the end of treatment. The PK profile of 3733 supported QD dosing with a dose of 100 mg estimated to achieve 48x paEC</w:t>
      </w:r>
      <w:r>
        <w:rPr>
          <w:rFonts w:ascii="Arial" w:cs="Arial" w:eastAsia="Arial" w:hAnsi="Arial"/>
          <w:sz w:val="21"/>
          <w:szCs w:val="21"/>
          <w:color w:val="auto"/>
          <w:vertAlign w:val="subscript"/>
        </w:rPr>
        <w:t>50</w:t>
      </w:r>
      <w:r>
        <w:rPr>
          <w:rFonts w:ascii="Arial" w:cs="Arial" w:eastAsia="Arial" w:hAnsi="Arial"/>
          <w:sz w:val="16"/>
          <w:szCs w:val="16"/>
          <w:color w:val="auto"/>
        </w:rPr>
        <w:t xml:space="preserve"> for DNA replication inhibition and 7x paEC</w:t>
      </w:r>
      <w:r>
        <w:rPr>
          <w:rFonts w:ascii="Arial" w:cs="Arial" w:eastAsia="Arial" w:hAnsi="Arial"/>
          <w:sz w:val="21"/>
          <w:szCs w:val="21"/>
          <w:color w:val="auto"/>
          <w:vertAlign w:val="subscript"/>
        </w:rPr>
        <w:t>50</w:t>
      </w:r>
      <w:r>
        <w:rPr>
          <w:rFonts w:ascii="Arial" w:cs="Arial" w:eastAsia="Arial" w:hAnsi="Arial"/>
          <w:sz w:val="16"/>
          <w:szCs w:val="16"/>
          <w:color w:val="auto"/>
        </w:rPr>
        <w:t xml:space="preserve"> for the prevention of cccDNA formation. The PK profile and antiviral activity of 3733 reflected the improved potency of next-generation core inhibitors against both mechanisms of 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A 26-week non-clinical chronic toxicology study of 3733 has been conducted in parallel with the Phase 1b study. This study revealed a toxicity in one species that was not observed in the previous 28-day toxicology study. We continue to evaluate the data; however, proceeding with longer-term dosing of 3733 in a Phase 2 study would require further assessment and likely an additional chronic toxicology study in another species, which would add cost and time to the development timeline for 3733.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as well as registrational offices, but no employees, in China.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develop our product candidates. As of June 30, 2023, we had an accumulated deficit of $760.4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Our critical accounting policies and significant estimates are detailed in our 2022 Annual Report. Our critical accounting policies and significant estimates have not changed from those previously disclosed in our 2022 Annual Report, except as discussed in the section of Note 2 to the unaudited condensed consolidated financial statements titled </w:t>
      </w:r>
      <w:r>
        <w:rPr>
          <w:rFonts w:ascii="Arial" w:cs="Arial" w:eastAsia="Arial" w:hAnsi="Arial"/>
          <w:sz w:val="16"/>
          <w:szCs w:val="16"/>
          <w:i w:val="1"/>
          <w:iCs w:val="1"/>
          <w:color w:val="auto"/>
        </w:rPr>
        <w:t>Recently Adopted Accounting Standards</w:t>
      </w:r>
      <w:r>
        <w:rPr>
          <w:rFonts w:ascii="Arial" w:cs="Arial" w:eastAsia="Arial" w:hAnsi="Arial"/>
          <w:sz w:val="16"/>
          <w:szCs w:val="16"/>
          <w:color w:val="auto"/>
        </w:rPr>
        <w:t xml:space="preserve"> included in this Quarterly Report on Form 10-Q.</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Research and development expenses consist primarily of employee-related expenses, fees paid to contract research organizations and contract manufacturing organizations, lab supplies and other third party expenses that support our research and discovery, nonclinical and clinical activities. We use our employee and infrastructure resources, as well as certain third-party costs, across multiple research and development programs, and we do not specifically allocate these costs to our programs.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ind w:right="85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r>
      <w:tr>
        <w:trPr>
          <w:trHeight w:val="236"/>
        </w:trPr>
        <w:tc>
          <w:tcPr>
            <w:tcW w:w="3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tcPr>
          <w:p>
            <w:pPr>
              <w:jc w:val="right"/>
              <w:ind w:right="753"/>
              <w:spacing w:after="0"/>
              <w:rPr>
                <w:sz w:val="20"/>
                <w:szCs w:val="20"/>
                <w:color w:val="auto"/>
              </w:rPr>
            </w:pPr>
            <w:r>
              <w:rPr>
                <w:rFonts w:ascii="Arial" w:cs="Arial" w:eastAsia="Arial" w:hAnsi="Arial"/>
                <w:sz w:val="14"/>
                <w:szCs w:val="14"/>
                <w:b w:val="1"/>
                <w:bCs w:val="1"/>
                <w:color w:val="auto"/>
              </w:rPr>
              <w:t>2023 vs. 2022</w:t>
            </w:r>
          </w:p>
        </w:tc>
        <w:tc>
          <w:tcPr>
            <w:tcW w:w="22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2023 vs. 2022</w:t>
            </w:r>
          </w:p>
        </w:tc>
      </w:tr>
      <w:tr>
        <w:trPr>
          <w:trHeight w:val="237"/>
        </w:trPr>
        <w:tc>
          <w:tcPr>
            <w:tcW w:w="3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External expenses:</w:t>
            </w:r>
          </w:p>
        </w:tc>
        <w:tc>
          <w:tcPr>
            <w:tcW w:w="84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400" w:type="dxa"/>
            <w:vAlign w:val="bottom"/>
            <w:tcBorders>
              <w:top w:val="single" w:sz="8" w:color="auto"/>
            </w:tcBorders>
            <w:shd w:val="clear" w:color="auto" w:fill="CCECFF"/>
          </w:tcPr>
          <w:p>
            <w:pPr>
              <w:spacing w:after="0"/>
              <w:rPr>
                <w:sz w:val="20"/>
                <w:szCs w:val="20"/>
                <w:color w:val="auto"/>
              </w:rPr>
            </w:pPr>
          </w:p>
        </w:tc>
        <w:tc>
          <w:tcPr>
            <w:tcW w:w="194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40" w:type="dxa"/>
            <w:vAlign w:val="bottom"/>
            <w:tcBorders>
              <w:top w:val="single" w:sz="8" w:color="auto"/>
            </w:tcBorders>
            <w:shd w:val="clear" w:color="auto" w:fill="CCECFF"/>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Research and discovery</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2,657</w:t>
            </w:r>
          </w:p>
        </w:tc>
        <w:tc>
          <w:tcPr>
            <w:tcW w:w="11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2,404</w:t>
            </w:r>
          </w:p>
        </w:tc>
        <w:tc>
          <w:tcPr>
            <w:tcW w:w="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253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0"/>
                <w:szCs w:val="20"/>
                <w:color w:val="auto"/>
              </w:rPr>
            </w:pPr>
          </w:p>
        </w:tc>
      </w:tr>
      <w:tr>
        <w:trPr>
          <w:trHeight w:val="242"/>
        </w:trPr>
        <w:tc>
          <w:tcPr>
            <w:tcW w:w="3440" w:type="dxa"/>
            <w:vAlign w:val="bottom"/>
          </w:tcPr>
          <w:p>
            <w:pPr>
              <w:ind w:left="200"/>
              <w:spacing w:after="0"/>
              <w:rPr>
                <w:sz w:val="20"/>
                <w:szCs w:val="20"/>
                <w:color w:val="auto"/>
              </w:rPr>
            </w:pPr>
            <w:r>
              <w:rPr>
                <w:rFonts w:ascii="Arial" w:cs="Arial" w:eastAsia="Arial" w:hAnsi="Arial"/>
                <w:sz w:val="18"/>
                <w:szCs w:val="18"/>
                <w:color w:val="auto"/>
              </w:rPr>
              <w:t>3733</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2,259</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(1,585 )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VBR</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1,385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(898 )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4334</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969</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2,143</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(1,174 )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(55 %)</w:t>
            </w:r>
          </w:p>
        </w:tc>
      </w:tr>
      <w:tr>
        <w:trPr>
          <w:trHeight w:val="250"/>
        </w:trPr>
        <w:tc>
          <w:tcPr>
            <w:tcW w:w="3440" w:type="dxa"/>
            <w:vAlign w:val="bottom"/>
          </w:tcPr>
          <w:p>
            <w:pPr>
              <w:ind w:left="200"/>
              <w:spacing w:after="0"/>
              <w:rPr>
                <w:sz w:val="20"/>
                <w:szCs w:val="20"/>
                <w:color w:val="auto"/>
              </w:rPr>
            </w:pPr>
            <w:r>
              <w:rPr>
                <w:rFonts w:ascii="Arial" w:cs="Arial" w:eastAsia="Arial" w:hAnsi="Arial"/>
                <w:sz w:val="18"/>
                <w:szCs w:val="18"/>
                <w:color w:val="auto"/>
              </w:rPr>
              <w:t>2158</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(264 )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3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5366</w:t>
            </w:r>
          </w:p>
        </w:tc>
        <w:tc>
          <w:tcPr>
            <w:tcW w:w="840" w:type="dxa"/>
            <w:vAlign w:val="bottom"/>
            <w:tcBorders>
              <w:bottom w:val="single" w:sz="8" w:color="auto"/>
            </w:tcBorders>
            <w:shd w:val="clear" w:color="auto" w:fill="CCECFF"/>
          </w:tcPr>
          <w:p>
            <w:pPr>
              <w:spacing w:after="0"/>
              <w:rPr>
                <w:sz w:val="21"/>
                <w:szCs w:val="21"/>
                <w:color w:val="auto"/>
              </w:rPr>
            </w:pPr>
          </w:p>
        </w:tc>
        <w:tc>
          <w:tcPr>
            <w:tcW w:w="6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538</w:t>
            </w:r>
          </w:p>
        </w:tc>
        <w:tc>
          <w:tcPr>
            <w:tcW w:w="26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spacing w:after="0"/>
              <w:rPr>
                <w:sz w:val="21"/>
                <w:szCs w:val="21"/>
                <w:color w:val="auto"/>
              </w:rPr>
            </w:pPr>
          </w:p>
        </w:tc>
        <w:tc>
          <w:tcPr>
            <w:tcW w:w="66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1940" w:type="dxa"/>
            <w:vAlign w:val="bottom"/>
            <w:tcBorders>
              <w:bottom w:val="single" w:sz="8" w:color="auto"/>
            </w:tcBorders>
            <w:shd w:val="clear" w:color="auto" w:fill="CCECFF"/>
          </w:tcPr>
          <w:p>
            <w:pPr>
              <w:jc w:val="right"/>
              <w:ind w:right="73"/>
              <w:spacing w:after="0"/>
              <w:rPr>
                <w:sz w:val="20"/>
                <w:szCs w:val="20"/>
                <w:color w:val="auto"/>
              </w:rPr>
            </w:pPr>
            <w:r>
              <w:rPr>
                <w:rFonts w:ascii="Arial" w:cs="Arial" w:eastAsia="Arial" w:hAnsi="Arial"/>
                <w:sz w:val="18"/>
                <w:szCs w:val="18"/>
                <w:color w:val="auto"/>
              </w:rPr>
              <w:t>538</w:t>
            </w:r>
          </w:p>
        </w:tc>
        <w:tc>
          <w:tcPr>
            <w:tcW w:w="18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1"/>
                <w:szCs w:val="21"/>
                <w:color w:val="auto"/>
              </w:rPr>
            </w:pP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Total external expenses</w:t>
            </w:r>
          </w:p>
        </w:tc>
        <w:tc>
          <w:tcPr>
            <w:tcW w:w="84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5,325</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8,455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(3,130 )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(37 %)</w:t>
            </w:r>
          </w:p>
        </w:tc>
      </w:tr>
      <w:tr>
        <w:trPr>
          <w:trHeight w:val="242"/>
        </w:trPr>
        <w:tc>
          <w:tcPr>
            <w:tcW w:w="3440" w:type="dxa"/>
            <w:vAlign w:val="bottom"/>
          </w:tcPr>
          <w:p>
            <w:pPr>
              <w:ind w:left="20"/>
              <w:spacing w:after="0"/>
              <w:rPr>
                <w:sz w:val="20"/>
                <w:szCs w:val="20"/>
                <w:color w:val="auto"/>
              </w:rPr>
            </w:pPr>
            <w:r>
              <w:rPr>
                <w:rFonts w:ascii="Arial" w:cs="Arial" w:eastAsia="Arial" w:hAnsi="Arial"/>
                <w:sz w:val="18"/>
                <w:szCs w:val="18"/>
                <w:color w:val="auto"/>
                <w:w w:val="99"/>
              </w:rPr>
              <w:t>Employee and contractor-related expenses</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5,998</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8,013</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(2,015 )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3440" w:type="dxa"/>
            <w:vAlign w:val="bottom"/>
          </w:tcPr>
          <w:p>
            <w:pPr>
              <w:ind w:left="20"/>
              <w:spacing w:after="0"/>
              <w:rPr>
                <w:sz w:val="20"/>
                <w:szCs w:val="20"/>
                <w:color w:val="auto"/>
              </w:rPr>
            </w:pPr>
            <w:r>
              <w:rPr>
                <w:rFonts w:ascii="Arial" w:cs="Arial" w:eastAsia="Arial" w:hAnsi="Arial"/>
                <w:sz w:val="18"/>
                <w:szCs w:val="18"/>
                <w:color w:val="auto"/>
              </w:rPr>
              <w:t>Facility and other expenses</w:t>
            </w: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1,324</w:t>
            </w:r>
          </w:p>
        </w:tc>
        <w:tc>
          <w:tcPr>
            <w:tcW w:w="3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w w:val="99"/>
              </w:rPr>
              <w:t>Total research and development expenses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12,523</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17,792</w:t>
            </w:r>
          </w:p>
        </w:tc>
        <w:tc>
          <w:tcPr>
            <w:tcW w:w="34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3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316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4"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 xml:space="preserve">Research and development expenses were $12.5 million for the three months ended June 30, 2023 compared to $17.8 million for the same period in 2022. The $5.3 million decrease in research and development expenses was driven by decreases </w:t>
      </w:r>
      <w:r>
        <w:rPr>
          <w:rFonts w:ascii="Arial" w:cs="Arial" w:eastAsia="Arial" w:hAnsi="Arial"/>
          <w:sz w:val="17"/>
          <w:szCs w:val="17"/>
          <w:color w:val="242424"/>
        </w:rPr>
        <w:t>in external expenses during the three months ended June 30,</w:t>
      </w:r>
      <w:r>
        <w:rPr>
          <w:rFonts w:ascii="Arial" w:cs="Arial" w:eastAsia="Arial" w:hAnsi="Arial"/>
          <w:sz w:val="17"/>
          <w:szCs w:val="17"/>
          <w:color w:val="auto"/>
        </w:rPr>
        <w:t xml:space="preserve"> </w:t>
      </w:r>
      <w:r>
        <w:rPr>
          <w:rFonts w:ascii="Arial" w:cs="Arial" w:eastAsia="Arial" w:hAnsi="Arial"/>
          <w:sz w:val="17"/>
          <w:szCs w:val="17"/>
          <w:color w:val="242424"/>
        </w:rPr>
        <w:t xml:space="preserve">2023 compared to the same period in 2022 due to preclinical work and start-up costs preparing for the Phase 1b trial for 3733 and the Phase 1a trial for 4334 occurring in 2022 and due to our discontinuation of the VBR and 2158 programs. We also experienced decreases </w:t>
      </w:r>
      <w:r>
        <w:rPr>
          <w:rFonts w:ascii="Arial" w:cs="Arial" w:eastAsia="Arial" w:hAnsi="Arial"/>
          <w:sz w:val="17"/>
          <w:szCs w:val="17"/>
          <w:color w:val="000000"/>
        </w:rPr>
        <w:t>in employee and contractor-related</w:t>
      </w:r>
      <w:r>
        <w:rPr>
          <w:rFonts w:ascii="Arial" w:cs="Arial" w:eastAsia="Arial" w:hAnsi="Arial"/>
          <w:sz w:val="17"/>
          <w:szCs w:val="17"/>
          <w:color w:val="242424"/>
        </w:rPr>
        <w:t xml:space="preserve"> </w:t>
      </w:r>
      <w:r>
        <w:rPr>
          <w:rFonts w:ascii="Arial" w:cs="Arial" w:eastAsia="Arial" w:hAnsi="Arial"/>
          <w:sz w:val="17"/>
          <w:szCs w:val="17"/>
          <w:color w:val="000000"/>
        </w:rPr>
        <w:t xml:space="preserve">expenses of $2.0 million due to </w:t>
      </w:r>
      <w:r>
        <w:rPr>
          <w:rFonts w:ascii="Arial" w:cs="Arial" w:eastAsia="Arial" w:hAnsi="Arial"/>
          <w:sz w:val="17"/>
          <w:szCs w:val="17"/>
          <w:color w:val="242424"/>
        </w:rPr>
        <w:t>the termination of employees as part of the reorganization announced in July 2022. This was partially offset by increases in</w:t>
      </w:r>
      <w:r>
        <w:rPr>
          <w:rFonts w:ascii="Arial" w:cs="Arial" w:eastAsia="Arial" w:hAnsi="Arial"/>
          <w:sz w:val="17"/>
          <w:szCs w:val="17"/>
          <w:color w:val="000000"/>
        </w:rPr>
        <w:t xml:space="preserve"> </w:t>
      </w:r>
      <w:r>
        <w:rPr>
          <w:rFonts w:ascii="Arial" w:cs="Arial" w:eastAsia="Arial" w:hAnsi="Arial"/>
          <w:sz w:val="17"/>
          <w:szCs w:val="17"/>
          <w:color w:val="242424"/>
        </w:rPr>
        <w:t>external expenses generated from the advancement of 5366 and our research discovery programs.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General and administrative expenses consist primarily of salaries, consulting fees and other related costs, professional fees for legal services, accounting and tax services, insurance and travel expenses, as well as stock-based compensation expense associated with equity awards to our employees and directors.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1"/>
              </w:rPr>
              <w:t>$ Change</w:t>
            </w:r>
          </w:p>
        </w:tc>
        <w:tc>
          <w:tcPr>
            <w:tcW w:w="24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34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462"/>
              <w:spacing w:after="0"/>
              <w:rPr>
                <w:sz w:val="20"/>
                <w:szCs w:val="20"/>
                <w:color w:val="auto"/>
              </w:rPr>
            </w:pPr>
            <w:r>
              <w:rPr>
                <w:rFonts w:ascii="Arial" w:cs="Arial" w:eastAsia="Arial" w:hAnsi="Arial"/>
                <w:sz w:val="14"/>
                <w:szCs w:val="14"/>
                <w:b w:val="1"/>
                <w:bCs w:val="1"/>
                <w:color w:val="auto"/>
                <w:w w:val="91"/>
              </w:rPr>
              <w:t>2023 vs. 2022</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2023 vs. 2022</w:t>
            </w:r>
          </w:p>
        </w:tc>
        <w:tc>
          <w:tcPr>
            <w:tcW w:w="80" w:type="dxa"/>
            <w:vAlign w:val="bottom"/>
          </w:tcPr>
          <w:p>
            <w:pPr>
              <w:spacing w:after="0"/>
              <w:rPr>
                <w:sz w:val="14"/>
                <w:szCs w:val="14"/>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Pr>
          <w:p>
            <w:pPr>
              <w:jc w:val="right"/>
              <w:ind w:right="70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4,965</w:t>
            </w:r>
          </w:p>
        </w:tc>
        <w:tc>
          <w:tcPr>
            <w:tcW w:w="300" w:type="dxa"/>
            <w:vAlign w:val="bottom"/>
          </w:tcPr>
          <w:p>
            <w:pPr>
              <w:spacing w:after="0"/>
              <w:rPr>
                <w:sz w:val="19"/>
                <w:szCs w:val="19"/>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6,781</w:t>
            </w:r>
          </w:p>
        </w:tc>
        <w:tc>
          <w:tcPr>
            <w:tcW w:w="3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(1,816 )</w:t>
            </w:r>
          </w:p>
        </w:tc>
        <w:tc>
          <w:tcPr>
            <w:tcW w:w="2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 xml:space="preserve">General and administrative expenses were $5.0 million for the three months ended June 30, 2023 compared to $6.8 million for the same period in 2022. The decrease of $1.8 million in general and administrative expenses was primarily due to a $1.0 million decrease in salaries and benefits because of the departure of our former Chief Executive Officer and due to </w:t>
      </w:r>
      <w:r>
        <w:rPr>
          <w:rFonts w:ascii="Arial" w:cs="Arial" w:eastAsia="Arial" w:hAnsi="Arial"/>
          <w:sz w:val="17"/>
          <w:szCs w:val="17"/>
          <w:color w:val="242424"/>
        </w:rPr>
        <w:t>the termination of employees as part of the reorganization announced in July 2022. We also</w:t>
      </w:r>
      <w:r>
        <w:rPr>
          <w:rFonts w:ascii="Arial" w:cs="Arial" w:eastAsia="Arial" w:hAnsi="Arial"/>
          <w:sz w:val="17"/>
          <w:szCs w:val="17"/>
          <w:color w:val="auto"/>
        </w:rPr>
        <w:t xml:space="preserve"> </w:t>
      </w:r>
      <w:r>
        <w:rPr>
          <w:rFonts w:ascii="Arial" w:cs="Arial" w:eastAsia="Arial" w:hAnsi="Arial"/>
          <w:sz w:val="17"/>
          <w:szCs w:val="17"/>
          <w:color w:val="242424"/>
        </w:rPr>
        <w:t>experienced decreases of $0.6 million in professional and overhead fees primarily due to reductions in legal expenses.</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4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right"/>
              <w:ind w:right="85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r>
      <w:tr>
        <w:trPr>
          <w:trHeight w:val="237"/>
        </w:trPr>
        <w:tc>
          <w:tcPr>
            <w:tcW w:w="3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tcPr>
          <w:p>
            <w:pPr>
              <w:jc w:val="right"/>
              <w:ind w:right="753"/>
              <w:spacing w:after="0"/>
              <w:rPr>
                <w:sz w:val="20"/>
                <w:szCs w:val="20"/>
                <w:color w:val="auto"/>
              </w:rPr>
            </w:pPr>
            <w:r>
              <w:rPr>
                <w:rFonts w:ascii="Arial" w:cs="Arial" w:eastAsia="Arial" w:hAnsi="Arial"/>
                <w:sz w:val="14"/>
                <w:szCs w:val="14"/>
                <w:b w:val="1"/>
                <w:bCs w:val="1"/>
                <w:color w:val="auto"/>
              </w:rPr>
              <w:t>2023 vs. 2022</w:t>
            </w:r>
          </w:p>
        </w:tc>
        <w:tc>
          <w:tcPr>
            <w:tcW w:w="220" w:type="dxa"/>
            <w:vAlign w:val="bottom"/>
          </w:tcPr>
          <w:p>
            <w:pPr>
              <w:spacing w:after="0"/>
              <w:rPr>
                <w:sz w:val="20"/>
                <w:szCs w:val="20"/>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2023 vs. 2022</w:t>
            </w:r>
          </w:p>
        </w:tc>
      </w:tr>
      <w:tr>
        <w:trPr>
          <w:trHeight w:val="237"/>
        </w:trPr>
        <w:tc>
          <w:tcPr>
            <w:tcW w:w="344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External expenses:</w:t>
            </w:r>
          </w:p>
        </w:tc>
        <w:tc>
          <w:tcPr>
            <w:tcW w:w="84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400" w:type="dxa"/>
            <w:vAlign w:val="bottom"/>
            <w:tcBorders>
              <w:top w:val="single" w:sz="8" w:color="auto"/>
            </w:tcBorders>
            <w:shd w:val="clear" w:color="auto" w:fill="CCECFF"/>
          </w:tcPr>
          <w:p>
            <w:pPr>
              <w:spacing w:after="0"/>
              <w:rPr>
                <w:sz w:val="20"/>
                <w:szCs w:val="20"/>
                <w:color w:val="auto"/>
              </w:rPr>
            </w:pPr>
          </w:p>
        </w:tc>
        <w:tc>
          <w:tcPr>
            <w:tcW w:w="194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40" w:type="dxa"/>
            <w:vAlign w:val="bottom"/>
            <w:tcBorders>
              <w:top w:val="single" w:sz="8" w:color="auto"/>
            </w:tcBorders>
            <w:shd w:val="clear" w:color="auto" w:fill="CCECFF"/>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Research and discovery</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5,424</w:t>
            </w:r>
          </w:p>
        </w:tc>
        <w:tc>
          <w:tcPr>
            <w:tcW w:w="11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4,491</w:t>
            </w:r>
          </w:p>
        </w:tc>
        <w:tc>
          <w:tcPr>
            <w:tcW w:w="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73"/>
              <w:spacing w:after="0"/>
              <w:rPr>
                <w:sz w:val="20"/>
                <w:szCs w:val="20"/>
                <w:color w:val="auto"/>
              </w:rPr>
            </w:pPr>
            <w:r>
              <w:rPr>
                <w:rFonts w:ascii="Arial" w:cs="Arial" w:eastAsia="Arial" w:hAnsi="Arial"/>
                <w:sz w:val="18"/>
                <w:szCs w:val="18"/>
                <w:color w:val="auto"/>
              </w:rPr>
              <w:t>933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20"/>
                <w:szCs w:val="20"/>
                <w:color w:val="auto"/>
              </w:rPr>
            </w:pPr>
          </w:p>
        </w:tc>
      </w:tr>
      <w:tr>
        <w:trPr>
          <w:trHeight w:val="242"/>
        </w:trPr>
        <w:tc>
          <w:tcPr>
            <w:tcW w:w="3440" w:type="dxa"/>
            <w:vAlign w:val="bottom"/>
          </w:tcPr>
          <w:p>
            <w:pPr>
              <w:ind w:left="200"/>
              <w:spacing w:after="0"/>
              <w:rPr>
                <w:sz w:val="20"/>
                <w:szCs w:val="20"/>
                <w:color w:val="auto"/>
              </w:rPr>
            </w:pPr>
            <w:r>
              <w:rPr>
                <w:rFonts w:ascii="Arial" w:cs="Arial" w:eastAsia="Arial" w:hAnsi="Arial"/>
                <w:sz w:val="18"/>
                <w:szCs w:val="18"/>
                <w:color w:val="auto"/>
              </w:rPr>
              <w:t>3733</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2,508</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3,454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(946 )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VBR</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1,345</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3,306</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(1,961 )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4334</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1,739</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3,400</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(1,661 )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(49 %)</w:t>
            </w:r>
          </w:p>
        </w:tc>
      </w:tr>
      <w:tr>
        <w:trPr>
          <w:trHeight w:val="250"/>
        </w:trPr>
        <w:tc>
          <w:tcPr>
            <w:tcW w:w="3440" w:type="dxa"/>
            <w:vAlign w:val="bottom"/>
          </w:tcPr>
          <w:p>
            <w:pPr>
              <w:ind w:left="200"/>
              <w:spacing w:after="0"/>
              <w:rPr>
                <w:sz w:val="20"/>
                <w:szCs w:val="20"/>
                <w:color w:val="auto"/>
              </w:rPr>
            </w:pPr>
            <w:r>
              <w:rPr>
                <w:rFonts w:ascii="Arial" w:cs="Arial" w:eastAsia="Arial" w:hAnsi="Arial"/>
                <w:sz w:val="18"/>
                <w:szCs w:val="18"/>
                <w:color w:val="auto"/>
              </w:rPr>
              <w:t>2158</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1,165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(1,044 )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(90 %)</w:t>
            </w:r>
          </w:p>
        </w:tc>
      </w:tr>
      <w:tr>
        <w:trPr>
          <w:trHeight w:val="250"/>
        </w:trPr>
        <w:tc>
          <w:tcPr>
            <w:tcW w:w="34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5366</w:t>
            </w:r>
          </w:p>
        </w:tc>
        <w:tc>
          <w:tcPr>
            <w:tcW w:w="840" w:type="dxa"/>
            <w:vAlign w:val="bottom"/>
            <w:tcBorders>
              <w:bottom w:val="single" w:sz="8" w:color="auto"/>
            </w:tcBorders>
            <w:shd w:val="clear" w:color="auto" w:fill="CCECFF"/>
          </w:tcPr>
          <w:p>
            <w:pPr>
              <w:spacing w:after="0"/>
              <w:rPr>
                <w:sz w:val="21"/>
                <w:szCs w:val="21"/>
                <w:color w:val="auto"/>
              </w:rPr>
            </w:pPr>
          </w:p>
        </w:tc>
        <w:tc>
          <w:tcPr>
            <w:tcW w:w="6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rPr>
              <w:t>538</w:t>
            </w:r>
          </w:p>
        </w:tc>
        <w:tc>
          <w:tcPr>
            <w:tcW w:w="26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spacing w:after="0"/>
              <w:rPr>
                <w:sz w:val="21"/>
                <w:szCs w:val="21"/>
                <w:color w:val="auto"/>
              </w:rPr>
            </w:pPr>
          </w:p>
        </w:tc>
        <w:tc>
          <w:tcPr>
            <w:tcW w:w="66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1940" w:type="dxa"/>
            <w:vAlign w:val="bottom"/>
            <w:tcBorders>
              <w:bottom w:val="single" w:sz="8" w:color="auto"/>
            </w:tcBorders>
            <w:shd w:val="clear" w:color="auto" w:fill="CCECFF"/>
          </w:tcPr>
          <w:p>
            <w:pPr>
              <w:jc w:val="right"/>
              <w:ind w:right="73"/>
              <w:spacing w:after="0"/>
              <w:rPr>
                <w:sz w:val="20"/>
                <w:szCs w:val="20"/>
                <w:color w:val="auto"/>
              </w:rPr>
            </w:pPr>
            <w:r>
              <w:rPr>
                <w:rFonts w:ascii="Arial" w:cs="Arial" w:eastAsia="Arial" w:hAnsi="Arial"/>
                <w:sz w:val="18"/>
                <w:szCs w:val="18"/>
                <w:color w:val="auto"/>
              </w:rPr>
              <w:t>538</w:t>
            </w:r>
          </w:p>
        </w:tc>
        <w:tc>
          <w:tcPr>
            <w:tcW w:w="186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1"/>
                <w:szCs w:val="21"/>
                <w:color w:val="auto"/>
              </w:rPr>
            </w:pP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Total external expenses</w:t>
            </w:r>
          </w:p>
        </w:tc>
        <w:tc>
          <w:tcPr>
            <w:tcW w:w="840" w:type="dxa"/>
            <w:vAlign w:val="bottom"/>
          </w:tcPr>
          <w:p>
            <w:pPr>
              <w:spacing w:after="0"/>
              <w:rPr>
                <w:sz w:val="19"/>
                <w:szCs w:val="19"/>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11,675</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15,816</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(4,141 )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(26 %)</w:t>
            </w:r>
          </w:p>
        </w:tc>
      </w:tr>
      <w:tr>
        <w:trPr>
          <w:trHeight w:val="242"/>
        </w:trPr>
        <w:tc>
          <w:tcPr>
            <w:tcW w:w="3440" w:type="dxa"/>
            <w:vAlign w:val="bottom"/>
          </w:tcPr>
          <w:p>
            <w:pPr>
              <w:ind w:left="20"/>
              <w:spacing w:after="0"/>
              <w:rPr>
                <w:sz w:val="20"/>
                <w:szCs w:val="20"/>
                <w:color w:val="auto"/>
              </w:rPr>
            </w:pPr>
            <w:r>
              <w:rPr>
                <w:rFonts w:ascii="Arial" w:cs="Arial" w:eastAsia="Arial" w:hAnsi="Arial"/>
                <w:sz w:val="18"/>
                <w:szCs w:val="18"/>
                <w:color w:val="auto"/>
                <w:w w:val="99"/>
              </w:rPr>
              <w:t>Employee and contractor-related expenses</w:t>
            </w:r>
          </w:p>
        </w:tc>
        <w:tc>
          <w:tcPr>
            <w:tcW w:w="84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13,005</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16,198</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(3,193 )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56"/>
        </w:trPr>
        <w:tc>
          <w:tcPr>
            <w:tcW w:w="3440" w:type="dxa"/>
            <w:vAlign w:val="bottom"/>
          </w:tcPr>
          <w:p>
            <w:pPr>
              <w:ind w:left="20"/>
              <w:spacing w:after="0"/>
              <w:rPr>
                <w:sz w:val="20"/>
                <w:szCs w:val="20"/>
                <w:color w:val="auto"/>
              </w:rPr>
            </w:pPr>
            <w:r>
              <w:rPr>
                <w:rFonts w:ascii="Arial" w:cs="Arial" w:eastAsia="Arial" w:hAnsi="Arial"/>
                <w:sz w:val="18"/>
                <w:szCs w:val="18"/>
                <w:color w:val="auto"/>
              </w:rPr>
              <w:t>Facility and other expenses</w:t>
            </w: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2,390</w:t>
            </w:r>
          </w:p>
        </w:tc>
        <w:tc>
          <w:tcPr>
            <w:tcW w:w="2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2,983</w:t>
            </w:r>
          </w:p>
        </w:tc>
        <w:tc>
          <w:tcPr>
            <w:tcW w:w="3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w w:val="99"/>
              </w:rPr>
              <w:t>Total research and development expenses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27,070</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34,997</w:t>
            </w:r>
          </w:p>
        </w:tc>
        <w:tc>
          <w:tcPr>
            <w:tcW w:w="34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(7,927 )</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3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3175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4"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 xml:space="preserve">Research and development expenses were $27.1 million for the six months ended June 30, 2023 compared to $35.0 million for the same period in 2022. The $7.9 million decrease in research and development expenses was driven by decreases in </w:t>
      </w:r>
      <w:r>
        <w:rPr>
          <w:rFonts w:ascii="Arial" w:cs="Arial" w:eastAsia="Arial" w:hAnsi="Arial"/>
          <w:sz w:val="16"/>
          <w:szCs w:val="16"/>
          <w:color w:val="242424"/>
        </w:rPr>
        <w:t>external expenses due to our discontinuation of the VBR and</w:t>
      </w:r>
      <w:r>
        <w:rPr>
          <w:rFonts w:ascii="Arial" w:cs="Arial" w:eastAsia="Arial" w:hAnsi="Arial"/>
          <w:sz w:val="16"/>
          <w:szCs w:val="16"/>
          <w:color w:val="auto"/>
        </w:rPr>
        <w:t xml:space="preserve"> </w:t>
      </w:r>
      <w:r>
        <w:rPr>
          <w:rFonts w:ascii="Arial" w:cs="Arial" w:eastAsia="Arial" w:hAnsi="Arial"/>
          <w:sz w:val="16"/>
          <w:szCs w:val="16"/>
          <w:color w:val="242424"/>
        </w:rPr>
        <w:t xml:space="preserve">2158 programs and from lower costs incurred during the </w:t>
      </w:r>
      <w:r>
        <w:rPr>
          <w:rFonts w:ascii="Arial" w:cs="Arial" w:eastAsia="Arial" w:hAnsi="Arial"/>
          <w:sz w:val="16"/>
          <w:szCs w:val="16"/>
          <w:color w:val="000000"/>
        </w:rPr>
        <w:t>six months ended June 30, 2023</w:t>
      </w:r>
      <w:r>
        <w:rPr>
          <w:rFonts w:ascii="Arial" w:cs="Arial" w:eastAsia="Arial" w:hAnsi="Arial"/>
          <w:sz w:val="16"/>
          <w:szCs w:val="16"/>
          <w:color w:val="242424"/>
        </w:rPr>
        <w:t xml:space="preserve"> compared to the same period in 2022 due to preclinical work and start-up costs preparing for the Phase 1a trial for 4334 and the Phase 1b trial for 3733 occurring in 2022. We also experienced decreases in </w:t>
      </w:r>
      <w:r>
        <w:rPr>
          <w:rFonts w:ascii="Arial" w:cs="Arial" w:eastAsia="Arial" w:hAnsi="Arial"/>
          <w:sz w:val="16"/>
          <w:szCs w:val="16"/>
          <w:color w:val="000000"/>
        </w:rPr>
        <w:t>employee and</w:t>
      </w:r>
      <w:r>
        <w:rPr>
          <w:rFonts w:ascii="Arial" w:cs="Arial" w:eastAsia="Arial" w:hAnsi="Arial"/>
          <w:sz w:val="16"/>
          <w:szCs w:val="16"/>
          <w:color w:val="242424"/>
        </w:rPr>
        <w:t xml:space="preserve"> </w:t>
      </w:r>
      <w:r>
        <w:rPr>
          <w:rFonts w:ascii="Arial" w:cs="Arial" w:eastAsia="Arial" w:hAnsi="Arial"/>
          <w:sz w:val="16"/>
          <w:szCs w:val="16"/>
          <w:color w:val="000000"/>
        </w:rPr>
        <w:t xml:space="preserve">contractor-related expenses of $3.2 million due to </w:t>
      </w:r>
      <w:r>
        <w:rPr>
          <w:rFonts w:ascii="Arial" w:cs="Arial" w:eastAsia="Arial" w:hAnsi="Arial"/>
          <w:sz w:val="16"/>
          <w:szCs w:val="16"/>
          <w:color w:val="242424"/>
        </w:rPr>
        <w:t>the termination of employees as part of the reorganization announced in July 2022. This was partially</w:t>
      </w:r>
      <w:r>
        <w:rPr>
          <w:rFonts w:ascii="Arial" w:cs="Arial" w:eastAsia="Arial" w:hAnsi="Arial"/>
          <w:sz w:val="16"/>
          <w:szCs w:val="16"/>
          <w:color w:val="000000"/>
        </w:rPr>
        <w:t xml:space="preserve"> </w:t>
      </w:r>
      <w:r>
        <w:rPr>
          <w:rFonts w:ascii="Arial" w:cs="Arial" w:eastAsia="Arial" w:hAnsi="Arial"/>
          <w:sz w:val="16"/>
          <w:szCs w:val="16"/>
          <w:color w:val="242424"/>
        </w:rPr>
        <w:t>offset by increases in external expenses generated from the advancement of our research discovery programs and 5366.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jc w:val="center"/>
              <w:ind w:right="442"/>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34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462"/>
              <w:spacing w:after="0"/>
              <w:rPr>
                <w:sz w:val="20"/>
                <w:szCs w:val="20"/>
                <w:color w:val="auto"/>
              </w:rPr>
            </w:pPr>
            <w:r>
              <w:rPr>
                <w:rFonts w:ascii="Arial" w:cs="Arial" w:eastAsia="Arial" w:hAnsi="Arial"/>
                <w:sz w:val="14"/>
                <w:szCs w:val="14"/>
                <w:b w:val="1"/>
                <w:bCs w:val="1"/>
                <w:color w:val="auto"/>
                <w:w w:val="89"/>
              </w:rPr>
              <w:t>2023 vs. 2022</w:t>
            </w:r>
          </w:p>
        </w:tc>
        <w:tc>
          <w:tcPr>
            <w:tcW w:w="220" w:type="dxa"/>
            <w:vAlign w:val="bottom"/>
          </w:tcPr>
          <w:p>
            <w:pPr>
              <w:spacing w:after="0"/>
              <w:rPr>
                <w:sz w:val="14"/>
                <w:szCs w:val="14"/>
                <w:color w:val="auto"/>
              </w:rPr>
            </w:pPr>
          </w:p>
        </w:tc>
        <w:tc>
          <w:tcPr>
            <w:tcW w:w="16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2023 vs. 2022</w:t>
            </w:r>
          </w:p>
        </w:tc>
        <w:tc>
          <w:tcPr>
            <w:tcW w:w="80" w:type="dxa"/>
            <w:vAlign w:val="bottom"/>
          </w:tcPr>
          <w:p>
            <w:pPr>
              <w:spacing w:after="0"/>
              <w:rPr>
                <w:sz w:val="14"/>
                <w:szCs w:val="14"/>
                <w:color w:val="auto"/>
              </w:rPr>
            </w:pP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Pr>
          <w:p>
            <w:pPr>
              <w:jc w:val="right"/>
              <w:ind w:right="70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9,977</w:t>
            </w:r>
          </w:p>
        </w:tc>
        <w:tc>
          <w:tcPr>
            <w:tcW w:w="26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12,738</w:t>
            </w:r>
          </w:p>
        </w:tc>
        <w:tc>
          <w:tcPr>
            <w:tcW w:w="3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(2,761 )</w:t>
            </w:r>
          </w:p>
        </w:tc>
        <w:tc>
          <w:tcPr>
            <w:tcW w:w="2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 xml:space="preserve">General and administrative expenses were $10.0 million for the six months ended June 30, 2023 compared to $12.7 million for the same period in 2022. The decrease of $2.8 million in general and administrative expenses was primarily due to a $1.8 million decrease in salaries and benefits because of the departure of our former Chief Executive Officer and due to </w:t>
      </w:r>
      <w:r>
        <w:rPr>
          <w:rFonts w:ascii="Arial" w:cs="Arial" w:eastAsia="Arial" w:hAnsi="Arial"/>
          <w:sz w:val="17"/>
          <w:szCs w:val="17"/>
          <w:color w:val="242424"/>
        </w:rPr>
        <w:t>the termination of employees as part of the reorganization announced in July 2022. We also</w:t>
      </w:r>
      <w:r>
        <w:rPr>
          <w:rFonts w:ascii="Arial" w:cs="Arial" w:eastAsia="Arial" w:hAnsi="Arial"/>
          <w:sz w:val="17"/>
          <w:szCs w:val="17"/>
          <w:color w:val="auto"/>
        </w:rPr>
        <w:t xml:space="preserve"> </w:t>
      </w:r>
      <w:r>
        <w:rPr>
          <w:rFonts w:ascii="Arial" w:cs="Arial" w:eastAsia="Arial" w:hAnsi="Arial"/>
          <w:sz w:val="17"/>
          <w:szCs w:val="17"/>
          <w:color w:val="242424"/>
        </w:rPr>
        <w:t>experienced decreases of $1.1 million in professional and overhead fees primarily due to reductions in legal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2023 principally through equity financings, raising an aggregate of $605.0 million in net proceeds, and strategic collaborations, raising an aggregate of $90.0 million through upfront payments.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4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 for the Six Months Ended June 30,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Six Months Ended June 30,</w:t>
            </w:r>
          </w:p>
        </w:tc>
        <w:tc>
          <w:tcPr>
            <w:tcW w:w="1700" w:type="dxa"/>
            <w:vAlign w:val="bottom"/>
            <w:tcBorders>
              <w:bottom w:val="single" w:sz="8" w:color="auto"/>
            </w:tcBorders>
          </w:tcPr>
          <w:p>
            <w:pPr>
              <w:spacing w:after="0"/>
              <w:rPr>
                <w:sz w:val="16"/>
                <w:szCs w:val="16"/>
                <w:color w:val="auto"/>
              </w:rPr>
            </w:pPr>
          </w:p>
        </w:tc>
      </w:tr>
      <w:tr>
        <w:trPr>
          <w:trHeight w:val="223"/>
        </w:trPr>
        <w:tc>
          <w:tcPr>
            <w:tcW w:w="5780" w:type="dxa"/>
            <w:vAlign w:val="bottom"/>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2022</w:t>
            </w:r>
          </w:p>
        </w:tc>
      </w:tr>
      <w:tr>
        <w:trPr>
          <w:trHeight w:val="237"/>
        </w:trPr>
        <w:tc>
          <w:tcPr>
            <w:tcW w:w="57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activities</w:t>
            </w:r>
          </w:p>
        </w:tc>
        <w:tc>
          <w:tcPr>
            <w:tcW w:w="1560" w:type="dxa"/>
            <w:vAlign w:val="bottom"/>
            <w:shd w:val="clear" w:color="auto" w:fill="CCECFF"/>
          </w:tcPr>
          <w:p>
            <w:pPr>
              <w:jc w:val="right"/>
              <w:ind w:right="13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(37,056 )</w:t>
            </w:r>
          </w:p>
        </w:tc>
        <w:tc>
          <w:tcPr>
            <w:tcW w:w="460" w:type="dxa"/>
            <w:vAlign w:val="bottom"/>
            <w:shd w:val="clear" w:color="auto" w:fill="CCECFF"/>
          </w:tcPr>
          <w:p>
            <w:pPr>
              <w:spacing w:after="0"/>
              <w:rPr>
                <w:sz w:val="20"/>
                <w:szCs w:val="20"/>
                <w:color w:val="auto"/>
              </w:rPr>
            </w:pPr>
          </w:p>
        </w:tc>
        <w:tc>
          <w:tcPr>
            <w:tcW w:w="800" w:type="dxa"/>
            <w:vAlign w:val="bottom"/>
            <w:shd w:val="clear" w:color="auto" w:fill="CCECFF"/>
          </w:tcPr>
          <w:p>
            <w:pPr>
              <w:jc w:val="right"/>
              <w:ind w:right="6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(45,387 )</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56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1,635</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color w:val="auto"/>
              </w:rPr>
              <w:t>42,646</w:t>
            </w:r>
          </w:p>
        </w:tc>
      </w:tr>
      <w:tr>
        <w:trPr>
          <w:trHeight w:val="249"/>
        </w:trPr>
        <w:tc>
          <w:tcPr>
            <w:tcW w:w="5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Financing activities</w:t>
            </w:r>
          </w:p>
        </w:tc>
        <w:tc>
          <w:tcPr>
            <w:tcW w:w="1560" w:type="dxa"/>
            <w:vAlign w:val="bottom"/>
            <w:tcBorders>
              <w:bottom w:val="single" w:sz="8" w:color="auto"/>
            </w:tcBorders>
            <w:shd w:val="clear" w:color="auto" w:fill="CCECFF"/>
          </w:tcPr>
          <w:p>
            <w:pPr>
              <w:spacing w:after="0"/>
              <w:rPr>
                <w:sz w:val="21"/>
                <w:szCs w:val="21"/>
                <w:color w:val="auto"/>
              </w:rPr>
            </w:pPr>
          </w:p>
        </w:tc>
        <w:tc>
          <w:tcPr>
            <w:tcW w:w="940" w:type="dxa"/>
            <w:vAlign w:val="bottom"/>
            <w:tcBorders>
              <w:bottom w:val="single" w:sz="8" w:color="auto"/>
            </w:tcBorders>
            <w:shd w:val="clear" w:color="auto" w:fill="CCECFF"/>
          </w:tcPr>
          <w:p>
            <w:pPr>
              <w:jc w:val="right"/>
              <w:ind w:right="54"/>
              <w:spacing w:after="0"/>
              <w:rPr>
                <w:sz w:val="20"/>
                <w:szCs w:val="20"/>
                <w:color w:val="auto"/>
              </w:rPr>
            </w:pPr>
            <w:r>
              <w:rPr>
                <w:rFonts w:ascii="Arial" w:cs="Arial" w:eastAsia="Arial" w:hAnsi="Arial"/>
                <w:sz w:val="18"/>
                <w:szCs w:val="18"/>
                <w:color w:val="auto"/>
              </w:rPr>
              <w:t>4,626</w:t>
            </w:r>
          </w:p>
        </w:tc>
        <w:tc>
          <w:tcPr>
            <w:tcW w:w="460" w:type="dxa"/>
            <w:vAlign w:val="bottom"/>
            <w:tcBorders>
              <w:bottom w:val="single" w:sz="8" w:color="CCECFF"/>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spacing w:after="0"/>
              <w:rPr>
                <w:sz w:val="21"/>
                <w:szCs w:val="21"/>
                <w:color w:val="auto"/>
              </w:rPr>
            </w:pPr>
          </w:p>
        </w:tc>
        <w:tc>
          <w:tcPr>
            <w:tcW w:w="170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8"/>
                <w:szCs w:val="18"/>
                <w:color w:val="auto"/>
              </w:rPr>
              <w:t>177</w:t>
            </w: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(30,795 )</w:t>
            </w:r>
          </w:p>
        </w:tc>
        <w:tc>
          <w:tcPr>
            <w:tcW w:w="12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(2,564 )</w:t>
            </w:r>
          </w:p>
        </w:tc>
      </w:tr>
      <w:tr>
        <w:trPr>
          <w:trHeight w:val="20"/>
        </w:trPr>
        <w:tc>
          <w:tcPr>
            <w:tcW w:w="57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-187960</wp:posOffset>
            </wp:positionV>
            <wp:extent cx="29146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1465"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$37.1 million for the six months ended June 30, 2023. This was primarily due to our $35.8 million net loss and a decrease in other accrued expenses of $3.1 million due to payment of our 2022 annual bonuses.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$45.4 million for the six months ended June 30, 2022. This was primarily due to our $47.6 million net loss, adjusted for $3.0 million recognized for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2023 was $1.6 million due to proceeds from maturities of our marketable securities, net of purchases.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2022 was $42.6 million due to proceeds from sales and maturities of our marketable securities, net of purchases.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2023 was $4.6 million due to proceeds of $4.5 million from the sale of 3,134,045 shares of our common stock under the 2020 ATM.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 were not significant for the six months ended June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future operating expenses to decrease as we continue to realize cost savings from our strategic reorganization plan we implemented in July 2022. However, we will need to obtain substantial additional funding in connection with our continuing operations. If we are unable to secure additional sources of funding when needed or on attractive terms, we could be forced to reduce staff and delay, scale back or stop certain research and development programs or future commercialization efforts.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There were no material changes in our commitments under the contractual obligations disclosed in our 2022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98" w:lineRule="exact"/>
        <w:rPr>
          <w:sz w:val="20"/>
          <w:szCs w:val="20"/>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despite macroeconomic and geopolitical events impacting financial markets, such as rising inflation, market volatility and risk of recession;</w:t>
      </w:r>
    </w:p>
    <w:p>
      <w:pPr>
        <w:spacing w:after="0" w:line="129"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partnerships and collaborations on favorable terms, if at all;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43"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w:t>
      </w:r>
    </w:p>
    <w:p>
      <w:pPr>
        <w:spacing w:after="0" w:line="18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reduce staff, delay, limit, scale back or stop our product development or future commercialization efforts or grant rights to develop and market product candidates that we would otherwise prefer to develop and market ourselves.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June 30, 2023 that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may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7"/>
          <w:szCs w:val="17"/>
          <w:color w:val="auto"/>
        </w:rPr>
        <w:t>There is no assurance that we will be successful in raising any necessary additional capital on terms that are acceptable to us, or at all, particularly due to the well-documented, ongoing sector-wide weakness in the biotech markets that began in early 2021.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 In addition, if we are unable to generate sufficient revenue or raise capital, we may conclude that there is a substantial doubt about our ability to continue as a going concern, and future reports from our independent registered public accounting firm may also contain statements expressing substantial doubt about our ability to continue as a going concern.</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which could adversely affect our ability to develop certain of our product candidates.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Developing pharmaceutical products, conducting clinical trials,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or to obtain financing or share costs on these programs and we are currently evaluating partnering options for our CI portfolio prior to further clinical development. If we are unable to enter into collaborations on acceptable terms, if at all, we may be unable to advance certain of our product candidates through further preclinical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reach agreement on favorable terms with a suitable collaboration partner for any of our product candidates, we may need to limit the number of our product candidates to advance through further preclinical or clinical development. Failure to achieve successful collaborations would limit our options for support of the development and commercialization of our programs and for financing and would likely have a material adverse impact on our business, results of operations, financial condition and share price.</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study design;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ind w:left="102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for any reason, including, product side effects or disease progression;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that are located outside of the United States.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62" w:lineRule="exact"/>
        <w:rPr>
          <w:sz w:val="20"/>
          <w:szCs w:val="20"/>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such as Russia’s invasion of Ukraine and the resulting war, as well as tariffs, other wars, acts of terrorism, natural disasters or outbreaks of disease;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the United States Foreign Corrupt Practices Act (the FCPA) and other anti-corruption and anti-bribery laws;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top-line or preliminary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17" w:lineRule="exact"/>
        <w:rPr>
          <w:sz w:val="20"/>
          <w:szCs w:val="20"/>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increasing risk of misappropriation or disclosure of our intellectual property by or to third parties.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and adversely affected, and the price of our common stock could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landscapes for HBV, HDV, high-recurrence genital herpes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high-recurrence genital herpes and transplant-related herpesviruses or any other indication or field we might pursue, and successfully commercialize those treatments, our business and prospects could be materially harmed.</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data from clinical studies using a competitor’s product candidates with the same or similar mechanisms of action as ours could adversely impact the perception of the therapeutic use of our product candidates and our ability to enroll patients in clinical studies.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1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the FCPA, the U.K. Bribery Act 2010, the PRC Criminal Law, the PRC Anti-unfair Competition Law and other anti-bribery and trade laws;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jc w:val="both"/>
        <w:ind w:left="1020" w:hanging="503"/>
        <w:spacing w:after="0" w:line="31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or furnished, as applicable, as part of this quarterly report on Form 10-Q:</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0" w:type="dxa"/>
            <w:vAlign w:val="bottom"/>
            <w:gridSpan w:val="5"/>
            <w:vMerge w:val="restart"/>
          </w:tcPr>
          <w:p>
            <w:pPr>
              <w:ind w:left="15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40" w:type="dxa"/>
            <w:vAlign w:val="bottom"/>
          </w:tcPr>
          <w:p>
            <w:pPr>
              <w:spacing w:after="0"/>
              <w:rPr>
                <w:sz w:val="24"/>
                <w:szCs w:val="24"/>
                <w:color w:val="auto"/>
              </w:rPr>
            </w:pPr>
          </w:p>
        </w:tc>
        <w:tc>
          <w:tcPr>
            <w:tcW w:w="5160" w:type="dxa"/>
            <w:vAlign w:val="bottom"/>
            <w:tcBorders>
              <w:bottom w:val="single" w:sz="8" w:color="0000FF"/>
            </w:tcBorders>
            <w:gridSpan w:val="5"/>
          </w:tcPr>
          <w:p>
            <w:pPr>
              <w:spacing w:after="0"/>
              <w:rPr>
                <w:rFonts w:ascii="Arial" w:cs="Arial" w:eastAsia="Arial" w:hAnsi="Arial"/>
                <w:sz w:val="18"/>
                <w:szCs w:val="18"/>
                <w:color w:val="0000FF"/>
                <w:w w:val="91"/>
              </w:rPr>
            </w:pPr>
            <w:hyperlink r:id="rId185">
              <w:r>
                <w:rPr>
                  <w:rFonts w:ascii="Arial" w:cs="Arial" w:eastAsia="Arial" w:hAnsi="Arial"/>
                  <w:sz w:val="18"/>
                  <w:szCs w:val="18"/>
                  <w:color w:val="0000FF"/>
                  <w:w w:val="91"/>
                </w:rPr>
                <w:t>Amendment No. 6 to Assembly Biosciences, Inc. 2018 Stock Incentive</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right"/>
              <w:ind w:right="128"/>
              <w:spacing w:after="0"/>
              <w:rPr>
                <w:sz w:val="20"/>
                <w:szCs w:val="20"/>
                <w:color w:val="auto"/>
              </w:rPr>
            </w:pPr>
            <w:r>
              <w:rPr>
                <w:rFonts w:ascii="Arial" w:cs="Arial" w:eastAsia="Arial" w:hAnsi="Arial"/>
                <w:sz w:val="18"/>
                <w:szCs w:val="18"/>
                <w:color w:val="auto"/>
              </w:rPr>
              <w:t>05/30/2023</w:t>
            </w:r>
          </w:p>
        </w:tc>
        <w:tc>
          <w:tcPr>
            <w:tcW w:w="920" w:type="dxa"/>
            <w:vAlign w:val="bottom"/>
            <w:gridSpan w:val="2"/>
          </w:tcPr>
          <w:p>
            <w:pPr>
              <w:jc w:val="right"/>
              <w:ind w:right="16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6"/>
          </w:tcPr>
          <w:p>
            <w:pPr>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Plan.</w:t>
              </w:r>
            </w:hyperlink>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51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Chief Executive Officer Pursuant to Section 302 of the</w:t>
            </w:r>
          </w:p>
        </w:tc>
        <w:tc>
          <w:tcPr>
            <w:tcW w:w="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20" w:type="dxa"/>
            <w:vAlign w:val="bottom"/>
            <w:tcBorders>
              <w:bottom w:val="single" w:sz="8" w:color="0000EE"/>
            </w:tcBorders>
          </w:tcPr>
          <w:p>
            <w:pPr>
              <w:spacing w:after="0"/>
              <w:rPr>
                <w:sz w:val="17"/>
                <w:szCs w:val="17"/>
                <w:color w:val="auto"/>
              </w:rPr>
            </w:pPr>
          </w:p>
        </w:tc>
        <w:tc>
          <w:tcPr>
            <w:tcW w:w="32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4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51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Chief Executive Officer Pursuant to Section 906 of the</w:t>
            </w:r>
          </w:p>
        </w:tc>
        <w:tc>
          <w:tcPr>
            <w:tcW w:w="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20" w:type="dxa"/>
            <w:vAlign w:val="bottom"/>
            <w:tcBorders>
              <w:bottom w:val="single" w:sz="8" w:color="0000EE"/>
            </w:tcBorders>
          </w:tcPr>
          <w:p>
            <w:pPr>
              <w:spacing w:after="0"/>
              <w:rPr>
                <w:sz w:val="17"/>
                <w:szCs w:val="17"/>
                <w:color w:val="auto"/>
              </w:rPr>
            </w:pPr>
          </w:p>
        </w:tc>
        <w:tc>
          <w:tcPr>
            <w:tcW w:w="32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40" w:type="dxa"/>
            <w:vAlign w:val="bottom"/>
          </w:tcPr>
          <w:p>
            <w:pPr>
              <w:spacing w:after="0"/>
              <w:rPr>
                <w:sz w:val="24"/>
                <w:szCs w:val="24"/>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40" w:type="dxa"/>
            <w:vAlign w:val="bottom"/>
          </w:tcPr>
          <w:p>
            <w:pPr>
              <w:spacing w:after="0"/>
              <w:rPr>
                <w:sz w:val="24"/>
                <w:szCs w:val="24"/>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with</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gridSpan w:val="6"/>
          </w:tcPr>
          <w:p>
            <w:pPr>
              <w:spacing w:after="0"/>
              <w:rPr>
                <w:sz w:val="20"/>
                <w:szCs w:val="20"/>
                <w:color w:val="auto"/>
              </w:rPr>
            </w:pPr>
            <w:r>
              <w:rPr>
                <w:rFonts w:ascii="Arial" w:cs="Arial" w:eastAsia="Arial" w:hAnsi="Arial"/>
                <w:sz w:val="18"/>
                <w:szCs w:val="18"/>
                <w:color w:val="auto"/>
                <w:w w:val="96"/>
              </w:rPr>
              <w:t>applicable taxonomy extension information contained in Exhibits 101).</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Represents management contracts or compensatory plans or agreements.</w:t>
      </w:r>
    </w:p>
    <w:p>
      <w:pPr>
        <w:spacing w:after="0" w:line="23" w:lineRule="exact"/>
        <w:rPr>
          <w:sz w:val="20"/>
          <w:szCs w:val="20"/>
          <w:color w:val="auto"/>
        </w:rPr>
      </w:pPr>
    </w:p>
    <w:p>
      <w:pPr>
        <w:jc w:val="both"/>
        <w:ind w:firstLine="8"/>
        <w:spacing w:after="0" w:line="253" w:lineRule="auto"/>
        <w:tabs>
          <w:tab w:leader="none" w:pos="2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Assembly Biosciences, Inc.</w:t>
      </w:r>
    </w:p>
    <w:p>
      <w:pPr>
        <w:spacing w:after="0" w:line="283" w:lineRule="exact"/>
        <w:rPr>
          <w:sz w:val="20"/>
          <w:szCs w:val="20"/>
          <w:color w:val="auto"/>
        </w:rPr>
      </w:pPr>
    </w:p>
    <w:p>
      <w:pPr>
        <w:ind w:left="20"/>
        <w:spacing w:after="0"/>
        <w:tabs>
          <w:tab w:leader="none" w:pos="5600" w:val="left"/>
          <w:tab w:leader="none" w:pos="608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Jason A. Okazaki</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Jason A. Okazaki, certify that:</w:t>
      </w:r>
    </w:p>
    <w:p>
      <w:pPr>
        <w:spacing w:after="0" w:line="198" w:lineRule="exact"/>
        <w:rPr>
          <w:sz w:val="20"/>
          <w:szCs w:val="20"/>
          <w:color w:val="auto"/>
        </w:rPr>
      </w:pPr>
    </w:p>
    <w:p>
      <w:pPr>
        <w:ind w:left="520" w:hanging="512"/>
        <w:spacing w:after="0" w:line="207" w:lineRule="exact"/>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520" w:hanging="512"/>
        <w:spacing w:after="0" w:line="224" w:lineRule="exact"/>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2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020" w:hanging="503"/>
        <w:spacing w:after="0" w:line="342"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020" w:hanging="503"/>
        <w:spacing w:after="0" w:line="308" w:lineRule="auto"/>
        <w:tabs>
          <w:tab w:leader="none" w:pos="10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02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2023</w:t>
      </w:r>
    </w:p>
    <w:p>
      <w:pPr>
        <w:spacing w:after="0" w:line="279"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23495</wp:posOffset>
            </wp:positionV>
            <wp:extent cx="31292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Jason A. Okazaki</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590550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ind w:left="10080"/>
        <w:spacing w:after="0"/>
        <w:rPr>
          <w:sz w:val="20"/>
          <w:szCs w:val="20"/>
          <w:color w:val="auto"/>
        </w:rPr>
      </w:pPr>
      <w:r>
        <w:rPr>
          <w:rFonts w:ascii="Arial" w:cs="Arial" w:eastAsia="Arial" w:hAnsi="Arial"/>
          <w:sz w:val="18"/>
          <w:szCs w:val="18"/>
          <w:b w:val="1"/>
          <w:bCs w:val="1"/>
          <w:color w:val="auto"/>
        </w:rPr>
        <w:t>EXHIBIT 32.1</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June 30, 2023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p>
    <w:p>
      <w:pPr>
        <w:spacing w:after="0" w:line="188"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Jason A. Okazaki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August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85" Type="http://schemas.openxmlformats.org/officeDocument/2006/relationships/hyperlink" Target="https://www.sec.gov/Archives/edgar/data/1426800/000095017023024879/asm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2023-08-09T15:34:15Z</dcterms:created>
  <dcterms:modified xsi:type="dcterms:W3CDTF">2023-08-09T15:34:15Z</dcterms:modified>
</cp:coreProperties>
</file>