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asmb-20230331.htm"/>
      <w:bookmarkStart w:id="1" w:name="ksasmb20230331"/>
      <w:bookmarkEnd w:id="0"/>
      <w:bookmarkEnd w:id="1"/>
      <w:r>
        <w:rPr/>
        <w:t> </w:t>
      </w:r>
    </w:p>
    <w:p>
      <w:pPr>
        <w:pStyle w:val="TextBody"/>
        <w:pBdr>
          <w:bottom w:val="double" w:sz="6" w:space="1" w:color="000000"/>
        </w:pBdr>
        <w:spacing w:before="0" w:after="0"/>
        <w:jc w:val="left"/>
        <w:rPr/>
      </w:pPr>
      <w:r>
        <w:rPr/>
        <w:t> </w:t>
      </w:r>
    </w:p>
    <w:p>
      <w:pPr>
        <w:pStyle w:val="TextBody"/>
        <w:spacing w:before="80" w:after="0"/>
        <w:jc w:val="center"/>
        <w:rPr>
          <w:rFonts w:ascii="Times New Roman;serif" w:hAnsi="Times New Roman;serif"/>
          <w:b/>
          <w:sz w:val="24"/>
        </w:rPr>
      </w:pPr>
      <w:r>
        <w:rPr>
          <w:rFonts w:ascii="Times New Roman;serif" w:hAnsi="Times New Roman;serif"/>
          <w:b/>
          <w:sz w:val="24"/>
        </w:rPr>
        <w:t>UNITED STATES</w:t>
      </w:r>
    </w:p>
    <w:p>
      <w:pPr>
        <w:pStyle w:val="TextBody"/>
        <w:spacing w:before="0" w:after="0"/>
        <w:jc w:val="center"/>
        <w:rPr>
          <w:rFonts w:ascii="Times New Roman;serif" w:hAnsi="Times New Roman;serif"/>
          <w:b/>
          <w:sz w:val="24"/>
        </w:rPr>
      </w:pPr>
      <w:r>
        <w:rPr>
          <w:rFonts w:ascii="Times New Roman;serif" w:hAnsi="Times New Roman;serif"/>
          <w:b/>
          <w:sz w:val="24"/>
        </w:rPr>
        <w:t>SECURITIES AND EXCHANGE COMMISSION</w:t>
      </w:r>
    </w:p>
    <w:p>
      <w:pPr>
        <w:pStyle w:val="TextBody"/>
        <w:spacing w:before="0" w:after="0"/>
        <w:jc w:val="center"/>
        <w:rPr>
          <w:rFonts w:ascii="Times New Roman;serif" w:hAnsi="Times New Roman;serif"/>
          <w:b/>
          <w:sz w:val="18"/>
        </w:rPr>
      </w:pPr>
      <w:r>
        <w:rPr>
          <w:rFonts w:ascii="Times New Roman;serif" w:hAnsi="Times New Roman;serif"/>
          <w:b/>
          <w:sz w:val="18"/>
        </w:rPr>
        <w:t>Washington, D.C. 20549</w:t>
      </w:r>
    </w:p>
    <w:p>
      <w:pPr>
        <w:pStyle w:val="TextBody"/>
        <w:pBdr>
          <w:bottom w:val="single" w:sz="4" w:space="1" w:color="000000"/>
        </w:pBdr>
        <w:spacing w:before="0" w:after="120"/>
        <w:jc w:val="center"/>
        <w:rPr/>
      </w:pPr>
      <w:r>
        <w:rPr/>
        <w:t> </w:t>
      </w:r>
    </w:p>
    <w:p>
      <w:pPr>
        <w:pStyle w:val="TextBody"/>
        <w:spacing w:before="0" w:after="0"/>
        <w:jc w:val="center"/>
        <w:rPr>
          <w:rFonts w:ascii="Times New Roman;serif" w:hAnsi="Times New Roman;serif"/>
          <w:b/>
          <w:sz w:val="24"/>
        </w:rPr>
      </w:pPr>
      <w:r>
        <w:rPr>
          <w:rFonts w:ascii="Times New Roman;serif" w:hAnsi="Times New Roman;serif"/>
          <w:b/>
          <w:sz w:val="24"/>
        </w:rPr>
        <w:t>FORM 10-Q</w:t>
      </w:r>
    </w:p>
    <w:p>
      <w:pPr>
        <w:pStyle w:val="TextBody"/>
        <w:pBdr>
          <w:bottom w:val="single" w:sz="4" w:space="1" w:color="000000"/>
        </w:pBdr>
        <w:spacing w:before="0" w:after="0"/>
        <w:jc w:val="center"/>
        <w:rPr/>
      </w:pPr>
      <w:r>
        <w:rPr/>
        <w:t> </w:t>
      </w:r>
    </w:p>
    <w:p>
      <w:pPr>
        <w:pStyle w:val="TextBody"/>
        <w:spacing w:before="0" w:after="0"/>
        <w:jc w:val="both"/>
        <w:rPr/>
      </w:pPr>
      <w:r>
        <w:rPr/>
        <w:t> </w:t>
      </w:r>
    </w:p>
    <w:tbl>
      <w:tblPr>
        <w:tblW w:w="9752" w:type="dxa"/>
        <w:jc w:val="left"/>
        <w:tblInd w:w="0" w:type="dxa"/>
        <w:tblCellMar>
          <w:top w:w="28" w:type="dxa"/>
          <w:left w:w="28" w:type="dxa"/>
          <w:bottom w:w="28" w:type="dxa"/>
          <w:right w:w="28" w:type="dxa"/>
        </w:tblCellMar>
      </w:tblPr>
      <w:tblGrid>
        <w:gridCol w:w="331"/>
        <w:gridCol w:w="9421"/>
      </w:tblGrid>
      <w:tr>
        <w:trPr/>
        <w:tc>
          <w:tcPr>
            <w:tcW w:w="331" w:type="dxa"/>
            <w:tcBorders/>
            <w:shd w:fill="auto" w:val="clear"/>
            <w:vAlign w:val="center"/>
          </w:tcPr>
          <w:p>
            <w:pPr>
              <w:pStyle w:val="TableContents"/>
              <w:spacing w:before="0" w:after="283"/>
              <w:rPr>
                <w:sz w:val="4"/>
                <w:szCs w:val="4"/>
              </w:rPr>
            </w:pPr>
            <w:r>
              <w:rPr>
                <w:sz w:val="4"/>
                <w:szCs w:val="4"/>
              </w:rPr>
            </w:r>
          </w:p>
        </w:tc>
        <w:tc>
          <w:tcPr>
            <w:tcW w:w="942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42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QUARTERLY REPORT PURSUANT TO SECTION 13 OR 15(d) OF THE SECURITIES EXCHANGE ACT OF 1934</w:t>
            </w:r>
          </w:p>
        </w:tc>
      </w:tr>
    </w:tbl>
    <w:p>
      <w:pPr>
        <w:pStyle w:val="TextBody"/>
        <w:spacing w:before="0" w:after="0"/>
        <w:jc w:val="both"/>
        <w:rPr/>
      </w:pPr>
      <w:r>
        <w:rPr/>
        <w:t> </w:t>
      </w:r>
    </w:p>
    <w:p>
      <w:pPr>
        <w:pStyle w:val="TextBody"/>
        <w:spacing w:before="0" w:after="0"/>
        <w:jc w:val="center"/>
        <w:rPr>
          <w:rFonts w:ascii="Times New Roman;serif" w:hAnsi="Times New Roman;serif"/>
          <w:b/>
          <w:sz w:val="18"/>
        </w:rPr>
      </w:pPr>
      <w:r>
        <w:rPr>
          <w:rFonts w:ascii="Times New Roman;serif" w:hAnsi="Times New Roman;serif"/>
          <w:b/>
          <w:sz w:val="18"/>
        </w:rPr>
        <w:t>For the quarterly period ended March 31, 2023</w:t>
      </w:r>
    </w:p>
    <w:p>
      <w:pPr>
        <w:pStyle w:val="TextBody"/>
        <w:spacing w:before="0" w:after="0"/>
        <w:jc w:val="center"/>
        <w:rPr/>
      </w:pPr>
      <w:r>
        <w:rPr/>
        <w:t> </w:t>
      </w:r>
    </w:p>
    <w:p>
      <w:pPr>
        <w:pStyle w:val="TextBody"/>
        <w:spacing w:before="0" w:after="0"/>
        <w:jc w:val="center"/>
        <w:rPr>
          <w:rFonts w:ascii="Times New Roman;serif" w:hAnsi="Times New Roman;serif"/>
          <w:b/>
          <w:sz w:val="18"/>
        </w:rPr>
      </w:pPr>
      <w:r>
        <w:rPr>
          <w:rFonts w:ascii="Times New Roman;serif" w:hAnsi="Times New Roman;serif"/>
          <w:b/>
          <w:sz w:val="18"/>
        </w:rPr>
        <w:t>OR</w:t>
      </w:r>
    </w:p>
    <w:p>
      <w:pPr>
        <w:pStyle w:val="TextBody"/>
        <w:spacing w:before="0" w:after="0"/>
        <w:jc w:val="both"/>
        <w:rPr/>
      </w:pPr>
      <w:r>
        <w:rPr/>
        <w:t> </w:t>
      </w:r>
    </w:p>
    <w:tbl>
      <w:tblPr>
        <w:tblW w:w="9752" w:type="dxa"/>
        <w:jc w:val="left"/>
        <w:tblInd w:w="0" w:type="dxa"/>
        <w:tblCellMar>
          <w:top w:w="28" w:type="dxa"/>
          <w:left w:w="28" w:type="dxa"/>
          <w:bottom w:w="28" w:type="dxa"/>
          <w:right w:w="28" w:type="dxa"/>
        </w:tblCellMar>
      </w:tblPr>
      <w:tblGrid>
        <w:gridCol w:w="331"/>
        <w:gridCol w:w="9421"/>
      </w:tblGrid>
      <w:tr>
        <w:trPr/>
        <w:tc>
          <w:tcPr>
            <w:tcW w:w="331" w:type="dxa"/>
            <w:tcBorders/>
            <w:shd w:fill="auto" w:val="clear"/>
            <w:vAlign w:val="center"/>
          </w:tcPr>
          <w:p>
            <w:pPr>
              <w:pStyle w:val="TableContents"/>
              <w:spacing w:before="0" w:after="283"/>
              <w:rPr>
                <w:sz w:val="4"/>
                <w:szCs w:val="4"/>
              </w:rPr>
            </w:pPr>
            <w:r>
              <w:rPr>
                <w:sz w:val="4"/>
                <w:szCs w:val="4"/>
              </w:rPr>
            </w:r>
          </w:p>
        </w:tc>
        <w:tc>
          <w:tcPr>
            <w:tcW w:w="942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42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TRANSITION REPORT PURSUANT TO SECTION 13 OR 15(d) OF THE SECURITIES EXCHANGE ACT OF 1934</w:t>
            </w:r>
          </w:p>
        </w:tc>
      </w:tr>
    </w:tbl>
    <w:p>
      <w:pPr>
        <w:pStyle w:val="TextBody"/>
        <w:spacing w:before="0" w:after="0"/>
        <w:jc w:val="both"/>
        <w:rPr/>
      </w:pPr>
      <w:r>
        <w:rPr/>
        <w:t> </w:t>
      </w:r>
    </w:p>
    <w:p>
      <w:pPr>
        <w:pStyle w:val="TextBody"/>
        <w:spacing w:before="0" w:after="0"/>
        <w:jc w:val="center"/>
        <w:rPr>
          <w:rFonts w:ascii="Times New Roman;serif" w:hAnsi="Times New Roman;serif"/>
          <w:b/>
          <w:sz w:val="18"/>
        </w:rPr>
      </w:pPr>
      <w:r>
        <w:rPr>
          <w:rFonts w:ascii="Times New Roman;serif" w:hAnsi="Times New Roman;serif"/>
          <w:b/>
          <w:sz w:val="18"/>
        </w:rPr>
        <w:t>For the transition period from ___________to___________.</w:t>
      </w:r>
    </w:p>
    <w:p>
      <w:pPr>
        <w:pStyle w:val="TextBody"/>
        <w:spacing w:before="0" w:after="0"/>
        <w:jc w:val="center"/>
        <w:rPr/>
      </w:pPr>
      <w:r>
        <w:rPr/>
        <w:t> </w:t>
      </w:r>
    </w:p>
    <w:p>
      <w:pPr>
        <w:pStyle w:val="TextBody"/>
        <w:spacing w:before="0" w:after="0"/>
        <w:jc w:val="center"/>
        <w:rPr>
          <w:rFonts w:ascii="Times New Roman;serif" w:hAnsi="Times New Roman;serif"/>
          <w:b/>
          <w:sz w:val="18"/>
        </w:rPr>
      </w:pPr>
      <w:r>
        <w:rPr>
          <w:rFonts w:ascii="Times New Roman;serif" w:hAnsi="Times New Roman;serif"/>
          <w:b/>
          <w:sz w:val="18"/>
        </w:rPr>
        <w:t>Commission file number: 001-35005</w:t>
      </w:r>
    </w:p>
    <w:p>
      <w:pPr>
        <w:pStyle w:val="TextBody"/>
        <w:pBdr>
          <w:bottom w:val="single" w:sz="4" w:space="1" w:color="000000"/>
        </w:pBdr>
        <w:spacing w:before="60" w:after="120"/>
        <w:jc w:val="center"/>
        <w:rPr/>
      </w:pPr>
      <w:r>
        <w:rPr/>
        <w:t> </w:t>
      </w:r>
    </w:p>
    <w:p>
      <w:pPr>
        <w:pStyle w:val="TextBody"/>
        <w:spacing w:before="0" w:after="0"/>
        <w:jc w:val="center"/>
        <w:rPr>
          <w:rFonts w:ascii="Times New Roman;serif" w:hAnsi="Times New Roman;serif"/>
          <w:b/>
          <w:sz w:val="24"/>
        </w:rPr>
      </w:pPr>
      <w:r>
        <w:rPr>
          <w:rFonts w:ascii="Times New Roman;serif" w:hAnsi="Times New Roman;serif"/>
          <w:b/>
          <w:sz w:val="24"/>
        </w:rPr>
        <w:t>ASSEMBLY BIOSCIENCES, INC.</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(Exact name of Registrant as specified in its charter)</w:t>
      </w:r>
    </w:p>
    <w:p>
      <w:pPr>
        <w:pStyle w:val="TextBody"/>
        <w:spacing w:before="0" w:after="0"/>
        <w:jc w:val="both"/>
        <w:rPr/>
      </w:pPr>
      <w:r>
        <w:rPr/>
        <w:t> </w:t>
      </w:r>
    </w:p>
    <w:tbl>
      <w:tblPr>
        <w:tblW w:w="4952" w:type="dxa"/>
        <w:jc w:val="left"/>
        <w:tblInd w:w="0" w:type="dxa"/>
        <w:tblCellMar>
          <w:top w:w="28" w:type="dxa"/>
          <w:left w:w="28" w:type="dxa"/>
          <w:bottom w:w="28" w:type="dxa"/>
          <w:right w:w="28" w:type="dxa"/>
        </w:tblCellMar>
      </w:tblPr>
      <w:tblGrid>
        <w:gridCol w:w="2236"/>
        <w:gridCol w:w="2716"/>
      </w:tblGrid>
      <w:tr>
        <w:trPr/>
        <w:tc>
          <w:tcPr>
            <w:tcW w:w="2236" w:type="dxa"/>
            <w:tcBorders/>
            <w:shd w:fill="auto" w:val="clear"/>
            <w:vAlign w:val="center"/>
          </w:tcPr>
          <w:p>
            <w:pPr>
              <w:pStyle w:val="TableContents"/>
              <w:spacing w:before="0" w:after="283"/>
              <w:rPr>
                <w:sz w:val="4"/>
                <w:szCs w:val="4"/>
              </w:rPr>
            </w:pPr>
            <w:r>
              <w:rPr>
                <w:sz w:val="4"/>
                <w:szCs w:val="4"/>
              </w:rPr>
            </w:r>
          </w:p>
        </w:tc>
        <w:tc>
          <w:tcPr>
            <w:tcW w:w="2716" w:type="dxa"/>
            <w:tcBorders/>
            <w:shd w:fill="auto" w:val="clear"/>
            <w:vAlign w:val="center"/>
          </w:tcPr>
          <w:p>
            <w:pPr>
              <w:pStyle w:val="TableContents"/>
              <w:spacing w:before="0" w:after="283"/>
              <w:rPr>
                <w:sz w:val="4"/>
                <w:szCs w:val="4"/>
              </w:rPr>
            </w:pPr>
            <w:r>
              <w:rPr>
                <w:sz w:val="4"/>
                <w:szCs w:val="4"/>
              </w:rPr>
            </w:r>
          </w:p>
        </w:tc>
      </w:tr>
      <w:tr>
        <w:trPr/>
        <w:tc>
          <w:tcPr>
            <w:tcW w:w="223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Delaware</w:t>
            </w:r>
          </w:p>
        </w:tc>
        <w:tc>
          <w:tcPr>
            <w:tcW w:w="271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20-8729264</w:t>
            </w:r>
          </w:p>
        </w:tc>
      </w:tr>
      <w:tr>
        <w:trPr/>
        <w:tc>
          <w:tcPr>
            <w:tcW w:w="223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(State or other jurisdiction of</w:t>
            </w:r>
          </w:p>
        </w:tc>
        <w:tc>
          <w:tcPr>
            <w:tcW w:w="271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(I.R.S. Employer Identification No.)</w:t>
            </w:r>
          </w:p>
        </w:tc>
      </w:tr>
      <w:tr>
        <w:trPr/>
        <w:tc>
          <w:tcPr>
            <w:tcW w:w="223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incorporation or organization)</w:t>
            </w:r>
          </w:p>
        </w:tc>
        <w:tc>
          <w:tcPr>
            <w:tcW w:w="271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3782" w:type="dxa"/>
        <w:jc w:val="left"/>
        <w:tblInd w:w="0" w:type="dxa"/>
        <w:tblCellMar>
          <w:top w:w="28" w:type="dxa"/>
          <w:left w:w="28" w:type="dxa"/>
          <w:bottom w:w="28" w:type="dxa"/>
          <w:right w:w="28" w:type="dxa"/>
        </w:tblCellMar>
      </w:tblPr>
      <w:tblGrid>
        <w:gridCol w:w="2926"/>
        <w:gridCol w:w="856"/>
      </w:tblGrid>
      <w:tr>
        <w:trPr/>
        <w:tc>
          <w:tcPr>
            <w:tcW w:w="2926"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331 Oyster Point Blvd., Fourth Floor</w:t>
            </w:r>
          </w:p>
        </w:tc>
        <w:tc>
          <w:tcPr>
            <w:tcW w:w="856" w:type="dxa"/>
            <w:tcBorders/>
            <w:shd w:fill="auto" w:val="clear"/>
            <w:vAlign w:val="center"/>
          </w:tcPr>
          <w:p>
            <w:pPr>
              <w:pStyle w:val="TableContents"/>
              <w:spacing w:before="0" w:after="283"/>
              <w:ind w:left="0" w:right="0" w:hanging="0"/>
              <w:rPr>
                <w:sz w:val="4"/>
                <w:szCs w:val="4"/>
              </w:rPr>
            </w:pPr>
            <w:r>
              <w:rPr>
                <w:sz w:val="4"/>
                <w:szCs w:val="4"/>
              </w:rPr>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South San Francisco, California</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94080</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(Address of principal executive offices)</w:t>
            </w:r>
          </w:p>
        </w:tc>
        <w:tc>
          <w:tcPr>
            <w:tcW w:w="85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(zip code)</w:t>
            </w:r>
          </w:p>
        </w:tc>
      </w:tr>
    </w:tbl>
    <w:p>
      <w:pPr>
        <w:pStyle w:val="TextBody"/>
        <w:spacing w:before="0" w:after="0"/>
        <w:jc w:val="left"/>
        <w:rPr/>
      </w:pPr>
      <w:r>
        <w:rPr/>
        <w:t> </w:t>
      </w:r>
    </w:p>
    <w:p>
      <w:pPr>
        <w:pStyle w:val="TextBody"/>
        <w:spacing w:before="0" w:after="0"/>
        <w:jc w:val="center"/>
        <w:rPr>
          <w:rFonts w:ascii="Times New Roman;serif" w:hAnsi="Times New Roman;serif"/>
          <w:b/>
          <w:sz w:val="18"/>
        </w:rPr>
      </w:pPr>
      <w:r>
        <w:rPr>
          <w:rFonts w:ascii="Times New Roman;serif" w:hAnsi="Times New Roman;serif"/>
          <w:b/>
          <w:sz w:val="18"/>
        </w:rPr>
        <w:t>(833) 509-4583</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(Registrant’s telephone number, including area code)</w:t>
      </w:r>
    </w:p>
    <w:p>
      <w:pPr>
        <w:pStyle w:val="TextBody"/>
        <w:pBdr>
          <w:bottom w:val="single" w:sz="4" w:space="1" w:color="000000"/>
        </w:pBdr>
        <w:spacing w:before="0" w:after="120"/>
        <w:jc w:val="center"/>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Securities registered pursuant to Section 12(b) of the Act:</w:t>
      </w:r>
    </w:p>
    <w:p>
      <w:pPr>
        <w:pStyle w:val="TextBody"/>
        <w:spacing w:before="0" w:after="0"/>
        <w:jc w:val="both"/>
        <w:rPr/>
      </w:pPr>
      <w:r>
        <w:rPr/>
        <w:t> </w:t>
      </w:r>
    </w:p>
    <w:tbl>
      <w:tblPr>
        <w:tblW w:w="7158" w:type="dxa"/>
        <w:jc w:val="left"/>
        <w:tblInd w:w="0" w:type="dxa"/>
        <w:tblCellMar>
          <w:top w:w="28" w:type="dxa"/>
          <w:left w:w="28" w:type="dxa"/>
          <w:bottom w:w="28" w:type="dxa"/>
          <w:right w:w="28" w:type="dxa"/>
        </w:tblCellMar>
      </w:tblPr>
      <w:tblGrid>
        <w:gridCol w:w="2506"/>
        <w:gridCol w:w="1426"/>
        <w:gridCol w:w="3226"/>
      </w:tblGrid>
      <w:tr>
        <w:trPr/>
        <w:tc>
          <w:tcPr>
            <w:tcW w:w="2506"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3226" w:type="dxa"/>
            <w:tcBorders/>
            <w:shd w:fill="auto" w:val="clear"/>
            <w:vAlign w:val="center"/>
          </w:tcPr>
          <w:p>
            <w:pPr>
              <w:pStyle w:val="TableContents"/>
              <w:spacing w:before="0" w:after="283"/>
              <w:rPr>
                <w:sz w:val="4"/>
                <w:szCs w:val="4"/>
              </w:rPr>
            </w:pPr>
            <w:r>
              <w:rPr>
                <w:sz w:val="4"/>
                <w:szCs w:val="4"/>
              </w:rPr>
            </w:r>
          </w:p>
        </w:tc>
      </w:tr>
      <w:tr>
        <w:trPr/>
        <w:tc>
          <w:tcPr>
            <w:tcW w:w="2506"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40" w:after="0"/>
              <w:ind w:left="0" w:right="0" w:hanging="0"/>
              <w:jc w:val="center"/>
              <w:rPr>
                <w:rFonts w:ascii="Times New Roman;serif" w:hAnsi="Times New Roman;serif"/>
                <w:b w:val="false"/>
                <w:sz w:val="16"/>
              </w:rPr>
            </w:pPr>
            <w:r>
              <w:rPr>
                <w:rFonts w:ascii="Times New Roman;serif" w:hAnsi="Times New Roman;serif"/>
                <w:b w:val="false"/>
                <w:sz w:val="16"/>
              </w:rPr>
              <w:t>Title of each class</w:t>
            </w:r>
          </w:p>
        </w:tc>
        <w:tc>
          <w:tcPr>
            <w:tcW w:w="1426"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40" w:after="0"/>
              <w:ind w:left="0" w:right="0" w:hanging="0"/>
              <w:jc w:val="center"/>
              <w:rPr>
                <w:rFonts w:ascii="Times New Roman;serif" w:hAnsi="Times New Roman;serif"/>
                <w:b w:val="false"/>
                <w:sz w:val="16"/>
              </w:rPr>
            </w:pPr>
            <w:r>
              <w:rPr>
                <w:rFonts w:ascii="Times New Roman;serif" w:hAnsi="Times New Roman;serif"/>
                <w:b w:val="false"/>
                <w:sz w:val="16"/>
              </w:rPr>
              <w:t>Trading Symbol(s)</w:t>
            </w:r>
          </w:p>
        </w:tc>
        <w:tc>
          <w:tcPr>
            <w:tcW w:w="3226"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40" w:after="0"/>
              <w:ind w:left="0" w:right="0" w:hanging="0"/>
              <w:jc w:val="center"/>
              <w:rPr>
                <w:rFonts w:ascii="Times New Roman;serif" w:hAnsi="Times New Roman;serif"/>
                <w:b w:val="false"/>
                <w:sz w:val="16"/>
              </w:rPr>
            </w:pPr>
            <w:r>
              <w:rPr>
                <w:rFonts w:ascii="Times New Roman;serif" w:hAnsi="Times New Roman;serif"/>
                <w:b w:val="false"/>
                <w:sz w:val="16"/>
              </w:rPr>
              <w:t>Name of each exchange on which registered</w:t>
            </w:r>
          </w:p>
        </w:tc>
      </w:tr>
      <w:tr>
        <w:trPr/>
        <w:tc>
          <w:tcPr>
            <w:tcW w:w="250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40" w:after="0"/>
              <w:ind w:left="0" w:right="0" w:hanging="0"/>
              <w:jc w:val="center"/>
              <w:rPr>
                <w:rFonts w:ascii="Times New Roman;serif" w:hAnsi="Times New Roman;serif"/>
                <w:b w:val="false"/>
                <w:sz w:val="18"/>
              </w:rPr>
            </w:pPr>
            <w:r>
              <w:rPr>
                <w:rFonts w:ascii="Times New Roman;serif" w:hAnsi="Times New Roman;serif"/>
                <w:b w:val="false"/>
                <w:sz w:val="18"/>
              </w:rPr>
              <w:t>Common Stock, par value $0.001</w:t>
            </w:r>
          </w:p>
        </w:tc>
        <w:tc>
          <w:tcPr>
            <w:tcW w:w="1426" w:type="dxa"/>
            <w:tcBorders>
              <w:bottom w:val="single" w:sz="8" w:space="0" w:color="000000"/>
              <w:right w:val="single" w:sz="8" w:space="0" w:color="000000"/>
            </w:tcBorders>
            <w:shd w:fill="auto" w:val="clear"/>
            <w:tcMar>
              <w:top w:w="0" w:type="dxa"/>
              <w:left w:w="0" w:type="dxa"/>
            </w:tcMar>
            <w:vAlign w:val="center"/>
          </w:tcPr>
          <w:p>
            <w:pPr>
              <w:pStyle w:val="TableContents"/>
              <w:spacing w:before="40" w:after="0"/>
              <w:ind w:left="0" w:right="0" w:hanging="0"/>
              <w:jc w:val="center"/>
              <w:rPr>
                <w:rFonts w:ascii="Times New Roman;serif" w:hAnsi="Times New Roman;serif"/>
                <w:b w:val="false"/>
                <w:sz w:val="18"/>
              </w:rPr>
            </w:pPr>
            <w:r>
              <w:rPr>
                <w:rFonts w:ascii="Times New Roman;serif" w:hAnsi="Times New Roman;serif"/>
                <w:b w:val="false"/>
                <w:sz w:val="18"/>
              </w:rPr>
              <w:t>ASMB</w:t>
            </w:r>
          </w:p>
        </w:tc>
        <w:tc>
          <w:tcPr>
            <w:tcW w:w="3226" w:type="dxa"/>
            <w:tcBorders>
              <w:bottom w:val="single" w:sz="8" w:space="0" w:color="000000"/>
              <w:right w:val="single" w:sz="8" w:space="0" w:color="000000"/>
            </w:tcBorders>
            <w:shd w:fill="auto" w:val="clear"/>
            <w:tcMar>
              <w:top w:w="0" w:type="dxa"/>
              <w:left w:w="0" w:type="dxa"/>
            </w:tcMar>
            <w:vAlign w:val="center"/>
          </w:tcPr>
          <w:p>
            <w:pPr>
              <w:pStyle w:val="TableContents"/>
              <w:spacing w:before="40" w:after="0"/>
              <w:ind w:left="0" w:right="0" w:hanging="0"/>
              <w:jc w:val="center"/>
              <w:rPr>
                <w:rFonts w:ascii="Times New Roman;serif" w:hAnsi="Times New Roman;serif"/>
                <w:b w:val="false"/>
                <w:sz w:val="18"/>
              </w:rPr>
            </w:pPr>
            <w:r>
              <w:rPr>
                <w:rFonts w:ascii="Times New Roman;serif" w:hAnsi="Times New Roman;serif"/>
                <w:b w:val="false"/>
                <w:sz w:val="18"/>
              </w:rPr>
              <w:t>The Nasdaq Global Select Market</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spacing w:before="0" w:after="0"/>
        <w:jc w:val="both"/>
        <w:rPr/>
      </w:pPr>
      <w:r>
        <w:rPr/>
        <w:t> </w:t>
      </w:r>
    </w:p>
    <w:p>
      <w:pPr>
        <w:pStyle w:val="TextBody"/>
        <w:spacing w:before="0" w:after="0"/>
        <w:jc w:val="both"/>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both"/>
        <w:rPr/>
      </w:pPr>
      <w:r>
        <w:rPr/>
        <w:t> </w:t>
      </w:r>
    </w:p>
    <w:tbl>
      <w:tblPr>
        <w:tblW w:w="5010" w:type="dxa"/>
        <w:jc w:val="left"/>
        <w:tblInd w:w="0" w:type="dxa"/>
        <w:tblCellMar>
          <w:top w:w="28" w:type="dxa"/>
          <w:left w:w="28" w:type="dxa"/>
          <w:bottom w:w="28" w:type="dxa"/>
          <w:right w:w="28" w:type="dxa"/>
        </w:tblCellMar>
      </w:tblPr>
      <w:tblGrid>
        <w:gridCol w:w="2056"/>
        <w:gridCol w:w="316"/>
        <w:gridCol w:w="146"/>
        <w:gridCol w:w="2131"/>
        <w:gridCol w:w="361"/>
      </w:tblGrid>
      <w:tr>
        <w:trPr/>
        <w:tc>
          <w:tcPr>
            <w:tcW w:w="20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361" w:type="dxa"/>
            <w:tcBorders/>
            <w:shd w:fill="auto" w:val="clear"/>
            <w:vAlign w:val="center"/>
          </w:tcPr>
          <w:p>
            <w:pPr>
              <w:pStyle w:val="TableContents"/>
              <w:spacing w:before="0" w:after="0"/>
              <w:ind w:left="0" w:right="0" w:hanging="0"/>
              <w:jc w:val="left"/>
              <w:rPr/>
            </w:pPr>
            <w:r>
              <w:rPr/>
              <w:t>☐</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361" w:type="dxa"/>
            <w:tcBorders/>
            <w:shd w:fill="auto" w:val="clear"/>
            <w:vAlign w:val="center"/>
          </w:tcPr>
          <w:p>
            <w:pPr>
              <w:pStyle w:val="TableContents"/>
              <w:spacing w:before="0" w:after="0"/>
              <w:ind w:left="0" w:right="0" w:hanging="0"/>
              <w:jc w:val="left"/>
              <w:rPr/>
            </w:pPr>
            <w:r>
              <w:rPr/>
              <w:t>☒</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492" w:type="dxa"/>
            <w:gridSpan w:val="2"/>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 xml:space="preserve">No </w:t>
      </w:r>
      <w:r>
        <w:rPr>
          <w:rFonts w:ascii="Times New Roman" w:hAnsi="Times New Roman"/>
          <w:sz w:val="20"/>
        </w:rPr>
        <w: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18"/>
        </w:rPr>
        <w:t>As of May 1, 2023, there were 52,121,309</w:t>
      </w:r>
      <w:r>
        <w:rPr>
          <w:rFonts w:ascii="Times New Roman" w:hAnsi="Times New Roman"/>
          <w:sz w:val="20"/>
        </w:rPr>
        <w:t xml:space="preserve"> </w:t>
      </w:r>
      <w:r>
        <w:rPr>
          <w:rFonts w:ascii="Times New Roman;serif" w:hAnsi="Times New Roman;serif"/>
          <w:b w:val="false"/>
          <w:sz w:val="18"/>
        </w:rPr>
        <w:t>shares of the registrant’s common stock outstanding.</w:t>
      </w:r>
    </w:p>
    <w:p>
      <w:pPr>
        <w:pStyle w:val="TextBody"/>
        <w:pBdr>
          <w:bottom w:val="double" w:sz="6" w:space="1" w:color="000000"/>
        </w:pBdr>
        <w:spacing w:before="0" w:after="0"/>
        <w:jc w:val="both"/>
        <w:rPr/>
      </w:pPr>
      <w:r>
        <w:rPr/>
        <w:t> </w:t>
      </w:r>
    </w:p>
    <w:p>
      <w:pPr>
        <w:pStyle w:val="TextBody"/>
        <w:spacing w:before="0" w:after="0"/>
        <w:jc w:val="both"/>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Index</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68"/>
        <w:gridCol w:w="8460"/>
        <w:gridCol w:w="977"/>
      </w:tblGrid>
      <w:tr>
        <w:trPr/>
        <w:tc>
          <w:tcPr>
            <w:tcW w:w="768" w:type="dxa"/>
            <w:tcBorders/>
            <w:shd w:fill="auto" w:val="clear"/>
            <w:vAlign w:val="center"/>
          </w:tcPr>
          <w:p>
            <w:pPr>
              <w:pStyle w:val="TableContents"/>
              <w:spacing w:before="0" w:after="283"/>
              <w:rPr>
                <w:sz w:val="4"/>
                <w:szCs w:val="4"/>
              </w:rPr>
            </w:pPr>
            <w:r>
              <w:rPr>
                <w:sz w:val="4"/>
                <w:szCs w:val="4"/>
              </w:rPr>
            </w:r>
          </w:p>
        </w:tc>
        <w:tc>
          <w:tcPr>
            <w:tcW w:w="8460"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r>
      <w:tr>
        <w:trPr/>
        <w:tc>
          <w:tcPr>
            <w:tcW w:w="768" w:type="dxa"/>
            <w:tcBorders/>
            <w:shd w:fill="auto" w:val="clear"/>
            <w:vAlign w:val="center"/>
          </w:tcPr>
          <w:p>
            <w:pPr>
              <w:pStyle w:val="TableContents"/>
              <w:spacing w:before="0" w:after="80"/>
              <w:ind w:left="0" w:right="0" w:hanging="0"/>
              <w:jc w:val="left"/>
              <w:rPr/>
            </w:pPr>
            <w:r>
              <w:rPr/>
              <w:t> </w:t>
            </w:r>
          </w:p>
        </w:tc>
        <w:tc>
          <w:tcPr>
            <w:tcW w:w="8460" w:type="dxa"/>
            <w:tcBorders/>
            <w:shd w:fill="auto" w:val="clear"/>
            <w:vAlign w:val="center"/>
          </w:tcPr>
          <w:p>
            <w:pPr>
              <w:pStyle w:val="TableContents"/>
              <w:spacing w:before="0" w:after="80"/>
              <w:ind w:left="0" w:right="0" w:hanging="0"/>
              <w:jc w:val="left"/>
              <w:rPr/>
            </w:pPr>
            <w:r>
              <w:rPr/>
              <w:t> </w:t>
            </w:r>
          </w:p>
        </w:tc>
        <w:tc>
          <w:tcPr>
            <w:tcW w:w="977"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r>
      <w:tr>
        <w:trPr/>
        <w:tc>
          <w:tcPr>
            <w:tcW w:w="768" w:type="dxa"/>
            <w:tcBorders/>
            <w:shd w:fill="auto" w:val="clear"/>
            <w:vAlign w:val="center"/>
          </w:tcPr>
          <w:p>
            <w:pPr>
              <w:pStyle w:val="TableContents"/>
              <w:spacing w:before="0" w:after="0"/>
              <w:ind w:left="0" w:right="0" w:hanging="0"/>
              <w:jc w:val="left"/>
              <w:rPr/>
            </w:pPr>
            <w:r>
              <w:rPr/>
              <w:t> </w:t>
            </w:r>
          </w:p>
        </w:tc>
        <w:tc>
          <w:tcPr>
            <w:tcW w:w="8460" w:type="dxa"/>
            <w:tcBorders/>
            <w:shd w:fill="auto" w:val="clear"/>
            <w:vAlign w:val="center"/>
          </w:tcPr>
          <w:p>
            <w:pPr>
              <w:pStyle w:val="TableContents"/>
              <w:spacing w:before="0" w:after="0"/>
              <w:ind w:left="0" w:right="0" w:hanging="0"/>
              <w:jc w:val="left"/>
              <w:rPr/>
            </w:pPr>
            <w:r>
              <w:rPr/>
              <w:t> </w:t>
            </w:r>
          </w:p>
        </w:tc>
        <w:tc>
          <w:tcPr>
            <w:tcW w:w="977" w:type="dxa"/>
            <w:tcBorders/>
            <w:shd w:fill="auto" w:val="clear"/>
            <w:vAlign w:val="center"/>
          </w:tcPr>
          <w:p>
            <w:pPr>
              <w:pStyle w:val="TableContents"/>
              <w:spacing w:before="0" w:after="0"/>
              <w:ind w:left="0" w:right="0" w:hanging="0"/>
              <w:jc w:val="right"/>
              <w:rPr/>
            </w:pPr>
            <w:r>
              <w:rPr/>
              <w:t> </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PART I:</w:t>
            </w:r>
          </w:p>
        </w:tc>
        <w:tc>
          <w:tcPr>
            <w:tcW w:w="8460" w:type="dxa"/>
            <w:tcBorders/>
            <w:shd w:fill="auto" w:val="clear"/>
            <w:vAlign w:val="center"/>
          </w:tcPr>
          <w:p>
            <w:pPr>
              <w:pStyle w:val="TableContents"/>
              <w:spacing w:before="0" w:after="0"/>
              <w:ind w:left="0" w:right="0" w:hanging="0"/>
              <w:jc w:val="left"/>
              <w:rPr/>
            </w:pPr>
            <w:hyperlink w:anchor="part_i_financial_information">
              <w:r>
                <w:rPr>
                  <w:rStyle w:val="InternetLink"/>
                  <w:rFonts w:ascii="Times New Roman;serif" w:hAnsi="Times New Roman;serif"/>
                  <w:b w:val="false"/>
                  <w:sz w:val="20"/>
                  <w:u w:val="single"/>
                </w:rPr>
                <w:t>FINANCIAL INFORMATION</w:t>
              </w:r>
            </w:hyperlink>
          </w:p>
        </w:tc>
        <w:tc>
          <w:tcPr>
            <w:tcW w:w="9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768" w:type="dxa"/>
            <w:tcBorders/>
            <w:shd w:fill="auto" w:val="clear"/>
            <w:vAlign w:val="center"/>
          </w:tcPr>
          <w:p>
            <w:pPr>
              <w:pStyle w:val="TableContents"/>
              <w:spacing w:before="0" w:after="0"/>
              <w:ind w:left="0" w:right="0" w:hanging="0"/>
              <w:jc w:val="left"/>
              <w:rPr/>
            </w:pPr>
            <w:r>
              <w:rPr/>
              <w:t> </w:t>
            </w:r>
          </w:p>
        </w:tc>
        <w:tc>
          <w:tcPr>
            <w:tcW w:w="8460" w:type="dxa"/>
            <w:tcBorders/>
            <w:shd w:fill="auto" w:val="clear"/>
            <w:vAlign w:val="center"/>
          </w:tcPr>
          <w:p>
            <w:pPr>
              <w:pStyle w:val="TableContents"/>
              <w:spacing w:before="0" w:after="0"/>
              <w:ind w:left="0" w:right="0" w:hanging="0"/>
              <w:jc w:val="left"/>
              <w:rPr/>
            </w:pPr>
            <w:r>
              <w:rPr/>
              <w:t> </w:t>
            </w:r>
          </w:p>
        </w:tc>
        <w:tc>
          <w:tcPr>
            <w:tcW w:w="977" w:type="dxa"/>
            <w:tcBorders/>
            <w:shd w:fill="auto" w:val="clear"/>
            <w:vAlign w:val="center"/>
          </w:tcPr>
          <w:p>
            <w:pPr>
              <w:pStyle w:val="TableContents"/>
              <w:spacing w:before="0" w:after="0"/>
              <w:ind w:left="0" w:right="0" w:hanging="0"/>
              <w:jc w:val="right"/>
              <w:rPr/>
            </w:pPr>
            <w:r>
              <w:rPr/>
              <w:t> </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460" w:type="dxa"/>
            <w:tcBorders/>
            <w:shd w:fill="auto" w:val="clear"/>
            <w:vAlign w:val="center"/>
          </w:tcPr>
          <w:p>
            <w:pPr>
              <w:pStyle w:val="TableContents"/>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w:t>
              </w:r>
            </w:hyperlink>
          </w:p>
        </w:tc>
        <w:tc>
          <w:tcPr>
            <w:tcW w:w="977" w:type="dxa"/>
            <w:tcBorders/>
            <w:shd w:fill="auto" w:val="clear"/>
            <w:vAlign w:val="center"/>
          </w:tcPr>
          <w:p>
            <w:pPr>
              <w:pStyle w:val="TableContents"/>
              <w:spacing w:before="0" w:after="0"/>
              <w:ind w:left="0" w:right="0" w:firstLine="720"/>
              <w:jc w:val="right"/>
              <w:rPr>
                <w:rFonts w:ascii="Times New Roman;serif" w:hAnsi="Times New Roman;serif"/>
                <w:b w:val="false"/>
                <w:sz w:val="20"/>
              </w:rPr>
            </w:pPr>
            <w:r>
              <w:rPr>
                <w:rFonts w:ascii="Times New Roman;serif" w:hAnsi="Times New Roman;serif"/>
                <w:b w:val="false"/>
                <w:sz w:val="20"/>
              </w:rPr>
              <w:t>2</w:t>
            </w:r>
          </w:p>
        </w:tc>
      </w:tr>
      <w:tr>
        <w:trPr/>
        <w:tc>
          <w:tcPr>
            <w:tcW w:w="768" w:type="dxa"/>
            <w:tcBorders/>
            <w:shd w:fill="auto" w:val="clear"/>
            <w:vAlign w:val="center"/>
          </w:tcPr>
          <w:p>
            <w:pPr>
              <w:pStyle w:val="TableContents"/>
              <w:spacing w:before="0" w:after="0"/>
              <w:ind w:left="720" w:right="0" w:hanging="0"/>
              <w:jc w:val="left"/>
              <w:rPr/>
            </w:pPr>
            <w:r>
              <w:rPr/>
              <w:t> </w:t>
            </w:r>
          </w:p>
        </w:tc>
        <w:tc>
          <w:tcPr>
            <w:tcW w:w="8460" w:type="dxa"/>
            <w:tcBorders/>
            <w:shd w:fill="auto" w:val="clear"/>
            <w:vAlign w:val="center"/>
          </w:tcPr>
          <w:p>
            <w:pPr>
              <w:pStyle w:val="TableContents"/>
              <w:spacing w:before="0" w:after="0"/>
              <w:ind w:left="0" w:right="0" w:hanging="0"/>
              <w:jc w:val="left"/>
              <w:rPr/>
            </w:pPr>
            <w:r>
              <w:rPr/>
              <w:t> </w:t>
            </w:r>
          </w:p>
        </w:tc>
        <w:tc>
          <w:tcPr>
            <w:tcW w:w="977" w:type="dxa"/>
            <w:tcBorders/>
            <w:shd w:fill="auto" w:val="clear"/>
            <w:vAlign w:val="center"/>
          </w:tcPr>
          <w:p>
            <w:pPr>
              <w:pStyle w:val="TableContents"/>
              <w:spacing w:before="0" w:after="0"/>
              <w:ind w:left="0" w:right="0" w:firstLine="720"/>
              <w:jc w:val="right"/>
              <w:rPr/>
            </w:pPr>
            <w:r>
              <w:rPr/>
              <w:t> </w:t>
            </w:r>
          </w:p>
        </w:tc>
      </w:tr>
      <w:tr>
        <w:trPr/>
        <w:tc>
          <w:tcPr>
            <w:tcW w:w="768" w:type="dxa"/>
            <w:tcBorders/>
            <w:shd w:fill="auto" w:val="clear"/>
            <w:vAlign w:val="center"/>
          </w:tcPr>
          <w:p>
            <w:pPr>
              <w:pStyle w:val="TableContents"/>
              <w:spacing w:before="0" w:after="0"/>
              <w:ind w:left="720" w:right="0" w:hanging="0"/>
              <w:jc w:val="left"/>
              <w:rPr/>
            </w:pPr>
            <w:r>
              <w:rPr/>
              <w:t> </w:t>
            </w:r>
          </w:p>
        </w:tc>
        <w:tc>
          <w:tcPr>
            <w:tcW w:w="8460" w:type="dxa"/>
            <w:tcBorders/>
            <w:shd w:fill="auto" w:val="clear"/>
            <w:vAlign w:val="center"/>
          </w:tcPr>
          <w:p>
            <w:pPr>
              <w:pStyle w:val="TableContents"/>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 at March 31, 2023 (unaudited) and December 31, 2022</w:t>
              </w:r>
            </w:hyperlink>
          </w:p>
        </w:tc>
        <w:tc>
          <w:tcPr>
            <w:tcW w:w="977" w:type="dxa"/>
            <w:tcBorders/>
            <w:shd w:fill="auto" w:val="clear"/>
            <w:vAlign w:val="center"/>
          </w:tcPr>
          <w:p>
            <w:pPr>
              <w:pStyle w:val="TableContents"/>
              <w:spacing w:before="0" w:after="0"/>
              <w:ind w:left="0" w:right="0" w:firstLine="720"/>
              <w:jc w:val="right"/>
              <w:rPr>
                <w:rFonts w:ascii="Times New Roman;serif" w:hAnsi="Times New Roman;serif"/>
                <w:b w:val="false"/>
                <w:sz w:val="20"/>
              </w:rPr>
            </w:pPr>
            <w:r>
              <w:rPr>
                <w:rFonts w:ascii="Times New Roman;serif" w:hAnsi="Times New Roman;serif"/>
                <w:b w:val="false"/>
                <w:sz w:val="20"/>
              </w:rPr>
              <w:t>2</w:t>
            </w:r>
          </w:p>
        </w:tc>
      </w:tr>
      <w:tr>
        <w:trPr/>
        <w:tc>
          <w:tcPr>
            <w:tcW w:w="768" w:type="dxa"/>
            <w:tcBorders/>
            <w:shd w:fill="auto" w:val="clear"/>
            <w:vAlign w:val="center"/>
          </w:tcPr>
          <w:p>
            <w:pPr>
              <w:pStyle w:val="TableContents"/>
              <w:spacing w:before="0" w:after="0"/>
              <w:ind w:left="720" w:right="0" w:hanging="0"/>
              <w:jc w:val="left"/>
              <w:rPr/>
            </w:pPr>
            <w:r>
              <w:rPr/>
              <w:t> </w:t>
            </w:r>
          </w:p>
        </w:tc>
        <w:tc>
          <w:tcPr>
            <w:tcW w:w="8460" w:type="dxa"/>
            <w:tcBorders/>
            <w:shd w:fill="auto" w:val="clear"/>
            <w:vAlign w:val="center"/>
          </w:tcPr>
          <w:p>
            <w:pPr>
              <w:pStyle w:val="TableContents"/>
              <w:spacing w:before="0" w:after="0"/>
              <w:ind w:left="0" w:right="0" w:hanging="0"/>
              <w:jc w:val="left"/>
              <w:rPr/>
            </w:pPr>
            <w:r>
              <w:rPr/>
              <w:t> </w:t>
            </w:r>
          </w:p>
        </w:tc>
        <w:tc>
          <w:tcPr>
            <w:tcW w:w="977" w:type="dxa"/>
            <w:tcBorders/>
            <w:shd w:fill="auto" w:val="clear"/>
            <w:vAlign w:val="center"/>
          </w:tcPr>
          <w:p>
            <w:pPr>
              <w:pStyle w:val="TableContents"/>
              <w:spacing w:before="0" w:after="0"/>
              <w:ind w:left="0" w:right="0" w:firstLine="720"/>
              <w:jc w:val="right"/>
              <w:rPr/>
            </w:pPr>
            <w:r>
              <w:rPr/>
              <w:t> </w:t>
            </w:r>
          </w:p>
        </w:tc>
      </w:tr>
      <w:tr>
        <w:trPr/>
        <w:tc>
          <w:tcPr>
            <w:tcW w:w="768" w:type="dxa"/>
            <w:tcBorders/>
            <w:shd w:fill="auto" w:val="clear"/>
            <w:vAlign w:val="center"/>
          </w:tcPr>
          <w:p>
            <w:pPr>
              <w:pStyle w:val="TableContents"/>
              <w:spacing w:before="0" w:after="0"/>
              <w:ind w:left="720" w:right="0" w:hanging="0"/>
              <w:jc w:val="left"/>
              <w:rPr/>
            </w:pPr>
            <w:r>
              <w:rPr/>
              <w:t> </w:t>
            </w:r>
          </w:p>
        </w:tc>
        <w:tc>
          <w:tcPr>
            <w:tcW w:w="8460" w:type="dxa"/>
            <w:tcBorders/>
            <w:shd w:fill="auto" w:val="clear"/>
            <w:vAlign w:val="center"/>
          </w:tcPr>
          <w:p>
            <w:pPr>
              <w:pStyle w:val="TableContents"/>
              <w:spacing w:before="0" w:after="0"/>
              <w:ind w:left="0" w:right="0" w:hanging="0"/>
              <w:jc w:val="left"/>
              <w:rPr/>
            </w:pPr>
            <w:hyperlink w:anchor="condensed_consolidated_statements_operat">
              <w:r>
                <w:rPr>
                  <w:rStyle w:val="InternetLink"/>
                  <w:rFonts w:ascii="Times New Roman;serif" w:hAnsi="Times New Roman;serif"/>
                  <w:b w:val="false"/>
                  <w:sz w:val="20"/>
                  <w:u w:val="single"/>
                </w:rPr>
                <w:t>Condensed Consolidated Statements of Operations and Comprehensive Loss for the Three Months Ended March 31, 2023 and 2022 (unaudited)</w:t>
              </w:r>
            </w:hyperlink>
          </w:p>
        </w:tc>
        <w:tc>
          <w:tcPr>
            <w:tcW w:w="977" w:type="dxa"/>
            <w:tcBorders/>
            <w:shd w:fill="auto" w:val="clear"/>
            <w:vAlign w:val="center"/>
          </w:tcPr>
          <w:p>
            <w:pPr>
              <w:pStyle w:val="TableContents"/>
              <w:spacing w:before="0" w:after="0"/>
              <w:ind w:left="0" w:right="0" w:firstLine="720"/>
              <w:jc w:val="right"/>
              <w:rPr>
                <w:rFonts w:ascii="Times New Roman;serif" w:hAnsi="Times New Roman;serif"/>
                <w:b w:val="false"/>
                <w:sz w:val="20"/>
              </w:rPr>
            </w:pPr>
            <w:r>
              <w:rPr>
                <w:rFonts w:ascii="Times New Roman;serif" w:hAnsi="Times New Roman;serif"/>
                <w:b w:val="false"/>
                <w:sz w:val="20"/>
              </w:rPr>
              <w:t>3</w:t>
            </w:r>
          </w:p>
        </w:tc>
      </w:tr>
      <w:tr>
        <w:trPr/>
        <w:tc>
          <w:tcPr>
            <w:tcW w:w="768" w:type="dxa"/>
            <w:tcBorders/>
            <w:shd w:fill="auto" w:val="clear"/>
            <w:vAlign w:val="center"/>
          </w:tcPr>
          <w:p>
            <w:pPr>
              <w:pStyle w:val="TableContents"/>
              <w:spacing w:before="0" w:after="0"/>
              <w:ind w:left="720" w:right="0" w:hanging="0"/>
              <w:jc w:val="left"/>
              <w:rPr/>
            </w:pPr>
            <w:r>
              <w:rPr/>
              <w:t> </w:t>
            </w:r>
          </w:p>
        </w:tc>
        <w:tc>
          <w:tcPr>
            <w:tcW w:w="8460" w:type="dxa"/>
            <w:tcBorders/>
            <w:shd w:fill="auto" w:val="clear"/>
            <w:vAlign w:val="center"/>
          </w:tcPr>
          <w:p>
            <w:pPr>
              <w:pStyle w:val="TableContents"/>
              <w:spacing w:before="0" w:after="0"/>
              <w:ind w:left="0" w:right="0" w:hanging="0"/>
              <w:jc w:val="left"/>
              <w:rPr/>
            </w:pPr>
            <w:r>
              <w:rPr/>
              <w:t> </w:t>
            </w:r>
          </w:p>
        </w:tc>
        <w:tc>
          <w:tcPr>
            <w:tcW w:w="977" w:type="dxa"/>
            <w:tcBorders/>
            <w:shd w:fill="auto" w:val="clear"/>
            <w:vAlign w:val="center"/>
          </w:tcPr>
          <w:p>
            <w:pPr>
              <w:pStyle w:val="TableContents"/>
              <w:spacing w:before="0" w:after="0"/>
              <w:ind w:left="0" w:right="0" w:firstLine="720"/>
              <w:jc w:val="right"/>
              <w:rPr/>
            </w:pPr>
            <w:r>
              <w:rPr/>
              <w:t> </w:t>
            </w:r>
          </w:p>
        </w:tc>
      </w:tr>
      <w:tr>
        <w:trPr/>
        <w:tc>
          <w:tcPr>
            <w:tcW w:w="768" w:type="dxa"/>
            <w:tcBorders/>
            <w:shd w:fill="auto" w:val="clear"/>
            <w:vAlign w:val="center"/>
          </w:tcPr>
          <w:p>
            <w:pPr>
              <w:pStyle w:val="TableContents"/>
              <w:spacing w:before="0" w:after="0"/>
              <w:ind w:left="720" w:right="0" w:hanging="0"/>
              <w:jc w:val="left"/>
              <w:rPr/>
            </w:pPr>
            <w:r>
              <w:rPr/>
              <w:t> </w:t>
            </w:r>
          </w:p>
        </w:tc>
        <w:tc>
          <w:tcPr>
            <w:tcW w:w="8460" w:type="dxa"/>
            <w:tcBorders/>
            <w:shd w:fill="auto" w:val="clear"/>
            <w:vAlign w:val="center"/>
          </w:tcPr>
          <w:p>
            <w:pPr>
              <w:pStyle w:val="TableContents"/>
              <w:spacing w:before="0" w:after="0"/>
              <w:ind w:left="0" w:right="0" w:hanging="0"/>
              <w:jc w:val="left"/>
              <w:rPr/>
            </w:pPr>
            <w:hyperlink w:anchor="condensed_consolidated_statements_change">
              <w:r>
                <w:rPr>
                  <w:rStyle w:val="InternetLink"/>
                  <w:rFonts w:ascii="Times New Roman;serif" w:hAnsi="Times New Roman;serif"/>
                  <w:b w:val="false"/>
                  <w:sz w:val="20"/>
                  <w:u w:val="single"/>
                </w:rPr>
                <w:t>Condensed Consolidated Statements of Changes in Stockholders’ Equity for the Three Months Ended March 31, 2023 and 2022 (unaudited)</w:t>
              </w:r>
            </w:hyperlink>
          </w:p>
        </w:tc>
        <w:tc>
          <w:tcPr>
            <w:tcW w:w="977" w:type="dxa"/>
            <w:tcBorders/>
            <w:shd w:fill="auto" w:val="clear"/>
            <w:vAlign w:val="center"/>
          </w:tcPr>
          <w:p>
            <w:pPr>
              <w:pStyle w:val="TableContents"/>
              <w:spacing w:before="0" w:after="0"/>
              <w:ind w:left="0" w:right="0" w:firstLine="720"/>
              <w:jc w:val="right"/>
              <w:rPr>
                <w:rFonts w:ascii="Times New Roman;serif" w:hAnsi="Times New Roman;serif"/>
                <w:b w:val="false"/>
                <w:sz w:val="20"/>
              </w:rPr>
            </w:pPr>
            <w:r>
              <w:rPr>
                <w:rFonts w:ascii="Times New Roman;serif" w:hAnsi="Times New Roman;serif"/>
                <w:b w:val="false"/>
                <w:sz w:val="20"/>
              </w:rPr>
              <w:t>4</w:t>
            </w:r>
          </w:p>
        </w:tc>
      </w:tr>
      <w:tr>
        <w:trPr/>
        <w:tc>
          <w:tcPr>
            <w:tcW w:w="768" w:type="dxa"/>
            <w:tcBorders/>
            <w:shd w:fill="auto" w:val="clear"/>
            <w:vAlign w:val="center"/>
          </w:tcPr>
          <w:p>
            <w:pPr>
              <w:pStyle w:val="TableContents"/>
              <w:spacing w:before="0" w:after="0"/>
              <w:ind w:left="720" w:right="0" w:hanging="0"/>
              <w:jc w:val="left"/>
              <w:rPr/>
            </w:pPr>
            <w:r>
              <w:rPr/>
              <w:t> </w:t>
            </w:r>
          </w:p>
        </w:tc>
        <w:tc>
          <w:tcPr>
            <w:tcW w:w="8460" w:type="dxa"/>
            <w:tcBorders/>
            <w:shd w:fill="auto" w:val="clear"/>
            <w:vAlign w:val="center"/>
          </w:tcPr>
          <w:p>
            <w:pPr>
              <w:pStyle w:val="TableContents"/>
              <w:spacing w:before="0" w:after="0"/>
              <w:ind w:left="0" w:right="0" w:hanging="0"/>
              <w:jc w:val="left"/>
              <w:rPr/>
            </w:pPr>
            <w:r>
              <w:rPr/>
              <w:t> </w:t>
            </w:r>
          </w:p>
        </w:tc>
        <w:tc>
          <w:tcPr>
            <w:tcW w:w="977" w:type="dxa"/>
            <w:tcBorders/>
            <w:shd w:fill="auto" w:val="clear"/>
            <w:vAlign w:val="center"/>
          </w:tcPr>
          <w:p>
            <w:pPr>
              <w:pStyle w:val="TableContents"/>
              <w:spacing w:before="0" w:after="0"/>
              <w:ind w:left="0" w:right="0" w:firstLine="720"/>
              <w:jc w:val="right"/>
              <w:rPr/>
            </w:pPr>
            <w:r>
              <w:rPr/>
              <w:t> </w:t>
            </w:r>
          </w:p>
        </w:tc>
      </w:tr>
      <w:tr>
        <w:trPr/>
        <w:tc>
          <w:tcPr>
            <w:tcW w:w="768" w:type="dxa"/>
            <w:tcBorders/>
            <w:shd w:fill="auto" w:val="clear"/>
            <w:vAlign w:val="center"/>
          </w:tcPr>
          <w:p>
            <w:pPr>
              <w:pStyle w:val="TableContents"/>
              <w:spacing w:before="0" w:after="0"/>
              <w:ind w:left="720" w:right="0" w:hanging="0"/>
              <w:jc w:val="left"/>
              <w:rPr/>
            </w:pPr>
            <w:r>
              <w:rPr/>
              <w:t> </w:t>
            </w:r>
          </w:p>
        </w:tc>
        <w:tc>
          <w:tcPr>
            <w:tcW w:w="8460" w:type="dxa"/>
            <w:tcBorders/>
            <w:shd w:fill="auto" w:val="clear"/>
            <w:vAlign w:val="center"/>
          </w:tcPr>
          <w:p>
            <w:pPr>
              <w:pStyle w:val="TableContents"/>
              <w:spacing w:before="0" w:after="0"/>
              <w:ind w:left="0"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 for the Three Months Ended March 31, 2023 and 2022 (unaudited)</w:t>
              </w:r>
            </w:hyperlink>
          </w:p>
        </w:tc>
        <w:tc>
          <w:tcPr>
            <w:tcW w:w="977" w:type="dxa"/>
            <w:tcBorders/>
            <w:shd w:fill="auto" w:val="clear"/>
            <w:vAlign w:val="center"/>
          </w:tcPr>
          <w:p>
            <w:pPr>
              <w:pStyle w:val="TableContents"/>
              <w:spacing w:before="0" w:after="0"/>
              <w:ind w:left="0" w:right="0" w:firstLine="720"/>
              <w:jc w:val="right"/>
              <w:rPr>
                <w:rFonts w:ascii="Times New Roman;serif" w:hAnsi="Times New Roman;serif"/>
                <w:b w:val="false"/>
                <w:sz w:val="20"/>
              </w:rPr>
            </w:pPr>
            <w:r>
              <w:rPr>
                <w:rFonts w:ascii="Times New Roman;serif" w:hAnsi="Times New Roman;serif"/>
                <w:b w:val="false"/>
                <w:sz w:val="20"/>
              </w:rPr>
              <w:t>5</w:t>
            </w:r>
          </w:p>
        </w:tc>
      </w:tr>
      <w:tr>
        <w:trPr/>
        <w:tc>
          <w:tcPr>
            <w:tcW w:w="768" w:type="dxa"/>
            <w:tcBorders/>
            <w:shd w:fill="auto" w:val="clear"/>
            <w:vAlign w:val="center"/>
          </w:tcPr>
          <w:p>
            <w:pPr>
              <w:pStyle w:val="TableContents"/>
              <w:spacing w:before="0" w:after="0"/>
              <w:ind w:left="720" w:right="0" w:hanging="0"/>
              <w:jc w:val="left"/>
              <w:rPr/>
            </w:pPr>
            <w:r>
              <w:rPr/>
              <w:t> </w:t>
            </w:r>
          </w:p>
        </w:tc>
        <w:tc>
          <w:tcPr>
            <w:tcW w:w="8460" w:type="dxa"/>
            <w:tcBorders/>
            <w:shd w:fill="auto" w:val="clear"/>
            <w:vAlign w:val="center"/>
          </w:tcPr>
          <w:p>
            <w:pPr>
              <w:pStyle w:val="TableContents"/>
              <w:spacing w:before="0" w:after="0"/>
              <w:ind w:left="0" w:right="0" w:hanging="0"/>
              <w:jc w:val="left"/>
              <w:rPr/>
            </w:pPr>
            <w:r>
              <w:rPr/>
              <w:t> </w:t>
            </w:r>
          </w:p>
        </w:tc>
        <w:tc>
          <w:tcPr>
            <w:tcW w:w="977" w:type="dxa"/>
            <w:tcBorders/>
            <w:shd w:fill="auto" w:val="clear"/>
            <w:vAlign w:val="center"/>
          </w:tcPr>
          <w:p>
            <w:pPr>
              <w:pStyle w:val="TableContents"/>
              <w:spacing w:before="0" w:after="0"/>
              <w:ind w:left="0" w:right="0" w:firstLine="720"/>
              <w:jc w:val="right"/>
              <w:rPr/>
            </w:pPr>
            <w:r>
              <w:rPr/>
              <w:t> </w:t>
            </w:r>
          </w:p>
        </w:tc>
      </w:tr>
      <w:tr>
        <w:trPr/>
        <w:tc>
          <w:tcPr>
            <w:tcW w:w="768" w:type="dxa"/>
            <w:tcBorders/>
            <w:shd w:fill="auto" w:val="clear"/>
            <w:vAlign w:val="center"/>
          </w:tcPr>
          <w:p>
            <w:pPr>
              <w:pStyle w:val="TableContents"/>
              <w:spacing w:before="0" w:after="0"/>
              <w:ind w:left="720" w:right="0" w:hanging="0"/>
              <w:jc w:val="left"/>
              <w:rPr/>
            </w:pPr>
            <w:r>
              <w:rPr/>
              <w:t> </w:t>
            </w:r>
          </w:p>
        </w:tc>
        <w:tc>
          <w:tcPr>
            <w:tcW w:w="8460" w:type="dxa"/>
            <w:tcBorders/>
            <w:shd w:fill="auto" w:val="clear"/>
            <w:vAlign w:val="center"/>
          </w:tcPr>
          <w:p>
            <w:pPr>
              <w:pStyle w:val="TableContents"/>
              <w:spacing w:before="0" w:after="0"/>
              <w:ind w:left="0" w:right="0" w:hanging="0"/>
              <w:jc w:val="left"/>
              <w:rPr/>
            </w:pPr>
            <w:hyperlink w:anchor="notes_to_condensed_consolidated_financia">
              <w:r>
                <w:rPr>
                  <w:rStyle w:val="InternetLink"/>
                  <w:rFonts w:ascii="Times New Roman;serif" w:hAnsi="Times New Roman;serif"/>
                  <w:b w:val="false"/>
                  <w:sz w:val="20"/>
                  <w:u w:val="single"/>
                </w:rPr>
                <w:t>Notes to the Condensed Consolidated Financial Statements (unaudited)</w:t>
              </w:r>
            </w:hyperlink>
          </w:p>
        </w:tc>
        <w:tc>
          <w:tcPr>
            <w:tcW w:w="9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768" w:type="dxa"/>
            <w:tcBorders/>
            <w:shd w:fill="auto" w:val="clear"/>
            <w:vAlign w:val="center"/>
          </w:tcPr>
          <w:p>
            <w:pPr>
              <w:pStyle w:val="TableContents"/>
              <w:spacing w:before="0" w:after="0"/>
              <w:ind w:left="0" w:right="0" w:hanging="0"/>
              <w:jc w:val="left"/>
              <w:rPr/>
            </w:pPr>
            <w:r>
              <w:rPr/>
              <w:t> </w:t>
            </w:r>
          </w:p>
        </w:tc>
        <w:tc>
          <w:tcPr>
            <w:tcW w:w="8460" w:type="dxa"/>
            <w:tcBorders/>
            <w:shd w:fill="auto" w:val="clear"/>
            <w:vAlign w:val="center"/>
          </w:tcPr>
          <w:p>
            <w:pPr>
              <w:pStyle w:val="TableContents"/>
              <w:spacing w:before="0" w:after="0"/>
              <w:ind w:left="0" w:right="0" w:hanging="0"/>
              <w:jc w:val="left"/>
              <w:rPr/>
            </w:pPr>
            <w:r>
              <w:rPr/>
              <w:t> </w:t>
            </w:r>
          </w:p>
        </w:tc>
        <w:tc>
          <w:tcPr>
            <w:tcW w:w="977" w:type="dxa"/>
            <w:tcBorders/>
            <w:shd w:fill="auto" w:val="clear"/>
            <w:vAlign w:val="center"/>
          </w:tcPr>
          <w:p>
            <w:pPr>
              <w:pStyle w:val="TableContents"/>
              <w:spacing w:before="0" w:after="0"/>
              <w:ind w:left="0" w:right="0" w:hanging="0"/>
              <w:jc w:val="right"/>
              <w:rPr/>
            </w:pPr>
            <w:r>
              <w:rPr/>
              <w:t> </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460" w:type="dxa"/>
            <w:tcBorders/>
            <w:shd w:fill="auto" w:val="clear"/>
            <w:vAlign w:val="center"/>
          </w:tcPr>
          <w:p>
            <w:pPr>
              <w:pStyle w:val="TableContents"/>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9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r>
      <w:tr>
        <w:trPr/>
        <w:tc>
          <w:tcPr>
            <w:tcW w:w="768" w:type="dxa"/>
            <w:tcBorders/>
            <w:shd w:fill="auto" w:val="clear"/>
            <w:vAlign w:val="center"/>
          </w:tcPr>
          <w:p>
            <w:pPr>
              <w:pStyle w:val="TableContents"/>
              <w:spacing w:before="0" w:after="0"/>
              <w:ind w:left="0" w:right="0" w:hanging="0"/>
              <w:jc w:val="left"/>
              <w:rPr/>
            </w:pPr>
            <w:r>
              <w:rPr/>
              <w:t> </w:t>
            </w:r>
          </w:p>
        </w:tc>
        <w:tc>
          <w:tcPr>
            <w:tcW w:w="8460" w:type="dxa"/>
            <w:tcBorders/>
            <w:shd w:fill="auto" w:val="clear"/>
            <w:vAlign w:val="center"/>
          </w:tcPr>
          <w:p>
            <w:pPr>
              <w:pStyle w:val="TableContents"/>
              <w:spacing w:before="0" w:after="0"/>
              <w:ind w:left="0" w:right="0" w:hanging="0"/>
              <w:jc w:val="left"/>
              <w:rPr/>
            </w:pPr>
            <w:r>
              <w:rPr/>
              <w:t> </w:t>
            </w:r>
          </w:p>
        </w:tc>
        <w:tc>
          <w:tcPr>
            <w:tcW w:w="977" w:type="dxa"/>
            <w:tcBorders/>
            <w:shd w:fill="auto" w:val="clear"/>
            <w:vAlign w:val="center"/>
          </w:tcPr>
          <w:p>
            <w:pPr>
              <w:pStyle w:val="TableContents"/>
              <w:spacing w:before="0" w:after="0"/>
              <w:ind w:left="0" w:right="0" w:hanging="0"/>
              <w:jc w:val="right"/>
              <w:rPr/>
            </w:pPr>
            <w:r>
              <w:rPr/>
              <w:t> </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460" w:type="dxa"/>
            <w:tcBorders/>
            <w:shd w:fill="auto" w:val="clear"/>
            <w:vAlign w:val="center"/>
          </w:tcPr>
          <w:p>
            <w:pPr>
              <w:pStyle w:val="TableContents"/>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9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768" w:type="dxa"/>
            <w:tcBorders/>
            <w:shd w:fill="auto" w:val="clear"/>
            <w:vAlign w:val="center"/>
          </w:tcPr>
          <w:p>
            <w:pPr>
              <w:pStyle w:val="TableContents"/>
              <w:spacing w:before="0" w:after="0"/>
              <w:ind w:left="0" w:right="0" w:hanging="0"/>
              <w:jc w:val="left"/>
              <w:rPr/>
            </w:pPr>
            <w:r>
              <w:rPr/>
              <w:t> </w:t>
            </w:r>
          </w:p>
        </w:tc>
        <w:tc>
          <w:tcPr>
            <w:tcW w:w="8460" w:type="dxa"/>
            <w:tcBorders/>
            <w:shd w:fill="auto" w:val="clear"/>
            <w:vAlign w:val="center"/>
          </w:tcPr>
          <w:p>
            <w:pPr>
              <w:pStyle w:val="TableContents"/>
              <w:spacing w:before="0" w:after="0"/>
              <w:ind w:left="0" w:right="0" w:hanging="0"/>
              <w:jc w:val="left"/>
              <w:rPr/>
            </w:pPr>
            <w:r>
              <w:rPr/>
              <w:t> </w:t>
            </w:r>
          </w:p>
        </w:tc>
        <w:tc>
          <w:tcPr>
            <w:tcW w:w="977" w:type="dxa"/>
            <w:tcBorders/>
            <w:shd w:fill="auto" w:val="clear"/>
            <w:vAlign w:val="center"/>
          </w:tcPr>
          <w:p>
            <w:pPr>
              <w:pStyle w:val="TableContents"/>
              <w:spacing w:before="0" w:after="0"/>
              <w:ind w:left="0" w:right="0" w:hanging="0"/>
              <w:jc w:val="right"/>
              <w:rPr/>
            </w:pPr>
            <w:r>
              <w:rPr/>
              <w:t> </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460" w:type="dxa"/>
            <w:tcBorders/>
            <w:shd w:fill="auto" w:val="clear"/>
            <w:vAlign w:val="center"/>
          </w:tcPr>
          <w:p>
            <w:pPr>
              <w:pStyle w:val="TableContents"/>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9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768" w:type="dxa"/>
            <w:tcBorders/>
            <w:shd w:fill="auto" w:val="clear"/>
            <w:vAlign w:val="center"/>
          </w:tcPr>
          <w:p>
            <w:pPr>
              <w:pStyle w:val="TableContents"/>
              <w:spacing w:before="0" w:after="0"/>
              <w:ind w:left="0" w:right="0" w:hanging="0"/>
              <w:jc w:val="left"/>
              <w:rPr/>
            </w:pPr>
            <w:r>
              <w:rPr/>
              <w:t> </w:t>
            </w:r>
          </w:p>
        </w:tc>
        <w:tc>
          <w:tcPr>
            <w:tcW w:w="8460" w:type="dxa"/>
            <w:tcBorders/>
            <w:shd w:fill="auto" w:val="clear"/>
            <w:vAlign w:val="center"/>
          </w:tcPr>
          <w:p>
            <w:pPr>
              <w:pStyle w:val="TableContents"/>
              <w:spacing w:before="0" w:after="0"/>
              <w:ind w:left="0" w:right="0" w:hanging="0"/>
              <w:jc w:val="left"/>
              <w:rPr/>
            </w:pPr>
            <w:r>
              <w:rPr/>
              <w:t> </w:t>
            </w:r>
          </w:p>
        </w:tc>
        <w:tc>
          <w:tcPr>
            <w:tcW w:w="977" w:type="dxa"/>
            <w:tcBorders/>
            <w:shd w:fill="auto" w:val="clear"/>
            <w:vAlign w:val="center"/>
          </w:tcPr>
          <w:p>
            <w:pPr>
              <w:pStyle w:val="TableContents"/>
              <w:spacing w:before="0" w:after="0"/>
              <w:ind w:left="0" w:right="0" w:hanging="0"/>
              <w:jc w:val="right"/>
              <w:rPr/>
            </w:pPr>
            <w:r>
              <w:rPr/>
              <w:t> </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PART II:</w:t>
            </w:r>
          </w:p>
        </w:tc>
        <w:tc>
          <w:tcPr>
            <w:tcW w:w="8460" w:type="dxa"/>
            <w:tcBorders/>
            <w:shd w:fill="auto" w:val="clear"/>
            <w:vAlign w:val="center"/>
          </w:tcPr>
          <w:p>
            <w:pPr>
              <w:pStyle w:val="TableContents"/>
              <w:spacing w:before="0" w:after="0"/>
              <w:ind w:left="0" w:right="0" w:hanging="0"/>
              <w:jc w:val="left"/>
              <w:rPr/>
            </w:pPr>
            <w:hyperlink w:anchor="part_ii_or_information">
              <w:r>
                <w:rPr>
                  <w:rStyle w:val="InternetLink"/>
                  <w:rFonts w:ascii="Times New Roman;serif" w:hAnsi="Times New Roman;serif"/>
                  <w:b w:val="false"/>
                  <w:sz w:val="20"/>
                  <w:u w:val="single"/>
                </w:rPr>
                <w:t>OTHER INFORMATION</w:t>
              </w:r>
            </w:hyperlink>
          </w:p>
        </w:tc>
        <w:tc>
          <w:tcPr>
            <w:tcW w:w="9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768" w:type="dxa"/>
            <w:tcBorders/>
            <w:shd w:fill="auto" w:val="clear"/>
            <w:vAlign w:val="center"/>
          </w:tcPr>
          <w:p>
            <w:pPr>
              <w:pStyle w:val="TableContents"/>
              <w:spacing w:before="0" w:after="0"/>
              <w:ind w:left="0" w:right="0" w:hanging="0"/>
              <w:jc w:val="left"/>
              <w:rPr/>
            </w:pPr>
            <w:r>
              <w:rPr/>
              <w:t> </w:t>
            </w:r>
          </w:p>
        </w:tc>
        <w:tc>
          <w:tcPr>
            <w:tcW w:w="8460" w:type="dxa"/>
            <w:tcBorders/>
            <w:shd w:fill="auto" w:val="clear"/>
            <w:vAlign w:val="center"/>
          </w:tcPr>
          <w:p>
            <w:pPr>
              <w:pStyle w:val="TableContents"/>
              <w:spacing w:before="0" w:after="0"/>
              <w:ind w:left="0" w:right="0" w:hanging="0"/>
              <w:jc w:val="left"/>
              <w:rPr/>
            </w:pPr>
            <w:r>
              <w:rPr/>
              <w:t> </w:t>
            </w:r>
          </w:p>
        </w:tc>
        <w:tc>
          <w:tcPr>
            <w:tcW w:w="977" w:type="dxa"/>
            <w:tcBorders/>
            <w:shd w:fill="auto" w:val="clear"/>
            <w:vAlign w:val="center"/>
          </w:tcPr>
          <w:p>
            <w:pPr>
              <w:pStyle w:val="TableContents"/>
              <w:spacing w:before="0" w:after="0"/>
              <w:ind w:left="0" w:right="0" w:hanging="0"/>
              <w:jc w:val="right"/>
              <w:rPr/>
            </w:pPr>
            <w:r>
              <w:rPr/>
              <w:t> </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460" w:type="dxa"/>
            <w:tcBorders/>
            <w:shd w:fill="auto" w:val="cle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9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768" w:type="dxa"/>
            <w:tcBorders/>
            <w:shd w:fill="auto" w:val="clear"/>
            <w:vAlign w:val="center"/>
          </w:tcPr>
          <w:p>
            <w:pPr>
              <w:pStyle w:val="TableContents"/>
              <w:spacing w:before="0" w:after="0"/>
              <w:ind w:left="0" w:right="0" w:hanging="0"/>
              <w:jc w:val="left"/>
              <w:rPr/>
            </w:pPr>
            <w:r>
              <w:rPr/>
              <w:t> </w:t>
            </w:r>
          </w:p>
        </w:tc>
        <w:tc>
          <w:tcPr>
            <w:tcW w:w="8460" w:type="dxa"/>
            <w:tcBorders/>
            <w:shd w:fill="auto" w:val="clear"/>
            <w:vAlign w:val="center"/>
          </w:tcPr>
          <w:p>
            <w:pPr>
              <w:pStyle w:val="TableContents"/>
              <w:spacing w:before="0" w:after="0"/>
              <w:ind w:left="0" w:right="0" w:hanging="0"/>
              <w:jc w:val="left"/>
              <w:rPr/>
            </w:pPr>
            <w:r>
              <w:rPr/>
              <w:t> </w:t>
            </w:r>
          </w:p>
        </w:tc>
        <w:tc>
          <w:tcPr>
            <w:tcW w:w="977" w:type="dxa"/>
            <w:tcBorders/>
            <w:shd w:fill="auto" w:val="clear"/>
            <w:vAlign w:val="center"/>
          </w:tcPr>
          <w:p>
            <w:pPr>
              <w:pStyle w:val="TableContents"/>
              <w:spacing w:before="0" w:after="0"/>
              <w:ind w:left="0" w:right="0" w:hanging="0"/>
              <w:jc w:val="right"/>
              <w:rPr/>
            </w:pPr>
            <w:r>
              <w:rPr/>
              <w:t> </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8460" w:type="dxa"/>
            <w:tcBorders/>
            <w:shd w:fill="auto" w:val="cle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9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768" w:type="dxa"/>
            <w:tcBorders/>
            <w:shd w:fill="auto" w:val="clear"/>
            <w:vAlign w:val="center"/>
          </w:tcPr>
          <w:p>
            <w:pPr>
              <w:pStyle w:val="TableContents"/>
              <w:spacing w:before="0" w:after="0"/>
              <w:ind w:left="0" w:right="0" w:hanging="0"/>
              <w:jc w:val="left"/>
              <w:rPr/>
            </w:pPr>
            <w:r>
              <w:rPr/>
              <w:t> </w:t>
            </w:r>
          </w:p>
        </w:tc>
        <w:tc>
          <w:tcPr>
            <w:tcW w:w="8460" w:type="dxa"/>
            <w:tcBorders/>
            <w:shd w:fill="auto" w:val="clear"/>
            <w:vAlign w:val="center"/>
          </w:tcPr>
          <w:p>
            <w:pPr>
              <w:pStyle w:val="TableContents"/>
              <w:spacing w:before="0" w:after="0"/>
              <w:ind w:left="0" w:right="0" w:hanging="0"/>
              <w:jc w:val="left"/>
              <w:rPr/>
            </w:pPr>
            <w:r>
              <w:rPr/>
              <w:t> </w:t>
            </w:r>
          </w:p>
        </w:tc>
        <w:tc>
          <w:tcPr>
            <w:tcW w:w="977" w:type="dxa"/>
            <w:tcBorders/>
            <w:shd w:fill="auto" w:val="clear"/>
            <w:vAlign w:val="center"/>
          </w:tcPr>
          <w:p>
            <w:pPr>
              <w:pStyle w:val="TableContents"/>
              <w:spacing w:before="0" w:after="0"/>
              <w:ind w:left="0" w:right="0" w:hanging="0"/>
              <w:jc w:val="right"/>
              <w:rPr/>
            </w:pPr>
            <w:r>
              <w:rPr/>
              <w:t> </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460" w:type="dxa"/>
            <w:tcBorders/>
            <w:shd w:fill="auto" w:val="clear"/>
            <w:vAlign w:val="center"/>
          </w:tcPr>
          <w:p>
            <w:pPr>
              <w:pStyle w:val="TableContents"/>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9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768" w:type="dxa"/>
            <w:tcBorders/>
            <w:shd w:fill="auto" w:val="clear"/>
            <w:vAlign w:val="center"/>
          </w:tcPr>
          <w:p>
            <w:pPr>
              <w:pStyle w:val="TableContents"/>
              <w:spacing w:before="0" w:after="0"/>
              <w:ind w:left="0" w:right="0" w:hanging="0"/>
              <w:jc w:val="left"/>
              <w:rPr/>
            </w:pPr>
            <w:r>
              <w:rPr/>
              <w:t> </w:t>
            </w:r>
          </w:p>
        </w:tc>
        <w:tc>
          <w:tcPr>
            <w:tcW w:w="8460" w:type="dxa"/>
            <w:tcBorders/>
            <w:shd w:fill="auto" w:val="clear"/>
            <w:vAlign w:val="center"/>
          </w:tcPr>
          <w:p>
            <w:pPr>
              <w:pStyle w:val="TableContents"/>
              <w:spacing w:before="0" w:after="0"/>
              <w:ind w:left="0" w:right="0" w:hanging="0"/>
              <w:jc w:val="left"/>
              <w:rPr/>
            </w:pPr>
            <w:r>
              <w:rPr/>
              <w:t> </w:t>
            </w:r>
          </w:p>
        </w:tc>
        <w:tc>
          <w:tcPr>
            <w:tcW w:w="977" w:type="dxa"/>
            <w:tcBorders/>
            <w:shd w:fill="auto" w:val="clear"/>
            <w:vAlign w:val="center"/>
          </w:tcPr>
          <w:p>
            <w:pPr>
              <w:pStyle w:val="TableContents"/>
              <w:spacing w:before="0" w:after="0"/>
              <w:ind w:left="0" w:right="0" w:hanging="0"/>
              <w:jc w:val="right"/>
              <w:rPr/>
            </w:pPr>
            <w:r>
              <w:rPr/>
              <w:t> </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460" w:type="dxa"/>
            <w:tcBorders/>
            <w:shd w:fill="auto" w:val="clear"/>
            <w:vAlign w:val="center"/>
          </w:tcPr>
          <w:p>
            <w:pPr>
              <w:pStyle w:val="TableContents"/>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9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768" w:type="dxa"/>
            <w:tcBorders/>
            <w:shd w:fill="auto" w:val="clear"/>
            <w:vAlign w:val="center"/>
          </w:tcPr>
          <w:p>
            <w:pPr>
              <w:pStyle w:val="TableContents"/>
              <w:spacing w:before="0" w:after="0"/>
              <w:ind w:left="0" w:right="0" w:hanging="0"/>
              <w:jc w:val="left"/>
              <w:rPr/>
            </w:pPr>
            <w:r>
              <w:rPr/>
              <w:t> </w:t>
            </w:r>
          </w:p>
        </w:tc>
        <w:tc>
          <w:tcPr>
            <w:tcW w:w="8460" w:type="dxa"/>
            <w:tcBorders/>
            <w:shd w:fill="auto" w:val="clear"/>
            <w:vAlign w:val="center"/>
          </w:tcPr>
          <w:p>
            <w:pPr>
              <w:pStyle w:val="TableContents"/>
              <w:spacing w:before="0" w:after="0"/>
              <w:ind w:left="0" w:right="0" w:hanging="0"/>
              <w:jc w:val="left"/>
              <w:rPr/>
            </w:pPr>
            <w:r>
              <w:rPr/>
              <w:t> </w:t>
            </w:r>
          </w:p>
        </w:tc>
        <w:tc>
          <w:tcPr>
            <w:tcW w:w="977" w:type="dxa"/>
            <w:tcBorders/>
            <w:shd w:fill="auto" w:val="clear"/>
            <w:vAlign w:val="center"/>
          </w:tcPr>
          <w:p>
            <w:pPr>
              <w:pStyle w:val="TableContents"/>
              <w:spacing w:before="0" w:after="0"/>
              <w:ind w:left="0" w:right="0" w:hanging="0"/>
              <w:jc w:val="right"/>
              <w:rPr/>
            </w:pPr>
            <w:r>
              <w:rPr/>
              <w:t> </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460" w:type="dxa"/>
            <w:tcBorders/>
            <w:shd w:fill="auto" w:val="cle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9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768" w:type="dxa"/>
            <w:tcBorders/>
            <w:shd w:fill="auto" w:val="clear"/>
            <w:vAlign w:val="center"/>
          </w:tcPr>
          <w:p>
            <w:pPr>
              <w:pStyle w:val="TableContents"/>
              <w:spacing w:before="0" w:after="0"/>
              <w:ind w:left="0" w:right="0" w:hanging="0"/>
              <w:jc w:val="left"/>
              <w:rPr/>
            </w:pPr>
            <w:r>
              <w:rPr/>
              <w:t> </w:t>
            </w:r>
          </w:p>
        </w:tc>
        <w:tc>
          <w:tcPr>
            <w:tcW w:w="8460" w:type="dxa"/>
            <w:tcBorders/>
            <w:shd w:fill="auto" w:val="clear"/>
            <w:vAlign w:val="center"/>
          </w:tcPr>
          <w:p>
            <w:pPr>
              <w:pStyle w:val="TableContents"/>
              <w:spacing w:before="0" w:after="0"/>
              <w:ind w:left="0" w:right="0" w:hanging="0"/>
              <w:jc w:val="left"/>
              <w:rPr/>
            </w:pPr>
            <w:r>
              <w:rPr/>
              <w:t> </w:t>
            </w:r>
          </w:p>
        </w:tc>
        <w:tc>
          <w:tcPr>
            <w:tcW w:w="977" w:type="dxa"/>
            <w:tcBorders/>
            <w:shd w:fill="auto" w:val="clear"/>
            <w:vAlign w:val="center"/>
          </w:tcPr>
          <w:p>
            <w:pPr>
              <w:pStyle w:val="TableContents"/>
              <w:spacing w:before="0" w:after="0"/>
              <w:ind w:left="0" w:right="0" w:hanging="0"/>
              <w:jc w:val="right"/>
              <w:rPr/>
            </w:pPr>
            <w:r>
              <w:rPr/>
              <w:t> </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8460" w:type="dxa"/>
            <w:tcBorders/>
            <w:shd w:fill="auto" w:val="clear"/>
            <w:vAlign w:val="center"/>
          </w:tcPr>
          <w:p>
            <w:pPr>
              <w:pStyle w:val="TableContents"/>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9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768" w:type="dxa"/>
            <w:tcBorders/>
            <w:shd w:fill="auto" w:val="clear"/>
            <w:vAlign w:val="center"/>
          </w:tcPr>
          <w:p>
            <w:pPr>
              <w:pStyle w:val="TableContents"/>
              <w:spacing w:before="0" w:after="0"/>
              <w:ind w:left="0" w:right="0" w:hanging="0"/>
              <w:jc w:val="left"/>
              <w:rPr/>
            </w:pPr>
            <w:r>
              <w:rPr/>
              <w:t> </w:t>
            </w:r>
          </w:p>
        </w:tc>
        <w:tc>
          <w:tcPr>
            <w:tcW w:w="8460" w:type="dxa"/>
            <w:tcBorders/>
            <w:shd w:fill="auto" w:val="clear"/>
            <w:vAlign w:val="center"/>
          </w:tcPr>
          <w:p>
            <w:pPr>
              <w:pStyle w:val="TableContents"/>
              <w:spacing w:before="0" w:after="0"/>
              <w:ind w:left="0" w:right="0" w:hanging="0"/>
              <w:jc w:val="left"/>
              <w:rPr/>
            </w:pPr>
            <w:r>
              <w:rPr/>
              <w:t> </w:t>
            </w:r>
          </w:p>
        </w:tc>
        <w:tc>
          <w:tcPr>
            <w:tcW w:w="977" w:type="dxa"/>
            <w:tcBorders/>
            <w:shd w:fill="auto" w:val="clear"/>
            <w:vAlign w:val="center"/>
          </w:tcPr>
          <w:p>
            <w:pPr>
              <w:pStyle w:val="TableContents"/>
              <w:spacing w:before="0" w:after="0"/>
              <w:ind w:left="0" w:right="0" w:hanging="0"/>
              <w:jc w:val="right"/>
              <w:rPr/>
            </w:pPr>
            <w:r>
              <w:rPr/>
              <w:t> </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8460" w:type="dxa"/>
            <w:tcBorders/>
            <w:shd w:fill="auto" w:val="cle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9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r>
      <w:tr>
        <w:trPr/>
        <w:tc>
          <w:tcPr>
            <w:tcW w:w="9228" w:type="dxa"/>
            <w:gridSpan w:val="2"/>
            <w:tcBorders/>
            <w:shd w:fill="auto" w:val="clear"/>
            <w:vAlign w:val="center"/>
          </w:tcPr>
          <w:p>
            <w:pPr>
              <w:pStyle w:val="TableContents"/>
              <w:spacing w:before="0" w:after="0"/>
              <w:ind w:left="0" w:right="0" w:hanging="0"/>
              <w:jc w:val="left"/>
              <w:rPr/>
            </w:pPr>
            <w:r>
              <w:rPr/>
              <w:t> </w:t>
            </w:r>
          </w:p>
        </w:tc>
        <w:tc>
          <w:tcPr>
            <w:tcW w:w="977" w:type="dxa"/>
            <w:tcBorders/>
            <w:shd w:fill="auto" w:val="clear"/>
            <w:vAlign w:val="center"/>
          </w:tcPr>
          <w:p>
            <w:pPr>
              <w:pStyle w:val="TableContents"/>
              <w:spacing w:before="0" w:after="0"/>
              <w:ind w:left="0" w:right="0" w:hanging="0"/>
              <w:jc w:val="right"/>
              <w:rPr/>
            </w:pPr>
            <w:r>
              <w:rPr/>
              <w:t> </w:t>
            </w:r>
          </w:p>
        </w:tc>
      </w:tr>
      <w:tr>
        <w:trPr/>
        <w:tc>
          <w:tcPr>
            <w:tcW w:w="9228" w:type="dxa"/>
            <w:gridSpan w:val="2"/>
            <w:tcBorders/>
            <w:shd w:fill="auto" w:val="clear"/>
            <w:vAlign w:val="center"/>
          </w:tcPr>
          <w:p>
            <w:pPr>
              <w:pStyle w:val="TableContents"/>
              <w:spacing w:before="0" w:after="0"/>
              <w:ind w:left="0" w:right="0" w:hanging="0"/>
              <w:jc w:val="left"/>
              <w:rPr/>
            </w:pPr>
            <w:hyperlink w:anchor="signathure">
              <w:r>
                <w:rPr>
                  <w:rStyle w:val="InternetLink"/>
                  <w:rFonts w:ascii="Times New Roman;serif" w:hAnsi="Times New Roman;serif"/>
                  <w:b w:val="false"/>
                  <w:sz w:val="20"/>
                  <w:u w:val="single"/>
                </w:rPr>
                <w:t>SIGNATURES</w:t>
              </w:r>
            </w:hyperlink>
          </w:p>
        </w:tc>
        <w:tc>
          <w:tcPr>
            <w:tcW w:w="9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References to Assembly Biosciences, Inc.</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Throughout this Quarterly Report on Form 10-Q, the “Company,” “Assembly,” “we,” “us,” and “our,” except where the context requires otherwise, refer to Assembly Biosciences, Inc. and its consolidated subsidiaries, and “board of directors” refers to the board of directors of Assembly Biosciences, Inc.</w:t>
      </w:r>
    </w:p>
    <w:p>
      <w:pPr>
        <w:pStyle w:val="TextBody"/>
        <w:spacing w:before="200" w:after="0"/>
        <w:jc w:val="both"/>
        <w:rPr>
          <w:rFonts w:ascii="Times New Roman;serif" w:hAnsi="Times New Roman;serif"/>
          <w:b/>
          <w:sz w:val="20"/>
        </w:rPr>
      </w:pPr>
      <w:r>
        <w:rPr>
          <w:rFonts w:ascii="Times New Roman;serif" w:hAnsi="Times New Roman;serif"/>
          <w:b/>
          <w:sz w:val="20"/>
        </w:rPr>
        <w:t>Forward-Looking Statements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This Quarterly Report on Form 10-Q contains “forward-looking statements” that are subject to certain risks and uncertainties, including, without limitation, those set forth in Part I, Item 1A of our Annual Report on Form 10-K filed with the U.S. Securities and Exchanges Commission (SEC) on March 22, 2023 (2022 Annual Report) and Part II, Item 1A of this Quarterly Report on Form 10-Q under the heading “Risk Factors,” that could cause actual results to materially differ. Such risks and uncertainties include, among other things: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ability to maintain financial resources necessary to continue our research activities, clinical studies and other business operations;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ability to initiate and complete clinical studies involving our therapeutic product candidates, including studies contemplated by collaboration agreements, in the anticipated timeframes;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safety and efficacy data from clinical or nonclinical studies may not warrant further development of our product candidates;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clinical and nonclinical data presented at conferences may not differentiate our product candidates from other companies’ candidates; and</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results of nonclinical studies may not be representative of disease behavior in a clinical setting and may not be predictive of the outcomes of clinical studies.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In particular, forward-looking statements include, but are not limited to, statements regarding the timing of commencement of future clinical studies involving our therapeutic product candidates; and our ability to successfully complete, and receive favorable results in, clinical trials for our product candidates.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sz w:val="20"/>
        </w:rPr>
      </w:pPr>
      <w:bookmarkStart w:id="2" w:name="part_i_financial_information"/>
      <w:bookmarkEnd w:id="2"/>
      <w:r>
        <w:rPr>
          <w:rFonts w:ascii="Times New Roman;serif" w:hAnsi="Times New Roman;serif"/>
          <w:b/>
          <w:sz w:val="20"/>
        </w:rPr>
        <w:t>PART I - FINANCIAL INFORMATION</w:t>
      </w:r>
    </w:p>
    <w:p>
      <w:pPr>
        <w:pStyle w:val="TextBody"/>
        <w:spacing w:before="0" w:after="0"/>
        <w:jc w:val="both"/>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w:t>
      </w:r>
    </w:p>
    <w:p>
      <w:pPr>
        <w:pStyle w:val="TextBody"/>
        <w:spacing w:before="120" w:after="0"/>
        <w:jc w:val="center"/>
        <w:rPr>
          <w:rFonts w:ascii="Times New Roman;serif" w:hAnsi="Times New Roman;serif"/>
          <w:b/>
          <w:sz w:val="20"/>
        </w:rPr>
      </w:pPr>
      <w:r>
        <w:rPr>
          <w:rFonts w:ascii="Times New Roman;serif" w:hAnsi="Times New Roman;serif"/>
          <w:b/>
          <w:sz w:val="20"/>
        </w:rPr>
        <w:t>ASSEMBLY BIOSCIENCES, INC.</w:t>
      </w:r>
    </w:p>
    <w:p>
      <w:pPr>
        <w:pStyle w:val="TextBody"/>
        <w:spacing w:before="0" w:after="0"/>
        <w:jc w:val="center"/>
        <w:rPr>
          <w:rFonts w:ascii="Times New Roman;serif" w:hAnsi="Times New Roman;serif"/>
          <w:b/>
          <w:sz w:val="20"/>
        </w:rPr>
      </w:pPr>
      <w:bookmarkStart w:id="4" w:name="condensed_consolidated_balance_sheets"/>
      <w:bookmarkEnd w:id="4"/>
      <w:r>
        <w:rPr>
          <w:rFonts w:ascii="Times New Roman;serif" w:hAnsi="Times New Roman;serif"/>
          <w:b/>
          <w:sz w:val="20"/>
        </w:rPr>
        <w:t>CONDENSED CONSOLIDATED BALANCE SHEETS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for share amounts and par value)</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7203"/>
        <w:gridCol w:w="146"/>
        <w:gridCol w:w="211"/>
        <w:gridCol w:w="841"/>
        <w:gridCol w:w="166"/>
        <w:gridCol w:w="146"/>
        <w:gridCol w:w="216"/>
        <w:gridCol w:w="863"/>
        <w:gridCol w:w="413"/>
      </w:tblGrid>
      <w:tr>
        <w:trPr/>
        <w:tc>
          <w:tcPr>
            <w:tcW w:w="72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720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9"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December 31,</w:t>
            </w:r>
          </w:p>
        </w:tc>
        <w:tc>
          <w:tcPr>
            <w:tcW w:w="413" w:type="dxa"/>
            <w:tcBorders/>
            <w:shd w:fill="auto" w:val="clear"/>
            <w:vAlign w:val="center"/>
          </w:tcPr>
          <w:p>
            <w:pPr>
              <w:pStyle w:val="TableContents"/>
              <w:spacing w:before="0" w:after="0"/>
              <w:ind w:left="0" w:right="0" w:hanging="0"/>
              <w:jc w:val="center"/>
              <w:rPr/>
            </w:pPr>
            <w:r>
              <w:rPr/>
              <w:t> </w:t>
            </w:r>
          </w:p>
        </w:tc>
      </w:tr>
      <w:tr>
        <w:trPr/>
        <w:tc>
          <w:tcPr>
            <w:tcW w:w="720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20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(Unaudited)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9" w:type="dxa"/>
            <w:gridSpan w:val="2"/>
            <w:tcBorders/>
            <w:shd w:fill="auto" w:val="clear"/>
            <w:vAlign w:val="center"/>
          </w:tcPr>
          <w:p>
            <w:pPr>
              <w:pStyle w:val="TableContents"/>
              <w:spacing w:before="0" w:after="0"/>
              <w:ind w:left="0" w:right="0" w:hanging="0"/>
              <w:jc w:val="center"/>
              <w:rPr/>
            </w:pPr>
            <w:r>
              <w:rPr/>
              <w:t> </w:t>
            </w:r>
          </w:p>
        </w:tc>
        <w:tc>
          <w:tcPr>
            <w:tcW w:w="413" w:type="dxa"/>
            <w:tcBorders/>
            <w:shd w:fill="auto" w:val="clear"/>
            <w:vAlign w:val="center"/>
          </w:tcPr>
          <w:p>
            <w:pPr>
              <w:pStyle w:val="TableContents"/>
              <w:spacing w:before="0" w:after="0"/>
              <w:ind w:left="0" w:right="0" w:hanging="0"/>
              <w:jc w:val="center"/>
              <w:rPr/>
            </w:pPr>
            <w:r>
              <w:rPr/>
              <w:t> </w:t>
            </w:r>
          </w:p>
        </w:tc>
      </w:tr>
      <w:tr>
        <w:trPr/>
        <w:tc>
          <w:tcPr>
            <w:tcW w:w="720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9" w:type="dxa"/>
            <w:gridSpan w:val="2"/>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left"/>
              <w:rPr/>
            </w:pPr>
            <w:r>
              <w:rPr/>
              <w:t> </w:t>
            </w:r>
          </w:p>
        </w:tc>
      </w:tr>
      <w:tr>
        <w:trPr/>
        <w:tc>
          <w:tcPr>
            <w:tcW w:w="72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9" w:type="dxa"/>
            <w:gridSpan w:val="2"/>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firstLine="200"/>
              <w:jc w:val="left"/>
              <w:rPr/>
            </w:pPr>
            <w:r>
              <w:rPr/>
              <w:t> </w:t>
            </w:r>
          </w:p>
        </w:tc>
      </w:tr>
      <w:tr>
        <w:trPr/>
        <w:tc>
          <w:tcPr>
            <w:tcW w:w="720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43,482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52,418</w:t>
            </w:r>
          </w:p>
        </w:tc>
        <w:tc>
          <w:tcPr>
            <w:tcW w:w="413" w:type="dxa"/>
            <w:tcBorders/>
            <w:shd w:fill="auto" w:val="clear"/>
            <w:vAlign w:val="center"/>
          </w:tcPr>
          <w:p>
            <w:pPr>
              <w:pStyle w:val="TableContents"/>
              <w:spacing w:before="0" w:after="0"/>
              <w:ind w:left="0" w:right="0" w:firstLine="200"/>
              <w:jc w:val="left"/>
              <w:rPr/>
            </w:pPr>
            <w:r>
              <w:rPr/>
              <w:t> </w:t>
            </w:r>
          </w:p>
        </w:tc>
      </w:tr>
      <w:tr>
        <w:trPr/>
        <w:tc>
          <w:tcPr>
            <w:tcW w:w="720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39,192</w:t>
            </w:r>
          </w:p>
        </w:tc>
        <w:tc>
          <w:tcPr>
            <w:tcW w:w="413" w:type="dxa"/>
            <w:tcBorders/>
            <w:shd w:fill="auto" w:val="clear"/>
            <w:vAlign w:val="center"/>
          </w:tcPr>
          <w:p>
            <w:pPr>
              <w:pStyle w:val="TableContents"/>
              <w:spacing w:before="0" w:after="0"/>
              <w:ind w:left="0" w:right="0" w:firstLine="200"/>
              <w:jc w:val="left"/>
              <w:rPr/>
            </w:pPr>
            <w:r>
              <w:rPr/>
              <w:t> </w:t>
            </w:r>
          </w:p>
        </w:tc>
      </w:tr>
      <w:tr>
        <w:trPr/>
        <w:tc>
          <w:tcPr>
            <w:tcW w:w="720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from collaboration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944</w:t>
            </w:r>
          </w:p>
        </w:tc>
        <w:tc>
          <w:tcPr>
            <w:tcW w:w="413" w:type="dxa"/>
            <w:tcBorders/>
            <w:shd w:fill="auto" w:val="clear"/>
            <w:vAlign w:val="center"/>
          </w:tcPr>
          <w:p>
            <w:pPr>
              <w:pStyle w:val="TableContents"/>
              <w:spacing w:before="0" w:after="0"/>
              <w:ind w:left="0" w:right="0" w:firstLine="200"/>
              <w:jc w:val="left"/>
              <w:rPr/>
            </w:pPr>
            <w:r>
              <w:rPr/>
              <w:t> </w:t>
            </w:r>
          </w:p>
        </w:tc>
      </w:tr>
      <w:tr>
        <w:trPr/>
        <w:tc>
          <w:tcPr>
            <w:tcW w:w="720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4,413</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79,744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96,967</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0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9" w:type="dxa"/>
            <w:gridSpan w:val="2"/>
            <w:tcBorders/>
            <w:shd w:fill="auto" w:val="clear"/>
            <w:vAlign w:val="center"/>
          </w:tcPr>
          <w:p>
            <w:pPr>
              <w:pStyle w:val="TableContents"/>
              <w:spacing w:before="0" w:after="0"/>
              <w:ind w:left="0" w:right="0" w:hanging="0"/>
              <w:jc w:val="right"/>
              <w:rPr/>
            </w:pPr>
            <w:r>
              <w:rPr/>
              <w:t> </w:t>
            </w:r>
          </w:p>
        </w:tc>
        <w:tc>
          <w:tcPr>
            <w:tcW w:w="413" w:type="dxa"/>
            <w:tcBorders/>
            <w:shd w:fill="auto" w:val="clear"/>
            <w:vAlign w:val="center"/>
          </w:tcPr>
          <w:p>
            <w:pPr>
              <w:pStyle w:val="TableContents"/>
              <w:spacing w:before="0" w:after="0"/>
              <w:ind w:left="0" w:right="0" w:firstLine="200"/>
              <w:jc w:val="right"/>
              <w:rPr/>
            </w:pPr>
            <w:r>
              <w:rPr/>
              <w:t> </w:t>
            </w:r>
          </w:p>
        </w:tc>
      </w:tr>
      <w:tr>
        <w:trPr/>
        <w:tc>
          <w:tcPr>
            <w:tcW w:w="720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743</w:t>
            </w:r>
          </w:p>
        </w:tc>
        <w:tc>
          <w:tcPr>
            <w:tcW w:w="413" w:type="dxa"/>
            <w:tcBorders/>
            <w:shd w:fill="auto" w:val="clear"/>
            <w:vAlign w:val="center"/>
          </w:tcPr>
          <w:p>
            <w:pPr>
              <w:pStyle w:val="TableContents"/>
              <w:spacing w:before="0" w:after="0"/>
              <w:ind w:left="0" w:right="0" w:firstLine="200"/>
              <w:jc w:val="left"/>
              <w:rPr/>
            </w:pPr>
            <w:r>
              <w:rPr/>
              <w:t> </w:t>
            </w:r>
          </w:p>
        </w:tc>
      </w:tr>
      <w:tr>
        <w:trPr/>
        <w:tc>
          <w:tcPr>
            <w:tcW w:w="720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right-of-use (ROU)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3,195</w:t>
            </w:r>
          </w:p>
        </w:tc>
        <w:tc>
          <w:tcPr>
            <w:tcW w:w="413" w:type="dxa"/>
            <w:tcBorders/>
            <w:shd w:fill="auto" w:val="clear"/>
            <w:vAlign w:val="center"/>
          </w:tcPr>
          <w:p>
            <w:pPr>
              <w:pStyle w:val="TableContents"/>
              <w:spacing w:before="0" w:after="0"/>
              <w:ind w:left="0" w:right="0" w:firstLine="200"/>
              <w:jc w:val="left"/>
              <w:rPr/>
            </w:pPr>
            <w:r>
              <w:rPr/>
              <w:t> </w:t>
            </w:r>
          </w:p>
        </w:tc>
      </w:tr>
      <w:tr>
        <w:trPr/>
        <w:tc>
          <w:tcPr>
            <w:tcW w:w="720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889</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0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83,116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101,794</w:t>
            </w:r>
          </w:p>
        </w:tc>
        <w:tc>
          <w:tcPr>
            <w:tcW w:w="4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0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9" w:type="dxa"/>
            <w:gridSpan w:val="2"/>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left"/>
              <w:rPr/>
            </w:pPr>
            <w:r>
              <w:rPr/>
              <w:t> </w:t>
            </w:r>
          </w:p>
        </w:tc>
      </w:tr>
      <w:tr>
        <w:trPr/>
        <w:tc>
          <w:tcPr>
            <w:tcW w:w="720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9" w:type="dxa"/>
            <w:gridSpan w:val="2"/>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left"/>
              <w:rPr/>
            </w:pPr>
            <w:r>
              <w:rPr/>
              <w:t> </w:t>
            </w:r>
          </w:p>
        </w:tc>
      </w:tr>
      <w:tr>
        <w:trPr/>
        <w:tc>
          <w:tcPr>
            <w:tcW w:w="72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9" w:type="dxa"/>
            <w:gridSpan w:val="2"/>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firstLine="200"/>
              <w:jc w:val="left"/>
              <w:rPr/>
            </w:pPr>
            <w:r>
              <w:rPr/>
              <w:t> </w:t>
            </w:r>
          </w:p>
        </w:tc>
      </w:tr>
      <w:tr>
        <w:trPr/>
        <w:tc>
          <w:tcPr>
            <w:tcW w:w="720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2,493</w:t>
            </w:r>
          </w:p>
        </w:tc>
        <w:tc>
          <w:tcPr>
            <w:tcW w:w="413" w:type="dxa"/>
            <w:tcBorders/>
            <w:shd w:fill="auto" w:val="clear"/>
            <w:vAlign w:val="center"/>
          </w:tcPr>
          <w:p>
            <w:pPr>
              <w:pStyle w:val="TableContents"/>
              <w:spacing w:before="0" w:after="0"/>
              <w:ind w:left="0" w:right="0" w:firstLine="200"/>
              <w:jc w:val="left"/>
              <w:rPr/>
            </w:pPr>
            <w:r>
              <w:rPr/>
              <w:t> </w:t>
            </w:r>
          </w:p>
        </w:tc>
      </w:tr>
      <w:tr>
        <w:trPr/>
        <w:tc>
          <w:tcPr>
            <w:tcW w:w="720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3,122</w:t>
            </w:r>
          </w:p>
        </w:tc>
        <w:tc>
          <w:tcPr>
            <w:tcW w:w="413" w:type="dxa"/>
            <w:tcBorders/>
            <w:shd w:fill="auto" w:val="clear"/>
            <w:vAlign w:val="center"/>
          </w:tcPr>
          <w:p>
            <w:pPr>
              <w:pStyle w:val="TableContents"/>
              <w:spacing w:before="0" w:after="0"/>
              <w:ind w:left="0" w:right="0" w:firstLine="200"/>
              <w:jc w:val="left"/>
              <w:rPr/>
            </w:pPr>
            <w:r>
              <w:rPr/>
              <w:t> </w:t>
            </w:r>
          </w:p>
        </w:tc>
      </w:tr>
      <w:tr>
        <w:trPr/>
        <w:tc>
          <w:tcPr>
            <w:tcW w:w="720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accrued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7,317</w:t>
            </w:r>
          </w:p>
        </w:tc>
        <w:tc>
          <w:tcPr>
            <w:tcW w:w="413" w:type="dxa"/>
            <w:tcBorders/>
            <w:shd w:fill="auto" w:val="clear"/>
            <w:vAlign w:val="center"/>
          </w:tcPr>
          <w:p>
            <w:pPr>
              <w:pStyle w:val="TableContents"/>
              <w:spacing w:before="0" w:after="0"/>
              <w:ind w:left="0" w:right="0" w:firstLine="200"/>
              <w:jc w:val="left"/>
              <w:rPr/>
            </w:pPr>
            <w:r>
              <w:rPr/>
              <w:t> </w:t>
            </w:r>
          </w:p>
        </w:tc>
      </w:tr>
      <w:tr>
        <w:trPr/>
        <w:tc>
          <w:tcPr>
            <w:tcW w:w="720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 short-term</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3,364</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9,970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16,296</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0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9" w:type="dxa"/>
            <w:gridSpan w:val="2"/>
            <w:tcBorders/>
            <w:shd w:fill="auto" w:val="clear"/>
            <w:vAlign w:val="center"/>
          </w:tcPr>
          <w:p>
            <w:pPr>
              <w:pStyle w:val="TableContents"/>
              <w:spacing w:before="0" w:after="0"/>
              <w:ind w:left="0" w:right="0" w:hanging="0"/>
              <w:jc w:val="right"/>
              <w:rPr/>
            </w:pPr>
            <w:r>
              <w:rPr/>
              <w:t> </w:t>
            </w:r>
          </w:p>
        </w:tc>
        <w:tc>
          <w:tcPr>
            <w:tcW w:w="413" w:type="dxa"/>
            <w:tcBorders/>
            <w:shd w:fill="auto" w:val="clear"/>
            <w:vAlign w:val="center"/>
          </w:tcPr>
          <w:p>
            <w:pPr>
              <w:pStyle w:val="TableContents"/>
              <w:spacing w:before="0" w:after="0"/>
              <w:ind w:left="0" w:right="0" w:firstLine="200"/>
              <w:jc w:val="right"/>
              <w:rPr/>
            </w:pPr>
            <w:r>
              <w:rPr/>
              <w:t> </w:t>
            </w:r>
          </w:p>
        </w:tc>
      </w:tr>
      <w:tr>
        <w:trPr/>
        <w:tc>
          <w:tcPr>
            <w:tcW w:w="720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2,733</w:t>
            </w:r>
          </w:p>
        </w:tc>
        <w:tc>
          <w:tcPr>
            <w:tcW w:w="413" w:type="dxa"/>
            <w:tcBorders/>
            <w:shd w:fill="auto" w:val="clear"/>
            <w:vAlign w:val="center"/>
          </w:tcPr>
          <w:p>
            <w:pPr>
              <w:pStyle w:val="TableContents"/>
              <w:spacing w:before="0" w:after="0"/>
              <w:ind w:left="0" w:right="0" w:firstLine="200"/>
              <w:jc w:val="left"/>
              <w:rPr/>
            </w:pPr>
            <w:r>
              <w:rPr/>
              <w:t> </w:t>
            </w:r>
          </w:p>
        </w:tc>
      </w:tr>
      <w:tr>
        <w:trPr/>
        <w:tc>
          <w:tcPr>
            <w:tcW w:w="720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 long-term</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0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12,783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19,130</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0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9" w:type="dxa"/>
            <w:gridSpan w:val="2"/>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left"/>
              <w:rPr/>
            </w:pPr>
            <w:r>
              <w:rPr/>
              <w:t> </w:t>
            </w:r>
          </w:p>
        </w:tc>
      </w:tr>
      <w:tr>
        <w:trPr/>
        <w:tc>
          <w:tcPr>
            <w:tcW w:w="720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Commitments and contingencies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9" w:type="dxa"/>
            <w:gridSpan w:val="2"/>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left"/>
              <w:rPr/>
            </w:pPr>
            <w:r>
              <w:rPr/>
              <w:t> </w:t>
            </w:r>
          </w:p>
        </w:tc>
      </w:tr>
      <w:tr>
        <w:trPr/>
        <w:tc>
          <w:tcPr>
            <w:tcW w:w="720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9" w:type="dxa"/>
            <w:gridSpan w:val="2"/>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left"/>
              <w:rPr/>
            </w:pPr>
            <w:r>
              <w:rPr/>
              <w:t> </w:t>
            </w:r>
          </w:p>
        </w:tc>
      </w:tr>
      <w:tr>
        <w:trPr/>
        <w:tc>
          <w:tcPr>
            <w:tcW w:w="720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9" w:type="dxa"/>
            <w:gridSpan w:val="2"/>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firstLine="200"/>
              <w:jc w:val="left"/>
              <w:rPr/>
            </w:pPr>
            <w:r>
              <w:rPr/>
              <w:t> </w:t>
            </w:r>
          </w:p>
        </w:tc>
      </w:tr>
      <w:tr>
        <w:trPr/>
        <w:tc>
          <w:tcPr>
            <w:tcW w:w="7203"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Preferred stock, $0.001</w:t>
            </w:r>
            <w:r>
              <w:rPr>
                <w:rFonts w:ascii="Times New Roman" w:hAnsi="Times New Roman"/>
                <w:sz w:val="20"/>
              </w:rPr>
              <w:t> </w:t>
            </w:r>
            <w:r>
              <w:rPr>
                <w:rFonts w:ascii="Times New Roman;serif" w:hAnsi="Times New Roman;serif"/>
                <w:b w:val="false"/>
                <w:sz w:val="20"/>
              </w:rPr>
              <w:t>par value; 5,000,000</w:t>
            </w:r>
            <w:r>
              <w:rPr>
                <w:rFonts w:ascii="Times New Roman" w:hAnsi="Times New Roman"/>
                <w:sz w:val="20"/>
              </w:rPr>
              <w:t> </w:t>
            </w:r>
            <w:r>
              <w:rPr>
                <w:rFonts w:ascii="Times New Roman;serif" w:hAnsi="Times New Roman;serif"/>
                <w:b w:val="false"/>
                <w:sz w:val="20"/>
              </w:rPr>
              <w:t>shares authorized; no</w:t>
            </w:r>
            <w:r>
              <w:rPr>
                <w:rFonts w:ascii="Times New Roman" w:hAnsi="Times New Roman"/>
                <w:sz w:val="20"/>
              </w:rPr>
              <w:t> </w:t>
            </w:r>
            <w:r>
              <w:rPr>
                <w:rFonts w:ascii="Times New Roman;serif" w:hAnsi="Times New Roman;serif"/>
                <w:b w:val="false"/>
                <w:sz w:val="20"/>
              </w:rPr>
              <w:t>shares issued or outstanding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pPr>
            <w:r>
              <w:rPr/>
              <w:t>—</w:t>
            </w:r>
          </w:p>
        </w:tc>
        <w:tc>
          <w:tcPr>
            <w:tcW w:w="413" w:type="dxa"/>
            <w:tcBorders/>
            <w:shd w:fill="auto" w:val="clear"/>
            <w:vAlign w:val="center"/>
          </w:tcPr>
          <w:p>
            <w:pPr>
              <w:pStyle w:val="TableContents"/>
              <w:spacing w:before="0" w:after="0"/>
              <w:ind w:left="0" w:right="0" w:firstLine="200"/>
              <w:jc w:val="left"/>
              <w:rPr/>
            </w:pPr>
            <w:r>
              <w:rPr/>
              <w:t> </w:t>
            </w:r>
          </w:p>
        </w:tc>
      </w:tr>
      <w:tr>
        <w:trPr/>
        <w:tc>
          <w:tcPr>
            <w:tcW w:w="7203"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 150,000,000</w:t>
            </w:r>
            <w:r>
              <w:rPr>
                <w:rFonts w:ascii="Times New Roman" w:hAnsi="Times New Roman"/>
                <w:sz w:val="20"/>
              </w:rPr>
              <w:t> </w:t>
            </w:r>
            <w:r>
              <w:rPr>
                <w:rFonts w:ascii="Times New Roman;serif" w:hAnsi="Times New Roman;serif"/>
                <w:b w:val="false"/>
                <w:sz w:val="20"/>
              </w:rPr>
              <w:t>shares authorized as of March 31, 2023 and December 31, 2022; 52,015,268</w:t>
            </w:r>
            <w:r>
              <w:rPr>
                <w:rFonts w:ascii="Times New Roman" w:hAnsi="Times New Roman"/>
                <w:sz w:val="20"/>
              </w:rPr>
              <w:t> </w:t>
            </w:r>
            <w:r>
              <w:rPr>
                <w:rFonts w:ascii="Times New Roman;serif" w:hAnsi="Times New Roman;serif"/>
                <w:b w:val="false"/>
                <w:sz w:val="20"/>
              </w:rPr>
              <w:t>and 48,894,973</w:t>
            </w:r>
            <w:r>
              <w:rPr>
                <w:rFonts w:ascii="Times New Roman" w:hAnsi="Times New Roman"/>
                <w:sz w:val="20"/>
              </w:rPr>
              <w:t> </w:t>
            </w:r>
            <w:r>
              <w:rPr>
                <w:rFonts w:ascii="Times New Roman;serif" w:hAnsi="Times New Roman;serif"/>
                <w:b w:val="false"/>
                <w:sz w:val="20"/>
              </w:rPr>
              <w:t>shares issued and outstanding as of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413" w:type="dxa"/>
            <w:tcBorders/>
            <w:shd w:fill="auto" w:val="clear"/>
            <w:vAlign w:val="center"/>
          </w:tcPr>
          <w:p>
            <w:pPr>
              <w:pStyle w:val="TableContents"/>
              <w:spacing w:before="0" w:after="0"/>
              <w:ind w:left="0" w:right="0" w:firstLine="200"/>
              <w:jc w:val="left"/>
              <w:rPr/>
            </w:pPr>
            <w:r>
              <w:rPr/>
              <w:t> </w:t>
            </w:r>
          </w:p>
        </w:tc>
      </w:tr>
      <w:tr>
        <w:trPr/>
        <w:tc>
          <w:tcPr>
            <w:tcW w:w="720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814,264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807,938</w:t>
            </w:r>
          </w:p>
        </w:tc>
        <w:tc>
          <w:tcPr>
            <w:tcW w:w="413" w:type="dxa"/>
            <w:tcBorders/>
            <w:shd w:fill="auto" w:val="clear"/>
            <w:vAlign w:val="center"/>
          </w:tcPr>
          <w:p>
            <w:pPr>
              <w:pStyle w:val="TableContents"/>
              <w:spacing w:before="0" w:after="0"/>
              <w:ind w:left="0" w:right="0" w:firstLine="200"/>
              <w:jc w:val="left"/>
              <w:rPr/>
            </w:pPr>
            <w:r>
              <w:rPr/>
              <w:t> </w:t>
            </w:r>
          </w:p>
        </w:tc>
      </w:tr>
      <w:tr>
        <w:trPr/>
        <w:tc>
          <w:tcPr>
            <w:tcW w:w="720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(803</w:t>
            </w:r>
          </w:p>
        </w:tc>
        <w:tc>
          <w:tcPr>
            <w:tcW w:w="413"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20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(743,470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(724,520</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20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70,333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82,664</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0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83,116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101,794</w:t>
            </w:r>
          </w:p>
        </w:tc>
        <w:tc>
          <w:tcPr>
            <w:tcW w:w="4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See Accompanying Notes to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ASSEMBLY BIOSCIENCES, INC.</w:t>
      </w:r>
    </w:p>
    <w:p>
      <w:pPr>
        <w:pStyle w:val="TextBody"/>
        <w:spacing w:before="0" w:after="0"/>
        <w:jc w:val="center"/>
        <w:rPr>
          <w:rFonts w:ascii="Times New Roman;serif" w:hAnsi="Times New Roman;serif"/>
          <w:b/>
          <w:sz w:val="20"/>
        </w:rPr>
      </w:pPr>
      <w:bookmarkStart w:id="5" w:name="condensed_consolidated_statements_operat"/>
      <w:bookmarkEnd w:id="5"/>
      <w:r>
        <w:rPr>
          <w:rFonts w:ascii="Times New Roman;serif" w:hAnsi="Times New Roman;serif"/>
          <w:b/>
          <w:sz w:val="20"/>
        </w:rPr>
        <w:t>CONDENSED CONSOLIDATED STATEMENTS OF OPERATIONS AND COMPREHENSIVE LOSS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for share and per share amounts)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spacing w:before="0" w:after="0"/>
        <w:jc w:val="left"/>
        <w:rPr/>
      </w:pPr>
      <w:r>
        <w:rPr/>
        <w:t> </w:t>
      </w:r>
    </w:p>
    <w:tbl>
      <w:tblPr>
        <w:tblW w:w="8729" w:type="dxa"/>
        <w:jc w:val="left"/>
        <w:tblInd w:w="0" w:type="dxa"/>
        <w:tblCellMar>
          <w:top w:w="28" w:type="dxa"/>
          <w:left w:w="28" w:type="dxa"/>
          <w:bottom w:w="28" w:type="dxa"/>
          <w:right w:w="28" w:type="dxa"/>
        </w:tblCellMar>
      </w:tblPr>
      <w:tblGrid>
        <w:gridCol w:w="5386"/>
        <w:gridCol w:w="146"/>
        <w:gridCol w:w="211"/>
        <w:gridCol w:w="1036"/>
        <w:gridCol w:w="166"/>
        <w:gridCol w:w="146"/>
        <w:gridCol w:w="211"/>
        <w:gridCol w:w="1036"/>
        <w:gridCol w:w="391"/>
      </w:tblGrid>
      <w:tr>
        <w:trPr/>
        <w:tc>
          <w:tcPr>
            <w:tcW w:w="5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5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17,205</w:t>
            </w:r>
          </w:p>
        </w:tc>
        <w:tc>
          <w:tcPr>
            <w:tcW w:w="391" w:type="dxa"/>
            <w:tcBorders/>
            <w:shd w:fill="auto" w:val="clear"/>
            <w:vAlign w:val="center"/>
          </w:tcPr>
          <w:p>
            <w:pPr>
              <w:pStyle w:val="TableContents"/>
              <w:spacing w:before="0" w:after="0"/>
              <w:ind w:left="0" w:right="0" w:firstLine="200"/>
              <w:jc w:val="left"/>
              <w:rPr/>
            </w:pPr>
            <w:r>
              <w:rPr/>
              <w:t> </w:t>
            </w:r>
          </w:p>
        </w:tc>
      </w:tr>
      <w:tr>
        <w:trPr/>
        <w:tc>
          <w:tcPr>
            <w:tcW w:w="5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5,957</w:t>
            </w:r>
          </w:p>
        </w:tc>
        <w:tc>
          <w:tcPr>
            <w:tcW w:w="391" w:type="dxa"/>
            <w:tcBorders/>
            <w:shd w:fill="auto" w:val="cle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3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19,559</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3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23,162</w:t>
            </w:r>
          </w:p>
        </w:tc>
        <w:tc>
          <w:tcPr>
            <w:tcW w:w="3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(19,559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(23,162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3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Other income</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5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and other income,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(18,950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(23,091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3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5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(18,660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(23,580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3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common shares outstanding,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51,012,450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48,123,930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See Accompanying Notes to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ASSEMBLY BIOSCIENCES, INC.</w:t>
      </w:r>
    </w:p>
    <w:p>
      <w:pPr>
        <w:pStyle w:val="TextBody"/>
        <w:spacing w:before="0" w:after="0"/>
        <w:jc w:val="center"/>
        <w:rPr>
          <w:rFonts w:ascii="Times New Roman;serif" w:hAnsi="Times New Roman;serif"/>
          <w:b/>
          <w:sz w:val="20"/>
        </w:rPr>
      </w:pPr>
      <w:bookmarkStart w:id="6" w:name="condensed_consolidated_statements_change"/>
      <w:bookmarkEnd w:id="6"/>
      <w:r>
        <w:rPr>
          <w:rFonts w:ascii="Times New Roman;serif" w:hAnsi="Times New Roman;serif"/>
          <w:b/>
          <w:sz w:val="20"/>
        </w:rPr>
        <w:t>CONDENSED CONSOLIDATED STATEMENTS OF CHANGES IN STOCKHOLDERS’ EQUITY</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for share amounts)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2134"/>
        <w:gridCol w:w="146"/>
        <w:gridCol w:w="146"/>
        <w:gridCol w:w="1036"/>
        <w:gridCol w:w="146"/>
        <w:gridCol w:w="146"/>
        <w:gridCol w:w="261"/>
        <w:gridCol w:w="430"/>
        <w:gridCol w:w="146"/>
        <w:gridCol w:w="146"/>
        <w:gridCol w:w="211"/>
        <w:gridCol w:w="781"/>
        <w:gridCol w:w="146"/>
        <w:gridCol w:w="146"/>
        <w:gridCol w:w="370"/>
        <w:gridCol w:w="846"/>
        <w:gridCol w:w="166"/>
        <w:gridCol w:w="146"/>
        <w:gridCol w:w="211"/>
        <w:gridCol w:w="841"/>
        <w:gridCol w:w="166"/>
        <w:gridCol w:w="146"/>
        <w:gridCol w:w="240"/>
        <w:gridCol w:w="841"/>
        <w:gridCol w:w="211"/>
      </w:tblGrid>
      <w:tr>
        <w:trPr/>
        <w:tc>
          <w:tcPr>
            <w:tcW w:w="213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13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shd w:fill="auto" w:val="clear"/>
            <w:vAlign w:val="center"/>
          </w:tcPr>
          <w:p>
            <w:pPr>
              <w:pStyle w:val="TableContents"/>
              <w:spacing w:before="0" w:after="0"/>
              <w:ind w:left="0" w:right="0" w:hanging="0"/>
              <w:jc w:val="center"/>
              <w:rPr/>
            </w:pPr>
            <w:r>
              <w:rPr/>
              <w:t> </w:t>
            </w:r>
          </w:p>
        </w:tc>
      </w:tr>
      <w:tr>
        <w:trPr/>
        <w:tc>
          <w:tcPr>
            <w:tcW w:w="213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Paid-in</w:t>
              <w:b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Comprehensive</w:t>
              <w:b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Stockholders'</w:t>
              <w:br/>
              <w:t>Equity</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34"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Balance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48,894,973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430" w:type="dxa"/>
            <w:tcBorders/>
            <w:shd w:fill="auto" w:val="cle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807,938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846" w:type="dxa"/>
            <w:tcBorders/>
            <w:shd w:fill="auto" w:val="cle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(803</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(724,520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82,664</w:t>
            </w:r>
          </w:p>
        </w:tc>
        <w:tc>
          <w:tcPr>
            <w:tcW w:w="211" w:type="dxa"/>
            <w:tcBorders/>
            <w:shd w:fill="auto" w:val="clear"/>
            <w:vAlign w:val="center"/>
          </w:tcPr>
          <w:p>
            <w:pPr>
              <w:pStyle w:val="TableContents"/>
              <w:spacing w:before="0" w:after="0"/>
              <w:ind w:left="0" w:right="0" w:hanging="0"/>
              <w:jc w:val="left"/>
              <w:rPr/>
            </w:pPr>
            <w:r>
              <w:rPr/>
              <w:t> </w:t>
            </w:r>
          </w:p>
        </w:tc>
      </w:tr>
      <w:tr>
        <w:trPr/>
        <w:tc>
          <w:tcPr>
            <w:tcW w:w="213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Issuance of common stock under at-the-market (ATM) equity offering program, net of issuance costs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3,050,446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4,489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4,492</w:t>
            </w:r>
          </w:p>
        </w:tc>
        <w:tc>
          <w:tcPr>
            <w:tcW w:w="211" w:type="dxa"/>
            <w:tcBorders/>
            <w:shd w:fill="auto" w:val="clear"/>
            <w:vAlign w:val="center"/>
          </w:tcPr>
          <w:p>
            <w:pPr>
              <w:pStyle w:val="TableContents"/>
              <w:spacing w:before="0" w:after="0"/>
              <w:ind w:left="0" w:right="0" w:hanging="0"/>
              <w:jc w:val="left"/>
              <w:rPr/>
            </w:pPr>
            <w:r>
              <w:rPr/>
              <w:t> </w:t>
            </w:r>
          </w:p>
        </w:tc>
      </w:tr>
      <w:tr>
        <w:trPr/>
        <w:tc>
          <w:tcPr>
            <w:tcW w:w="213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Issuance of common stock for settlement of restricted stock units (RSUs)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69,849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213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Unrealized gain on marketable debt securities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290</w:t>
            </w:r>
          </w:p>
        </w:tc>
        <w:tc>
          <w:tcPr>
            <w:tcW w:w="211" w:type="dxa"/>
            <w:tcBorders/>
            <w:shd w:fill="auto" w:val="clear"/>
            <w:vAlign w:val="center"/>
          </w:tcPr>
          <w:p>
            <w:pPr>
              <w:pStyle w:val="TableContents"/>
              <w:spacing w:before="0" w:after="0"/>
              <w:ind w:left="0" w:right="0" w:hanging="0"/>
              <w:jc w:val="left"/>
              <w:rPr/>
            </w:pPr>
            <w:r>
              <w:rPr/>
              <w:t> </w:t>
            </w:r>
          </w:p>
        </w:tc>
      </w:tr>
      <w:tr>
        <w:trPr/>
        <w:tc>
          <w:tcPr>
            <w:tcW w:w="213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1,837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1,837</w:t>
            </w:r>
          </w:p>
        </w:tc>
        <w:tc>
          <w:tcPr>
            <w:tcW w:w="211" w:type="dxa"/>
            <w:tcBorders/>
            <w:shd w:fill="auto" w:val="clear"/>
            <w:vAlign w:val="center"/>
          </w:tcPr>
          <w:p>
            <w:pPr>
              <w:pStyle w:val="TableContents"/>
              <w:spacing w:before="0" w:after="0"/>
              <w:ind w:left="0" w:right="0" w:hanging="0"/>
              <w:jc w:val="left"/>
              <w:rPr/>
            </w:pPr>
            <w:r>
              <w:rPr/>
              <w:t> </w:t>
            </w:r>
          </w:p>
        </w:tc>
      </w:tr>
      <w:tr>
        <w:trPr/>
        <w:tc>
          <w:tcPr>
            <w:tcW w:w="213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(18,950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(18,950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134"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Balance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52,015,268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4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52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814,264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8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(513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(743,470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70,333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134"/>
        <w:gridCol w:w="146"/>
        <w:gridCol w:w="146"/>
        <w:gridCol w:w="1036"/>
        <w:gridCol w:w="146"/>
        <w:gridCol w:w="146"/>
        <w:gridCol w:w="261"/>
        <w:gridCol w:w="430"/>
        <w:gridCol w:w="146"/>
        <w:gridCol w:w="146"/>
        <w:gridCol w:w="211"/>
        <w:gridCol w:w="781"/>
        <w:gridCol w:w="146"/>
        <w:gridCol w:w="146"/>
        <w:gridCol w:w="370"/>
        <w:gridCol w:w="846"/>
        <w:gridCol w:w="166"/>
        <w:gridCol w:w="146"/>
        <w:gridCol w:w="211"/>
        <w:gridCol w:w="841"/>
        <w:gridCol w:w="166"/>
        <w:gridCol w:w="146"/>
        <w:gridCol w:w="229"/>
        <w:gridCol w:w="852"/>
        <w:gridCol w:w="211"/>
      </w:tblGrid>
      <w:tr>
        <w:trPr/>
        <w:tc>
          <w:tcPr>
            <w:tcW w:w="213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13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shd w:fill="auto" w:val="clear"/>
            <w:vAlign w:val="center"/>
          </w:tcPr>
          <w:p>
            <w:pPr>
              <w:pStyle w:val="TableContents"/>
              <w:spacing w:before="0" w:after="0"/>
              <w:ind w:left="0" w:right="0" w:hanging="0"/>
              <w:jc w:val="center"/>
              <w:rPr/>
            </w:pPr>
            <w:r>
              <w:rPr/>
              <w:t> </w:t>
            </w:r>
          </w:p>
        </w:tc>
      </w:tr>
      <w:tr>
        <w:trPr/>
        <w:tc>
          <w:tcPr>
            <w:tcW w:w="213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Paid-in</w:t>
              <w:b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Comprehensive</w:t>
              <w:b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Stockholders'</w:t>
              <w:br/>
              <w:t>Equity</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34"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Balance as of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48,120,437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430" w:type="dxa"/>
            <w:tcBorders/>
            <w:shd w:fill="auto" w:val="cle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800,728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846" w:type="dxa"/>
            <w:tcBorders/>
            <w:shd w:fill="auto" w:val="cle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(419</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(631,428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852" w:type="dxa"/>
            <w:tcBorders/>
            <w:shd w:fill="auto" w:val="cle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168,929</w:t>
            </w:r>
          </w:p>
        </w:tc>
        <w:tc>
          <w:tcPr>
            <w:tcW w:w="211" w:type="dxa"/>
            <w:tcBorders/>
            <w:shd w:fill="auto" w:val="clear"/>
            <w:vAlign w:val="center"/>
          </w:tcPr>
          <w:p>
            <w:pPr>
              <w:pStyle w:val="TableContents"/>
              <w:spacing w:before="0" w:after="0"/>
              <w:ind w:left="0" w:right="0" w:hanging="0"/>
              <w:jc w:val="left"/>
              <w:rPr/>
            </w:pPr>
            <w:r>
              <w:rPr/>
              <w:t> </w:t>
            </w:r>
          </w:p>
        </w:tc>
      </w:tr>
      <w:tr>
        <w:trPr/>
        <w:tc>
          <w:tcPr>
            <w:tcW w:w="213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Issuance of common stock for settlement of RSUs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213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Unrealized loss on marketable debt securities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(489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(489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13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1,442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1,442</w:t>
            </w:r>
          </w:p>
        </w:tc>
        <w:tc>
          <w:tcPr>
            <w:tcW w:w="211" w:type="dxa"/>
            <w:tcBorders/>
            <w:shd w:fill="auto" w:val="clear"/>
            <w:vAlign w:val="center"/>
          </w:tcPr>
          <w:p>
            <w:pPr>
              <w:pStyle w:val="TableContents"/>
              <w:spacing w:before="0" w:after="0"/>
              <w:ind w:left="0" w:right="0" w:hanging="0"/>
              <w:jc w:val="left"/>
              <w:rPr/>
            </w:pPr>
            <w:r>
              <w:rPr/>
              <w:t> </w:t>
            </w:r>
          </w:p>
        </w:tc>
      </w:tr>
      <w:tr>
        <w:trPr/>
        <w:tc>
          <w:tcPr>
            <w:tcW w:w="213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(23,091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(23,091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134"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Balance as of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48,132,937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4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48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802,170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8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(908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(654,519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w:t>
            </w:r>
          </w:p>
        </w:tc>
        <w:tc>
          <w:tcPr>
            <w:tcW w:w="8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9"/>
              </w:rPr>
            </w:pPr>
            <w:r>
              <w:rPr>
                <w:rFonts w:ascii="Times New Roman;serif" w:hAnsi="Times New Roman;serif"/>
                <w:b/>
                <w:sz w:val="19"/>
              </w:rPr>
              <w:t>146,791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See Accompanying Notes to Condensed Consolidated Financial Statements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ASSEMBLY BIOSCIENCES, INC.</w:t>
      </w:r>
    </w:p>
    <w:p>
      <w:pPr>
        <w:pStyle w:val="TextBody"/>
        <w:spacing w:before="0" w:after="0"/>
        <w:jc w:val="center"/>
        <w:rPr>
          <w:rFonts w:ascii="Times New Roman;serif" w:hAnsi="Times New Roman;serif"/>
          <w:b/>
          <w:sz w:val="20"/>
        </w:rPr>
      </w:pPr>
      <w:bookmarkStart w:id="7" w:name="condensed_consolidated_statements_cash_f"/>
      <w:bookmarkEnd w:id="7"/>
      <w:r>
        <w:rPr>
          <w:rFonts w:ascii="Times New Roman;serif" w:hAnsi="Times New Roman;serif"/>
          <w:b/>
          <w:sz w:val="20"/>
        </w:rPr>
        <w:t>CONDENSED CONSOLIDATED STATEMENTS OF CASH FLOWS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952"/>
        <w:gridCol w:w="146"/>
        <w:gridCol w:w="238"/>
        <w:gridCol w:w="833"/>
        <w:gridCol w:w="187"/>
        <w:gridCol w:w="164"/>
        <w:gridCol w:w="238"/>
        <w:gridCol w:w="833"/>
        <w:gridCol w:w="614"/>
      </w:tblGrid>
      <w:tr>
        <w:trPr/>
        <w:tc>
          <w:tcPr>
            <w:tcW w:w="69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69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9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95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71" w:type="dxa"/>
            <w:gridSpan w:val="2"/>
            <w:tcBorders/>
            <w:shd w:fill="auto" w:val="clear"/>
            <w:vAlign w:val="center"/>
          </w:tcPr>
          <w:p>
            <w:pPr>
              <w:pStyle w:val="TableContents"/>
              <w:spacing w:before="0" w:after="0"/>
              <w:ind w:left="0" w:right="0" w:hanging="0"/>
              <w:jc w:val="right"/>
              <w:rPr/>
            </w:pPr>
            <w:r>
              <w:rPr/>
              <w:t> </w:t>
            </w:r>
          </w:p>
        </w:tc>
        <w:tc>
          <w:tcPr>
            <w:tcW w:w="187" w:type="dxa"/>
            <w:tcBorders/>
            <w:shd w:fill="auto" w:val="clear"/>
            <w:vAlign w:val="center"/>
          </w:tcPr>
          <w:p>
            <w:pPr>
              <w:pStyle w:val="TableContents"/>
              <w:spacing w:before="0" w:after="0"/>
              <w:ind w:left="0" w:right="0" w:hanging="0"/>
              <w:jc w:val="righ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1071" w:type="dxa"/>
            <w:gridSpan w:val="2"/>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pPr>
            <w:r>
              <w:rPr/>
              <w:t> </w:t>
            </w:r>
          </w:p>
        </w:tc>
      </w:tr>
      <w:tr>
        <w:trPr/>
        <w:tc>
          <w:tcPr>
            <w:tcW w:w="69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(18,950</w:t>
            </w:r>
          </w:p>
        </w:tc>
        <w:tc>
          <w:tcPr>
            <w:tcW w:w="1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(23,091</w:t>
            </w:r>
          </w:p>
        </w:tc>
        <w:tc>
          <w:tcPr>
            <w:tcW w:w="6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71" w:type="dxa"/>
            <w:gridSpan w:val="2"/>
            <w:tcBorders/>
            <w:shd w:fill="auto" w:val="clear"/>
            <w:vAlign w:val="center"/>
          </w:tcPr>
          <w:p>
            <w:pPr>
              <w:pStyle w:val="TableContents"/>
              <w:spacing w:before="0" w:after="0"/>
              <w:ind w:left="0" w:right="0" w:hanging="0"/>
              <w:jc w:val="right"/>
              <w:rPr/>
            </w:pPr>
            <w:r>
              <w:rPr/>
              <w:t> </w:t>
            </w:r>
          </w:p>
        </w:tc>
        <w:tc>
          <w:tcPr>
            <w:tcW w:w="187" w:type="dxa"/>
            <w:tcBorders/>
            <w:shd w:fill="auto" w:val="clear"/>
            <w:vAlign w:val="center"/>
          </w:tcPr>
          <w:p>
            <w:pPr>
              <w:pStyle w:val="TableContents"/>
              <w:spacing w:before="0" w:after="0"/>
              <w:ind w:left="0" w:right="0" w:hanging="0"/>
              <w:jc w:val="righ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1071" w:type="dxa"/>
            <w:gridSpan w:val="2"/>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firstLine="200"/>
              <w:jc w:val="right"/>
              <w:rPr/>
            </w:pPr>
            <w:r>
              <w:rPr/>
              <w:t> </w:t>
            </w:r>
          </w:p>
        </w:tc>
      </w:tr>
      <w:tr>
        <w:trPr/>
        <w:tc>
          <w:tcPr>
            <w:tcW w:w="695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10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187"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614" w:type="dxa"/>
            <w:tcBorders/>
            <w:shd w:fill="auto" w:val="clear"/>
            <w:vAlign w:val="center"/>
          </w:tcPr>
          <w:p>
            <w:pPr>
              <w:pStyle w:val="TableContents"/>
              <w:spacing w:before="0" w:after="0"/>
              <w:ind w:left="0" w:right="0" w:firstLine="200"/>
              <w:jc w:val="left"/>
              <w:rPr/>
            </w:pPr>
            <w:r>
              <w:rPr/>
              <w:t> </w:t>
            </w:r>
          </w:p>
        </w:tc>
      </w:tr>
      <w:tr>
        <w:trPr/>
        <w:tc>
          <w:tcPr>
            <w:tcW w:w="695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10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1,835</w:t>
            </w:r>
          </w:p>
        </w:tc>
        <w:tc>
          <w:tcPr>
            <w:tcW w:w="187"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1,443</w:t>
            </w:r>
          </w:p>
        </w:tc>
        <w:tc>
          <w:tcPr>
            <w:tcW w:w="614" w:type="dxa"/>
            <w:tcBorders/>
            <w:shd w:fill="auto" w:val="clear"/>
            <w:vAlign w:val="center"/>
          </w:tcPr>
          <w:p>
            <w:pPr>
              <w:pStyle w:val="TableContents"/>
              <w:spacing w:before="0" w:after="0"/>
              <w:ind w:left="0" w:right="0" w:firstLine="200"/>
              <w:jc w:val="left"/>
              <w:rPr/>
            </w:pPr>
            <w:r>
              <w:rPr/>
              <w:t> </w:t>
            </w:r>
          </w:p>
        </w:tc>
      </w:tr>
      <w:tr>
        <w:trPr/>
        <w:tc>
          <w:tcPr>
            <w:tcW w:w="695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(accretion) amortization of investments in marketable debt securities</w:t>
            </w:r>
          </w:p>
        </w:tc>
        <w:tc>
          <w:tcPr>
            <w:tcW w:w="146" w:type="dxa"/>
            <w:tcBorders/>
            <w:shd w:fill="auto" w:val="clear"/>
            <w:vAlign w:val="center"/>
          </w:tcPr>
          <w:p>
            <w:pPr>
              <w:pStyle w:val="TableContents"/>
              <w:spacing w:before="0" w:after="0"/>
              <w:ind w:left="10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614" w:type="dxa"/>
            <w:tcBorders/>
            <w:shd w:fill="auto" w:val="clear"/>
            <w:vAlign w:val="center"/>
          </w:tcPr>
          <w:p>
            <w:pPr>
              <w:pStyle w:val="TableContents"/>
              <w:spacing w:before="0" w:after="0"/>
              <w:ind w:left="0" w:right="0" w:firstLine="200"/>
              <w:jc w:val="left"/>
              <w:rPr/>
            </w:pPr>
            <w:r>
              <w:rPr/>
              <w:t> </w:t>
            </w:r>
          </w:p>
        </w:tc>
      </w:tr>
      <w:tr>
        <w:trPr/>
        <w:tc>
          <w:tcPr>
            <w:tcW w:w="695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Non-cash rent expense</w:t>
            </w:r>
          </w:p>
        </w:tc>
        <w:tc>
          <w:tcPr>
            <w:tcW w:w="146" w:type="dxa"/>
            <w:tcBorders/>
            <w:shd w:fill="auto" w:val="clear"/>
            <w:vAlign w:val="center"/>
          </w:tcPr>
          <w:p>
            <w:pPr>
              <w:pStyle w:val="TableContents"/>
              <w:spacing w:before="0" w:after="0"/>
              <w:ind w:left="10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855</w:t>
            </w:r>
          </w:p>
        </w:tc>
        <w:tc>
          <w:tcPr>
            <w:tcW w:w="187"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893</w:t>
            </w:r>
          </w:p>
        </w:tc>
        <w:tc>
          <w:tcPr>
            <w:tcW w:w="614" w:type="dxa"/>
            <w:tcBorders/>
            <w:shd w:fill="auto" w:val="clear"/>
            <w:vAlign w:val="center"/>
          </w:tcPr>
          <w:p>
            <w:pPr>
              <w:pStyle w:val="TableContents"/>
              <w:spacing w:before="0" w:after="0"/>
              <w:ind w:left="0" w:right="0" w:firstLine="200"/>
              <w:jc w:val="left"/>
              <w:rPr/>
            </w:pPr>
            <w:r>
              <w:rPr/>
              <w:t> </w:t>
            </w:r>
          </w:p>
        </w:tc>
      </w:tr>
      <w:tr>
        <w:trPr/>
        <w:tc>
          <w:tcPr>
            <w:tcW w:w="695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shd w:fill="auto" w:val="clear"/>
            <w:vAlign w:val="center"/>
          </w:tcPr>
          <w:p>
            <w:pPr>
              <w:pStyle w:val="TableContents"/>
              <w:spacing w:before="0" w:after="0"/>
              <w:ind w:left="100" w:right="0" w:hanging="0"/>
              <w:jc w:val="left"/>
              <w:rPr/>
            </w:pPr>
            <w:r>
              <w:rPr/>
              <w:t> </w:t>
            </w:r>
          </w:p>
        </w:tc>
        <w:tc>
          <w:tcPr>
            <w:tcW w:w="1071" w:type="dxa"/>
            <w:gridSpan w:val="2"/>
            <w:tcBorders/>
            <w:shd w:fill="auto" w:val="clear"/>
            <w:vAlign w:val="center"/>
          </w:tcPr>
          <w:p>
            <w:pPr>
              <w:pStyle w:val="TableContents"/>
              <w:spacing w:before="0" w:after="0"/>
              <w:ind w:left="0" w:right="0" w:hanging="0"/>
              <w:jc w:val="right"/>
              <w:rPr/>
            </w:pPr>
            <w:r>
              <w:rPr/>
              <w:t> </w:t>
            </w:r>
          </w:p>
        </w:tc>
        <w:tc>
          <w:tcPr>
            <w:tcW w:w="187" w:type="dxa"/>
            <w:tcBorders/>
            <w:shd w:fill="auto" w:val="clear"/>
            <w:vAlign w:val="center"/>
          </w:tcPr>
          <w:p>
            <w:pPr>
              <w:pStyle w:val="TableContents"/>
              <w:spacing w:before="0" w:after="0"/>
              <w:ind w:left="0" w:right="0" w:hanging="0"/>
              <w:jc w:val="righ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1071" w:type="dxa"/>
            <w:gridSpan w:val="2"/>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firstLine="400"/>
              <w:jc w:val="right"/>
              <w:rPr/>
            </w:pPr>
            <w:r>
              <w:rPr/>
              <w:t> </w:t>
            </w:r>
          </w:p>
        </w:tc>
      </w:tr>
      <w:tr>
        <w:trPr/>
        <w:tc>
          <w:tcPr>
            <w:tcW w:w="695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Accounts receivable from collaboration</w:t>
            </w:r>
          </w:p>
        </w:tc>
        <w:tc>
          <w:tcPr>
            <w:tcW w:w="146" w:type="dxa"/>
            <w:tcBorders/>
            <w:shd w:fill="auto" w:val="clear"/>
            <w:vAlign w:val="center"/>
          </w:tcPr>
          <w:p>
            <w:pPr>
              <w:pStyle w:val="TableContents"/>
              <w:spacing w:before="0" w:after="0"/>
              <w:ind w:left="10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w:t>
            </w:r>
          </w:p>
        </w:tc>
        <w:tc>
          <w:tcPr>
            <w:tcW w:w="187"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95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10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(1,598</w:t>
            </w:r>
          </w:p>
        </w:tc>
        <w:tc>
          <w:tcPr>
            <w:tcW w:w="1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95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10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555</w:t>
            </w:r>
          </w:p>
        </w:tc>
        <w:tc>
          <w:tcPr>
            <w:tcW w:w="187"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95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10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(1,269</w:t>
            </w:r>
          </w:p>
        </w:tc>
        <w:tc>
          <w:tcPr>
            <w:tcW w:w="1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(1,252</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95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research and development expenses</w:t>
            </w:r>
          </w:p>
        </w:tc>
        <w:tc>
          <w:tcPr>
            <w:tcW w:w="146" w:type="dxa"/>
            <w:tcBorders/>
            <w:shd w:fill="auto" w:val="clear"/>
            <w:vAlign w:val="center"/>
          </w:tcPr>
          <w:p>
            <w:pPr>
              <w:pStyle w:val="TableContents"/>
              <w:spacing w:before="0" w:after="0"/>
              <w:ind w:left="10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1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w:t>
            </w:r>
          </w:p>
        </w:tc>
        <w:tc>
          <w:tcPr>
            <w:tcW w:w="614" w:type="dxa"/>
            <w:tcBorders/>
            <w:shd w:fill="auto" w:val="clear"/>
            <w:vAlign w:val="center"/>
          </w:tcPr>
          <w:p>
            <w:pPr>
              <w:pStyle w:val="TableContents"/>
              <w:spacing w:before="0" w:after="0"/>
              <w:ind w:left="0" w:right="0" w:firstLine="400"/>
              <w:jc w:val="left"/>
              <w:rPr/>
            </w:pPr>
            <w:r>
              <w:rPr/>
              <w:t> </w:t>
            </w:r>
          </w:p>
        </w:tc>
      </w:tr>
      <w:tr>
        <w:trPr/>
        <w:tc>
          <w:tcPr>
            <w:tcW w:w="695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accrued expenses</w:t>
            </w:r>
          </w:p>
        </w:tc>
        <w:tc>
          <w:tcPr>
            <w:tcW w:w="146" w:type="dxa"/>
            <w:tcBorders/>
            <w:shd w:fill="auto" w:val="clear"/>
            <w:vAlign w:val="center"/>
          </w:tcPr>
          <w:p>
            <w:pPr>
              <w:pStyle w:val="TableContents"/>
              <w:spacing w:before="0" w:after="0"/>
              <w:ind w:left="10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(4,161</w:t>
            </w:r>
          </w:p>
        </w:tc>
        <w:tc>
          <w:tcPr>
            <w:tcW w:w="1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(4,365</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95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shd w:fill="auto" w:val="clear"/>
            <w:vAlign w:val="center"/>
          </w:tcPr>
          <w:p>
            <w:pPr>
              <w:pStyle w:val="TableContents"/>
              <w:spacing w:before="0" w:after="0"/>
              <w:ind w:left="10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(918</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(923</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(23,428</w:t>
            </w:r>
          </w:p>
        </w:tc>
        <w:tc>
          <w:tcPr>
            <w:tcW w:w="1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(27,502</w:t>
            </w:r>
          </w:p>
        </w:tc>
        <w:tc>
          <w:tcPr>
            <w:tcW w:w="6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71" w:type="dxa"/>
            <w:gridSpan w:val="2"/>
            <w:tcBorders/>
            <w:shd w:fill="auto" w:val="clear"/>
            <w:vAlign w:val="center"/>
          </w:tcPr>
          <w:p>
            <w:pPr>
              <w:pStyle w:val="TableContents"/>
              <w:spacing w:before="0" w:after="0"/>
              <w:ind w:left="0" w:right="0" w:hanging="0"/>
              <w:jc w:val="right"/>
              <w:rPr/>
            </w:pPr>
            <w:r>
              <w:rPr/>
              <w:t> </w:t>
            </w:r>
          </w:p>
        </w:tc>
        <w:tc>
          <w:tcPr>
            <w:tcW w:w="187" w:type="dxa"/>
            <w:tcBorders/>
            <w:shd w:fill="auto" w:val="clear"/>
            <w:vAlign w:val="center"/>
          </w:tcPr>
          <w:p>
            <w:pPr>
              <w:pStyle w:val="TableContents"/>
              <w:spacing w:before="0" w:after="0"/>
              <w:ind w:left="0" w:right="0" w:hanging="0"/>
              <w:jc w:val="righ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1071" w:type="dxa"/>
            <w:gridSpan w:val="2"/>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pPr>
            <w:r>
              <w:rPr/>
              <w:t> </w:t>
            </w:r>
          </w:p>
        </w:tc>
      </w:tr>
      <w:tr>
        <w:trPr/>
        <w:tc>
          <w:tcPr>
            <w:tcW w:w="695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071" w:type="dxa"/>
            <w:gridSpan w:val="2"/>
            <w:tcBorders/>
            <w:shd w:fill="auto" w:val="clear"/>
            <w:vAlign w:val="center"/>
          </w:tcPr>
          <w:p>
            <w:pPr>
              <w:pStyle w:val="TableContents"/>
              <w:spacing w:before="0" w:after="0"/>
              <w:ind w:left="0" w:right="0" w:hanging="0"/>
              <w:jc w:val="right"/>
              <w:rPr/>
            </w:pPr>
            <w:r>
              <w:rPr/>
              <w:t> </w:t>
            </w:r>
          </w:p>
        </w:tc>
        <w:tc>
          <w:tcPr>
            <w:tcW w:w="187" w:type="dxa"/>
            <w:tcBorders/>
            <w:shd w:fill="auto" w:val="clear"/>
            <w:vAlign w:val="center"/>
          </w:tcPr>
          <w:p>
            <w:pPr>
              <w:pStyle w:val="TableContents"/>
              <w:spacing w:before="0" w:after="0"/>
              <w:ind w:left="0" w:right="0" w:hanging="0"/>
              <w:jc w:val="righ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1071" w:type="dxa"/>
            <w:gridSpan w:val="2"/>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firstLine="400"/>
              <w:jc w:val="right"/>
              <w:rPr/>
            </w:pPr>
            <w:r>
              <w:rPr/>
              <w:t> </w:t>
            </w:r>
          </w:p>
        </w:tc>
      </w:tr>
      <w:tr>
        <w:trPr/>
        <w:tc>
          <w:tcPr>
            <w:tcW w:w="695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Proceeds from maturities of marketable securities</w:t>
            </w:r>
          </w:p>
        </w:tc>
        <w:tc>
          <w:tcPr>
            <w:tcW w:w="146" w:type="dxa"/>
            <w:tcBorders/>
            <w:shd w:fill="auto" w:val="clear"/>
            <w:vAlign w:val="center"/>
          </w:tcPr>
          <w:p>
            <w:pPr>
              <w:pStyle w:val="TableContents"/>
              <w:spacing w:before="0" w:after="0"/>
              <w:ind w:left="10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87"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30,000</w:t>
            </w:r>
          </w:p>
        </w:tc>
        <w:tc>
          <w:tcPr>
            <w:tcW w:w="614" w:type="dxa"/>
            <w:tcBorders/>
            <w:shd w:fill="auto" w:val="clear"/>
            <w:vAlign w:val="center"/>
          </w:tcPr>
          <w:p>
            <w:pPr>
              <w:pStyle w:val="TableContents"/>
              <w:spacing w:before="0" w:after="0"/>
              <w:ind w:left="0" w:right="0" w:firstLine="400"/>
              <w:jc w:val="left"/>
              <w:rPr/>
            </w:pPr>
            <w:r>
              <w:rPr/>
              <w:t> </w:t>
            </w:r>
          </w:p>
        </w:tc>
      </w:tr>
      <w:tr>
        <w:trPr/>
        <w:tc>
          <w:tcPr>
            <w:tcW w:w="695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Proceeds from sale of marketable securities</w:t>
            </w:r>
          </w:p>
        </w:tc>
        <w:tc>
          <w:tcPr>
            <w:tcW w:w="146" w:type="dxa"/>
            <w:tcBorders/>
            <w:shd w:fill="auto" w:val="clear"/>
            <w:vAlign w:val="center"/>
          </w:tcPr>
          <w:p>
            <w:pPr>
              <w:pStyle w:val="TableContents"/>
              <w:spacing w:before="0" w:after="0"/>
              <w:ind w:left="10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pPr>
            <w:r>
              <w:rPr/>
              <w:t>—</w:t>
            </w:r>
          </w:p>
        </w:tc>
        <w:tc>
          <w:tcPr>
            <w:tcW w:w="187"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7,000</w:t>
            </w:r>
          </w:p>
        </w:tc>
        <w:tc>
          <w:tcPr>
            <w:tcW w:w="614" w:type="dxa"/>
            <w:tcBorders/>
            <w:shd w:fill="auto" w:val="clear"/>
            <w:vAlign w:val="center"/>
          </w:tcPr>
          <w:p>
            <w:pPr>
              <w:pStyle w:val="TableContents"/>
              <w:spacing w:before="0" w:after="0"/>
              <w:ind w:left="0" w:right="0" w:firstLine="400"/>
              <w:jc w:val="left"/>
              <w:rPr/>
            </w:pPr>
            <w:r>
              <w:rPr/>
              <w:t> </w:t>
            </w:r>
          </w:p>
        </w:tc>
      </w:tr>
      <w:tr>
        <w:trPr/>
        <w:tc>
          <w:tcPr>
            <w:tcW w:w="695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Purchases of marketable securities</w:t>
            </w:r>
          </w:p>
        </w:tc>
        <w:tc>
          <w:tcPr>
            <w:tcW w:w="146" w:type="dxa"/>
            <w:tcBorders/>
            <w:shd w:fill="auto" w:val="clear"/>
            <w:vAlign w:val="center"/>
          </w:tcPr>
          <w:p>
            <w:pPr>
              <w:pStyle w:val="TableContents"/>
              <w:spacing w:before="0" w:after="0"/>
              <w:ind w:left="10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pPr>
            <w:r>
              <w:rPr/>
              <w:t>—</w:t>
            </w:r>
          </w:p>
        </w:tc>
        <w:tc>
          <w:tcPr>
            <w:tcW w:w="187"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(3,951</w:t>
            </w:r>
          </w:p>
        </w:tc>
        <w:tc>
          <w:tcPr>
            <w:tcW w:w="6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33"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87"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64"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38"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33"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33,049</w:t>
            </w:r>
          </w:p>
        </w:tc>
        <w:tc>
          <w:tcPr>
            <w:tcW w:w="614"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r>
      <w:tr>
        <w:trPr/>
        <w:tc>
          <w:tcPr>
            <w:tcW w:w="69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71" w:type="dxa"/>
            <w:gridSpan w:val="2"/>
            <w:tcBorders/>
            <w:shd w:fill="auto" w:val="clear"/>
            <w:vAlign w:val="center"/>
          </w:tcPr>
          <w:p>
            <w:pPr>
              <w:pStyle w:val="TableContents"/>
              <w:spacing w:before="0" w:after="0"/>
              <w:ind w:left="0" w:right="0" w:hanging="0"/>
              <w:jc w:val="right"/>
              <w:rPr/>
            </w:pPr>
            <w:r>
              <w:rPr/>
              <w:t> </w:t>
            </w:r>
          </w:p>
        </w:tc>
        <w:tc>
          <w:tcPr>
            <w:tcW w:w="187" w:type="dxa"/>
            <w:tcBorders/>
            <w:shd w:fill="auto" w:val="clear"/>
            <w:vAlign w:val="center"/>
          </w:tcPr>
          <w:p>
            <w:pPr>
              <w:pStyle w:val="TableContents"/>
              <w:spacing w:before="0" w:after="0"/>
              <w:ind w:left="0" w:right="0" w:hanging="0"/>
              <w:jc w:val="righ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1071" w:type="dxa"/>
            <w:gridSpan w:val="2"/>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pPr>
            <w:r>
              <w:rPr/>
              <w:t> </w:t>
            </w:r>
          </w:p>
        </w:tc>
      </w:tr>
      <w:tr>
        <w:trPr/>
        <w:tc>
          <w:tcPr>
            <w:tcW w:w="695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71" w:type="dxa"/>
            <w:gridSpan w:val="2"/>
            <w:tcBorders/>
            <w:shd w:fill="auto" w:val="clear"/>
            <w:vAlign w:val="center"/>
          </w:tcPr>
          <w:p>
            <w:pPr>
              <w:pStyle w:val="TableContents"/>
              <w:spacing w:before="0" w:after="0"/>
              <w:ind w:left="0" w:right="0" w:hanging="0"/>
              <w:jc w:val="right"/>
              <w:rPr/>
            </w:pPr>
            <w:r>
              <w:rPr/>
              <w:t> </w:t>
            </w:r>
          </w:p>
        </w:tc>
        <w:tc>
          <w:tcPr>
            <w:tcW w:w="187" w:type="dxa"/>
            <w:tcBorders/>
            <w:shd w:fill="auto" w:val="clear"/>
            <w:vAlign w:val="center"/>
          </w:tcPr>
          <w:p>
            <w:pPr>
              <w:pStyle w:val="TableContents"/>
              <w:spacing w:before="0" w:after="0"/>
              <w:ind w:left="0" w:right="0" w:hanging="0"/>
              <w:jc w:val="righ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1071" w:type="dxa"/>
            <w:gridSpan w:val="2"/>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firstLine="400"/>
              <w:jc w:val="right"/>
              <w:rPr/>
            </w:pPr>
            <w:r>
              <w:rPr/>
              <w:t> </w:t>
            </w:r>
          </w:p>
        </w:tc>
      </w:tr>
      <w:tr>
        <w:trPr/>
        <w:tc>
          <w:tcPr>
            <w:tcW w:w="695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Proceeds from the issuance of common stock under ATM equity offering program, net of issuance costs</w:t>
            </w:r>
          </w:p>
        </w:tc>
        <w:tc>
          <w:tcPr>
            <w:tcW w:w="146" w:type="dxa"/>
            <w:tcBorders/>
            <w:shd w:fill="auto" w:val="clear"/>
            <w:vAlign w:val="center"/>
          </w:tcPr>
          <w:p>
            <w:pPr>
              <w:pStyle w:val="TableContents"/>
              <w:spacing w:before="0" w:after="0"/>
              <w:ind w:left="10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4,492</w:t>
            </w:r>
          </w:p>
        </w:tc>
        <w:tc>
          <w:tcPr>
            <w:tcW w:w="187"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pPr>
            <w:r>
              <w:rPr/>
              <w:t>—</w:t>
            </w:r>
          </w:p>
        </w:tc>
        <w:tc>
          <w:tcPr>
            <w:tcW w:w="614" w:type="dxa"/>
            <w:tcBorders/>
            <w:shd w:fill="auto" w:val="clear"/>
            <w:vAlign w:val="center"/>
          </w:tcPr>
          <w:p>
            <w:pPr>
              <w:pStyle w:val="TableContents"/>
              <w:spacing w:before="0" w:after="0"/>
              <w:ind w:left="0" w:right="0" w:hanging="0"/>
              <w:jc w:val="left"/>
              <w:rPr/>
            </w:pPr>
            <w:r>
              <w:rPr/>
              <w:t> </w:t>
            </w:r>
          </w:p>
        </w:tc>
      </w:tr>
      <w:tr>
        <w:trPr/>
        <w:tc>
          <w:tcPr>
            <w:tcW w:w="69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33"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4,492</w:t>
            </w:r>
          </w:p>
        </w:tc>
        <w:tc>
          <w:tcPr>
            <w:tcW w:w="187"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64"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38"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33"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w:t>
            </w:r>
          </w:p>
        </w:tc>
        <w:tc>
          <w:tcPr>
            <w:tcW w:w="614"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r>
      <w:tr>
        <w:trPr/>
        <w:tc>
          <w:tcPr>
            <w:tcW w:w="69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71" w:type="dxa"/>
            <w:gridSpan w:val="2"/>
            <w:tcBorders/>
            <w:shd w:fill="auto" w:val="clear"/>
            <w:vAlign w:val="center"/>
          </w:tcPr>
          <w:p>
            <w:pPr>
              <w:pStyle w:val="TableContents"/>
              <w:spacing w:before="0" w:after="0"/>
              <w:ind w:left="0" w:right="0" w:hanging="0"/>
              <w:jc w:val="right"/>
              <w:rPr/>
            </w:pPr>
            <w:r>
              <w:rPr/>
              <w:t> </w:t>
            </w:r>
          </w:p>
        </w:tc>
        <w:tc>
          <w:tcPr>
            <w:tcW w:w="187" w:type="dxa"/>
            <w:tcBorders/>
            <w:shd w:fill="auto" w:val="clear"/>
            <w:vAlign w:val="center"/>
          </w:tcPr>
          <w:p>
            <w:pPr>
              <w:pStyle w:val="TableContents"/>
              <w:spacing w:before="0" w:after="0"/>
              <w:ind w:left="0" w:right="0" w:hanging="0"/>
              <w:jc w:val="righ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1071" w:type="dxa"/>
            <w:gridSpan w:val="2"/>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pPr>
            <w:r>
              <w:rPr/>
              <w:t> </w:t>
            </w:r>
          </w:p>
        </w:tc>
      </w:tr>
      <w:tr>
        <w:trPr/>
        <w:tc>
          <w:tcPr>
            <w:tcW w:w="69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increase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(8,936</w:t>
            </w:r>
          </w:p>
        </w:tc>
        <w:tc>
          <w:tcPr>
            <w:tcW w:w="1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5,547</w:t>
            </w:r>
          </w:p>
        </w:tc>
        <w:tc>
          <w:tcPr>
            <w:tcW w:w="614" w:type="dxa"/>
            <w:tcBorders/>
            <w:shd w:fill="auto" w:val="clear"/>
            <w:vAlign w:val="center"/>
          </w:tcPr>
          <w:p>
            <w:pPr>
              <w:pStyle w:val="TableContents"/>
              <w:spacing w:before="0" w:after="0"/>
              <w:ind w:left="0" w:right="0" w:hanging="0"/>
              <w:jc w:val="left"/>
              <w:rPr/>
            </w:pPr>
            <w:r>
              <w:rPr/>
              <w:t> </w:t>
            </w:r>
          </w:p>
        </w:tc>
      </w:tr>
      <w:tr>
        <w:trPr/>
        <w:tc>
          <w:tcPr>
            <w:tcW w:w="69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the beginning of the period</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52,418</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45,627</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5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and cash equivalents at the end of the period</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43,482</w:t>
            </w:r>
          </w:p>
        </w:tc>
        <w:tc>
          <w:tcPr>
            <w:tcW w:w="1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51,174</w:t>
            </w:r>
          </w:p>
        </w:tc>
        <w:tc>
          <w:tcPr>
            <w:tcW w:w="6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See Accompanying Notes to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ASSEMBLY BIOSCIENCES, INC.</w:t>
      </w:r>
    </w:p>
    <w:p>
      <w:pPr>
        <w:pStyle w:val="TextBody"/>
        <w:spacing w:before="0" w:after="0"/>
        <w:jc w:val="center"/>
        <w:rPr>
          <w:rFonts w:ascii="Times New Roman;serif" w:hAnsi="Times New Roman;serif"/>
          <w:b/>
          <w:sz w:val="20"/>
        </w:rPr>
      </w:pPr>
      <w:bookmarkStart w:id="8" w:name="notes_to_condensed_consolidated_financia"/>
      <w:bookmarkEnd w:id="8"/>
      <w:r>
        <w:rPr>
          <w:rFonts w:ascii="Times New Roman;serif" w:hAnsi="Times New Roman;serif"/>
          <w:b/>
          <w:sz w:val="20"/>
        </w:rPr>
        <w:t>NOTES TO THE CONDENSED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spacing w:before="200" w:after="0"/>
        <w:jc w:val="left"/>
        <w:rPr>
          <w:rFonts w:ascii="Times New Roman;serif" w:hAnsi="Times New Roman;serif"/>
          <w:b/>
          <w:sz w:val="20"/>
        </w:rPr>
      </w:pPr>
      <w:r>
        <w:rPr>
          <w:rFonts w:ascii="Times New Roman;serif" w:hAnsi="Times New Roman;serif"/>
          <w:b/>
          <w:sz w:val="20"/>
        </w:rPr>
        <w:t>Note 1 - Nature of Business</w:t>
      </w:r>
    </w:p>
    <w:p>
      <w:pPr>
        <w:pStyle w:val="TextBody"/>
        <w:spacing w:before="200" w:after="0"/>
        <w:jc w:val="left"/>
        <w:rPr>
          <w:rFonts w:ascii="Times New Roman;serif" w:hAnsi="Times New Roman;serif"/>
          <w:b/>
          <w:sz w:val="20"/>
        </w:rPr>
      </w:pPr>
      <w:r>
        <w:rPr>
          <w:rFonts w:ascii="Times New Roman;serif" w:hAnsi="Times New Roman;serif"/>
          <w:b/>
          <w:sz w:val="20"/>
        </w:rPr>
        <w:t>Overview</w:t>
      </w:r>
    </w:p>
    <w:p>
      <w:pPr>
        <w:pStyle w:val="TextBody"/>
        <w:spacing w:before="200" w:after="0"/>
        <w:jc w:val="both"/>
        <w:rPr>
          <w:rFonts w:ascii="Times New Roman" w:hAnsi="Times New Roman"/>
          <w:sz w:val="20"/>
        </w:rPr>
      </w:pPr>
      <w:r>
        <w:rPr>
          <w:rFonts w:ascii="Times New Roman;serif" w:hAnsi="Times New Roman;serif"/>
          <w:b w:val="false"/>
          <w:sz w:val="20"/>
        </w:rPr>
        <w:t>Assembly Biosciences, Inc. (together with its subsidiaries, Assembly or the Company), incorporated in Delaware in October 2005, is a biotechnology company developing innovative antiviral therapeutics with the potential to improve the lives of patients worldwide by targeting serious viral diseases, including high-recurrence genital herpes, transplant-related herpesviruses, chronic hepatitis delta virus (HDV) infection and chronic hepatitis B virus (HBV) infection. The Company operates in one</w:t>
      </w:r>
      <w:r>
        <w:rPr>
          <w:rFonts w:ascii="Times New Roman" w:hAnsi="Times New Roman"/>
          <w:sz w:val="20"/>
        </w:rPr>
        <w:t xml:space="preserve"> </w:t>
      </w:r>
      <w:r>
        <w:rPr>
          <w:rFonts w:ascii="Times New Roman;serif" w:hAnsi="Times New Roman;serif"/>
          <w:b w:val="false"/>
          <w:sz w:val="20"/>
        </w:rPr>
        <w:t>segment and is headquartered in South San Francisco, California.</w:t>
      </w:r>
    </w:p>
    <w:p>
      <w:pPr>
        <w:pStyle w:val="TextBody"/>
        <w:spacing w:before="200" w:after="0"/>
        <w:jc w:val="both"/>
        <w:rPr>
          <w:rFonts w:ascii="Times New Roman" w:hAnsi="Times New Roman"/>
          <w:sz w:val="20"/>
        </w:rPr>
      </w:pPr>
      <w:r>
        <w:rPr>
          <w:rFonts w:ascii="Times New Roman;serif" w:hAnsi="Times New Roman;serif"/>
          <w:b w:val="false"/>
          <w:sz w:val="20"/>
        </w:rPr>
        <w:t>The Company has a broad research and development portfolio with multiple targets, including (1) a long-acting helicase inhibitor for the treatment of high-recurrence genital herpes, (2) a pan-herpes non-nucleoside polymerase inhibitor to treat multiple transplant-associated herpesvirus infections, (3) a small molecule approach to inhibit cell entry for both HDV and HBV, (4) a small molecule interferon-α receptor agonist designed to selectively activate the interferon-α pathway within the liver and offer the convenience of oral dosing and (5) small molecule core inhibitors that inhibit the HBV replication cycle and block the generation of covalently closed circular DNA (cccDNA).</w:t>
      </w:r>
      <w:r>
        <w:rPr>
          <w:rFonts w:ascii="Times New Roman" w:hAnsi="Times New Roman"/>
          <w:sz w:val="20"/>
        </w:rPr>
        <w:t xml:space="preserve"> </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Liquidity</w:t>
      </w:r>
    </w:p>
    <w:p>
      <w:pPr>
        <w:pStyle w:val="TextBody"/>
        <w:spacing w:before="200" w:after="0"/>
        <w:jc w:val="both"/>
        <w:rPr>
          <w:rFonts w:ascii="Times New Roman" w:hAnsi="Times New Roman"/>
          <w:sz w:val="20"/>
        </w:rPr>
      </w:pPr>
      <w:r>
        <w:rPr>
          <w:rFonts w:ascii="Times New Roman;serif" w:hAnsi="Times New Roman;serif"/>
          <w:b w:val="false"/>
          <w:sz w:val="20"/>
        </w:rPr>
        <w:t>The Company has not derived any revenue from product sales to date and currently has no</w:t>
      </w:r>
      <w:r>
        <w:rPr>
          <w:rFonts w:ascii="Times New Roman" w:hAnsi="Times New Roman"/>
          <w:sz w:val="20"/>
        </w:rPr>
        <w:t xml:space="preserve"> </w:t>
      </w:r>
      <w:r>
        <w:rPr>
          <w:rFonts w:ascii="Times New Roman;serif" w:hAnsi="Times New Roman;serif"/>
          <w:b w:val="false"/>
          <w:sz w:val="20"/>
        </w:rPr>
        <w:t>approved products. Once a product has been developed, it will need to be approved for sale by the U.S. Food and Drug Administration (FDA) or an applicable foreign regulatory agency. Since inception, the Company’s operations have been financed primarily through the sale of equity securities, the proceeds from the exercise of warrants and stock options, the issuance of debt, and upfront payments related to collaboration agreements.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following the date these unaudited condensed consolidated financial statements are issued. If the Company cannot generate significant cash from its operations, it intends to obtain any additional funding it requires through strategic relationships, public or private equity or debt financings, grants or other arrangements. The Company cannot assure such funding will be available on reasonable terms, if at all. Market volatility, inflation or other factors could also adversely impact the Company’s ability to access capital when and as needed.</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the Company is unable to secure additional sources of funding, generate enough revenue from its collaborations, or receive full and timely collections of amounts due, it may be necessary to significantly reduce the current rate of spending through reductions in staff and delaying, scaling back, or stopping certain research and development programs, including more costly clinical trials.</w:t>
      </w:r>
    </w:p>
    <w:p>
      <w:pPr>
        <w:pStyle w:val="TextBody"/>
        <w:spacing w:before="200" w:after="0"/>
        <w:jc w:val="both"/>
        <w:rPr>
          <w:rFonts w:ascii="Times New Roman;serif" w:hAnsi="Times New Roman;serif"/>
          <w:b/>
          <w:sz w:val="20"/>
        </w:rPr>
      </w:pPr>
      <w:r>
        <w:rPr>
          <w:rFonts w:ascii="Times New Roman;serif" w:hAnsi="Times New Roman;serif"/>
          <w:b/>
          <w:sz w:val="20"/>
        </w:rPr>
        <w:t>Note 2 - Summary of Significant Accounting Policies</w:t>
      </w:r>
    </w:p>
    <w:p>
      <w:pPr>
        <w:pStyle w:val="TextBody"/>
        <w:spacing w:before="200" w:after="0"/>
        <w:jc w:val="both"/>
        <w:rPr>
          <w:rFonts w:ascii="Times New Roman;serif" w:hAnsi="Times New Roman;serif"/>
          <w:b/>
          <w:sz w:val="20"/>
        </w:rPr>
      </w:pPr>
      <w:r>
        <w:rPr>
          <w:rFonts w:ascii="Times New Roman;serif" w:hAnsi="Times New Roman;serif"/>
          <w:b/>
          <w:sz w:val="20"/>
        </w:rPr>
        <w:t>Basis of Presentation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accompanying unaudited condensed consolidated financial statements include the accounts of the Company and its subsidiaries. All intercompany balances and transactions have been eliminated in consolidation.</w:t>
      </w:r>
    </w:p>
    <w:p>
      <w:pPr>
        <w:pStyle w:val="TextBody"/>
        <w:spacing w:before="200" w:after="0"/>
        <w:jc w:val="both"/>
        <w:rPr>
          <w:rFonts w:ascii="Times New Roman" w:hAnsi="Times New Roman"/>
          <w:sz w:val="20"/>
        </w:rPr>
      </w:pPr>
      <w:r>
        <w:rPr>
          <w:rFonts w:ascii="Times New Roman;serif" w:hAnsi="Times New Roman;serif"/>
          <w:b w:val="false"/>
          <w:sz w:val="20"/>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SEC. In management’s opinion, the unaudited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U.S. GAAP and should be read in conjunction with the Company’s audited consolidated financial statements and accompanying notes for the fiscal year ended December 31, 2022, which are contained in the 2022 Annual Report. The results for the three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months ended March 31, 2023 are not necessarily indicative of results to be expected for the entire year ending December 31, 2023</w:t>
      </w:r>
      <w:r>
        <w:rPr>
          <w:rFonts w:ascii="Times New Roman" w:hAnsi="Times New Roman"/>
          <w:sz w:val="20"/>
        </w:rPr>
        <w:t xml:space="preserve"> </w:t>
      </w:r>
      <w:r>
        <w:rPr>
          <w:rFonts w:ascii="Times New Roman;serif" w:hAnsi="Times New Roman;serif"/>
          <w:b w:val="false"/>
          <w:sz w:val="20"/>
        </w:rPr>
        <w:t>or future operating periods.</w:t>
      </w:r>
    </w:p>
    <w:p>
      <w:pPr>
        <w:pStyle w:val="TextBody"/>
        <w:spacing w:before="200" w:after="0"/>
        <w:jc w:val="both"/>
        <w:rPr>
          <w:rFonts w:ascii="Times New Roman;serif" w:hAnsi="Times New Roman;serif"/>
          <w:b/>
          <w:sz w:val="20"/>
        </w:rPr>
      </w:pPr>
      <w:r>
        <w:rPr>
          <w:rFonts w:ascii="Times New Roman;serif" w:hAnsi="Times New Roman;serif"/>
          <w:b/>
          <w:sz w:val="20"/>
        </w:rPr>
        <w:t>Use of Estimates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preparation of the unaudited condensed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Significant estimates inherent in the preparation of the accompanying unaudited condensed consolidated financial statements include estimates of costs incurred but not yet invoiced for research and development accruals.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Company’s estimates could be affected by external conditions, including those unique to the Company and general economic conditions. It is reasonably possible these external factors could have an effect on the Company’s estimates and could cause actual results to differ materially from those estimates and assumptions.</w:t>
      </w:r>
    </w:p>
    <w:p>
      <w:pPr>
        <w:pStyle w:val="TextBody"/>
        <w:spacing w:before="200" w:after="0"/>
        <w:jc w:val="both"/>
        <w:rPr>
          <w:rFonts w:ascii="Times New Roman;serif" w:hAnsi="Times New Roman;serif"/>
          <w:b/>
          <w:sz w:val="20"/>
        </w:rPr>
      </w:pPr>
      <w:r>
        <w:rPr>
          <w:rFonts w:ascii="Times New Roman;serif" w:hAnsi="Times New Roman;serif"/>
          <w:b/>
          <w:sz w:val="20"/>
        </w:rPr>
        <w:t>Other Risks and Uncertainties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relies on contract research organizations (CROs), including one located in Ukraine which shut down operations due to Russia’s invasion. Though this CRO has resumed operations, the Company has reallocated certain work to other global CROs in case the CRO shuts down operations again.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U.S. and global financial markets have experienced volatility and disruption due to other macroeconomic and geopolitical events such as rising inflation, the risk of a recession, the ongoing conflict between Russia and Ukraine, as well as the ongoing impact of the COVID-19 pandemic. The Company cannot predict at this time to what extent, if at all, it and its employees, CROs, vendors and/or collaborators could potentially be negatively impacted by these events.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April 2023, the Company announced it was evaluating potential partnering options for its core inhibitor portfolio. If the Company is unable to reach an agreement with a suitable collaboration partner for its core inhibitors or any such agreement has unfavorable terms, the Company may be unable to advance the product candidates through further clinical development.</w:t>
      </w:r>
    </w:p>
    <w:p>
      <w:pPr>
        <w:pStyle w:val="TextBody"/>
        <w:spacing w:before="200" w:after="0"/>
        <w:jc w:val="both"/>
        <w:rPr>
          <w:rFonts w:ascii="Times New Roman;serif" w:hAnsi="Times New Roman;serif"/>
          <w:b/>
          <w:sz w:val="20"/>
        </w:rPr>
      </w:pPr>
      <w:r>
        <w:rPr>
          <w:rFonts w:ascii="Times New Roman;serif" w:hAnsi="Times New Roman;serif"/>
          <w:b/>
          <w:sz w:val="20"/>
        </w:rPr>
        <w:t>Net Loss per Share</w:t>
      </w:r>
    </w:p>
    <w:p>
      <w:pPr>
        <w:pStyle w:val="TextBody"/>
        <w:spacing w:before="200" w:after="0"/>
        <w:jc w:val="both"/>
        <w:rPr>
          <w:rFonts w:ascii="Times New Roman" w:hAnsi="Times New Roman"/>
          <w:sz w:val="20"/>
        </w:rPr>
      </w:pPr>
      <w:r>
        <w:rPr>
          <w:rFonts w:ascii="Times New Roman;serif" w:hAnsi="Times New Roman;serif"/>
          <w:b w:val="false"/>
          <w:sz w:val="20"/>
        </w:rPr>
        <w:t>Basic net loss per share of common stock excludes dilution and is computed by dividing net loss by the weighted average number of shares of common stock outstanding during the period. Diluted net loss per share of common stock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w:t>
      </w:r>
      <w:r>
        <w:rPr>
          <w:rFonts w:ascii="Times New Roman" w:hAnsi="Times New Roman"/>
          <w:sz w:val="20"/>
        </w:rPr>
        <w:t xml:space="preserve"> </w:t>
      </w:r>
    </w:p>
    <w:p>
      <w:pPr>
        <w:pStyle w:val="TextBody"/>
        <w:spacing w:before="200" w:after="120"/>
        <w:jc w:val="both"/>
        <w:rPr>
          <w:rFonts w:ascii="Times New Roman;serif" w:hAnsi="Times New Roman;serif"/>
          <w:b w:val="false"/>
          <w:sz w:val="20"/>
        </w:rPr>
      </w:pPr>
      <w:r>
        <w:rPr>
          <w:rFonts w:ascii="Times New Roman;serif" w:hAnsi="Times New Roman;serif"/>
          <w:b w:val="false"/>
          <w:sz w:val="20"/>
        </w:rPr>
        <w:t>A reconciliation of the numerators and the denominators of the basic and diluted net loss per common share computations is as follows (in thousands, except per share amounts):</w:t>
      </w:r>
    </w:p>
    <w:tbl>
      <w:tblPr>
        <w:tblW w:w="8789" w:type="dxa"/>
        <w:jc w:val="left"/>
        <w:tblInd w:w="0" w:type="dxa"/>
        <w:tblCellMar>
          <w:top w:w="28" w:type="dxa"/>
          <w:left w:w="28" w:type="dxa"/>
          <w:bottom w:w="28" w:type="dxa"/>
          <w:right w:w="28" w:type="dxa"/>
        </w:tblCellMar>
      </w:tblPr>
      <w:tblGrid>
        <w:gridCol w:w="5446"/>
        <w:gridCol w:w="146"/>
        <w:gridCol w:w="211"/>
        <w:gridCol w:w="1036"/>
        <w:gridCol w:w="166"/>
        <w:gridCol w:w="146"/>
        <w:gridCol w:w="211"/>
        <w:gridCol w:w="1036"/>
        <w:gridCol w:w="391"/>
      </w:tblGrid>
      <w:tr>
        <w:trPr/>
        <w:tc>
          <w:tcPr>
            <w:tcW w:w="5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4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54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(18,950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(23,091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54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common shares outstanding -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51,012,450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48,123,930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(0.48</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200" w:after="120"/>
        <w:jc w:val="both"/>
        <w:rPr>
          <w:rFonts w:ascii="Times New Roman;serif" w:hAnsi="Times New Roman;serif"/>
          <w:b w:val="false"/>
          <w:sz w:val="20"/>
        </w:rPr>
      </w:pPr>
      <w:r>
        <w:rPr>
          <w:rFonts w:ascii="Times New Roman;serif" w:hAnsi="Times New Roman;serif"/>
          <w:b w:val="false"/>
          <w:sz w:val="20"/>
        </w:rPr>
        <w:t>Securities excluded from the computation of diluted net loss per share because including them would have been antidilutive are as follows:</w:t>
      </w:r>
    </w:p>
    <w:tbl>
      <w:tblPr>
        <w:tblW w:w="6834" w:type="dxa"/>
        <w:jc w:val="left"/>
        <w:tblInd w:w="0" w:type="dxa"/>
        <w:tblCellMar>
          <w:top w:w="28" w:type="dxa"/>
          <w:left w:w="28" w:type="dxa"/>
          <w:bottom w:w="28" w:type="dxa"/>
          <w:right w:w="28" w:type="dxa"/>
        </w:tblCellMar>
      </w:tblPr>
      <w:tblGrid>
        <w:gridCol w:w="3946"/>
        <w:gridCol w:w="146"/>
        <w:gridCol w:w="146"/>
        <w:gridCol w:w="1036"/>
        <w:gridCol w:w="146"/>
        <w:gridCol w:w="146"/>
        <w:gridCol w:w="146"/>
        <w:gridCol w:w="931"/>
        <w:gridCol w:w="191"/>
      </w:tblGrid>
      <w:tr>
        <w:trPr/>
        <w:tc>
          <w:tcPr>
            <w:tcW w:w="3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9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purchase common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10,517,404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7,475,876</w:t>
            </w:r>
          </w:p>
        </w:tc>
        <w:tc>
          <w:tcPr>
            <w:tcW w:w="191" w:type="dxa"/>
            <w:tcBorders/>
            <w:shd w:fill="auto" w:val="clear"/>
            <w:vAlign w:val="center"/>
          </w:tcPr>
          <w:p>
            <w:pPr>
              <w:pStyle w:val="TableContents"/>
              <w:spacing w:before="0" w:after="0"/>
              <w:ind w:left="0" w:right="0" w:hanging="0"/>
              <w:jc w:val="left"/>
              <w:rPr/>
            </w:pPr>
            <w:r>
              <w:rPr/>
              <w:t> </w:t>
            </w:r>
          </w:p>
        </w:tc>
      </w:tr>
      <w:tr>
        <w:trPr/>
        <w:tc>
          <w:tcPr>
            <w:tcW w:w="3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subject to purchase under ESPP</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92,889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129,107</w:t>
            </w:r>
          </w:p>
        </w:tc>
        <w:tc>
          <w:tcPr>
            <w:tcW w:w="191" w:type="dxa"/>
            <w:tcBorders/>
            <w:shd w:fill="auto" w:val="clear"/>
            <w:vAlign w:val="center"/>
          </w:tcPr>
          <w:p>
            <w:pPr>
              <w:pStyle w:val="TableContents"/>
              <w:spacing w:before="0" w:after="0"/>
              <w:ind w:left="0" w:right="0" w:hanging="0"/>
              <w:jc w:val="left"/>
              <w:rPr/>
            </w:pPr>
            <w:r>
              <w:rPr/>
              <w:t> </w:t>
            </w:r>
          </w:p>
        </w:tc>
      </w:tr>
      <w:tr>
        <w:trPr/>
        <w:tc>
          <w:tcPr>
            <w:tcW w:w="3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RSUs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1,718,173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1,553,755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12,328,466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9,158,738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Times New Roman;serif" w:hAnsi="Times New Roman;serif"/>
          <w:b/>
          <w:sz w:val="20"/>
        </w:rPr>
      </w:pPr>
      <w:r>
        <w:rPr>
          <w:rFonts w:ascii="Times New Roman;serif" w:hAnsi="Times New Roman;serif"/>
          <w:b/>
          <w:sz w:val="20"/>
        </w:rPr>
        <w:t>Recently Adopted Accounting Standards</w:t>
      </w:r>
    </w:p>
    <w:p>
      <w:pPr>
        <w:pStyle w:val="TextBody"/>
        <w:spacing w:before="200" w:after="0"/>
        <w:jc w:val="both"/>
        <w:rPr>
          <w:rFonts w:ascii="Times New Roman" w:hAnsi="Times New Roman"/>
          <w:sz w:val="20"/>
        </w:rPr>
      </w:pPr>
      <w:r>
        <w:rPr>
          <w:rFonts w:ascii="Times New Roman;serif" w:hAnsi="Times New Roman;serif"/>
          <w:b w:val="false"/>
          <w:sz w:val="20"/>
        </w:rPr>
        <w:t>In June 2016, the Financial Accounting Standards Board (the FASB) issued Accounting Standards Update (ASU) No. 2016-13,</w:t>
      </w:r>
      <w:r>
        <w:rPr>
          <w:rFonts w:ascii="Times New Roman" w:hAnsi="Times New Roman"/>
          <w:sz w:val="20"/>
        </w:rPr>
        <w:t xml:space="preserve"> </w:t>
      </w:r>
      <w:r>
        <w:rPr>
          <w:rFonts w:ascii="Times New Roman;serif" w:hAnsi="Times New Roman;serif"/>
          <w:b w:val="false"/>
          <w:i/>
          <w:sz w:val="20"/>
        </w:rPr>
        <w:t>Instruments – Credit Losses: Measurement of Credit Losses on Financial Instruments</w:t>
      </w:r>
      <w:r>
        <w:rPr>
          <w:rFonts w:ascii="Times New Roman" w:hAnsi="Times New Roman"/>
          <w:sz w:val="20"/>
        </w:rPr>
        <w:t xml:space="preserve"> </w:t>
      </w:r>
      <w:r>
        <w:rPr>
          <w:rFonts w:ascii="Times New Roman;serif" w:hAnsi="Times New Roman;serif"/>
          <w:b w:val="false"/>
          <w:sz w:val="20"/>
        </w:rPr>
        <w:t>(ASU 2016-13), which requires expected credit losses relating to financial assets measured on an amortized cost basis and available-for-sale debt securities be recorded through an allowance for credit losses. ASU 2016-13 limits the amount of credit losses to be recognized for available-for-sale debt securities to the amount by which carrying value exceeds fair value and requires the reversal of previously recognized credit losses if fair value increases. The FASB issued additional amendments to the new guidance related to transition and clarification and deferred the effective date of this standard for all entities except SEC filers that are not smaller reporting companies to fiscal years beginning after December 15, 2022, including interim periods within those fiscal years. The Company adopted ASU 2016-13 effective January 1, 2023 on a modified retrospective basis. The Company elected to exclude accrued interest receivable from the amortized cost basis of its available-for-sale debt securities and to not measure an allowance for credit losses for accrued interest receivable. The adoption of ASU 2016-13 did not have a material impact on the Company’s consolidated financial statements.</w:t>
      </w:r>
    </w:p>
    <w:p>
      <w:pPr>
        <w:pStyle w:val="TextBody"/>
        <w:spacing w:before="200" w:after="0"/>
        <w:jc w:val="both"/>
        <w:rPr>
          <w:rFonts w:ascii="Times New Roman;serif" w:hAnsi="Times New Roman;serif"/>
          <w:b/>
          <w:sz w:val="20"/>
        </w:rPr>
      </w:pPr>
      <w:r>
        <w:rPr>
          <w:rFonts w:ascii="Times New Roman;serif" w:hAnsi="Times New Roman;serif"/>
          <w:b/>
          <w:sz w:val="20"/>
        </w:rPr>
        <w:t>Note 3 – Fair Value Measurements and Investments in Marketable Securities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and accrued expenses.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uses the following three-level hierarchy that maximizes the use of observable inputs and minimizes the use of unobservable inputs to value its financial instruments: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Level 1: Observable inputs such as unadjusted quoted prices in active markets for identical instruments.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Level 2: Quoted prices for similar instruments that are directly or indirectly observable in the marketplace.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Level 3: Significant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pStyle w:val="TextBody"/>
        <w:spacing w:before="200" w:after="120"/>
        <w:jc w:val="both"/>
        <w:rPr>
          <w:rFonts w:ascii="Times New Roman;serif" w:hAnsi="Times New Roman;serif"/>
          <w:b w:val="false"/>
          <w:sz w:val="20"/>
        </w:rPr>
      </w:pPr>
      <w:r>
        <w:rPr>
          <w:rFonts w:ascii="Times New Roman;serif" w:hAnsi="Times New Roman;serif"/>
          <w:b w:val="false"/>
          <w:sz w:val="20"/>
        </w:rPr>
        <w:t>Investments in marketable securities consisted of the following (in thousands):</w:t>
      </w:r>
    </w:p>
    <w:tbl>
      <w:tblPr>
        <w:tblW w:w="9030" w:type="dxa"/>
        <w:jc w:val="left"/>
        <w:tblInd w:w="0" w:type="dxa"/>
        <w:tblCellMar>
          <w:top w:w="28" w:type="dxa"/>
          <w:left w:w="28" w:type="dxa"/>
          <w:bottom w:w="28" w:type="dxa"/>
          <w:right w:w="28" w:type="dxa"/>
        </w:tblCellMar>
      </w:tblPr>
      <w:tblGrid>
        <w:gridCol w:w="4051"/>
        <w:gridCol w:w="146"/>
        <w:gridCol w:w="211"/>
        <w:gridCol w:w="676"/>
        <w:gridCol w:w="146"/>
        <w:gridCol w:w="146"/>
        <w:gridCol w:w="335"/>
        <w:gridCol w:w="551"/>
        <w:gridCol w:w="146"/>
        <w:gridCol w:w="146"/>
        <w:gridCol w:w="270"/>
        <w:gridCol w:w="616"/>
        <w:gridCol w:w="166"/>
        <w:gridCol w:w="146"/>
        <w:gridCol w:w="211"/>
        <w:gridCol w:w="676"/>
        <w:gridCol w:w="391"/>
      </w:tblGrid>
      <w:tr>
        <w:trPr/>
        <w:tc>
          <w:tcPr>
            <w:tcW w:w="40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0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4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Gain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40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42,374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42,374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42,374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42,374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40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and foreign corporate debt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14,741</w:t>
            </w:r>
          </w:p>
        </w:tc>
        <w:tc>
          <w:tcPr>
            <w:tcW w:w="391" w:type="dxa"/>
            <w:tcBorders/>
            <w:shd w:fill="auto" w:val="clear"/>
            <w:vAlign w:val="center"/>
          </w:tcPr>
          <w:p>
            <w:pPr>
              <w:pStyle w:val="TableContents"/>
              <w:spacing w:before="0" w:after="0"/>
              <w:ind w:left="0" w:right="0" w:firstLine="200"/>
              <w:jc w:val="left"/>
              <w:rPr/>
            </w:pPr>
            <w:r>
              <w:rPr/>
              <w:t> </w:t>
            </w:r>
          </w:p>
        </w:tc>
      </w:tr>
      <w:tr>
        <w:trPr/>
        <w:tc>
          <w:tcPr>
            <w:tcW w:w="40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8,864</w:t>
            </w:r>
          </w:p>
        </w:tc>
        <w:tc>
          <w:tcPr>
            <w:tcW w:w="391" w:type="dxa"/>
            <w:tcBorders/>
            <w:shd w:fill="auto" w:val="clear"/>
            <w:vAlign w:val="center"/>
          </w:tcPr>
          <w:p>
            <w:pPr>
              <w:pStyle w:val="TableContents"/>
              <w:spacing w:before="0" w:after="0"/>
              <w:ind w:left="0" w:right="0" w:firstLine="200"/>
              <w:jc w:val="left"/>
              <w:rPr/>
            </w:pPr>
            <w:r>
              <w:rPr/>
              <w:t> </w:t>
            </w:r>
          </w:p>
        </w:tc>
      </w:tr>
      <w:tr>
        <w:trPr/>
        <w:tc>
          <w:tcPr>
            <w:tcW w:w="40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and foreign commercial paper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short-term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29,774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29,534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cash equivalents and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72,148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71,908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0" w:after="0"/>
        <w:jc w:val="left"/>
        <w:rPr/>
      </w:pPr>
      <w:r>
        <w:rPr/>
        <w:t> </w:t>
      </w:r>
    </w:p>
    <w:tbl>
      <w:tblPr>
        <w:tblW w:w="9030" w:type="dxa"/>
        <w:jc w:val="left"/>
        <w:tblInd w:w="0" w:type="dxa"/>
        <w:tblCellMar>
          <w:top w:w="28" w:type="dxa"/>
          <w:left w:w="28" w:type="dxa"/>
          <w:bottom w:w="28" w:type="dxa"/>
          <w:right w:w="28" w:type="dxa"/>
        </w:tblCellMar>
      </w:tblPr>
      <w:tblGrid>
        <w:gridCol w:w="4051"/>
        <w:gridCol w:w="146"/>
        <w:gridCol w:w="211"/>
        <w:gridCol w:w="676"/>
        <w:gridCol w:w="146"/>
        <w:gridCol w:w="146"/>
        <w:gridCol w:w="335"/>
        <w:gridCol w:w="551"/>
        <w:gridCol w:w="146"/>
        <w:gridCol w:w="146"/>
        <w:gridCol w:w="270"/>
        <w:gridCol w:w="616"/>
        <w:gridCol w:w="166"/>
        <w:gridCol w:w="146"/>
        <w:gridCol w:w="211"/>
        <w:gridCol w:w="676"/>
        <w:gridCol w:w="391"/>
      </w:tblGrid>
      <w:tr>
        <w:trPr/>
        <w:tc>
          <w:tcPr>
            <w:tcW w:w="40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0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4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Gain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40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49,676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49,676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49,676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49,676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40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and foreign corporate debt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18,597</w:t>
            </w:r>
          </w:p>
        </w:tc>
        <w:tc>
          <w:tcPr>
            <w:tcW w:w="391" w:type="dxa"/>
            <w:tcBorders/>
            <w:shd w:fill="auto" w:val="clear"/>
            <w:vAlign w:val="center"/>
          </w:tcPr>
          <w:p>
            <w:pPr>
              <w:pStyle w:val="TableContents"/>
              <w:spacing w:before="0" w:after="0"/>
              <w:ind w:left="0" w:right="0" w:firstLine="200"/>
              <w:jc w:val="left"/>
              <w:rPr/>
            </w:pPr>
            <w:r>
              <w:rPr/>
              <w:t> </w:t>
            </w:r>
          </w:p>
        </w:tc>
      </w:tr>
      <w:tr>
        <w:trPr/>
        <w:tc>
          <w:tcPr>
            <w:tcW w:w="40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11,744</w:t>
            </w:r>
          </w:p>
        </w:tc>
        <w:tc>
          <w:tcPr>
            <w:tcW w:w="391" w:type="dxa"/>
            <w:tcBorders/>
            <w:shd w:fill="auto" w:val="clear"/>
            <w:vAlign w:val="center"/>
          </w:tcPr>
          <w:p>
            <w:pPr>
              <w:pStyle w:val="TableContents"/>
              <w:spacing w:before="0" w:after="0"/>
              <w:ind w:left="0" w:right="0" w:firstLine="200"/>
              <w:jc w:val="left"/>
              <w:rPr/>
            </w:pPr>
            <w:r>
              <w:rPr/>
              <w:t> </w:t>
            </w:r>
          </w:p>
        </w:tc>
      </w:tr>
      <w:tr>
        <w:trPr/>
        <w:tc>
          <w:tcPr>
            <w:tcW w:w="40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and foreign commercial paper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8,851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8,851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short-term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39,722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39,192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cash equivalents and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89,398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88,868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Times New Roman" w:hAnsi="Times New Roman"/>
          <w:sz w:val="20"/>
        </w:rPr>
      </w:pPr>
      <w:r>
        <w:rPr>
          <w:rFonts w:ascii="Times New Roman;serif" w:hAnsi="Times New Roman;serif"/>
          <w:b w:val="false"/>
          <w:sz w:val="20"/>
        </w:rPr>
        <w:t>As of March 31, 2023 and 2022, investments which were in an unrealized loss position were not material and were not the result of a decline in credit quality. Unrealized losses are generally due to interest rate fluctuations, as opposed to declines in credit quality. The Company determined it has the intent and ability to hold all marketable securities that have been in a continuous loss position until recovery of their amortized cost basis, which may be until maturity. As a result, the Company did not recognize any credit losses related to its investments and all unrealized gains and losses on available-for-sale securities are recorded in accumulated other comprehensive loss on the condensed consolidated balance sheets during the three months ended March 31, 2023 and 2022.</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Accrued interest receivable was $0.2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March 31, 2023 and 2022, and was recorded in prepaid expenses and other current assets on the condensed consolidated balance sheets. The Company did not write off any accrued interest receivable during the three months ended March 31, 2023.</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tables present the fair value of the Company’s financial assets measured at fair value on a recurring basis (in thousands):</w:t>
      </w:r>
    </w:p>
    <w:p>
      <w:pPr>
        <w:pStyle w:val="TextBody"/>
        <w:spacing w:before="0" w:after="0"/>
        <w:jc w:val="both"/>
        <w:rPr/>
      </w:pPr>
      <w:r>
        <w:rPr/>
        <w:t> </w:t>
      </w:r>
    </w:p>
    <w:tbl>
      <w:tblPr>
        <w:tblW w:w="8155" w:type="dxa"/>
        <w:jc w:val="left"/>
        <w:tblInd w:w="0" w:type="dxa"/>
        <w:tblCellMar>
          <w:top w:w="28" w:type="dxa"/>
          <w:left w:w="28" w:type="dxa"/>
          <w:bottom w:w="28" w:type="dxa"/>
          <w:right w:w="28" w:type="dxa"/>
        </w:tblCellMar>
      </w:tblPr>
      <w:tblGrid>
        <w:gridCol w:w="3451"/>
        <w:gridCol w:w="146"/>
        <w:gridCol w:w="211"/>
        <w:gridCol w:w="676"/>
        <w:gridCol w:w="146"/>
        <w:gridCol w:w="146"/>
        <w:gridCol w:w="211"/>
        <w:gridCol w:w="676"/>
        <w:gridCol w:w="146"/>
        <w:gridCol w:w="146"/>
        <w:gridCol w:w="239"/>
        <w:gridCol w:w="391"/>
        <w:gridCol w:w="146"/>
        <w:gridCol w:w="146"/>
        <w:gridCol w:w="211"/>
        <w:gridCol w:w="676"/>
        <w:gridCol w:w="391"/>
      </w:tblGrid>
      <w:tr>
        <w:trPr/>
        <w:tc>
          <w:tcPr>
            <w:tcW w:w="3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67"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4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42,374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42,374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42,374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42,374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4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and foreign corporate debt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14,741</w:t>
            </w:r>
          </w:p>
        </w:tc>
        <w:tc>
          <w:tcPr>
            <w:tcW w:w="391" w:type="dxa"/>
            <w:tcBorders/>
            <w:shd w:fill="auto" w:val="clear"/>
            <w:vAlign w:val="center"/>
          </w:tcPr>
          <w:p>
            <w:pPr>
              <w:pStyle w:val="TableContents"/>
              <w:spacing w:before="0" w:after="0"/>
              <w:ind w:left="0" w:right="0" w:firstLine="200"/>
              <w:jc w:val="left"/>
              <w:rPr/>
            </w:pPr>
            <w:r>
              <w:rPr/>
              <w:t> </w:t>
            </w:r>
          </w:p>
        </w:tc>
      </w:tr>
      <w:tr>
        <w:trPr/>
        <w:tc>
          <w:tcPr>
            <w:tcW w:w="34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8,864</w:t>
            </w:r>
          </w:p>
        </w:tc>
        <w:tc>
          <w:tcPr>
            <w:tcW w:w="391" w:type="dxa"/>
            <w:tcBorders/>
            <w:shd w:fill="auto" w:val="clear"/>
            <w:vAlign w:val="center"/>
          </w:tcPr>
          <w:p>
            <w:pPr>
              <w:pStyle w:val="TableContents"/>
              <w:spacing w:before="0" w:after="0"/>
              <w:ind w:left="0" w:right="0" w:firstLine="200"/>
              <w:jc w:val="left"/>
              <w:rPr/>
            </w:pPr>
            <w:r>
              <w:rPr/>
              <w:t> </w:t>
            </w:r>
          </w:p>
        </w:tc>
      </w:tr>
      <w:tr>
        <w:trPr/>
        <w:tc>
          <w:tcPr>
            <w:tcW w:w="34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and foreign commercial paper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short-term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29,534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 measured at fair value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42,374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29,534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71,908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8155" w:type="dxa"/>
        <w:jc w:val="left"/>
        <w:tblInd w:w="0" w:type="dxa"/>
        <w:tblCellMar>
          <w:top w:w="28" w:type="dxa"/>
          <w:left w:w="28" w:type="dxa"/>
          <w:bottom w:w="28" w:type="dxa"/>
          <w:right w:w="28" w:type="dxa"/>
        </w:tblCellMar>
      </w:tblPr>
      <w:tblGrid>
        <w:gridCol w:w="3451"/>
        <w:gridCol w:w="146"/>
        <w:gridCol w:w="211"/>
        <w:gridCol w:w="676"/>
        <w:gridCol w:w="146"/>
        <w:gridCol w:w="146"/>
        <w:gridCol w:w="211"/>
        <w:gridCol w:w="676"/>
        <w:gridCol w:w="146"/>
        <w:gridCol w:w="146"/>
        <w:gridCol w:w="239"/>
        <w:gridCol w:w="391"/>
        <w:gridCol w:w="146"/>
        <w:gridCol w:w="146"/>
        <w:gridCol w:w="211"/>
        <w:gridCol w:w="676"/>
        <w:gridCol w:w="391"/>
      </w:tblGrid>
      <w:tr>
        <w:trPr/>
        <w:tc>
          <w:tcPr>
            <w:tcW w:w="3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67"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4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49,676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49,676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49,676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49,676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4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and foreign corporate debt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18,597</w:t>
            </w:r>
          </w:p>
        </w:tc>
        <w:tc>
          <w:tcPr>
            <w:tcW w:w="391" w:type="dxa"/>
            <w:tcBorders/>
            <w:shd w:fill="auto" w:val="clear"/>
            <w:vAlign w:val="center"/>
          </w:tcPr>
          <w:p>
            <w:pPr>
              <w:pStyle w:val="TableContents"/>
              <w:spacing w:before="0" w:after="0"/>
              <w:ind w:left="0" w:right="0" w:firstLine="200"/>
              <w:jc w:val="left"/>
              <w:rPr/>
            </w:pPr>
            <w:r>
              <w:rPr/>
              <w:t> </w:t>
            </w:r>
          </w:p>
        </w:tc>
      </w:tr>
      <w:tr>
        <w:trPr/>
        <w:tc>
          <w:tcPr>
            <w:tcW w:w="34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11,744</w:t>
            </w:r>
          </w:p>
        </w:tc>
        <w:tc>
          <w:tcPr>
            <w:tcW w:w="391" w:type="dxa"/>
            <w:tcBorders/>
            <w:shd w:fill="auto" w:val="clear"/>
            <w:vAlign w:val="center"/>
          </w:tcPr>
          <w:p>
            <w:pPr>
              <w:pStyle w:val="TableContents"/>
              <w:spacing w:before="0" w:after="0"/>
              <w:ind w:left="0" w:right="0" w:firstLine="200"/>
              <w:jc w:val="left"/>
              <w:rPr/>
            </w:pPr>
            <w:r>
              <w:rPr/>
              <w:t> </w:t>
            </w:r>
          </w:p>
        </w:tc>
      </w:tr>
      <w:tr>
        <w:trPr/>
        <w:tc>
          <w:tcPr>
            <w:tcW w:w="34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and foreign commercial paper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8,851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8,851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short-term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39,192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 measured at fair value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49,676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88,868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Times New Roman" w:hAnsi="Times New Roman"/>
          <w:sz w:val="20"/>
        </w:rPr>
      </w:pPr>
      <w:r>
        <w:rPr>
          <w:rFonts w:ascii="Times New Roman;serif" w:hAnsi="Times New Roman;serif"/>
          <w:b w:val="false"/>
          <w:sz w:val="20"/>
        </w:rPr>
        <w:t>The Company estimates the fair value of its investments in marketable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similar securities, issuer credit spreads, benchmark securities, prepayment/default projections based on historical data, and other observable inputs.</w:t>
      </w:r>
    </w:p>
    <w:p>
      <w:pPr>
        <w:pStyle w:val="TextBody"/>
        <w:spacing w:before="200" w:after="0"/>
        <w:jc w:val="both"/>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transfers between Level 1, Level 2 or Level 3 during the periods presented.</w:t>
      </w:r>
    </w:p>
    <w:p>
      <w:pPr>
        <w:pStyle w:val="TextBody"/>
        <w:spacing w:before="240" w:after="0"/>
        <w:jc w:val="both"/>
        <w:rPr>
          <w:rFonts w:ascii="Times New Roman;serif" w:hAnsi="Times New Roman;serif"/>
          <w:b/>
          <w:sz w:val="20"/>
        </w:rPr>
      </w:pPr>
      <w:r>
        <w:rPr>
          <w:rFonts w:ascii="Times New Roman;serif" w:hAnsi="Times New Roman;serif"/>
          <w:b/>
          <w:sz w:val="20"/>
        </w:rPr>
        <w:t>Note 4 – Other Accrued Expenses</w:t>
      </w:r>
    </w:p>
    <w:p>
      <w:pPr>
        <w:pStyle w:val="TextBody"/>
        <w:spacing w:before="240" w:after="120"/>
        <w:jc w:val="both"/>
        <w:rPr>
          <w:rFonts w:ascii="Times New Roman;serif" w:hAnsi="Times New Roman;serif"/>
          <w:b w:val="false"/>
          <w:sz w:val="20"/>
        </w:rPr>
      </w:pPr>
      <w:r>
        <w:rPr>
          <w:rFonts w:ascii="Times New Roman;serif" w:hAnsi="Times New Roman;serif"/>
          <w:b w:val="false"/>
          <w:sz w:val="20"/>
        </w:rPr>
        <w:t>Other accrued expenses consist of the following (in thousands):</w:t>
      </w:r>
    </w:p>
    <w:tbl>
      <w:tblPr>
        <w:tblW w:w="5780" w:type="dxa"/>
        <w:jc w:val="left"/>
        <w:tblInd w:w="0" w:type="dxa"/>
        <w:tblCellMar>
          <w:top w:w="28" w:type="dxa"/>
          <w:left w:w="28" w:type="dxa"/>
          <w:bottom w:w="28" w:type="dxa"/>
          <w:right w:w="28" w:type="dxa"/>
        </w:tblCellMar>
      </w:tblPr>
      <w:tblGrid>
        <w:gridCol w:w="3001"/>
        <w:gridCol w:w="146"/>
        <w:gridCol w:w="230"/>
        <w:gridCol w:w="625"/>
        <w:gridCol w:w="146"/>
        <w:gridCol w:w="146"/>
        <w:gridCol w:w="294"/>
        <w:gridCol w:w="801"/>
        <w:gridCol w:w="391"/>
      </w:tblGrid>
      <w:tr>
        <w:trPr/>
        <w:tc>
          <w:tcPr>
            <w:tcW w:w="30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0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0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6,228</w:t>
            </w:r>
          </w:p>
        </w:tc>
        <w:tc>
          <w:tcPr>
            <w:tcW w:w="391" w:type="dxa"/>
            <w:tcBorders/>
            <w:shd w:fill="auto" w:val="clear"/>
            <w:vAlign w:val="center"/>
          </w:tcPr>
          <w:p>
            <w:pPr>
              <w:pStyle w:val="TableContents"/>
              <w:spacing w:before="0" w:after="0"/>
              <w:ind w:left="0" w:right="0" w:firstLine="200"/>
              <w:jc w:val="left"/>
              <w:rPr/>
            </w:pPr>
            <w:r>
              <w:rPr/>
              <w:t> </w:t>
            </w:r>
          </w:p>
        </w:tc>
      </w:tr>
      <w:tr>
        <w:trPr/>
        <w:tc>
          <w:tcPr>
            <w:tcW w:w="30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restructuring charges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599</w:t>
            </w:r>
          </w:p>
        </w:tc>
        <w:tc>
          <w:tcPr>
            <w:tcW w:w="391" w:type="dxa"/>
            <w:tcBorders/>
            <w:shd w:fill="auto" w:val="clear"/>
            <w:vAlign w:val="center"/>
          </w:tcPr>
          <w:p>
            <w:pPr>
              <w:pStyle w:val="TableContents"/>
              <w:spacing w:before="0" w:after="0"/>
              <w:ind w:left="0" w:right="0" w:firstLine="200"/>
              <w:jc w:val="left"/>
              <w:rPr/>
            </w:pPr>
            <w:r>
              <w:rPr/>
              <w:t> </w:t>
            </w:r>
          </w:p>
        </w:tc>
      </w:tr>
      <w:tr>
        <w:trPr/>
        <w:tc>
          <w:tcPr>
            <w:tcW w:w="30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professional fees and other</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accrued expenses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7,317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Note 5 – Restructuring</w:t>
      </w:r>
    </w:p>
    <w:p>
      <w:pPr>
        <w:pStyle w:val="TextBody"/>
        <w:spacing w:before="200" w:after="0"/>
        <w:jc w:val="both"/>
        <w:rPr>
          <w:rFonts w:ascii="Times New Roman" w:hAnsi="Times New Roman"/>
          <w:sz w:val="20"/>
        </w:rPr>
      </w:pPr>
      <w:r>
        <w:rPr>
          <w:rFonts w:ascii="Times New Roman;serif" w:hAnsi="Times New Roman;serif"/>
          <w:b w:val="false"/>
          <w:sz w:val="20"/>
        </w:rPr>
        <w:t>In July 2022, the Company and its board of directors approved a strategic plan to align with its refocused pipeline on its next generation core inhibitors and research programs and reduced its workforce by approximately 30%. The Company expects to incur total restructuring charges of $1.1</w:t>
      </w:r>
      <w:r>
        <w:rPr>
          <w:rFonts w:ascii="Times New Roman" w:hAnsi="Times New Roman"/>
          <w:sz w:val="20"/>
        </w:rPr>
        <w:t xml:space="preserve"> </w:t>
      </w:r>
      <w:r>
        <w:rPr>
          <w:rFonts w:ascii="Times New Roman;serif" w:hAnsi="Times New Roman;serif"/>
          <w:b w:val="false"/>
          <w:sz w:val="20"/>
        </w:rPr>
        <w:t>million. Restructuring charges consist solely of employee severance and related benefits which include $1.0</w:t>
      </w:r>
      <w:r>
        <w:rPr>
          <w:rFonts w:ascii="Times New Roman" w:hAnsi="Times New Roman"/>
          <w:sz w:val="20"/>
        </w:rPr>
        <w:t xml:space="preserve"> </w:t>
      </w:r>
      <w:r>
        <w:rPr>
          <w:rFonts w:ascii="Times New Roman;serif" w:hAnsi="Times New Roman;serif"/>
          <w:b w:val="false"/>
          <w:sz w:val="20"/>
        </w:rPr>
        <w:t>million in severance payments to executive officers impacted by the restructuring, $0.8</w:t>
      </w:r>
      <w:r>
        <w:rPr>
          <w:rFonts w:ascii="Times New Roman" w:hAnsi="Times New Roman"/>
          <w:sz w:val="20"/>
        </w:rPr>
        <w:t xml:space="preserve"> </w:t>
      </w:r>
      <w:r>
        <w:rPr>
          <w:rFonts w:ascii="Times New Roman;serif" w:hAnsi="Times New Roman;serif"/>
          <w:b w:val="false"/>
          <w:sz w:val="20"/>
        </w:rPr>
        <w:t>million in one-time termination severance payments and other employee-related costs associated with the restructuring and a reversal of $0.7</w:t>
      </w:r>
      <w:r>
        <w:rPr>
          <w:rFonts w:ascii="Times New Roman" w:hAnsi="Times New Roman"/>
          <w:sz w:val="20"/>
        </w:rPr>
        <w:t xml:space="preserve"> </w:t>
      </w:r>
      <w:r>
        <w:rPr>
          <w:rFonts w:ascii="Times New Roman;serif" w:hAnsi="Times New Roman;serif"/>
          <w:b w:val="false"/>
          <w:sz w:val="20"/>
        </w:rPr>
        <w:t>million for previously recognized stock-based compensation expense related to forfeited awards based on the Company's policy of recognizing stock-based awards with graded vesting schedules using an accelerated attribution method on a straight-line basis over the requisite service period for each separately vesting portion of the award and to recognize forfeitures when they occur.</w:t>
      </w:r>
    </w:p>
    <w:p>
      <w:pPr>
        <w:pStyle w:val="TextBody"/>
        <w:spacing w:before="200" w:after="0"/>
        <w:jc w:val="both"/>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restructuring charges incurred during the three months ended March 31, 2023. The Company incurred cumulative restructuring charges of $1.1</w:t>
      </w:r>
      <w:r>
        <w:rPr>
          <w:rFonts w:ascii="Times New Roman" w:hAnsi="Times New Roman"/>
          <w:sz w:val="20"/>
        </w:rPr>
        <w:t xml:space="preserve"> </w:t>
      </w:r>
      <w:r>
        <w:rPr>
          <w:rFonts w:ascii="Times New Roman;serif" w:hAnsi="Times New Roman;serif"/>
          <w:b w:val="false"/>
          <w:sz w:val="20"/>
        </w:rPr>
        <w:t>million through March 31, 2023.</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 summary of accrued restructuring charges, included as a component of other accrued expenses on the Company's condensed consolidated balance sheet as of March 31, 2023, is as follows (in thousands):</w:t>
      </w:r>
    </w:p>
    <w:p>
      <w:pPr>
        <w:pStyle w:val="TextBody"/>
        <w:spacing w:before="0" w:after="0"/>
        <w:jc w:val="both"/>
        <w:rPr/>
      </w:pPr>
      <w:r>
        <w:rPr/>
        <w:t> </w:t>
      </w:r>
    </w:p>
    <w:tbl>
      <w:tblPr>
        <w:tblW w:w="9823" w:type="dxa"/>
        <w:jc w:val="left"/>
        <w:tblInd w:w="0" w:type="dxa"/>
        <w:tblCellMar>
          <w:top w:w="28" w:type="dxa"/>
          <w:left w:w="28" w:type="dxa"/>
          <w:bottom w:w="28" w:type="dxa"/>
          <w:right w:w="28" w:type="dxa"/>
        </w:tblCellMar>
      </w:tblPr>
      <w:tblGrid>
        <w:gridCol w:w="3511"/>
        <w:gridCol w:w="146"/>
        <w:gridCol w:w="297"/>
        <w:gridCol w:w="678"/>
        <w:gridCol w:w="366"/>
        <w:gridCol w:w="146"/>
        <w:gridCol w:w="364"/>
        <w:gridCol w:w="597"/>
        <w:gridCol w:w="346"/>
        <w:gridCol w:w="146"/>
        <w:gridCol w:w="862"/>
        <w:gridCol w:w="1973"/>
        <w:gridCol w:w="391"/>
      </w:tblGrid>
      <w:tr>
        <w:trPr/>
        <w:tc>
          <w:tcPr>
            <w:tcW w:w="3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97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Employee</w:t>
              <w:br/>
              <w:t>Severance</w:t>
              <w:br/>
              <w:t>and Related</w:t>
              <w:br/>
              <w:t>Benefits</w:t>
            </w:r>
          </w:p>
        </w:tc>
        <w:tc>
          <w:tcPr>
            <w:tcW w:w="3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Asset</w:t>
              <w:br/>
              <w:t>Impairment</w:t>
              <w:br/>
              <w:t>and Other</w:t>
              <w:br/>
              <w:t>Costs</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8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Accrued Restructuring Charges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balance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599</w:t>
            </w:r>
          </w:p>
        </w:tc>
        <w:tc>
          <w:tcPr>
            <w:tcW w:w="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7"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599</w:t>
            </w:r>
          </w:p>
        </w:tc>
        <w:tc>
          <w:tcPr>
            <w:tcW w:w="391" w:type="dxa"/>
            <w:tcBorders/>
            <w:shd w:fill="auto" w:val="clear"/>
            <w:vAlign w:val="center"/>
          </w:tcPr>
          <w:p>
            <w:pPr>
              <w:pStyle w:val="TableContents"/>
              <w:spacing w:before="0" w:after="0"/>
              <w:ind w:left="0" w:right="0" w:firstLine="200"/>
              <w:jc w:val="left"/>
              <w:rPr/>
            </w:pPr>
            <w:r>
              <w:rPr/>
              <w:t> </w:t>
            </w:r>
          </w:p>
        </w:tc>
      </w:tr>
      <w:tr>
        <w:trPr/>
        <w:tc>
          <w:tcPr>
            <w:tcW w:w="35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Reductions for cash payments</w:t>
            </w:r>
          </w:p>
        </w:tc>
        <w:tc>
          <w:tcPr>
            <w:tcW w:w="146" w:type="dxa"/>
            <w:tcBorders/>
            <w:shd w:fill="auto" w:val="clear"/>
            <w:vAlign w:val="center"/>
          </w:tcPr>
          <w:p>
            <w:pPr>
              <w:pStyle w:val="TableContents"/>
              <w:spacing w:before="0" w:after="0"/>
              <w:ind w:left="200" w:right="0" w:hanging="0"/>
              <w:jc w:val="left"/>
              <w:rPr/>
            </w:pPr>
            <w:r>
              <w:rPr/>
              <w:t> </w:t>
            </w:r>
          </w:p>
        </w:tc>
        <w:tc>
          <w:tcPr>
            <w:tcW w:w="297" w:type="dxa"/>
            <w:tcBorders/>
            <w:shd w:fill="auto" w:val="clear"/>
            <w:vAlign w:val="center"/>
          </w:tcPr>
          <w:p>
            <w:pPr>
              <w:pStyle w:val="TableContents"/>
              <w:spacing w:before="0" w:after="0"/>
              <w:ind w:left="0" w:right="0" w:hanging="0"/>
              <w:jc w:val="left"/>
              <w:rPr/>
            </w:pPr>
            <w:r>
              <w:rPr/>
              <w:t> </w:t>
            </w:r>
          </w:p>
        </w:tc>
        <w:tc>
          <w:tcPr>
            <w:tcW w:w="6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w:t>
            </w:r>
          </w:p>
        </w:tc>
        <w:tc>
          <w:tcPr>
            <w:tcW w:w="36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20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862" w:type="dxa"/>
            <w:tcBorders/>
            <w:shd w:fill="auto" w:val="clear"/>
            <w:vAlign w:val="center"/>
          </w:tcPr>
          <w:p>
            <w:pPr>
              <w:pStyle w:val="TableContents"/>
              <w:spacing w:before="0" w:after="0"/>
              <w:ind w:left="0" w:right="0" w:hanging="0"/>
              <w:jc w:val="left"/>
              <w:rPr/>
            </w:pPr>
            <w:r>
              <w:rPr/>
              <w:t> </w:t>
            </w:r>
          </w:p>
        </w:tc>
        <w:tc>
          <w:tcPr>
            <w:tcW w:w="19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balance as of March 31, 2023</w:t>
            </w:r>
          </w:p>
        </w:tc>
        <w:tc>
          <w:tcPr>
            <w:tcW w:w="146" w:type="dxa"/>
            <w:tcBorders/>
            <w:shd w:fill="auto" w:val="clear"/>
            <w:vAlign w:val="center"/>
          </w:tcPr>
          <w:p>
            <w:pPr>
              <w:pStyle w:val="TableContents"/>
              <w:spacing w:before="0" w:after="0"/>
              <w:ind w:left="0" w:right="0" w:hanging="0"/>
              <w:jc w:val="left"/>
              <w:rPr/>
            </w:pPr>
            <w:r>
              <w:rPr/>
              <w:t> </w:t>
            </w:r>
          </w:p>
        </w:tc>
        <w:tc>
          <w:tcPr>
            <w:tcW w:w="29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w:t>
            </w:r>
          </w:p>
        </w:tc>
        <w:tc>
          <w:tcPr>
            <w:tcW w:w="3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36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pPr>
            <w:r>
              <w:rPr/>
              <w:t>—</w:t>
            </w:r>
          </w:p>
        </w:tc>
        <w:tc>
          <w:tcPr>
            <w:tcW w:w="3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6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w:t>
            </w:r>
          </w:p>
        </w:tc>
        <w:tc>
          <w:tcPr>
            <w:tcW w:w="3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expects the accrued restructuring charges to be fully paid by mid-2023.</w:t>
      </w:r>
    </w:p>
    <w:p>
      <w:pPr>
        <w:pStyle w:val="TextBody"/>
        <w:spacing w:before="200" w:after="0"/>
        <w:jc w:val="both"/>
        <w:rPr>
          <w:rFonts w:ascii="Times New Roman;serif" w:hAnsi="Times New Roman;serif"/>
          <w:b/>
          <w:sz w:val="20"/>
        </w:rPr>
      </w:pPr>
      <w:r>
        <w:rPr>
          <w:rFonts w:ascii="Times New Roman;serif" w:hAnsi="Times New Roman;serif"/>
          <w:b/>
          <w:sz w:val="20"/>
        </w:rPr>
        <w:t>Note 6 – Sale of Common Stock</w:t>
      </w:r>
    </w:p>
    <w:p>
      <w:pPr>
        <w:pStyle w:val="TextBody"/>
        <w:spacing w:before="200" w:after="0"/>
        <w:jc w:val="both"/>
        <w:rPr>
          <w:rFonts w:ascii="Times New Roman" w:hAnsi="Times New Roman"/>
          <w:sz w:val="20"/>
        </w:rPr>
      </w:pPr>
      <w:r>
        <w:rPr>
          <w:rFonts w:ascii="Times New Roman;serif" w:hAnsi="Times New Roman;serif"/>
          <w:b w:val="false"/>
          <w:sz w:val="20"/>
        </w:rPr>
        <w:t>In August 2020, the Company entered into a sales agreement under which the Company may offer and sell shares of its common stock having an aggregate offering price of up to $100.0</w:t>
      </w:r>
      <w:r>
        <w:rPr>
          <w:rFonts w:ascii="Times New Roman" w:hAnsi="Times New Roman"/>
          <w:sz w:val="20"/>
        </w:rPr>
        <w:t xml:space="preserve"> </w:t>
      </w:r>
      <w:r>
        <w:rPr>
          <w:rFonts w:ascii="Times New Roman;serif" w:hAnsi="Times New Roman;serif"/>
          <w:b w:val="false"/>
          <w:sz w:val="20"/>
        </w:rPr>
        <w:t>million through “at-the-market” offerings (2020 ATM), pursuant to its shelf registration statement on Form S-3 on file with the SEC. During the three months ended March 31, 2023, the Company sold 3,050,446</w:t>
      </w:r>
      <w:r>
        <w:rPr>
          <w:rFonts w:ascii="Times New Roman" w:hAnsi="Times New Roman"/>
          <w:sz w:val="20"/>
        </w:rPr>
        <w:t xml:space="preserve"> </w:t>
      </w:r>
      <w:r>
        <w:rPr>
          <w:rFonts w:ascii="Times New Roman;serif" w:hAnsi="Times New Roman;serif"/>
          <w:b w:val="false"/>
          <w:sz w:val="20"/>
        </w:rPr>
        <w:t>shares of common stock under the 2020 ATM, for which the Company received net proceeds of $4.5</w:t>
      </w:r>
      <w:r>
        <w:rPr>
          <w:rFonts w:ascii="Times New Roman" w:hAnsi="Times New Roman"/>
          <w:sz w:val="20"/>
        </w:rPr>
        <w:t xml:space="preserve"> </w:t>
      </w:r>
      <w:r>
        <w:rPr>
          <w:rFonts w:ascii="Times New Roman;serif" w:hAnsi="Times New Roman;serif"/>
          <w:b w:val="false"/>
          <w:sz w:val="20"/>
        </w:rPr>
        <w:t>million, after deducting commissions, fees and expenses. The Company did not sell any shares of common stock under the 2020 ATM during the three months ended March 31, 2022.</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sz w:val="20"/>
        </w:rPr>
      </w:pPr>
      <w:r>
        <w:rPr>
          <w:rFonts w:ascii="Times New Roman;serif" w:hAnsi="Times New Roman;serif"/>
          <w:b/>
          <w:sz w:val="20"/>
        </w:rPr>
        <w:t>Note 7 – Stock-Based Compensation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 summarizes the components of total stock-based compensation expense included in the condensed consolidated statements of operations and comprehensive loss (in thousands):</w:t>
      </w:r>
    </w:p>
    <w:p>
      <w:pPr>
        <w:pStyle w:val="TextBody"/>
        <w:spacing w:before="0" w:after="0"/>
        <w:jc w:val="left"/>
        <w:rPr/>
      </w:pPr>
      <w:r>
        <w:rPr/>
        <w:t> </w:t>
      </w:r>
    </w:p>
    <w:tbl>
      <w:tblPr>
        <w:tblW w:w="6184" w:type="dxa"/>
        <w:jc w:val="left"/>
        <w:tblInd w:w="0" w:type="dxa"/>
        <w:tblCellMar>
          <w:top w:w="28" w:type="dxa"/>
          <w:left w:w="28" w:type="dxa"/>
          <w:bottom w:w="28" w:type="dxa"/>
          <w:right w:w="28" w:type="dxa"/>
        </w:tblCellMar>
      </w:tblPr>
      <w:tblGrid>
        <w:gridCol w:w="3451"/>
        <w:gridCol w:w="146"/>
        <w:gridCol w:w="272"/>
        <w:gridCol w:w="738"/>
        <w:gridCol w:w="188"/>
        <w:gridCol w:w="188"/>
        <w:gridCol w:w="272"/>
        <w:gridCol w:w="738"/>
        <w:gridCol w:w="191"/>
      </w:tblGrid>
      <w:tr>
        <w:trPr/>
        <w:tc>
          <w:tcPr>
            <w:tcW w:w="3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910</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778</w:t>
            </w:r>
          </w:p>
        </w:tc>
        <w:tc>
          <w:tcPr>
            <w:tcW w:w="1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925</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1,835</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1,443</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Times New Roman" w:hAnsi="Times New Roman"/>
          <w:sz w:val="20"/>
        </w:rPr>
      </w:pPr>
      <w:r>
        <w:rPr>
          <w:rFonts w:ascii="Times New Roman;serif" w:hAnsi="Times New Roman;serif"/>
          <w:b w:val="false"/>
          <w:sz w:val="20"/>
        </w:rPr>
        <w:t>As of March 31, 2023, there was $7.1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total unrecognized stock-based compensation related to outstanding equity awards, which is expected to be recognized over a weighted average remaining amortization period of 1.7</w:t>
      </w:r>
      <w:r>
        <w:rPr>
          <w:rFonts w:ascii="Times New Roman;serif" w:hAnsi="Times New Roman;serif"/>
          <w:sz w:val="20"/>
        </w:rPr>
        <w:t xml:space="preserve"> </w:t>
      </w:r>
      <w:r>
        <w:rPr>
          <w:rFonts w:ascii="Times New Roman;serif" w:hAnsi="Times New Roman;serif"/>
          <w:b w:val="false"/>
          <w:sz w:val="20"/>
        </w:rPr>
        <w:t>years.</w:t>
      </w:r>
    </w:p>
    <w:p>
      <w:pPr>
        <w:pStyle w:val="TextBody"/>
        <w:spacing w:before="200" w:after="120"/>
        <w:jc w:val="both"/>
        <w:rPr>
          <w:rFonts w:ascii="Times New Roman;serif" w:hAnsi="Times New Roman;serif"/>
          <w:b w:val="false"/>
          <w:sz w:val="20"/>
        </w:rPr>
      </w:pPr>
      <w:r>
        <w:rPr>
          <w:rFonts w:ascii="Times New Roman;serif" w:hAnsi="Times New Roman;serif"/>
          <w:b w:val="false"/>
          <w:sz w:val="20"/>
        </w:rPr>
        <w:t>The fair value of stock options granted or modified during the periods indicated was estimated using the Black-Scholes option pricing model, based on the following assumptions:</w:t>
      </w:r>
    </w:p>
    <w:tbl>
      <w:tblPr>
        <w:tblW w:w="4840" w:type="dxa"/>
        <w:jc w:val="left"/>
        <w:tblInd w:w="0" w:type="dxa"/>
        <w:tblCellMar>
          <w:top w:w="28" w:type="dxa"/>
          <w:left w:w="28" w:type="dxa"/>
          <w:bottom w:w="28" w:type="dxa"/>
          <w:right w:w="28" w:type="dxa"/>
        </w:tblCellMar>
      </w:tblPr>
      <w:tblGrid>
        <w:gridCol w:w="2131"/>
        <w:gridCol w:w="146"/>
        <w:gridCol w:w="1186"/>
        <w:gridCol w:w="146"/>
        <w:gridCol w:w="1231"/>
      </w:tblGrid>
      <w:tr>
        <w:trPr/>
        <w:tc>
          <w:tcPr>
            <w:tcW w:w="21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6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r>
      <w:tr>
        <w:trPr/>
        <w:tc>
          <w:tcPr>
            <w:tcW w:w="21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 price</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18"/>
              </w:rPr>
              <w:t>$0.89</w:t>
            </w:r>
            <w:r>
              <w:rPr>
                <w:rFonts w:ascii="Times New Roman" w:hAnsi="Times New Roman"/>
                <w:sz w:val="20"/>
              </w:rPr>
              <w:t> </w:t>
            </w:r>
            <w:r>
              <w:rPr>
                <w:rFonts w:ascii="Times New Roman;serif" w:hAnsi="Times New Roman;serif"/>
                <w:b w:val="false"/>
                <w:sz w:val="18"/>
              </w:rPr>
              <w:t>- $1.53</w:t>
            </w:r>
          </w:p>
        </w:tc>
        <w:tc>
          <w:tcPr>
            <w:tcW w:w="146" w:type="dxa"/>
            <w:tcBorders/>
            <w:shd w:fill="auto" w:val="clear"/>
            <w:vAlign w:val="center"/>
          </w:tcPr>
          <w:p>
            <w:pPr>
              <w:pStyle w:val="TableContents"/>
              <w:spacing w:before="0" w:after="0"/>
              <w:ind w:left="0" w:right="0" w:hanging="0"/>
              <w:jc w:val="left"/>
              <w:rPr/>
            </w:pPr>
            <w:r>
              <w:rPr/>
              <w:t> </w:t>
            </w:r>
          </w:p>
        </w:tc>
        <w:tc>
          <w:tcPr>
            <w:tcW w:w="123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18"/>
              </w:rPr>
              <w:t>$1.53</w:t>
            </w:r>
            <w:r>
              <w:rPr>
                <w:rFonts w:ascii="Times New Roman" w:hAnsi="Times New Roman"/>
                <w:sz w:val="20"/>
              </w:rPr>
              <w:t> </w:t>
            </w:r>
            <w:r>
              <w:rPr>
                <w:rFonts w:ascii="Times New Roman;serif" w:hAnsi="Times New Roman;serif"/>
                <w:b w:val="false"/>
                <w:sz w:val="18"/>
              </w:rPr>
              <w:t>- $2.45</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77.5% - 82.8%</w:t>
            </w:r>
          </w:p>
        </w:tc>
        <w:tc>
          <w:tcPr>
            <w:tcW w:w="146" w:type="dxa"/>
            <w:tcBorders/>
            <w:shd w:fill="auto" w:val="clear"/>
            <w:vAlign w:val="center"/>
          </w:tcPr>
          <w:p>
            <w:pPr>
              <w:pStyle w:val="TableContents"/>
              <w:spacing w:before="0" w:after="0"/>
              <w:ind w:left="0" w:right="0" w:hanging="0"/>
              <w:jc w:val="left"/>
              <w:rPr/>
            </w:pPr>
            <w:r>
              <w:rPr/>
              <w:t> </w:t>
            </w:r>
          </w:p>
        </w:tc>
        <w:tc>
          <w:tcPr>
            <w:tcW w:w="123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79.2% - 81.6%</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rate</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3.59% - 4.00%</w:t>
            </w:r>
          </w:p>
        </w:tc>
        <w:tc>
          <w:tcPr>
            <w:tcW w:w="146" w:type="dxa"/>
            <w:tcBorders/>
            <w:shd w:fill="auto" w:val="clear"/>
            <w:vAlign w:val="center"/>
          </w:tcPr>
          <w:p>
            <w:pPr>
              <w:pStyle w:val="TableContents"/>
              <w:spacing w:before="0" w:after="0"/>
              <w:ind w:left="0" w:right="0" w:hanging="0"/>
              <w:jc w:val="left"/>
              <w:rPr/>
            </w:pPr>
            <w:r>
              <w:rPr/>
              <w:t> </w:t>
            </w:r>
          </w:p>
        </w:tc>
        <w:tc>
          <w:tcPr>
            <w:tcW w:w="123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1.41% - 2.48%</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(years)</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18"/>
              </w:rPr>
              <w:t>5.5</w:t>
            </w:r>
            <w:r>
              <w:rPr>
                <w:rFonts w:ascii="Times New Roman" w:hAnsi="Times New Roman"/>
                <w:sz w:val="20"/>
              </w:rPr>
              <w:t> </w:t>
            </w:r>
            <w:r>
              <w:rPr>
                <w:rFonts w:ascii="Times New Roman;serif" w:hAnsi="Times New Roman;serif"/>
                <w:b w:val="false"/>
                <w:sz w:val="18"/>
              </w:rPr>
              <w:t>- 7.0</w:t>
            </w:r>
          </w:p>
        </w:tc>
        <w:tc>
          <w:tcPr>
            <w:tcW w:w="146" w:type="dxa"/>
            <w:tcBorders/>
            <w:shd w:fill="auto" w:val="clear"/>
            <w:vAlign w:val="center"/>
          </w:tcPr>
          <w:p>
            <w:pPr>
              <w:pStyle w:val="TableContents"/>
              <w:spacing w:before="0" w:after="0"/>
              <w:ind w:left="0" w:right="0" w:hanging="0"/>
              <w:jc w:val="left"/>
              <w:rPr/>
            </w:pPr>
            <w:r>
              <w:rPr/>
              <w:t> </w:t>
            </w:r>
          </w:p>
        </w:tc>
        <w:tc>
          <w:tcPr>
            <w:tcW w:w="123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18"/>
              </w:rPr>
              <w:t>5.5</w:t>
            </w:r>
            <w:r>
              <w:rPr>
                <w:rFonts w:ascii="Times New Roman" w:hAnsi="Times New Roman"/>
                <w:sz w:val="20"/>
              </w:rPr>
              <w:t> </w:t>
            </w:r>
            <w:r>
              <w:rPr>
                <w:rFonts w:ascii="Times New Roman;serif" w:hAnsi="Times New Roman;serif"/>
                <w:b w:val="false"/>
                <w:sz w:val="18"/>
              </w:rPr>
              <w:t>- 7.5</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0%</w:t>
            </w:r>
          </w:p>
        </w:tc>
        <w:tc>
          <w:tcPr>
            <w:tcW w:w="146" w:type="dxa"/>
            <w:tcBorders/>
            <w:shd w:fill="auto" w:val="clear"/>
            <w:vAlign w:val="center"/>
          </w:tcPr>
          <w:p>
            <w:pPr>
              <w:pStyle w:val="TableContents"/>
              <w:spacing w:before="0" w:after="0"/>
              <w:ind w:left="0" w:right="0" w:hanging="0"/>
              <w:jc w:val="left"/>
              <w:rPr/>
            </w:pPr>
            <w:r>
              <w:rPr/>
              <w:t> </w:t>
            </w:r>
          </w:p>
        </w:tc>
        <w:tc>
          <w:tcPr>
            <w:tcW w:w="123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0%</w:t>
            </w:r>
          </w:p>
        </w:tc>
      </w:tr>
    </w:tbl>
    <w:p>
      <w:pPr>
        <w:pStyle w:val="TextBody"/>
        <w:spacing w:before="0" w:after="0"/>
        <w:jc w:val="both"/>
        <w:rPr/>
      </w:pPr>
      <w:r>
        <w:rPr/>
        <w:t> </w:t>
      </w:r>
    </w:p>
    <w:p>
      <w:pPr>
        <w:pStyle w:val="TextBody"/>
        <w:spacing w:before="200" w:after="0"/>
        <w:jc w:val="both"/>
        <w:rPr>
          <w:rFonts w:ascii="Times New Roman;serif" w:hAnsi="Times New Roman;serif"/>
          <w:b/>
          <w:sz w:val="20"/>
        </w:rPr>
      </w:pPr>
      <w:r>
        <w:rPr>
          <w:rFonts w:ascii="Times New Roman;serif" w:hAnsi="Times New Roman;serif"/>
          <w:b/>
          <w:sz w:val="20"/>
        </w:rPr>
        <w:t>Note 8 - Collaboration Agreements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i/>
          <w:sz w:val="20"/>
        </w:rPr>
        <w:t>BeiGene Agreement</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In July 2020, the Company and BeiGene, Ltd. (BeiGene) entered into a Collaboration Agreement (the BeiGene Agreement) to develop and commercialize the Company’s novel core inhibitor product candidates vebicorvir (VBR), ABI-H2158 and ABI-H3733 (the Licensed Product Candidates) for chronic HBV infection in the People’s Republic of China, Hong Kong, Taiwan and Macau.</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As of March 31, 2023, the only remaining performance obligation under the BeiGene Agreement not considered to be complete is the transfer of the ABI-H3733 License. The transaction price allocated to ABI-H3733 of $2.7</w:t>
      </w:r>
      <w:r>
        <w:rPr>
          <w:rFonts w:ascii="Times New Roman" w:hAnsi="Times New Roman"/>
          <w:sz w:val="20"/>
        </w:rPr>
        <w:t xml:space="preserve"> </w:t>
      </w:r>
      <w:r>
        <w:rPr>
          <w:rFonts w:ascii="Times New Roman;serif" w:hAnsi="Times New Roman;serif"/>
          <w:b w:val="false"/>
          <w:sz w:val="20"/>
        </w:rPr>
        <w:t>million was recognized as a long-term deferred revenue contract liability as of March 31, 2023 and December 31, 2022, and will be recognized as revenue when the Company provides pre-Phase 3 clinical study know-how and development results for ABI-H3733 to BeiGene or a termination of the BeiGene Agreement for ABI-H3733. During the three months ended March 31, 2023</w:t>
      </w:r>
      <w:r>
        <w:rPr>
          <w:rFonts w:ascii="Times New Roman" w:hAnsi="Times New Roman"/>
          <w:sz w:val="20"/>
        </w:rPr>
        <w:t xml:space="preserve"> </w:t>
      </w:r>
      <w:r>
        <w:rPr>
          <w:rFonts w:ascii="Times New Roman;serif" w:hAnsi="Times New Roman;serif"/>
          <w:b w:val="false"/>
          <w:sz w:val="20"/>
        </w:rPr>
        <w:t>and 2022, the Company did not recognize any revenue or increase or reduction of research and development expense under the BeiGene Agreement.</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Company incurred $3.5</w:t>
      </w:r>
      <w:r>
        <w:rPr>
          <w:rFonts w:ascii="Times New Roman" w:hAnsi="Times New Roman"/>
          <w:sz w:val="20"/>
        </w:rPr>
        <w:t xml:space="preserve"> </w:t>
      </w:r>
      <w:r>
        <w:rPr>
          <w:rFonts w:ascii="Times New Roman;serif" w:hAnsi="Times New Roman;serif"/>
          <w:b w:val="false"/>
          <w:sz w:val="20"/>
        </w:rPr>
        <w:t>million in incremental costs of obtaining the BeiGene Agreement in 2020. These contract costs have been capitalized and are being recognized consistent with the pattern of recognition of revenue associated with the Licensed Product Candidates. As of March 31, 2023 and December 31, 2022, the remaining unamortized contract costs are $0.2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are included in other assets on the condensed consolidated balance sheet.</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Arbutus Biopharma Agreement</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August 2020, the Company and Arbutus Biopharma Corporation (Arbutus Biopharma) entered into a Clinical Trial Collaboration Agreement (the Arbutus Biopharma Agreement) to conduct a randomized, multi-center, open-label Phase 2 clinical trial to explore the safety, pharmacokinetics and antiviral activity of the triple combination of VBR, AB-729 and a nucleos(t)ide analog reverse transcriptase inhibitor (NrtI) compared to the double combinations of VBR with a NrtI and AB-729 with a NrtI. Under the Arbutus Biopharma Agreement, Assembly and Arbutus Biopharma share responsibility for the costs of the trial equally, excluding manufacturing supply which are the burden of each company to supply their respective drugs, VBR and AB-729. Assembly is responsible for conducting this clinical trial with Arbutus Biopharma reimbursing Assembly its share of expenses. In February 2023, Assembly and Arbutus Biopharma decided to terminate the Phase 2 clinical trial early, at the end of the 48-week on-treatment period, and are in the process of closing the study.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Reimbursements and cost-sharing portions from Arbutus Biopharma are reflected as a reduction of research and development expense when realized in the Company’s condensed consolidated statements of operations. During both the three months ended March 31, 2023 and 2022, the Company recognized a reduction of research and development expenses of $0.6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under the Arbutus Biopharma Agreement.</w:t>
      </w:r>
      <w:r>
        <w:rPr>
          <w:rFonts w:ascii="Times New Roman" w:hAnsi="Times New Roman"/>
          <w:sz w:val="20"/>
        </w:rPr>
        <w:t xml:space="preserve"> </w:t>
      </w:r>
    </w:p>
    <w:p>
      <w:pPr>
        <w:pStyle w:val="TextBody"/>
        <w:spacing w:before="200" w:after="0"/>
        <w:jc w:val="left"/>
        <w:rPr>
          <w:rFonts w:ascii="Times New Roman;serif" w:hAnsi="Times New Roman;serif"/>
          <w:b/>
          <w:sz w:val="20"/>
        </w:rPr>
      </w:pPr>
      <w:r>
        <w:rPr>
          <w:rFonts w:ascii="Times New Roman;serif" w:hAnsi="Times New Roman;serif"/>
          <w:b/>
          <w:sz w:val="20"/>
        </w:rPr>
        <w:t>Note 9 - Milestones and Research Agreements</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HBV Research Agreement with Indiana University</w:t>
      </w:r>
    </w:p>
    <w:p>
      <w:pPr>
        <w:pStyle w:val="TextBody"/>
        <w:spacing w:before="200" w:after="0"/>
        <w:jc w:val="both"/>
        <w:rPr>
          <w:rFonts w:ascii="Times New Roman" w:hAnsi="Times New Roman"/>
          <w:sz w:val="20"/>
        </w:rPr>
      </w:pPr>
      <w:r>
        <w:rPr>
          <w:rFonts w:ascii="Times New Roman;serif" w:hAnsi="Times New Roman;serif"/>
          <w:b w:val="false"/>
          <w:sz w:val="20"/>
        </w:rPr>
        <w:t>Since September 2013, the Company has been party to an exclusive License Agreement dated September 3, 2013 with Indiana University Research and Technology Corporation (IURTC) from whom it has licensed aspects of the Company’s HBV program held by IURTC. The license agreement requires the Company to make milestone payments based upon the successful accomplishment of clinical and regulatory milestones. The aggregate amount of all performance milestone payments under the IURTC license agreement, should all milestones through development be met, is $0.8</w:t>
      </w:r>
      <w:r>
        <w:rPr>
          <w:rFonts w:ascii="Times New Roman" w:hAnsi="Times New Roman"/>
          <w:sz w:val="20"/>
        </w:rPr>
        <w:t xml:space="preserve"> </w:t>
      </w:r>
      <w:r>
        <w:rPr>
          <w:rFonts w:ascii="Times New Roman;serif" w:hAnsi="Times New Roman;serif"/>
          <w:b w:val="false"/>
          <w:sz w:val="20"/>
        </w:rPr>
        <w:t>million, with a portion having been paid. The Company is obligated to pay IURTC royalty payments based on net sales of the licensed technology as well as a portion of any sublicensing revenue Assembly receives. The Company is also required to pay diligence maintenance fees each year to the extent that the royalty, sublicensing, and milestone payments to IURTC are less than such fees for that year. The Company paid IURTC $0.1</w:t>
      </w:r>
      <w:r>
        <w:rPr>
          <w:rFonts w:ascii="Times New Roman" w:hAnsi="Times New Roman"/>
          <w:sz w:val="20"/>
        </w:rPr>
        <w:t xml:space="preserve"> </w:t>
      </w:r>
      <w:r>
        <w:rPr>
          <w:rFonts w:ascii="Times New Roman;serif" w:hAnsi="Times New Roman;serif"/>
          <w:b w:val="false"/>
          <w:sz w:val="20"/>
        </w:rPr>
        <w:t>million in diligence maintenance fees during both the three months ended March 31, 2023 and 2022.</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bookmarkStart w:id="9" w:name="item_2_managements_discussion_analysis_f"/>
      <w:bookmarkEnd w:id="9"/>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The condensed consolidated financial statements and this Management’s Discussion and Analysis of Financial Condition and Results of Operations should be read in conjunction with the consolidated financial statements and notes thereto for the year ended December 31, 2022 and the related Management’s Discussion and Analysis of Financial Condition and Results of Operations, both of which are contained in our Annual Report on Form 10-K for the fiscal year ended December 31, 2022 filed with the U.S. Securities and Exchange Commission on March 22, 2023 (2022 Annual Report). In addition to historical information, this discussion and analysis contains forward-looking statements that involve risks and uncertainties. Our actual results could differ materially from those expressed or implied in any forward-looking statements as a result of various factors, including those set forth under “Part I. Item 1A. Risk Factors” in our 2022 Annual Report and “Part II. Item 1A. Risk Factors” in this report.</w:t>
      </w:r>
    </w:p>
    <w:p>
      <w:pPr>
        <w:pStyle w:val="TextBody"/>
        <w:spacing w:before="200" w:after="200"/>
        <w:jc w:val="both"/>
        <w:rPr>
          <w:rFonts w:ascii="Times New Roman;serif" w:hAnsi="Times New Roman;serif"/>
          <w:b/>
          <w:sz w:val="20"/>
        </w:rPr>
      </w:pPr>
      <w:r>
        <w:rPr>
          <w:rFonts w:ascii="Times New Roman;serif" w:hAnsi="Times New Roman;serif"/>
          <w:b/>
          <w:sz w:val="20"/>
        </w:rPr>
        <w:t>Overview</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are a biotechnology company developing innovative antiviral therapeutics targeting serious viral diseases, including candidates with the potential to improve the lives of patients worldwide. Our pipeline includes an early-stage development program targeting high-recurrence genital herpes, research programs focused on the discovery of antivirals to treat devastating viral diseases, including hepatitis delta virus (HDV) and transplant-related herpesviruses, and two clinical core inhibitor (CI) candidates designed to disrupt the replication cycle of hepatitis B virus (HBV) at several key points with the aim of achieving finite treatment and functional cures.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July 2022, we implemented a strategic restructuring plan to: (1) discontinue development of our first-generation CI, vebicorvir (VBR), based on review of interim on-treatment efficacy data from then ongoing triple combination studies that did not support continuation; (2) advance our next-generation CIs, ABI-H3733 (3733) and ABI-4334 (4334), in clinical studies; and (3) prioritize research activities, including our: HBV/HDV entry inhibitor; orally bioavailable, liver-focused interferon-α (IFN-α) receptor (IFNAR) agonist; long-acting helicase-primase inhibitor targeting high-recurrence genital herpes; and programs targeting pan-herpes non-nucleoside polymerase inhibitors (NNPIs) for transplant-associated infections. The strategic plan included a reduction of our workforce by 30 employees, resulting in a total of approximately 70 remaining employees. In connection with the plan, our Chief Medical Officer and Chief Financial Officer stepped down from their roles.</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In April 2023, we announced the evaluation of potential partnering options for our CI portfolio prior to further clinical advancement and prioritization of our broader antiviral pipeline, including ABI-5366 (5366), our recently announced development candidate for our HSV-2 long-acting helicase-primase inhibitor program.</w:t>
      </w:r>
    </w:p>
    <w:p>
      <w:pPr>
        <w:pStyle w:val="TextBody"/>
        <w:spacing w:before="200" w:after="200"/>
        <w:jc w:val="both"/>
        <w:rPr>
          <w:rFonts w:ascii="Times New Roman;serif" w:hAnsi="Times New Roman;serif"/>
          <w:b/>
          <w:sz w:val="20"/>
        </w:rPr>
      </w:pPr>
      <w:r>
        <w:rPr>
          <w:rFonts w:ascii="Times New Roman;serif" w:hAnsi="Times New Roman;serif"/>
          <w:b/>
          <w:sz w:val="20"/>
        </w:rPr>
        <w:t>Our Herpesvirus Programs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August 2022, we introduced our first programs outside of hepatitis, which target high-recurrence genital herpes and transplant-associated herpesviruses. In February 2023, we announced the nomination of our first herpesvirus development candidate, 5366, a long-acting helicase-primase inhibitor for treatment of high-recurrence genital herpes, to progress to IND-enabling studies.</w:t>
      </w:r>
    </w:p>
    <w:p>
      <w:pPr>
        <w:pStyle w:val="TextBody"/>
        <w:spacing w:before="200" w:after="0"/>
        <w:jc w:val="both"/>
        <w:rPr>
          <w:rFonts w:ascii="Times New Roman;serif" w:hAnsi="Times New Roman;serif"/>
          <w:b/>
          <w:i/>
          <w:sz w:val="20"/>
        </w:rPr>
      </w:pPr>
      <w:r>
        <w:rPr>
          <w:rFonts w:ascii="Times New Roman;serif" w:hAnsi="Times New Roman;serif"/>
          <w:b/>
          <w:i/>
          <w:sz w:val="20"/>
        </w:rPr>
        <w:t>High-Recurrence Genital Herpes/HSV-2</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Genital herpes can be caused by either herpes simplex virus type 1 (HSV-1) or herpes simplex virus type 2 (HSV-2), with approximately 80% of genital herpes caused by HSV-2. Acquired by oral or genital contact, HSV replicates rapidly in neurons, where it can remain latent for the rest of the patient’s life. Initial infection can be asymptomatic or can be marked by symptoms including localized pain and painful lesions. Recurrence is common and can cause symptomatic recurrences of painful genital lesions that can lead to increased transmission and can debilitate patients; symptoms may become more serious with additional episodes. Additional complications include increased risk of HIV infection, as well as associated psychological stress and isolationary thoughts. Immunocompromised patients may experience more severe and prolonged symptoms due to increased recurrence rates. While genital herpes can be caused by either HSV-1 or HSV-2, recurrences are more likely to be experienced by patients infected by HSV-2.</w:t>
      </w:r>
    </w:p>
    <w:p>
      <w:pPr>
        <w:pStyle w:val="TextBody"/>
        <w:spacing w:before="200" w:after="0"/>
        <w:jc w:val="both"/>
        <w:rPr>
          <w:rFonts w:ascii="Times New Roman" w:hAnsi="Times New Roman"/>
          <w:sz w:val="20"/>
        </w:rPr>
      </w:pPr>
      <w:r>
        <w:rPr>
          <w:rFonts w:ascii="Times New Roman;serif" w:hAnsi="Times New Roman;serif"/>
          <w:b w:val="false"/>
          <w:sz w:val="20"/>
        </w:rPr>
        <w:t>Globally, approximately 500 million people aged 15 to 49 have been infected with HSV-2, with approximately 110 million of those patients in the United States and Europe. There is limited data available for ages over 50. While prevalence is high, up to 90% of HSV-2 infections in the United States are estimated to be undiagnosed since a significant number of cases are asymptomatic. Genital herpes can be sexually transmitted during both symptomatic and asymptomatic reactivation of the virus. High recurrence genital herpes, defined as six or more recurrences annually, is estimated to affect approximately 40% of diagnosed HSV-2 genital herpes patients following their first outbreak.</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Helicase-primase inhibitors are antiviral agents in development for HSV-1 and HSV-2, with a novel mechanism of action that has been clinically validated. They inhibit the viral protein complex consisting of helicase, primase, and cofactor subunits, which have functions that are essential for viral DNA replication and are conserved across HSV-1 and HSV-2. These agents are not nucleoside analogues and do not require phosphorylation by the HSV thymidine kinase (TK) to become active drugs; therefore, helicase-primase inhibitors are active immediately upon reactivation of latent HSV-1 and HSV-2. Furthermore, helicase-primase inhibitors are active against TK-deficient HSV-1 and HSV-2, which is a major mechanism of resistance to nucleoside analogues.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Currently, there are three antiviral drugs (all nucleoside analogs) approved in the United States and the European Union for the treatment of genital herpes. In addition to the approved nucleoside analogs, agents such as local anesthetics or analgesics may be used to alleviate local symptoms of minor pain and discomfort.</w:t>
      </w:r>
    </w:p>
    <w:p>
      <w:pPr>
        <w:pStyle w:val="TextBody"/>
        <w:spacing w:before="200" w:after="0"/>
        <w:jc w:val="both"/>
        <w:rPr>
          <w:rFonts w:ascii="Times New Roman" w:hAnsi="Times New Roman"/>
          <w:sz w:val="20"/>
        </w:rPr>
      </w:pPr>
      <w:r>
        <w:rPr>
          <w:rFonts w:ascii="Times New Roman;serif" w:hAnsi="Times New Roman;serif"/>
          <w:b w:val="false"/>
          <w:sz w:val="20"/>
        </w:rPr>
        <w:t>Nucleoside analogs can be administered as episodic therapy as individual outbreaks arise or daily as chronic suppressive therapy for those with high post-exposure recurrences. However, these agents have a high daily pill burden and are only partially effective at controlling the infection or reducing transmission risk. There are still high titer (greater than 10</w:t>
      </w:r>
      <w:r>
        <w:rPr>
          <w:rFonts w:ascii="Times New Roman;serif" w:hAnsi="Times New Roman;serif"/>
          <w:b w:val="false"/>
          <w:sz w:val="13"/>
        </w:rPr>
        <w:t>4</w:t>
      </w:r>
      <w:r>
        <w:rPr>
          <w:rFonts w:ascii="Times New Roman" w:hAnsi="Times New Roman"/>
          <w:sz w:val="20"/>
        </w:rPr>
        <w:t xml:space="preserve"> </w:t>
      </w:r>
      <w:r>
        <w:rPr>
          <w:rFonts w:ascii="Times New Roman;serif" w:hAnsi="Times New Roman;serif"/>
          <w:b w:val="false"/>
          <w:sz w:val="20"/>
        </w:rPr>
        <w:t>HSV-2 DNA copies) shedding episodes under this current standard of care for HSV-2, which can lead to recurrences and transmission of genital herpes. For high-recurrence genital herpes patients receiving daily suppressive therapy of oral nucleoside analogs, less than 35% remained recurrence free after 12 months.</w:t>
      </w:r>
    </w:p>
    <w:p>
      <w:pPr>
        <w:pStyle w:val="TextBody"/>
        <w:spacing w:before="200" w:after="0"/>
        <w:jc w:val="both"/>
        <w:rPr>
          <w:rFonts w:ascii="Times New Roman" w:hAnsi="Times New Roman"/>
          <w:sz w:val="20"/>
        </w:rPr>
      </w:pPr>
      <w:r>
        <w:rPr>
          <w:rFonts w:ascii="Times New Roman;serif" w:hAnsi="Times New Roman;serif"/>
          <w:b w:val="false"/>
          <w:sz w:val="20"/>
        </w:rPr>
        <w:t>Due to the limitations of current therapies, we identified an opportunity to develop a potent, long-acting helicase inhibitor for high-recurrence genital herpes with the potential to improve efficacy, convenience and patient compliance.</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February 2023, we nominated 5366 as a development candidate for our long-acting helicase inhibitor program. In nonclinical studies, 5366 has demonstrated high potential to serve as a long-acting agent, including low nanomolar potency in vitro against the HSV helicase and exceptionally low clearance. This preclinical profile has led us to target 5366 for development as a long-acting treatment with the potential to be administered orally or as an injectable. We currently anticipate the initiation of clinical studies of 5366 in the first half of 2024.</w:t>
      </w:r>
    </w:p>
    <w:p>
      <w:pPr>
        <w:pStyle w:val="TextBody"/>
        <w:spacing w:before="200" w:after="0"/>
        <w:jc w:val="both"/>
        <w:rPr>
          <w:rFonts w:ascii="Times New Roman;serif" w:hAnsi="Times New Roman;serif"/>
          <w:b/>
          <w:i/>
          <w:sz w:val="20"/>
        </w:rPr>
      </w:pPr>
      <w:r>
        <w:rPr>
          <w:rFonts w:ascii="Times New Roman;serif" w:hAnsi="Times New Roman;serif"/>
          <w:b/>
          <w:i/>
          <w:sz w:val="20"/>
        </w:rPr>
        <w:t>Transplant-Associated Herpesviruses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 transplant setting, when patients are experiencing immunosuppression, they are at high risk of uncontrolled viral replication and severe disease brought on by one or more members of the herpesvirus family of viruses including cytomegalovirus (CMV), HSV-1, HSV-2 and varicella zoster virus (VZV). Each of these herpesviruses are highly prevalent, as approximately (1) 60% of the population is CMV-positive; (2) 60% of the population is HSV-positive; and (3) 80% of the population is VZV-positive. These viruses establish lifelong latent infections and frequently reactivate in transplant patients due to the use of immunosuppressive drugs following transplant. These uncontrolled viral infections increase the risk of serious complications, including organ rejection and death.</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with HSV-2, there are approved antivirals that are administered in a transplant setting. However, currently approved antivirals are not broad spectrum and pose the risk of potentially serious side effects and drug-drug interactions. As a result of these limitations, we identified an opportunity to develop an oral pan-herpes NNPI for these transplant-associated herpesvirus infections, which would greatly advance treatment. Our research team has discovered multiple series of potent, broad-spectrum herpesvirus polymerase inhibitors.</w:t>
      </w:r>
    </w:p>
    <w:p>
      <w:pPr>
        <w:pStyle w:val="TextBody"/>
        <w:spacing w:before="200" w:after="200"/>
        <w:jc w:val="both"/>
        <w:rPr>
          <w:rFonts w:ascii="Times New Roman;serif" w:hAnsi="Times New Roman;serif"/>
          <w:b/>
          <w:sz w:val="20"/>
        </w:rPr>
      </w:pPr>
      <w:r>
        <w:rPr>
          <w:rFonts w:ascii="Times New Roman;serif" w:hAnsi="Times New Roman;serif"/>
          <w:b/>
          <w:sz w:val="20"/>
        </w:rPr>
        <w:t>Our HBV and HDV Programs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World Health Organization (WHO) estimates that 296 million people worldwide are chronically infected with HBV as of 2019, and 1.5 million new infections occur each year. HBV is a leading global cause of chronic liver disease and liver transplants, and the WHO estimates that 820,000 people died in 2019 from HBV, mostly due to cirrhosis and hepatocellular carcinoma. Of the 296 million people living with chronic HBV infection as of 2019, only approximately 30 million were aware of their infection, and only approximately 6.6 million of those diagnosed received treatment. HBV is a highly prevalent disease that infects more than three times the number of people infected with hepatitis C virus and HIV infections combined, according to the WHO, and has a higher morbidity and mortality rate.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HDV is a “satellite virus,” because it can only infect people (1) who are already infected with HBV or (2) at the same time as a person is infected with HBV. HDV impacts a subset of approximately 12 million HBV patients. These patients, which only comprise an estimated 4.5% of hepatitis B surface antigen (HBsAg) positive patients, experience a substantially increased disease burden, as they account for 18% of cirrhosis and 20% of hepatocellular carcinoma associated with HBV. While HDV is less prevalent in the United States, it is a significant and serious health problem with inadequate treatment in many parts of Europe, Africa, the Middle East, East Asia and parts of South America. HDV is known to accelerate disease progression and increase the incidence of liver cirrhosis and liver cancer, which results in higher morbidity and mortality rates than HBV alone.</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current standard of care for chronic HBV infection, nucleos(t)ide analog reverse transcriptase inhibitors (NrtIs), are taken life-long and reduce, but do not eliminate, the virus and result in very low cure rates. No new mechanisms of action (MOA) have been approved for chronic HBV infection in over 25 years. The current standard of care treatment for HDV is off-label pegylated IFN-α injected weekly or, in some regions, a large, complex molecule that requires daily injections. There are no approved HDV treatments in the United States.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focus of our HBV/HDV programs is to improve outcomes and increase the number of patients diagnosed and treated through the development of finite and curative therapies for HBV and to advance programs targeting HDV, due to the immediate disease burden facing these patients.</w:t>
      </w:r>
    </w:p>
    <w:p>
      <w:pPr>
        <w:pStyle w:val="TextBody"/>
        <w:spacing w:before="200" w:after="0"/>
        <w:jc w:val="both"/>
        <w:rPr>
          <w:rFonts w:ascii="Times New Roman;serif" w:hAnsi="Times New Roman;serif"/>
          <w:b/>
          <w:i/>
          <w:sz w:val="20"/>
        </w:rPr>
      </w:pPr>
      <w:r>
        <w:rPr>
          <w:rFonts w:ascii="Times New Roman;serif" w:hAnsi="Times New Roman;serif"/>
          <w:b/>
          <w:i/>
          <w:sz w:val="20"/>
        </w:rPr>
        <w:t>HBV/HDV Entry Inhibitor</w:t>
      </w:r>
    </w:p>
    <w:p>
      <w:pPr>
        <w:pStyle w:val="TextBody"/>
        <w:spacing w:before="200" w:after="0"/>
        <w:jc w:val="both"/>
        <w:rPr>
          <w:rFonts w:ascii="Times New Roman" w:hAnsi="Times New Roman"/>
          <w:sz w:val="20"/>
        </w:rPr>
      </w:pPr>
      <w:r>
        <w:rPr>
          <w:rFonts w:ascii="Times New Roman;serif" w:hAnsi="Times New Roman;serif"/>
          <w:b w:val="false"/>
          <w:sz w:val="20"/>
        </w:rPr>
        <w:t>HDV is a small RNA virus that encodes just two viral proteins and relies on host enzymes as well as the HBsAg from HBV to replicate, which limits the number of HDV-specific antiviral targets. Similar to HBV, HDV utilizes HBsAg to enter hepatocytes by binding the cellular transmembrane protein sodium taurocholate co-transporting peptide (NTCP). NTCP is highly expressed on human hepatocytes, where it serves as one of several proteins involved in the transport of bile acids. The binding of specific small or large molecules to NTCP has been shown to effectively inhibit the interaction of HBsAg with NTCP, which prevents HBV and HDV from infecting hepatocytes. The inhibition of HBV and HDV infection by molecules that bind NTCP has been demonstrated in vitro, in animal models and clinically. The binding of NTCP-targeted HBV/HDV entry inhibitors to NTCP has also been shown to inhibit the transport of certain bile acids into cells which results in plasma elevations of bile acids; this effect has been well tolerated clinically and may serve as a biomarker of pharmacologically active concentrations of drug in the plasma.</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March 2022, we announced our research program focused on a novel, orally bioavailable small molecule approach to inhibit entry of HBV and HDV by targeting NTCP. We believe a safe and effective oral small molecule entry inhibitor would be a significant innovation for patients living with HDV and could significantly improve treatment uptake and diagnosis rates, especially when compared with currently available injectable products. At AASLD 2022, we presented the preclinical characterization of our novel class of highly potent small molecule HBV/HDV entry inhibitors.</w:t>
      </w:r>
    </w:p>
    <w:p>
      <w:pPr>
        <w:pStyle w:val="TextBody"/>
        <w:spacing w:before="200" w:after="0"/>
        <w:jc w:val="both"/>
        <w:rPr>
          <w:rFonts w:ascii="Times New Roman;serif" w:hAnsi="Times New Roman;serif"/>
          <w:b/>
          <w:i/>
          <w:sz w:val="20"/>
        </w:rPr>
      </w:pPr>
      <w:r>
        <w:rPr>
          <w:rFonts w:ascii="Times New Roman;serif" w:hAnsi="Times New Roman;serif"/>
          <w:b/>
          <w:i/>
          <w:sz w:val="20"/>
        </w:rPr>
        <w:t>IFNAR Agonist</w:t>
      </w:r>
    </w:p>
    <w:p>
      <w:pPr>
        <w:pStyle w:val="TextBody"/>
        <w:spacing w:before="200" w:after="0"/>
        <w:jc w:val="both"/>
        <w:rPr>
          <w:rFonts w:ascii="Times New Roman" w:hAnsi="Times New Roman"/>
          <w:sz w:val="20"/>
        </w:rPr>
      </w:pPr>
      <w:r>
        <w:rPr>
          <w:rFonts w:ascii="Times New Roman;serif" w:hAnsi="Times New Roman;serif"/>
          <w:b w:val="false"/>
          <w:sz w:val="20"/>
        </w:rPr>
        <w:t>In July 2022, we introduced our new research program advancing a novel, small molecule IFNAR agonist designed to selectively activate the IFN-α pathway within the liver and offer the convenience of oral dosing. IFN-α is a subcutaneous injectable immune modularity therapy approved for HBV that has demonstrated functional cure in some HBV patients, but its poor tolerability profile significantly limits its use. Substantial side effects include flu-like symptoms, cytopenias, serious depression and psychiatric effects. In addition, multiple contraindications limit its use, and it requires weekly injections that result in systemic exposure for up to a year.</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By focusing exposure on the liver, our investigational IFNAR agonist program aims to engage interferon-α’s validated antiviral and immune modulatory mechanisms, retaining the efficacy of IFN-α while reducing systemic exposure to improve tolerability. Lead optimization of multiple agonists is progress. At AASLD 2022, we presented the preclinical characterization of our novel liver-focused small molecule agonists efficiently inhibiting HBV by activating type 1 interferon signaling.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i/>
          <w:sz w:val="20"/>
        </w:rPr>
      </w:pPr>
      <w:r>
        <w:rPr>
          <w:rFonts w:ascii="Times New Roman;serif" w:hAnsi="Times New Roman;serif"/>
          <w:b/>
          <w:i/>
          <w:sz w:val="20"/>
        </w:rPr>
        <w:t>Core Inhibitors</w:t>
      </w:r>
    </w:p>
    <w:p>
      <w:pPr>
        <w:pStyle w:val="TextBody"/>
        <w:spacing w:before="200" w:after="0"/>
        <w:jc w:val="both"/>
        <w:rPr>
          <w:rFonts w:ascii="Times New Roman" w:hAnsi="Times New Roman"/>
          <w:sz w:val="20"/>
        </w:rPr>
      </w:pPr>
      <w:r>
        <w:rPr>
          <w:rFonts w:ascii="Times New Roman;serif" w:hAnsi="Times New Roman;serif"/>
          <w:b w:val="false"/>
          <w:sz w:val="20"/>
        </w:rPr>
        <w:t>HBV is a DNA virus that infects hepatocytes and establishes a reservoir of covalently closed circular DNA (cccDNA), a unique viral DNA moiety that resides in the cell nucleus of HBV-infected hepatocytes and is associated with viral persistence and chronic infection. No currently approved oral therapies target cccDNA activity directly, which makes molecules that can modulate cccDNA generation or disrupt its function highly sought in the HBV field. As a result, we have worked to discover and develop compounds targeting the core protein, a viral protein involved in numerous aspects of the HBV replication cycle, including the generation of HBV cccDNA. Through our research efforts, we have discovered several chemically distinct series of small molecule CIs that directly target and allosterically inhibit core protein functions. As a result, we believe that our pipeline offers the potential for both first-in-class and best-in-class compounds that target critical steps involved in cccDNA generation and the HBV viral replication cycle.</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 benchmark for therapeutic agents aiming to decrease cccDNA levels is the use of several key viral antigens as surrogate biomarkers of active cccDNA. The same biomarkers can be used in both primary human hepatocyte cells and patients. On this basis, our CIs have shown preclinical proof of principle. In a variety of cell culture models, CIs have demonstrated the ability to reduce production of viral HBV DNA levels as well as the surrogate markers for cccDNA establishment: HBV e antigen (HBeAg), HBV core-related antigen (HBcrAg) and viral pre-genomic RNA (pgRNA).</w:t>
      </w:r>
    </w:p>
    <w:p>
      <w:pPr>
        <w:pStyle w:val="TextBody"/>
        <w:spacing w:before="200" w:after="0"/>
        <w:jc w:val="both"/>
        <w:rPr>
          <w:rFonts w:ascii="Times New Roman" w:hAnsi="Times New Roman"/>
          <w:sz w:val="20"/>
        </w:rPr>
      </w:pPr>
      <w:r>
        <w:rPr>
          <w:rFonts w:ascii="Times New Roman;serif" w:hAnsi="Times New Roman;serif"/>
          <w:b w:val="false"/>
          <w:sz w:val="20"/>
        </w:rPr>
        <w:t>Our research and development organizations have advanced our two next-generation CIs, 4334 and 3733, through Phase 1a and Phase 1b, respectively. These candidates, which exhibit multiple MOAs, have been optimized to potently disrupt both viral replication (MOA #1) and, importantly, prevent the establishment and replenishment of new cccDNA (MOA #2). cccDNA is the viral reservoir that drives HBV’s life-long persistence in patients. First-generation CIs have not demonstrated adequate potency to sufficiently block its formation. Further, the current standard of care, NrtIs, can only inhibit production of new virus, and it does so incompletely.</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leveraged our prior experience with our first-generation CI, VBR, in the development of our next-generation CIs. VBR was evaluated in a Phase 2 program with treatment for up to 1.5 years across patient populations and exhibited a favorable safety profile. VBR was observed to be potent against MOA #1 but not MOA #2, and, while it demonstrated greater viral suppression in combination with standard-of-care NrtIs as compared to NrtIs alone, it did not achieve functional cure or finite treatment in our clinical studies. As a result, we discontinued development of VBR. Our two next-generation CIs, 4334 and 3733, were developed to optimize activity against both MOAs and show significantly enhanced potency against both mechanisms preclinically.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April 2023, we announced that, despite promising results in both a Phase 1a clinical study of 4334 and a Phase 1b clinical study of 3733, we will evaluate partnering options for our CI portfolio prior to pursuing further clinical development of 4334 and 3733. We believe that partnering our CI portfolio will enable additional opportunities for further clinical development for CIs aimed at achieving a functional cure for chronic HBV infection, including combination approaches.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4334</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mid-2021, we announced the selection of 4334 for clinical development. As with all of our CI product candidates nominated after VBR, 4334 was internally discovered and developed. In addition, the chemical scaffold of 4334 is also novel and distinct from 3733 and our two first-generation CIs, VBR, which is licensed from Indiana University, and ABI-H2158 (2158).</w:t>
      </w:r>
    </w:p>
    <w:p>
      <w:pPr>
        <w:pStyle w:val="TextBody"/>
        <w:spacing w:before="200" w:after="0"/>
        <w:jc w:val="both"/>
        <w:rPr>
          <w:rFonts w:ascii="Times New Roman" w:hAnsi="Times New Roman"/>
          <w:sz w:val="20"/>
        </w:rPr>
      </w:pPr>
      <w:r>
        <w:rPr>
          <w:rFonts w:ascii="Times New Roman;serif" w:hAnsi="Times New Roman;serif"/>
          <w:b w:val="false"/>
          <w:sz w:val="20"/>
        </w:rPr>
        <w:t>We nominated 4334 based on a preclinical target drug profile that indicates enhanced target coverage and potency against both MOA #1 and MOA #2. We believe that 4334 has a best-in-class preclinical profile, with single-digit nanomolar potency against the production of new virus and the formation of cccDNA. Preclinically to date, 4334 has also demonstrated pan-genotypic activity, an improved resistance profile and a favorable safety profile. Preclinical characterization of 4334 was shared in a poster presentation at AASLD The Liver Meeting® in November 2021 (AASLD 2021). At the European Association for the Study of the Liver's (EASL) International Liver Congress</w:t>
      </w:r>
      <w:r>
        <w:rPr>
          <w:rFonts w:ascii="Times New Roman;serif" w:hAnsi="Times New Roman;serif"/>
          <w:b w:val="false"/>
          <w:sz w:val="13"/>
        </w:rPr>
        <w:t>TM</w:t>
      </w:r>
      <w:r>
        <w:rPr>
          <w:rFonts w:ascii="Times New Roman" w:hAnsi="Times New Roman"/>
          <w:sz w:val="20"/>
        </w:rPr>
        <w:t xml:space="preserve"> </w:t>
      </w:r>
      <w:r>
        <w:rPr>
          <w:rFonts w:ascii="Times New Roman;serif" w:hAnsi="Times New Roman;serif"/>
          <w:b w:val="false"/>
          <w:sz w:val="20"/>
        </w:rPr>
        <w:t>in June 2022 (EASL 2022), we presented preclinical data demonstrating that 4334 promotes formation of empty capsids and prevents cccDNA formation by disrupting incoming capsids. At AASLD 2022, we presented preclinical data demonstrating that 4334 also accelerates capsid assembly and inhibits cccDNA formation through multiple pathways and showed that 4334 can prematurely disrupt capsids containing dendrimer-like-DNA, which has the potential to impact HBV integration.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In October 2022, we initiated a Phase 1a clinical study of 4334 to evaluate safety, tolerability and pharmacokinetics (PK) following single ascending dose and multiple ascending dose administration in healthy subjects in New Zealand. We shared interim data from this Phase 1a trial at three time points: (1) as of mid-December 2022 for the initial 30 mg single dose cohort; (2) as of mid-March 2023 for all remaining single dose cohorts (100 mg, 200 mg and 400 mg) and the first 100 mg multiple-dose cohort; and (3) as of April 2023 for the final 200 mg multiple-dose cohort. Data are pending for a food effect cohort at 200 mg.</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Based on data available for the single-dose and multiple-dose cohorts as of mid-April 2023, 4334 had a mean half-life supporting once-a-day dosing. Based on the PK data from these cohorts and preclinical studies, daily minimum plasma trough concentrations (C</w:t>
      </w:r>
      <w:r>
        <w:rPr>
          <w:rFonts w:ascii="Times New Roman;serif" w:hAnsi="Times New Roman;serif"/>
          <w:b w:val="false"/>
          <w:sz w:val="13"/>
        </w:rPr>
        <w:t>min</w:t>
      </w:r>
      <w:r>
        <w:rPr>
          <w:rFonts w:ascii="Times New Roman;serif" w:hAnsi="Times New Roman;serif"/>
          <w:b w:val="false"/>
          <w:sz w:val="20"/>
        </w:rPr>
        <w:t>) were projected to achieve double-digit multiples of the protein-adjusted EC</w:t>
      </w:r>
      <w:r>
        <w:rPr>
          <w:rFonts w:ascii="Times New Roman;serif" w:hAnsi="Times New Roman;serif"/>
          <w:b w:val="false"/>
          <w:sz w:val="13"/>
        </w:rPr>
        <w:t xml:space="preserve">50 </w:t>
      </w:r>
      <w:r>
        <w:rPr>
          <w:rFonts w:ascii="Times New Roman;serif" w:hAnsi="Times New Roman;serif"/>
          <w:b w:val="false"/>
          <w:sz w:val="20"/>
        </w:rPr>
        <w:t>for both MOAs with the 200 mg QD dose projected to achieve greater than 30 times the protein adjusted EC</w:t>
      </w:r>
      <w:r>
        <w:rPr>
          <w:rFonts w:ascii="Times New Roman;serif" w:hAnsi="Times New Roman;serif"/>
          <w:b w:val="false"/>
          <w:sz w:val="13"/>
        </w:rPr>
        <w:t>50</w:t>
      </w:r>
      <w:r>
        <w:rPr>
          <w:rFonts w:ascii="Times New Roman" w:hAnsi="Times New Roman"/>
          <w:sz w:val="20"/>
        </w:rPr>
        <w:t xml:space="preserve"> </w:t>
      </w:r>
      <w:r>
        <w:rPr>
          <w:rFonts w:ascii="Times New Roman;serif" w:hAnsi="Times New Roman;serif"/>
          <w:b w:val="false"/>
          <w:sz w:val="20"/>
        </w:rPr>
        <w:t>for cccDNA formation.</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Through mid-April 2023, treatment-emergent adverse events (AEs) and laboratory abnormalities were mild to moderate, with the majority being mild, and there were no patterns of AEs or laboratory abnormalities noted to be associated with 4334 and no clinically significant ECG abnormalities were reported.</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3733</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3733 was internally discovered and developed. The chemical scaffold of 3733 is novel and distinct from 4334 and both of our discontinued first-generation CI product candidates, VBR and 2158.</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preclinical studies, 3733 has demonstrated pan-genotypic activity and an improved resistance profile, as well as significantly increased potency against both MOA #1 and MOA #2 and target coverage as compared to both VBR and 2158. In 2020, we initiated and completed a Phase 1a clinical study of 3733 to evaluate safety, tolerability and PK following single ascending dose and multiple ascending dose administration in healthy subjects in New Zealand. Data indicated that 3733 was generally well-tolerated and had favorable PK. Results detailing 3733’s safety and PK from this study were presented in a poster presentation at AASLD 2021. In 2021, following the completion of the Phase 1a trial, our chemistry, manufacturing and controls organization developed a new tablet formulation to support Phase 1b for 3733. At EASL 2022, we presented 3733’s improved PK profile resulting from the new formulation activities mentioned above.</w:t>
      </w:r>
    </w:p>
    <w:p>
      <w:pPr>
        <w:pStyle w:val="TextBody"/>
        <w:spacing w:before="200" w:after="0"/>
        <w:jc w:val="both"/>
        <w:rPr>
          <w:rFonts w:ascii="Times New Roman" w:hAnsi="Times New Roman"/>
          <w:sz w:val="20"/>
        </w:rPr>
      </w:pPr>
      <w:r>
        <w:rPr>
          <w:rFonts w:ascii="Times New Roman;serif" w:hAnsi="Times New Roman;serif"/>
          <w:b w:val="false"/>
          <w:sz w:val="20"/>
        </w:rPr>
        <w:t>In addition, at EASL's International Liver Congress</w:t>
      </w:r>
      <w:r>
        <w:rPr>
          <w:rFonts w:ascii="Times New Roman;serif" w:hAnsi="Times New Roman;serif"/>
          <w:b w:val="false"/>
          <w:sz w:val="13"/>
        </w:rPr>
        <w:t>TM</w:t>
      </w:r>
      <w:r>
        <w:rPr>
          <w:rFonts w:ascii="Times New Roman" w:hAnsi="Times New Roman"/>
          <w:sz w:val="20"/>
        </w:rPr>
        <w:t xml:space="preserve"> </w:t>
      </w:r>
      <w:r>
        <w:rPr>
          <w:rFonts w:ascii="Times New Roman;serif" w:hAnsi="Times New Roman;serif"/>
          <w:b w:val="false"/>
          <w:sz w:val="20"/>
        </w:rPr>
        <w:t>in June 2021, we presented observations on 3733’s enhanced potency and target coverage for both antiviral activity and inhibition of cccDNA generation as compared to VBR and 2158.</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In June 2022, we initiated a randomized, multi-center, double-blind and placebo-controlled Phase 1b trial of 3733 evaluating the safety, PK and antiviral activity of 3733 in adults with chronic HBV infection, including changes in HBV DNA and other viral parameters associated with 3733 treatment in adults with chronic HBV infection who are treatment naïve or off treatment. Patients were randomized 8:2 between the new tablet formulation of 3733 and placebo for a period of 28 days.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December 2022, we released interim data from the Phase 1b trial, which consisted primarily of HBeAg negative patients. The dose selected for the first cohort was 50 mg. Given the potent antiviral activity observed at 50 mg, a 25 mg dose was selected for the second cohort to further explore the dose response curve of 3733. A dose of 100 mg was selected for the third cohort. As of mid-December 2022, dosing in the 3733 Phase 1b trial had been completed for all ten patients in the 50 mg first cohort. Nine of ten patients enrolled were HBeAg negative, so efficacy data was provided for these patients. Interim efficacy results from this cohort as of mid-December included HBV DNA, HBV RNA and antigen measurements for all patients for the full 28-day dosing period.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the 50 mg cohort, six of eight patients receiving 3733 achieved HBV DNA less than the lower limit of quantification (&lt;LLOQ) within 21 days, with a mean decline in HBV DNA over the treatment period of approximately 3.1 logs. Data on HBV RNA declines were limited due to low baseline levels in predominantly e-antigen negative patients.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second cohort, evaluating a dose of 25 mg, was fully enrolled by December 2022. Nine of ten patients enrolled were HBeAg negative. In the five patients that had completed 28 days of treatment as of mid-December 2022, the mean reduction in HBV DNA was approximately 1.9 logs. Data on HBV RNA levels were not available as of mid-December 2022.</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third cohort, evaluating a dose of 100 mg, was fully enrolled by February 2023. Ten of 11 patients enrolled were HBeAg negative, so efficacy data was provided for these patients. Interim efficacy results from this cohort as of mid-March included HBV DNA, HBV RNA, and antigen measurements for the seven HBeAg negative patients receiving 3733 that had completed 28 days of treatment. All seven patients achieved HBV DNA &lt;LLOQ within 21 days. As all of these patients reached &lt;LLOQ, the mean declines in HBV DNA over the treatment period of approximately 3.0 logs reflect baseline DNA levels and the lower limit of the quantifiable range in this cohort. Data on HBV RNA declines were limited due to low baseline levels in predominately HBeAg negative patients. As expected given the 28-day dosing period, limited changes in viral antigens were observed.</w:t>
      </w:r>
    </w:p>
    <w:p>
      <w:pPr>
        <w:pStyle w:val="TextBody"/>
        <w:spacing w:before="200" w:after="0"/>
        <w:jc w:val="both"/>
        <w:rPr>
          <w:rFonts w:ascii="Times New Roman" w:hAnsi="Times New Roman"/>
          <w:sz w:val="20"/>
        </w:rPr>
      </w:pPr>
      <w:r>
        <w:rPr>
          <w:rFonts w:ascii="Times New Roman;serif" w:hAnsi="Times New Roman;serif"/>
          <w:b w:val="false"/>
          <w:sz w:val="20"/>
        </w:rPr>
        <w:t>In the 25 mg, 50 mg and 100 mg cohorts, all treatment-emergent AEs and laboratory abnormalities reported were Grade 1 or Grade 2. Further, no AEs led to treatment discontinuation, and no clinically significant ECG abnormalities or patterns of AEs or lab abnormalities were noted. The observed PK for the new tablet formulation of 3733 was consistent with predictions from preclinical studies, providing exposure equivalent to the liquid formulation evaluated in the Phase 1a study for 3733. Available PK data indicated that exposures exhibited dose-proportional increases in the dose range from 25 mg to 100 mg.</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A 26-week non-clinical chronic toxicology study of 3733 has been ongoing in parallel with the Phase 1b study. This study revealed a toxicity in one species that was not observed in the previous 28-day toxicology study. We continue to evaluate the data; however, proceeding with longer-term dosing of 3733 in a Phase 2 study would require further assessment and likely an additional chronic toxicology study in another species, which would add cost and time to the development timeline for 3733.</w:t>
      </w:r>
      <w:r>
        <w:rPr>
          <w:rFonts w:ascii="Times New Roman" w:hAnsi="Times New Roman"/>
          <w:sz w:val="20"/>
        </w:rPr>
        <w:t xml:space="preserve"> </w:t>
      </w:r>
    </w:p>
    <w:p>
      <w:pPr>
        <w:pStyle w:val="TextBody"/>
        <w:spacing w:before="200" w:after="0"/>
        <w:jc w:val="both"/>
        <w:rPr>
          <w:rFonts w:ascii="Times New Roman;serif" w:hAnsi="Times New Roman;serif"/>
          <w:b/>
          <w:i/>
          <w:sz w:val="20"/>
        </w:rPr>
      </w:pPr>
      <w:r>
        <w:rPr>
          <w:rFonts w:ascii="Times New Roman;serif" w:hAnsi="Times New Roman;serif"/>
          <w:b/>
          <w:i/>
          <w:sz w:val="20"/>
        </w:rPr>
        <w:t>Operations</w:t>
      </w:r>
    </w:p>
    <w:p>
      <w:pPr>
        <w:pStyle w:val="TextBody"/>
        <w:spacing w:before="200" w:after="0"/>
        <w:jc w:val="both"/>
        <w:rPr>
          <w:rFonts w:ascii="Times New Roman" w:hAnsi="Times New Roman"/>
          <w:sz w:val="20"/>
        </w:rPr>
      </w:pPr>
      <w:r>
        <w:rPr>
          <w:rFonts w:ascii="Times New Roman;serif" w:hAnsi="Times New Roman;serif"/>
          <w:b w:val="false"/>
          <w:sz w:val="20"/>
        </w:rPr>
        <w:t>We currently have corporate and administrative offices and research laboratory space in South San Francisco, California as well as registrational offices, but no employees, in China.</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 staffing our company, licensing our product candidates, discovering and developing our product candidates, maintaining and improving our patent portfolio and raising capital.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have generated significant losses to date, and we expect to continue to generate losses as we develop our product candidates. As of March 31, 2023, we had an accumulated deficit of $743.5 million. Because we do not generate revenue from any of our product candidates, our losses will continue as we further develop and seek regulatory approval for, and commercialize, our product candidates. As a result, our operating losses are likely to be substantial over the next several years as we continue the development of our product candidates and thereafter if none are approved or successfully launched. We are unable to predict the extent of any future losses or when we will become profitable, if at all.</w:t>
      </w:r>
    </w:p>
    <w:p>
      <w:pPr>
        <w:pStyle w:val="TextBody"/>
        <w:spacing w:before="200" w:after="0"/>
        <w:jc w:val="both"/>
        <w:rPr>
          <w:rFonts w:ascii="Times New Roman;serif" w:hAnsi="Times New Roman;serif"/>
          <w:b/>
          <w:sz w:val="20"/>
        </w:rPr>
      </w:pPr>
      <w:r>
        <w:rPr>
          <w:rFonts w:ascii="Times New Roman;serif" w:hAnsi="Times New Roman;serif"/>
          <w:b/>
          <w:sz w:val="20"/>
        </w:rPr>
        <w:t>Critical Accounting Estimates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management’s discussion and analysis of our financial condition and results of operations is based on our condensed consolidated financial statements, which have been prepared in accordance with accounting principles generally accepted in the United States (U.S. GAAP). The preparation of these financial statements requires us to make estimates and assumptions that affect the reported amounts of assets, liabilities, revenues and expenses.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spacing w:before="200" w:after="0"/>
        <w:jc w:val="both"/>
        <w:rPr>
          <w:rFonts w:ascii="Times New Roman" w:hAnsi="Times New Roman"/>
          <w:sz w:val="20"/>
        </w:rPr>
      </w:pPr>
      <w:r>
        <w:rPr>
          <w:rFonts w:ascii="Times New Roman;serif" w:hAnsi="Times New Roman;serif"/>
          <w:b w:val="false"/>
          <w:sz w:val="20"/>
        </w:rPr>
        <w:t xml:space="preserve">Our critical accounting policies and significant estimates are detailed in our 2022 Annual Report. Our critical accounting policies and significant estimates have not changed from those previously disclosed in our 2022 Annual Report, except as discussed in the section of Note 2 to the unaudited condensed consolidated financial statements titled </w:t>
      </w:r>
      <w:r>
        <w:rPr>
          <w:rFonts w:ascii="Times New Roman;serif" w:hAnsi="Times New Roman;serif"/>
          <w:b w:val="false"/>
          <w:i/>
          <w:sz w:val="20"/>
        </w:rPr>
        <w:t>Recently Adopted Accounting Standards</w:t>
      </w:r>
      <w:r>
        <w:rPr>
          <w:rFonts w:ascii="Times New Roman" w:hAnsi="Times New Roman"/>
          <w:sz w:val="20"/>
        </w:rPr>
        <w:t xml:space="preserve"> </w:t>
      </w:r>
      <w:r>
        <w:rPr>
          <w:rFonts w:ascii="Times New Roman;serif" w:hAnsi="Times New Roman;serif"/>
          <w:b w:val="false"/>
          <w:sz w:val="20"/>
        </w:rPr>
        <w:t>included in this Quarterly Report on Form 10-Q.</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spacing w:before="200" w:after="0"/>
        <w:jc w:val="both"/>
        <w:rPr>
          <w:rFonts w:ascii="Times New Roman;serif" w:hAnsi="Times New Roman;serif"/>
          <w:b/>
          <w:i/>
          <w:sz w:val="20"/>
        </w:rPr>
      </w:pPr>
      <w:r>
        <w:rPr>
          <w:rFonts w:ascii="Times New Roman;serif" w:hAnsi="Times New Roman;serif"/>
          <w:b/>
          <w:i/>
          <w:sz w:val="20"/>
        </w:rPr>
        <w:t>Comparison of the Three Months Ended March 31, 2023 and 2022</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Research and Development Expenses</w:t>
      </w:r>
    </w:p>
    <w:p>
      <w:pPr>
        <w:pStyle w:val="TextBody"/>
        <w:spacing w:before="200" w:after="120"/>
        <w:jc w:val="both"/>
        <w:rPr>
          <w:rFonts w:ascii="Times New Roman;serif" w:hAnsi="Times New Roman;serif"/>
          <w:b w:val="false"/>
          <w:sz w:val="20"/>
        </w:rPr>
      </w:pPr>
      <w:r>
        <w:rPr>
          <w:rFonts w:ascii="Times New Roman;serif" w:hAnsi="Times New Roman;serif"/>
          <w:b w:val="false"/>
          <w:sz w:val="20"/>
        </w:rPr>
        <w:t>Research and development expenses consist primarily of employee-related expenses, fees paid to contract research organizations and contract manufacturing organizations, lab supplies and other third party expenses that support our research and discovery, nonclinical and clinical activities. We use our employee and infrastructure resources, as well as certain third-party costs, across multiple research and development programs, and we do not specifically allocate these costs to our programs.</w:t>
      </w:r>
    </w:p>
    <w:p>
      <w:pPr>
        <w:pStyle w:val="TextBody"/>
        <w:spacing w:before="200" w:after="120"/>
        <w:jc w:val="both"/>
        <w:rPr>
          <w:rFonts w:ascii="Times New Roman" w:hAnsi="Times New Roman"/>
          <w:sz w:val="20"/>
        </w:rPr>
      </w:pPr>
      <w:r>
        <w:rPr>
          <w:rFonts w:ascii="Times New Roman;serif" w:hAnsi="Times New Roman;serif"/>
          <w:b w:val="false"/>
          <w:sz w:val="20"/>
        </w:rPr>
        <w:t>The following table summarizes the period-over-period changes in our research and development expenses (in thousands, except for percentages):</w:t>
      </w:r>
      <w:r>
        <w:rPr>
          <w:rFonts w:ascii="Times New Roman" w:hAnsi="Times New Roman"/>
          <w:sz w:val="20"/>
        </w:rPr>
        <w:t xml:space="preserve"> </w:t>
      </w:r>
    </w:p>
    <w:tbl>
      <w:tblPr>
        <w:tblW w:w="9500" w:type="dxa"/>
        <w:jc w:val="left"/>
        <w:tblInd w:w="0" w:type="dxa"/>
        <w:tblCellMar>
          <w:top w:w="28" w:type="dxa"/>
          <w:left w:w="28" w:type="dxa"/>
          <w:bottom w:w="28" w:type="dxa"/>
          <w:right w:w="28" w:type="dxa"/>
        </w:tblCellMar>
      </w:tblPr>
      <w:tblGrid>
        <w:gridCol w:w="3556"/>
        <w:gridCol w:w="146"/>
        <w:gridCol w:w="245"/>
        <w:gridCol w:w="785"/>
        <w:gridCol w:w="169"/>
        <w:gridCol w:w="169"/>
        <w:gridCol w:w="245"/>
        <w:gridCol w:w="785"/>
        <w:gridCol w:w="146"/>
        <w:gridCol w:w="146"/>
        <w:gridCol w:w="278"/>
        <w:gridCol w:w="832"/>
        <w:gridCol w:w="166"/>
        <w:gridCol w:w="146"/>
        <w:gridCol w:w="309"/>
        <w:gridCol w:w="801"/>
        <w:gridCol w:w="576"/>
      </w:tblGrid>
      <w:tr>
        <w:trPr/>
        <w:tc>
          <w:tcPr>
            <w:tcW w:w="35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55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576" w:type="dxa"/>
            <w:tcBorders/>
            <w:shd w:fill="auto" w:val="cle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5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External expenses:</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10" w:type="dxa"/>
            <w:gridSpan w:val="2"/>
            <w:tcBorders/>
            <w:shd w:fill="auto" w:val="clear"/>
            <w:vAlign w:val="center"/>
          </w:tcPr>
          <w:p>
            <w:pPr>
              <w:pStyle w:val="TableContents"/>
              <w:spacing w:before="0" w:after="0"/>
              <w:ind w:left="0" w:right="0" w:hanging="0"/>
              <w:jc w:val="right"/>
              <w:rPr/>
            </w:pPr>
            <w:r>
              <w:rPr/>
              <w:t> </w:t>
            </w:r>
          </w:p>
        </w:tc>
        <w:tc>
          <w:tcPr>
            <w:tcW w:w="576" w:type="dxa"/>
            <w:tcBorders/>
            <w:shd w:fill="auto" w:val="clear"/>
            <w:vAlign w:val="center"/>
          </w:tcPr>
          <w:p>
            <w:pPr>
              <w:pStyle w:val="TableContents"/>
              <w:spacing w:before="0" w:after="0"/>
              <w:ind w:left="0" w:right="0" w:firstLine="200"/>
              <w:jc w:val="right"/>
              <w:rPr/>
            </w:pPr>
            <w:r>
              <w:rPr/>
              <w:t> </w:t>
            </w:r>
          </w:p>
        </w:tc>
      </w:tr>
      <w:tr>
        <w:trPr/>
        <w:tc>
          <w:tcPr>
            <w:tcW w:w="3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discovery</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2,767</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57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3733</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1,834</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8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57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VBR</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858</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8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57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4334</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770</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8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57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2158</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8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5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external expenses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85"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6,350</w:t>
            </w:r>
          </w:p>
        </w:tc>
        <w:tc>
          <w:tcPr>
            <w:tcW w:w="169"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69"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45"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85"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7,361</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78"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32"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(1,011</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5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and contractor-related expenses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7,007</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8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5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Facility and other expenses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1,190</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5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14,547</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17,205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5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both"/>
        <w:rPr>
          <w:rFonts w:ascii="Times New Roman;serif" w:hAnsi="Times New Roman;serif"/>
          <w:b w:val="false"/>
          <w:sz w:val="20"/>
        </w:rPr>
      </w:pPr>
      <w:r>
        <w:rPr>
          <w:rFonts w:ascii="Times New Roman;serif" w:hAnsi="Times New Roman;serif"/>
          <w:b w:val="false"/>
          <w:sz w:val="20"/>
        </w:rPr>
        <w:t>Research and development expenses were $14.5 million for the three months ended March 31, 2023 compared to $17.2 million for the same period in 2022. The $2.7 million decrease in research and development expenses was driven by decreases in employee and contractor-related expenses of $1.2 million due to the termination of employees as part of the reorganization announced in July 2022. We also experienced decreases in external expenses due to our discontinuation of the VBR and 2158 programs and from lower costs incurred during the three months ended March 31, 2023 compared to the same period in 2022 due to both preclinical work and start-up costs preparing for the Phase 1a trial for 4334 occurring in 2022. This was partially offset by increases in external expenses generated from the advancement of our research discovery programs and 3733.</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General and Administrative Expenses</w:t>
      </w:r>
    </w:p>
    <w:p>
      <w:pPr>
        <w:pStyle w:val="TextBody"/>
        <w:spacing w:before="200" w:after="120"/>
        <w:jc w:val="both"/>
        <w:rPr>
          <w:rFonts w:ascii="Times New Roman;serif" w:hAnsi="Times New Roman;serif"/>
          <w:b w:val="false"/>
          <w:sz w:val="20"/>
        </w:rPr>
      </w:pPr>
      <w:r>
        <w:rPr>
          <w:rFonts w:ascii="Times New Roman;serif" w:hAnsi="Times New Roman;serif"/>
          <w:b w:val="false"/>
          <w:sz w:val="20"/>
        </w:rPr>
        <w:t>General and administrative expenses consist primarily of salaries, consulting fees and other related costs, professional fees for legal services, accounting and tax services, insurance and travel expenses, as well as stock-based compensation expense associated with equity awards to our employees and directors.</w:t>
      </w:r>
    </w:p>
    <w:p>
      <w:pPr>
        <w:pStyle w:val="TextBody"/>
        <w:spacing w:before="200" w:after="120"/>
        <w:jc w:val="both"/>
        <w:rPr>
          <w:rFonts w:ascii="Times New Roman;serif" w:hAnsi="Times New Roman;serif"/>
          <w:b w:val="false"/>
          <w:sz w:val="20"/>
        </w:rPr>
      </w:pPr>
      <w:r>
        <w:rPr>
          <w:rFonts w:ascii="Times New Roman;serif" w:hAnsi="Times New Roman;serif"/>
          <w:b w:val="false"/>
          <w:sz w:val="20"/>
        </w:rPr>
        <w:t>The following table summarizes the period-over-period changes in our general and administrative expenses (in thousands, except for percentages):</w:t>
      </w:r>
    </w:p>
    <w:tbl>
      <w:tblPr>
        <w:tblW w:w="8833" w:type="dxa"/>
        <w:jc w:val="left"/>
        <w:tblInd w:w="0" w:type="dxa"/>
        <w:tblCellMar>
          <w:top w:w="28" w:type="dxa"/>
          <w:left w:w="28" w:type="dxa"/>
          <w:bottom w:w="28" w:type="dxa"/>
          <w:right w:w="28" w:type="dxa"/>
        </w:tblCellMar>
      </w:tblPr>
      <w:tblGrid>
        <w:gridCol w:w="3091"/>
        <w:gridCol w:w="146"/>
        <w:gridCol w:w="272"/>
        <w:gridCol w:w="738"/>
        <w:gridCol w:w="188"/>
        <w:gridCol w:w="188"/>
        <w:gridCol w:w="272"/>
        <w:gridCol w:w="738"/>
        <w:gridCol w:w="146"/>
        <w:gridCol w:w="146"/>
        <w:gridCol w:w="337"/>
        <w:gridCol w:w="773"/>
        <w:gridCol w:w="166"/>
        <w:gridCol w:w="146"/>
        <w:gridCol w:w="309"/>
        <w:gridCol w:w="801"/>
        <w:gridCol w:w="376"/>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376" w:type="dxa"/>
            <w:tcBorders/>
            <w:shd w:fill="auto" w:val="cle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5,012</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00" w:after="120"/>
        <w:jc w:val="both"/>
        <w:rPr>
          <w:rFonts w:ascii="Times New Roman;serif" w:hAnsi="Times New Roman;serif"/>
          <w:b w:val="false"/>
          <w:sz w:val="20"/>
        </w:rPr>
      </w:pPr>
      <w:r>
        <w:rPr>
          <w:rFonts w:ascii="Times New Roman;serif" w:hAnsi="Times New Roman;serif"/>
          <w:b w:val="false"/>
          <w:sz w:val="20"/>
        </w:rPr>
        <w:t>General and administrative expenses were $5.0 million for the three months ended March 31, 2023 compared to $6.0 million for the same period in 2022. The decrease of $1.0 million in general and administrative expenses was primarily due to a $0.7 million decrease in salaries and benefits because of the retirement of our former Chief Executive Officer and due to the termination of employees as part of the reorganization announced in July 2022.</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sz w:val="20"/>
        </w:rPr>
      </w:pPr>
      <w:r>
        <w:rPr>
          <w:rFonts w:ascii="Times New Roman;serif" w:hAnsi="Times New Roman;serif"/>
          <w:b/>
          <w:sz w:val="20"/>
        </w:rPr>
        <w:t>Liquidity and Capital Resources</w:t>
      </w:r>
    </w:p>
    <w:p>
      <w:pPr>
        <w:pStyle w:val="TextBody"/>
        <w:spacing w:before="200" w:after="0"/>
        <w:jc w:val="both"/>
        <w:rPr>
          <w:rFonts w:ascii="Times New Roman;serif" w:hAnsi="Times New Roman;serif"/>
          <w:b/>
          <w:i/>
          <w:sz w:val="20"/>
        </w:rPr>
      </w:pPr>
      <w:r>
        <w:rPr>
          <w:rFonts w:ascii="Times New Roman;serif" w:hAnsi="Times New Roman;serif"/>
          <w:b/>
          <w:i/>
          <w:sz w:val="20"/>
        </w:rPr>
        <w:t>Sources of Liquidity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March 31, 2023 principally through equity financings, raising an aggregate of $609.5 million in net proceeds, and strategic collaborations, raising an aggregate of $90.0 million through upfront payments.</w:t>
      </w:r>
    </w:p>
    <w:p>
      <w:pPr>
        <w:pStyle w:val="TextBody"/>
        <w:spacing w:before="200" w:after="0"/>
        <w:jc w:val="both"/>
        <w:rPr>
          <w:rFonts w:ascii="Times New Roman;serif" w:hAnsi="Times New Roman;serif"/>
          <w:b/>
          <w:i/>
          <w:sz w:val="20"/>
        </w:rPr>
      </w:pPr>
      <w:r>
        <w:rPr>
          <w:rFonts w:ascii="Times New Roman;serif" w:hAnsi="Times New Roman;serif"/>
          <w:b/>
          <w:i/>
          <w:sz w:val="20"/>
        </w:rPr>
        <w:t>Cash Flows for the Three Months Ended March 31, 2023 and 2022</w:t>
      </w:r>
    </w:p>
    <w:p>
      <w:pPr>
        <w:pStyle w:val="TextBody"/>
        <w:spacing w:before="200" w:after="120"/>
        <w:jc w:val="both"/>
        <w:rPr>
          <w:rFonts w:ascii="Times New Roman;serif" w:hAnsi="Times New Roman;serif"/>
          <w:b w:val="false"/>
          <w:sz w:val="20"/>
        </w:rPr>
      </w:pPr>
      <w:r>
        <w:rPr>
          <w:rFonts w:ascii="Times New Roman;serif" w:hAnsi="Times New Roman;serif"/>
          <w:b w:val="false"/>
          <w:sz w:val="20"/>
        </w:rPr>
        <w:t>The following table summarizes our cash flow activities (in thousands):</w:t>
      </w:r>
    </w:p>
    <w:tbl>
      <w:tblPr>
        <w:tblW w:w="7256" w:type="dxa"/>
        <w:jc w:val="left"/>
        <w:tblInd w:w="0" w:type="dxa"/>
        <w:tblCellMar>
          <w:top w:w="28" w:type="dxa"/>
          <w:left w:w="28" w:type="dxa"/>
          <w:bottom w:w="28" w:type="dxa"/>
          <w:right w:w="28" w:type="dxa"/>
        </w:tblCellMar>
      </w:tblPr>
      <w:tblGrid>
        <w:gridCol w:w="4321"/>
        <w:gridCol w:w="146"/>
        <w:gridCol w:w="229"/>
        <w:gridCol w:w="801"/>
        <w:gridCol w:w="180"/>
        <w:gridCol w:w="158"/>
        <w:gridCol w:w="229"/>
        <w:gridCol w:w="801"/>
        <w:gridCol w:w="391"/>
      </w:tblGrid>
      <w:tr>
        <w:trPr/>
        <w:tc>
          <w:tcPr>
            <w:tcW w:w="43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32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(23,428</w:t>
            </w:r>
          </w:p>
        </w:tc>
        <w:tc>
          <w:tcPr>
            <w:tcW w:w="1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(27,502</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33,049</w:t>
            </w:r>
          </w:p>
        </w:tc>
        <w:tc>
          <w:tcPr>
            <w:tcW w:w="39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4,492</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(decrease) increase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(8,936</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5,547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Times New Roman;serif" w:hAnsi="Times New Roman;serif"/>
          <w:b w:val="false"/>
          <w:i/>
          <w:sz w:val="20"/>
        </w:rPr>
      </w:pPr>
      <w:r>
        <w:rPr>
          <w:rFonts w:ascii="Times New Roman;serif" w:hAnsi="Times New Roman;serif"/>
          <w:b w:val="false"/>
          <w:i/>
          <w:sz w:val="20"/>
        </w:rPr>
        <w:t>Net Cash from Operating Activities</w:t>
      </w:r>
    </w:p>
    <w:p>
      <w:pPr>
        <w:pStyle w:val="TextBody"/>
        <w:spacing w:before="200" w:after="0"/>
        <w:jc w:val="both"/>
        <w:rPr>
          <w:rFonts w:ascii="Times New Roman" w:hAnsi="Times New Roman"/>
          <w:sz w:val="20"/>
        </w:rPr>
      </w:pPr>
      <w:r>
        <w:rPr>
          <w:rFonts w:ascii="Times New Roman;serif" w:hAnsi="Times New Roman;serif"/>
          <w:b w:val="false"/>
          <w:sz w:val="20"/>
        </w:rPr>
        <w:t>Net cash used in operating activities was $23.4 million for the three months ended March 31, 2023. This was primarily due to our $19.0 million net loss and a decrease in other accrued expenses of $4.2 million due to payment of our 2022 annual bonuses.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Net cash used in operating activities was $27.5 million for the three months ended March 31, 2022. This was primarily due to our $23.1 million net loss and a decrease in other accrued expenses of $4.4 million due to payment of our 2021 annual bonuses.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Net Cash from Investing Activities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Net cash provided by investing activities for the three months ended March 31, 2023 was $10.0 million due to proceeds from maturities of our marketable securities.</w:t>
      </w:r>
    </w:p>
    <w:p>
      <w:pPr>
        <w:pStyle w:val="TextBody"/>
        <w:spacing w:before="200" w:after="0"/>
        <w:jc w:val="both"/>
        <w:rPr>
          <w:rFonts w:ascii="Times New Roman" w:hAnsi="Times New Roman"/>
          <w:sz w:val="20"/>
        </w:rPr>
      </w:pPr>
      <w:r>
        <w:rPr>
          <w:rFonts w:ascii="Times New Roman;serif" w:hAnsi="Times New Roman;serif"/>
          <w:b w:val="false"/>
          <w:sz w:val="20"/>
        </w:rPr>
        <w:t>Net cash provided by investing activities for the three months ended March 31, 2022 was $33.0 million due to proceeds from sales and maturities of our marketable securities, net of purchases.</w:t>
      </w:r>
      <w:r>
        <w:rPr>
          <w:rFonts w:ascii="Times New Roman" w:hAnsi="Times New Roman"/>
          <w:sz w:val="20"/>
        </w:rPr>
        <w:t xml:space="preserve"> </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Net Cash from Financing Activities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Net cash provided by financing activities for the three months ended March 31, 2023 was $4.5 million due to proceeds from the sale of 3,050,446 shares of our common stock under the 2020 ATM.</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There were no cash flows generated from financing activities for the three months ended March 31, 2022.</w:t>
      </w:r>
    </w:p>
    <w:p>
      <w:pPr>
        <w:pStyle w:val="TextBody"/>
        <w:spacing w:before="200" w:after="0"/>
        <w:jc w:val="both"/>
        <w:rPr>
          <w:rFonts w:ascii="Times New Roman;serif" w:hAnsi="Times New Roman;serif"/>
          <w:b/>
          <w:i/>
          <w:sz w:val="20"/>
        </w:rPr>
      </w:pPr>
      <w:r>
        <w:rPr>
          <w:rFonts w:ascii="Times New Roman;serif" w:hAnsi="Times New Roman;serif"/>
          <w:b/>
          <w:i/>
          <w:sz w:val="20"/>
        </w:rPr>
        <w:t>Funding Requirements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expect our future operating expenses to decrease as we continue to realize cost savings from our strategic reorganization plan we implemented in July 2022. However, we will need to obtain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monitor our cash needs and the status of the capital markets on a continuous basis. From time to time, we opportunistically raise capital and have done so numerous times since our initial public offering by issuing equity securities. We expect to continue to raise capital when and as needed and at the time and in the manner most advantageous to us.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We expect that our existing cash, cash equivalents and marketable securities will enable us to fund our operating expenses and capital expenditure requirements for at least the next twelve months. There were no material changes in our commitments under the contractual obligations disclosed in our 2022 Annual Report. Since our inception, we have not engaged in any off-balance sheet arrangements as described in Item 303 of Regulation S-K.</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future capital requirements will depend on many factors, including:</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ability to raise capital despite macroeconomic and geopolitical events impacting financial markets, such as rising inflation, market volatility and risk of recession;</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ability to establish and maintain partnerships and collaborations on favorable terms, if at all;</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scope, progress, results and costs of our ongoing drug discovery, nonclinical development, laboratory testing and clinical studies of our product candidates and any additional clinical studies we may conduct in the future;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ability to manufacture, and to contract with third parties to manufacture, adequate supplies of our product candidates for our clinical studies and any eventual commercialization;</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costs, timing and outcome of regulatory review of our product candidates;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the costs of preparing, filing and prosecuting patent applications in the United States and abroad, maintaining and enforcing our intellectual property rights and defending intellectual property-related claims.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likely be derived from sales of medicines that we do not expect to be commercially available for years, if at all. Accordingly, we will need to continue to rely on additional financings to achieve our business objectives. Adequate additional financings may not be available to us on acceptable terms, or at all.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sz w:val="20"/>
        </w:rPr>
      </w:pPr>
      <w:bookmarkStart w:id="10" w:name="item_3_quantitative_qualitative_disclosu"/>
      <w:bookmarkEnd w:id="10"/>
      <w:r>
        <w:rPr>
          <w:rFonts w:ascii="Times New Roman;serif" w:hAnsi="Times New Roman;serif"/>
          <w:b/>
          <w:sz w:val="20"/>
        </w:rPr>
        <w:t>Item 3. Quantitative and Qualitative Disclosures about Market Risk</w:t>
      </w:r>
    </w:p>
    <w:p>
      <w:pPr>
        <w:pStyle w:val="TextBody"/>
        <w:spacing w:before="200" w:after="0"/>
        <w:jc w:val="both"/>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200" w:after="0"/>
        <w:jc w:val="both"/>
        <w:rPr>
          <w:rFonts w:ascii="Times New Roman" w:hAnsi="Times New Roman"/>
          <w:sz w:val="20"/>
        </w:rPr>
      </w:pPr>
      <w:bookmarkStart w:id="11" w:name="item_4_controls_procedures"/>
      <w:bookmarkEnd w:id="11"/>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spacing w:before="200" w:after="0"/>
        <w:jc w:val="both"/>
        <w:rPr>
          <w:rFonts w:ascii="Times New Roman;serif" w:hAnsi="Times New Roman;serif"/>
          <w:b/>
          <w:sz w:val="20"/>
        </w:rPr>
      </w:pPr>
      <w:r>
        <w:rPr>
          <w:rFonts w:ascii="Times New Roman;serif" w:hAnsi="Times New Roman;serif"/>
          <w:b/>
          <w:sz w:val="20"/>
        </w:rPr>
        <w:t>Evaluation of Disclosure Controls and Procedures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and President, who serves as our principal executive officer and principal financial officer, of the effectiveness of the design and operation of our disclosure controls and procedures pursuant to Exchange Act Rules 13a-15(b) and 15d-15(b) as of the end of the period covered by this report. Based upon that evaluation, our Chief Executive Officer and President concluded that our disclosure controls and procedures as of the end of the period covered by this report were effective at the reasonable assurance level.</w:t>
      </w:r>
    </w:p>
    <w:p>
      <w:pPr>
        <w:pStyle w:val="TextBody"/>
        <w:spacing w:before="200" w:after="0"/>
        <w:jc w:val="both"/>
        <w:rPr>
          <w:rFonts w:ascii="Times New Roman;serif" w:hAnsi="Times New Roman;serif"/>
          <w:b/>
          <w:sz w:val="20"/>
        </w:rPr>
      </w:pPr>
      <w:r>
        <w:rPr>
          <w:rFonts w:ascii="Times New Roman;serif" w:hAnsi="Times New Roman;serif"/>
          <w:b/>
          <w:sz w:val="20"/>
        </w:rPr>
        <w:t>Changes in Internal Control over Financial Reporting</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There were no changes in our internal control over financial reporting in the quarter ended March 31, 2023 that materially affected, or are reasonably likely to materially affect, our internal control over financial reporting.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sz w:val="20"/>
        </w:rPr>
      </w:pPr>
      <w:bookmarkStart w:id="12" w:name="part_ii_or_information"/>
      <w:bookmarkEnd w:id="12"/>
      <w:r>
        <w:rPr>
          <w:rFonts w:ascii="Times New Roman;serif" w:hAnsi="Times New Roman;serif"/>
          <w:b/>
          <w:sz w:val="20"/>
        </w:rPr>
        <w:t>PART II – OTHER INFORMATION</w:t>
      </w:r>
    </w:p>
    <w:p>
      <w:pPr>
        <w:pStyle w:val="TextBody"/>
        <w:spacing w:before="200" w:after="0"/>
        <w:jc w:val="both"/>
        <w:rPr>
          <w:rFonts w:ascii="Times New Roman" w:hAnsi="Times New Roman"/>
          <w:sz w:val="20"/>
        </w:rPr>
      </w:pPr>
      <w:bookmarkStart w:id="13" w:name="item_1_legal_proceedings"/>
      <w:bookmarkEnd w:id="13"/>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are not a party to any material legal proceedings. In the future, we may from time to time become involved in litigation relating to claims arising from our ordinary course of business.</w:t>
      </w:r>
    </w:p>
    <w:p>
      <w:pPr>
        <w:pStyle w:val="TextBody"/>
        <w:spacing w:before="200" w:after="0"/>
        <w:jc w:val="both"/>
        <w:rPr>
          <w:rFonts w:ascii="Times New Roman;serif" w:hAnsi="Times New Roman;serif"/>
          <w:b/>
          <w:sz w:val="20"/>
        </w:rPr>
      </w:pPr>
      <w:bookmarkStart w:id="14" w:name="item_1a_risk_factors"/>
      <w:bookmarkEnd w:id="14"/>
      <w:r>
        <w:rPr>
          <w:rFonts w:ascii="Times New Roman;serif" w:hAnsi="Times New Roman;serif"/>
          <w:b/>
          <w:sz w:val="20"/>
        </w:rPr>
        <w:t>Item 1A. Risk Factors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You should carefully consider the following risk factors, together with all other information in this report, including our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pStyle w:val="TextBody"/>
        <w:spacing w:before="200" w:after="0"/>
        <w:jc w:val="both"/>
        <w:rPr>
          <w:rFonts w:ascii="Times New Roman;serif" w:hAnsi="Times New Roman;serif"/>
          <w:b/>
          <w:sz w:val="20"/>
        </w:rPr>
      </w:pPr>
      <w:r>
        <w:rPr>
          <w:rFonts w:ascii="Times New Roman;serif" w:hAnsi="Times New Roman;serif"/>
          <w:b/>
          <w:sz w:val="20"/>
        </w:rPr>
        <w:t>Risks Related to Our Business</w:t>
      </w:r>
    </w:p>
    <w:p>
      <w:pPr>
        <w:pStyle w:val="TextBody"/>
        <w:spacing w:before="200" w:after="0"/>
        <w:jc w:val="both"/>
        <w:rPr>
          <w:rFonts w:ascii="Times New Roman;serif" w:hAnsi="Times New Roman;serif"/>
          <w:b/>
          <w:i/>
          <w:sz w:val="20"/>
        </w:rPr>
      </w:pPr>
      <w:r>
        <w:rPr>
          <w:rFonts w:ascii="Times New Roman;serif" w:hAnsi="Times New Roman;serif"/>
          <w:b/>
          <w:i/>
          <w:sz w:val="20"/>
        </w:rPr>
        <w:t>We have no approved products and depend on the future success of the product candidates in our research and development pipeline.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and our collaborators are not permitted to market or promote any products in the United States, Europe, China or other countries before we receive regulatory approval from the FDA or comparable foreign regulatory authorities, and we may never receive such regulatory approval for our current product candidates. We have not submitted a new drug application (NDA) to the FDA or comparable applications to other regulatory authorities and do not expect to be in a position to do so in the near future.</w:t>
      </w:r>
    </w:p>
    <w:p>
      <w:pPr>
        <w:pStyle w:val="TextBody"/>
        <w:spacing w:before="200" w:after="0"/>
        <w:jc w:val="both"/>
        <w:rPr>
          <w:rFonts w:ascii="Times New Roman" w:hAnsi="Times New Roman"/>
          <w:sz w:val="20"/>
        </w:rPr>
      </w:pPr>
      <w:r>
        <w:rPr>
          <w:rFonts w:ascii="Times New Roman;serif" w:hAnsi="Times New Roman;serif"/>
          <w:b w:val="false"/>
          <w:sz w:val="20"/>
        </w:rPr>
        <w:t>All of our product candidates are in clinical development or in varying stages of nonclinical development. Data supporting our drug discovery and nonclinical and clinical development programs are derived from laboratory studies, nonclinical studies and Phase 1 and Phase 2 clinical studies. It may be years before the larger, pivotal studies necessary to support regulatory approval of our current product candidates are completed, if ever.</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pStyle w:val="TextBody"/>
        <w:spacing w:before="200" w:after="0"/>
        <w:jc w:val="both"/>
        <w:rPr>
          <w:rFonts w:ascii="Times New Roman" w:hAnsi="Times New Roman"/>
          <w:sz w:val="20"/>
        </w:rPr>
      </w:pPr>
      <w:r>
        <w:rPr>
          <w:rFonts w:ascii="Times New Roman;serif" w:hAnsi="Times New Roman;serif"/>
          <w:b w:val="false"/>
          <w:sz w:val="20"/>
        </w:rPr>
        <w:t>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i/>
          <w:sz w:val="20"/>
        </w:rPr>
        <w:t>We are not currently profitable and might never become profitable, and we will need additional financing to complete the development of any product candidates and fund our activities into the future.</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debt financings and payments we may receive from out-licenses, collaborations or other strategic arrangements. Elevated worldwide inflation rates that began in mid-2021 and continue to persist may also exacerbate the substantial operating and capital expenditures that we face to advance our current and future product candidates.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There is no assurance that we will be successful in raising any necessary additional capital on terms that are acceptable to us, or at all, particularly due to the well-documented, ongoing sector-wide weakness in the biotech markets that began in early 2021. If we are unable to develop and commercialize any product candidates and generate sufficient revenue or raise capital, we could be forced to delay, scale back or discontinue product development and clinical studies, sacrifice attractive business opportunities, cease operations entirely and sell, or otherwise transfer, all or substantially all of our remaining assets, which would likely have a material adverse impact on our business, results of operations, financial condition and share price.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i/>
          <w:sz w:val="20"/>
        </w:rPr>
      </w:pPr>
      <w:r>
        <w:rPr>
          <w:rFonts w:ascii="Times New Roman;serif" w:hAnsi="Times New Roman;serif"/>
          <w:b/>
          <w:i/>
          <w:sz w:val="20"/>
        </w:rPr>
        <w:t>We may not be successful in establishing and maintaining collaborations, which could adversely affect our ability to develop certain of our product candidates.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Developing pharmaceutical products, conducting clinical trials, obtaining regulatory approval and commercializing those products are expensive and lengthy undertakings that require significant resources and expertise. We may seek to enter into collaborations, including licensing or partnering arrangements, with other companies to support the development and commercialization of any or multiple of our programs or to obtain financing or share costs on these programs and we are currently evaluating partnering options for our CI portfolio prior to further clinical development. If we are unable to enter into collaborations on acceptable terms, if at all, we may be unable to advance certain of our product candidates through further preclinical or clinical development. We expect to face competition in seeking appropriate partners. Moreover, collaboration arrangements are complex and time consuming to negotiate, document and implement and they may require substantial resources to maintain. We may not be successful in our efforts to establish and implement collaborations or other alternative arrangements for the development of our product candidates.</w:t>
      </w:r>
    </w:p>
    <w:p>
      <w:pPr>
        <w:pStyle w:val="TextBody"/>
        <w:spacing w:before="200" w:after="0"/>
        <w:jc w:val="both"/>
        <w:rPr>
          <w:rFonts w:ascii="Times New Roman" w:hAnsi="Times New Roman"/>
          <w:sz w:val="20"/>
        </w:rPr>
      </w:pPr>
      <w:r>
        <w:rPr>
          <w:rFonts w:ascii="Times New Roman;serif" w:hAnsi="Times New Roman;serif"/>
          <w:b w:val="false"/>
          <w:sz w:val="20"/>
        </w:rPr>
        <w:t>If we are unable to reach agreement on favorable terms with a suitable collaboration partner for any of our product candidates, we may need to limit the number of our product candidates to advance through further preclinical or clinical development. Failure to achieve successful collaborations would limit our options for support of the development and commercialization of our programs and for financing and would likely have a material adverse impact on our business, results of operations, financial condition and share price.</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i/>
          <w:sz w:val="20"/>
        </w:rPr>
        <w:t>Nonclinical and clinical studies required for our product candidates are expensive and time-consuming and may fail to demonstrate the level of safety and efficacy necessary for product approval.</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results of nonclinical studies may not be representative of disease behavior in a clinical setting and may not be predictive of the outcomes of our clinical studies. In addition, the results of early clinical studies of product candidates may not be predictive of the results of later-stage clinical studies.</w:t>
      </w:r>
    </w:p>
    <w:p>
      <w:pPr>
        <w:pStyle w:val="TextBody"/>
        <w:spacing w:before="200" w:after="0"/>
        <w:jc w:val="both"/>
        <w:rPr>
          <w:rFonts w:ascii="Times New Roman" w:hAnsi="Times New Roman"/>
          <w:sz w:val="20"/>
        </w:rPr>
      </w:pPr>
      <w:r>
        <w:rPr>
          <w:rFonts w:ascii="Times New Roman;serif" w:hAnsi="Times New Roman;serif"/>
          <w:b w:val="false"/>
          <w:sz w:val="20"/>
        </w:rPr>
        <w:t>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commencement and rate of completion of clinical studies might be delayed by many factors, including, for example:</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delays in reaching agreement with regulatory authorities on study design;</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delays in reaching agreement on acceptable terms with prospective CROs and clinical study sites;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failure to demonstrate efficacy or the emergence of unforeseen safety issues;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insufficient quantities of qualified materials under current good manufacturing practice (cGMP) for use in clinical studies due to manufacturing challenges, delays or interruptions in the supply chain;</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slower than expected rates of patient recruitment or 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delays in patients completing participation in a study or return for post-treatment follow-up for any reason, including, product side effects or disease progression;</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modification of clinical study protocols;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delays, suspension, or termination of clinical studies by the institutional review board or ethics committee responsible for overseeing the study at a particular study site; and</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government or other regulatory agency delays or clinical holds requiring suspension or termination of our clinical studies due to safety, tolerability or other issues related to our product candidates.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pStyle w:val="TextBody"/>
        <w:spacing w:before="200" w:after="0"/>
        <w:jc w:val="both"/>
        <w:rPr>
          <w:rFonts w:ascii="Times New Roman;serif" w:hAnsi="Times New Roman;serif"/>
          <w:b/>
          <w:i/>
          <w:sz w:val="20"/>
        </w:rPr>
      </w:pPr>
      <w:r>
        <w:rPr>
          <w:rFonts w:ascii="Times New Roman;serif" w:hAnsi="Times New Roman;serif"/>
          <w:b/>
          <w:i/>
          <w:sz w:val="20"/>
        </w:rPr>
        <w:t>We rely on CROs to conduct some of our nonclinical and clinical studies due to our lack of suitable facilities and resources. In addition, parts of our business are reliant on CROs, vendors, suppliers and other service providers that are located outside of the United States.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do not have sufficient facilities or resources to conduct all of our anticipated nonclinical and clinical studies 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even if the study is conducted by a CRO. In the event CROs fail to perform their duties in such a fashion or we are unable to retain or continue with CROs on acceptable terms, we may be unable to complete our clinical studies and may fail to obtain regulatory approval for our product candidates.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studies. If these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Furthermore, we are exposed to a number of risks related to our CROs, vendors, suppliers and other service providers that are located outside of the United States, many of which may be beyond our control. These risks include:</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business interruptions resulting from geopolitical actions such as Russia’s invasion of Ukraine and the resulting war, as well as tariffs, other wars, acts of terrorism, natural disasters or outbreaks of disease;</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different regulatory requirements for drug approvals in foreign countries;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different standards of care in various countries that could complicate the evaluation of our product candidates;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different U.S. and foreign drug import and export rules;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different reimbursement systems and different competitive drugs indicated to treat the indication for which our product candidates are being developed;</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reduced protection for intellectual property rights in certain countries;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unexpected changes in tariffs, trade barriers and regulatory requirements;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compliance with the United States Foreign Corrupt Practices Act (the FCPA) and other anti-corruption and anti-bribery laws;</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compliance with tax, employment, immigration and labor laws for employees living or traveling abroad;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foreign taxes, including withholding of payroll taxes; and</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foreign currency fluctuations and compliance with foreign currency exchange rules, which could result in increased operating expenses and reduced revenues, and other obligations incident to doing business in another country.</w:t>
      </w:r>
    </w:p>
    <w:p>
      <w:pPr>
        <w:pStyle w:val="TextBody"/>
        <w:spacing w:before="200" w:after="0"/>
        <w:jc w:val="both"/>
        <w:rPr>
          <w:rFonts w:ascii="Times New Roman;serif" w:hAnsi="Times New Roman;serif"/>
          <w:b/>
          <w:i/>
          <w:sz w:val="20"/>
        </w:rPr>
      </w:pPr>
      <w:r>
        <w:rPr>
          <w:rFonts w:ascii="Times New Roman;serif" w:hAnsi="Times New Roman;serif"/>
          <w:b/>
          <w:i/>
          <w:sz w:val="20"/>
        </w:rPr>
        <w:t>Top-line or preliminary data may not accurately reflect the final results of a particular study.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may publicly disclose top-line or preliminary data based on analysis of then-available efficacy, tolerability, PK and safety data, and the results and related findings and conclusions are subject to change following a more comprehensive review of the data related to the particular study. We also make assumptions, estimates, calculations and conclusions as part of our data analyses, and we may not have received or had the opportunity to fully and carefully evaluate all data prior to release. As a result, the top-line or preliminary results that we report may differ from final results of the same studies or different conclusions or considerations may qualify such results once additional data have been received and fully evaluated. Top-line data also remains subject to audit and verification procedures that may result in the final data differing materially from previously published preliminary data. As a result, top-line and preliminary data should be viewed with caution until the final data are available.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to top-line or preliminary results, the information that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or preliminary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pStyle w:val="TextBody"/>
        <w:spacing w:before="200" w:after="0"/>
        <w:jc w:val="both"/>
        <w:rPr>
          <w:rFonts w:ascii="Times New Roman;serif" w:hAnsi="Times New Roman;serif"/>
          <w:b/>
          <w:i/>
          <w:sz w:val="20"/>
        </w:rPr>
      </w:pPr>
      <w:r>
        <w:rPr>
          <w:rFonts w:ascii="Times New Roman;serif" w:hAnsi="Times New Roman;serif"/>
          <w:b/>
          <w:i/>
          <w:sz w:val="20"/>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rely on third-party manufacturers to supply the quantities of our investigational product candidates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drug substance and drug product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are exposed to the following risks with respect to the manufacture of our product candidates: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will need to identify manufacturers for commercial supply on acceptable terms, which we may be unable to do because the number of potential manufacturers is limited, and the FDA must evaluate and approve any new or replacement contractor.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Any third-party manufacturers with whom we contract might be unable to formulate and manufacture our product candidates in the volume and quality required to meet our clinical and, if approved, commercial needs in a timely manner.</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Any third-party manufacturers with whom we contract might not perform as agreed or might not remain in the contract manufacturing business for the time required to supply our products.</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One or more of any third-party manufacturers with whom we contract could be foreign, which increases the risk of shipping delays and adds the risk of import restrictions.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do not have complete control over, and cannot ensure, any third-party manufacturers’ compliance with cGMP and other government regulations and corresponding foreign requirements, including periodic FDA and state regulatory inspections.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may be required to share our trade secrets and know-how with third parties, increasing risk of misappropriation or disclosure of our intellectual property by or to third parties.</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When contracting with third-party manufacturers, we might compete with other companies for access to these manufacturers’ facilities and might be subject to manufacturing delays if the manufacturers give other clients higher priority than we are given.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Each of these risks could delay our development efforts, nonclinical studies and clinical studies or the approval, if any, of our product candidates by the FDA or applicable non-U.S. regulatory authorities and the commercialization of our product candidates. This could result in higher costs or deprive us of potential product revenues and materially harm our business, financial condition and results of operations.</w:t>
      </w:r>
    </w:p>
    <w:p>
      <w:pPr>
        <w:pStyle w:val="TextBody"/>
        <w:spacing w:before="200" w:after="0"/>
        <w:jc w:val="both"/>
        <w:rPr>
          <w:rFonts w:ascii="Times New Roman;serif" w:hAnsi="Times New Roman;serif"/>
          <w:b/>
          <w:i/>
          <w:sz w:val="20"/>
        </w:rPr>
      </w:pPr>
      <w:r>
        <w:rPr>
          <w:rFonts w:ascii="Times New Roman;serif" w:hAnsi="Times New Roman;serif"/>
          <w:b/>
          <w:i/>
          <w:sz w:val="20"/>
        </w:rPr>
        <w:t>If we lose key management personnel and cannot recruit and retain similarly qualified replacements, our business may materially suffer.</w:t>
      </w:r>
    </w:p>
    <w:p>
      <w:pPr>
        <w:pStyle w:val="TextBody"/>
        <w:spacing w:before="200" w:after="0"/>
        <w:jc w:val="both"/>
        <w:rPr>
          <w:rFonts w:ascii="Times New Roman" w:hAnsi="Times New Roman"/>
          <w:sz w:val="20"/>
        </w:rPr>
      </w:pPr>
      <w:r>
        <w:rPr>
          <w:rFonts w:ascii="Times New Roman;serif" w:hAnsi="Times New Roman;serif"/>
          <w:b w:val="false"/>
          <w:sz w:val="20"/>
        </w:rPr>
        <w:t>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unanticipated loss of any of these key employees could have a material adverse impact on our business, financial condition and results of operations.</w:t>
      </w:r>
      <w:r>
        <w:rPr>
          <w:rFonts w:ascii="Times New Roman" w:hAnsi="Times New Roman"/>
          <w:sz w:val="20"/>
        </w:rPr>
        <w:t xml:space="preserve"> </w:t>
      </w:r>
    </w:p>
    <w:p>
      <w:pPr>
        <w:pStyle w:val="TextBody"/>
        <w:spacing w:before="200" w:after="0"/>
        <w:jc w:val="both"/>
        <w:rPr>
          <w:rFonts w:ascii="Times New Roman;serif" w:hAnsi="Times New Roman;serif"/>
          <w:b/>
          <w:i/>
          <w:sz w:val="20"/>
        </w:rPr>
      </w:pPr>
      <w:r>
        <w:rPr>
          <w:rFonts w:ascii="Times New Roman;serif" w:hAnsi="Times New Roman;serif"/>
          <w:b/>
          <w:i/>
          <w:sz w:val="20"/>
        </w:rPr>
        <w:t>Our collaboration partners might delay, prevent or undermine the success of our product candidates.</w:t>
      </w:r>
    </w:p>
    <w:p>
      <w:pPr>
        <w:pStyle w:val="TextBody"/>
        <w:spacing w:before="200" w:after="0"/>
        <w:jc w:val="both"/>
        <w:rPr>
          <w:rFonts w:ascii="Times New Roman" w:hAnsi="Times New Roman"/>
          <w:sz w:val="20"/>
        </w:rPr>
      </w:pPr>
      <w:r>
        <w:rPr>
          <w:rFonts w:ascii="Times New Roman;serif" w:hAnsi="Times New Roman;serif"/>
          <w:b w:val="false"/>
          <w:sz w:val="20"/>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unsuccessful, we might require substantially greater capital to undertake development and marketing of our proposed products and might not be able to develop and market these products effectively, if at all. In addition, a lack of development and marketing collaborations might lead to significant delays in introducing proposed products into certain markets and/or reduced sales of proposed products in such markets.</w:t>
      </w:r>
    </w:p>
    <w:p>
      <w:pPr>
        <w:pStyle w:val="TextBody"/>
        <w:spacing w:before="200" w:after="0"/>
        <w:jc w:val="both"/>
        <w:rPr>
          <w:rFonts w:ascii="Times New Roman;serif" w:hAnsi="Times New Roman;serif"/>
          <w:b/>
          <w:i/>
          <w:sz w:val="20"/>
        </w:rPr>
      </w:pPr>
      <w:r>
        <w:rPr>
          <w:rFonts w:ascii="Times New Roman;serif" w:hAnsi="Times New Roman;serif"/>
          <w:b/>
          <w:i/>
          <w:sz w:val="20"/>
        </w:rPr>
        <w:t>We rely on data provided by third parties that has not been independently verified and could prove to be false, misleading, or incomplete.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adversely affected.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i/>
          <w:sz w:val="20"/>
        </w:rPr>
      </w:pPr>
      <w:r>
        <w:rPr>
          <w:rFonts w:ascii="Times New Roman;serif" w:hAnsi="Times New Roman;serif"/>
          <w:b/>
          <w:i/>
          <w:sz w:val="20"/>
        </w:rPr>
        <w:t>Significant disruptions of information technology systems or breaches of data security could materially and adversely affect our business, results of operations and financial condition.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 intrusions over the Internet, attachments to emails, persons inside our organization, or persons with access to systems inside our organization.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risk of a security breach or disruption, particularly through cyberattacks or cyber intrusion, has escalated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our efforts to address these problems may not be successful. If unsuccessful, these problems could cause interruptions, delays, cessation of service and other harm to our business and our competitive position, including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and its implementing rules and regulations, as well as regulations promulgated by the Federal Trade Commission, state breach notification law and the General Data Protection Regulation (GDPR) in the European Union (EU). We would also be exposed to a risk of loss or litigation and potential liability, which could materially adversely affect our business, results of operations and financial condition.</w:t>
      </w:r>
    </w:p>
    <w:p>
      <w:pPr>
        <w:pStyle w:val="TextBody"/>
        <w:spacing w:before="200" w:after="0"/>
        <w:jc w:val="both"/>
        <w:rPr>
          <w:rFonts w:ascii="Times New Roman;serif" w:hAnsi="Times New Roman;serif"/>
          <w:b/>
          <w:i/>
          <w:sz w:val="20"/>
        </w:rPr>
      </w:pPr>
      <w:r>
        <w:rPr>
          <w:rFonts w:ascii="Times New Roman;serif" w:hAnsi="Times New Roman;serif"/>
          <w:b/>
          <w:i/>
          <w:sz w:val="20"/>
        </w:rPr>
        <w:t>Research, development and commercialization goals may not be achieved in the timeframes that we publicly estimate, which could have an adverse impact on our business and could cause our stock price to decline.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stock could decline.</w:t>
      </w:r>
    </w:p>
    <w:p>
      <w:pPr>
        <w:pStyle w:val="TextBody"/>
        <w:spacing w:before="200" w:after="0"/>
        <w:jc w:val="both"/>
        <w:rPr>
          <w:rFonts w:ascii="Times New Roman;serif" w:hAnsi="Times New Roman;serif"/>
          <w:b/>
          <w:i/>
          <w:sz w:val="20"/>
        </w:rPr>
      </w:pPr>
      <w:r>
        <w:rPr>
          <w:rFonts w:ascii="Times New Roman;serif" w:hAnsi="Times New Roman;serif"/>
          <w:b/>
          <w:i/>
          <w:sz w:val="20"/>
        </w:rPr>
        <w:t>Developments by competitors might render our product candidates or technologies obsolete or non-competitive.</w:t>
      </w:r>
    </w:p>
    <w:p>
      <w:pPr>
        <w:pStyle w:val="TextBody"/>
        <w:spacing w:before="200" w:after="0"/>
        <w:jc w:val="both"/>
        <w:rPr>
          <w:rFonts w:ascii="Times New Roman" w:hAnsi="Times New Roman"/>
          <w:sz w:val="20"/>
        </w:rPr>
      </w:pPr>
      <w:r>
        <w:rPr>
          <w:rFonts w:ascii="Times New Roman;serif" w:hAnsi="Times New Roman;serif"/>
          <w:b w:val="false"/>
          <w:sz w:val="20"/>
        </w:rPr>
        <w:t>The pharmaceutical and biotechnology industries are intensely competitive. In addition, the clinical and commercial landscapes for HBV, HDV, high-recurrence genital herpes and transplant-related herpesviruses are rapidly changing; we expect new data from commercial and clinical-stage products to continue to emerge. We compete with organizations, some with significantly more resources, who are developing competitive product candidates. If our competitors develop effective treatments for HBV, HDV, high-recurrence genital herpes and transplant-related herpesviruses or any other indication or field we might pursue, and successfully commercialize those treatments, our business and prospects could be materially harmed.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i/>
          <w:sz w:val="20"/>
        </w:rPr>
      </w:pPr>
      <w:r>
        <w:rPr>
          <w:rFonts w:ascii="Times New Roman;serif" w:hAnsi="Times New Roman;serif"/>
          <w:b/>
          <w:i/>
          <w:sz w:val="20"/>
        </w:rPr>
        <w:t>Other companies with products using the same or similar mechanisms of action as ours may produce negative clinical data, which would adversely affect public and clinical communities’ perceptions of our product candidates, and may negatively impact regulatory approval of, or demand for, our potential products.</w:t>
      </w:r>
    </w:p>
    <w:p>
      <w:pPr>
        <w:pStyle w:val="TextBody"/>
        <w:spacing w:before="200" w:after="0"/>
        <w:jc w:val="both"/>
        <w:rPr>
          <w:rFonts w:ascii="Times New Roman" w:hAnsi="Times New Roman"/>
          <w:sz w:val="20"/>
        </w:rPr>
      </w:pPr>
      <w:r>
        <w:rPr>
          <w:rFonts w:ascii="Times New Roman;serif" w:hAnsi="Times New Roman;serif"/>
          <w:b w:val="false"/>
          <w:sz w:val="20"/>
        </w:rPr>
        <w:t>Negative data from clinical studies using a competitor’s product candidates with the same or similar mechanisms of action as ours could adversely impact the perception of the therapeutic use of our product candidates and our ability to enroll patients in clinical studies.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clinical and commercial success of our potential products will depend in part on the public and clinical communities’ acceptance of CIs, a novel class of product candidates. Moreover, our success depends upon physicians prescribing, and their patients being willing to receive, treatments that involve the use of our product candidates we may develop in lieu of, or in addition to, existing treatments with which they are already familiar and for which more clinical data may be available. Adverse events in our nonclinical or clinical studies or those of our competitors or of academic researchers utilizing the same mechanisms of action as our product candidates, even if not ultimately attributable to our product candidates, and any resulting publicity could result in increased governmental regulation, unfavorable public perception, potential regulatory delays in the testing or approval of our product candidates, stricter labeling requirements for our product candidates that are approved, if any, and a decrease in demand for any such products.</w:t>
      </w:r>
    </w:p>
    <w:p>
      <w:pPr>
        <w:pStyle w:val="TextBody"/>
        <w:spacing w:before="200" w:after="0"/>
        <w:jc w:val="both"/>
        <w:rPr>
          <w:rFonts w:ascii="Times New Roman;serif" w:hAnsi="Times New Roman;serif"/>
          <w:b/>
          <w:sz w:val="20"/>
        </w:rPr>
      </w:pPr>
      <w:r>
        <w:rPr>
          <w:rFonts w:ascii="Times New Roman;serif" w:hAnsi="Times New Roman;serif"/>
          <w:b/>
          <w:sz w:val="20"/>
        </w:rPr>
        <w:t>Risks Related to Our Regulatory and Legal Environment</w:t>
      </w:r>
    </w:p>
    <w:p>
      <w:pPr>
        <w:pStyle w:val="TextBody"/>
        <w:spacing w:before="200" w:after="0"/>
        <w:jc w:val="both"/>
        <w:rPr>
          <w:rFonts w:ascii="Times New Roman;serif" w:hAnsi="Times New Roman;serif"/>
          <w:b/>
          <w:i/>
          <w:sz w:val="20"/>
        </w:rPr>
      </w:pPr>
      <w:r>
        <w:rPr>
          <w:rFonts w:ascii="Times New Roman;serif" w:hAnsi="Times New Roman;serif"/>
          <w:b/>
          <w:i/>
          <w:sz w:val="20"/>
        </w:rPr>
        <w:t>We are and will be subject to extensive and costly government regulation and the failure to comply with these regulations may have a material adverse effect on our operations and business.</w:t>
      </w:r>
    </w:p>
    <w:p>
      <w:pPr>
        <w:pStyle w:val="TextBody"/>
        <w:spacing w:before="200" w:after="0"/>
        <w:jc w:val="both"/>
        <w:rPr>
          <w:rFonts w:ascii="Times New Roman" w:hAnsi="Times New Roman"/>
          <w:sz w:val="20"/>
        </w:rPr>
      </w:pPr>
      <w:r>
        <w:rPr>
          <w:rFonts w:ascii="Times New Roman;serif" w:hAnsi="Times New Roman;serif"/>
          <w:b w:val="false"/>
          <w:sz w:val="20"/>
        </w:rPr>
        <w:t>Our product candidates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we or our collaborators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we, our collaborators,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pStyle w:val="TextBody"/>
        <w:spacing w:before="200" w:after="0"/>
        <w:jc w:val="both"/>
        <w:rPr>
          <w:rFonts w:ascii="Times New Roman;serif" w:hAnsi="Times New Roman;serif"/>
          <w:b/>
          <w:i/>
          <w:sz w:val="20"/>
        </w:rPr>
      </w:pPr>
      <w:r>
        <w:rPr>
          <w:rFonts w:ascii="Times New Roman;serif" w:hAnsi="Times New Roman;serif"/>
          <w:b/>
          <w:i/>
          <w:sz w:val="20"/>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pStyle w:val="TextBody"/>
        <w:spacing w:before="200" w:after="0"/>
        <w:jc w:val="both"/>
        <w:rPr>
          <w:rFonts w:ascii="Times New Roman" w:hAnsi="Times New Roman"/>
          <w:sz w:val="20"/>
        </w:rPr>
      </w:pPr>
      <w:r>
        <w:rPr>
          <w:rFonts w:ascii="Times New Roman;serif" w:hAnsi="Times New Roman;serif"/>
          <w:b w:val="false"/>
          <w:sz w:val="20"/>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approval process might also be delayed by changes in government regulation, future legislation or administrative action or changes in FDA policy that occur prior to or during our regulatory review. Delays in obtaining regulatory approvals might: delay commercialization of, and our ability to derive product revenues from, our product candidates; impose costly procedures on us; and diminish any competitive advantages that we might otherwise enjoy.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pStyle w:val="TextBody"/>
        <w:spacing w:before="200" w:after="0"/>
        <w:jc w:val="both"/>
        <w:rPr>
          <w:rFonts w:ascii="Times New Roman;serif" w:hAnsi="Times New Roman;serif"/>
          <w:b/>
          <w:i/>
          <w:sz w:val="20"/>
        </w:rPr>
      </w:pPr>
      <w:r>
        <w:rPr>
          <w:rFonts w:ascii="Times New Roman;serif" w:hAnsi="Times New Roman;serif"/>
          <w:b/>
          <w:i/>
          <w:sz w:val="20"/>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If we fail to comply with any applicable federal, state or foreign legal requirement, we could be subject to penalties.</w:t>
      </w:r>
    </w:p>
    <w:p>
      <w:pPr>
        <w:pStyle w:val="TextBody"/>
        <w:spacing w:before="200" w:after="0"/>
        <w:jc w:val="both"/>
        <w:rPr>
          <w:rFonts w:ascii="Times New Roman" w:hAnsi="Times New Roman"/>
          <w:sz w:val="20"/>
        </w:rPr>
      </w:pPr>
      <w:r>
        <w:rPr>
          <w:rFonts w:ascii="Times New Roman;serif" w:hAnsi="Times New Roman;serif"/>
          <w:b w:val="false"/>
          <w:sz w:val="20"/>
        </w:rPr>
        <w:t>Regulators globally are imposing greater monetary fines for privacy violations. The GDPR applies to any company established in the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may increase our responsibility and liability in relation to personal data that we process and we may be required to put in place additional mechanisms to ensure compliance with the GDPR, including as implemented by individual countries. Compliance with the GDPR and other changes in laws or regulations associated with the enhanced protection of certain types of personal data, such as healthcare data or other sensitive information, could greatly increase our cost of developing our products or even prevent us from offering certain products in jurisdictions that we may operate in.</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California Consumer Privacy Act (CCPA) also created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study regulations, as currently written, the CCPA may impact our business activities. The uncertainty surrounding the implementation of the CCPA exemplifies the vulnerability of our business to the evolving regulatory environment related to personal data and protected health information.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Because of the breadth of these laws and the narrowness of the statutory exceptions and safe harbors available, it is possible that some of our business activities could be subject to challenge under one or more of such laws.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pStyle w:val="TextBody"/>
        <w:spacing w:before="200" w:after="0"/>
        <w:jc w:val="both"/>
        <w:rPr>
          <w:rFonts w:ascii="Times New Roman;serif" w:hAnsi="Times New Roman;serif"/>
          <w:b/>
          <w:i/>
          <w:sz w:val="20"/>
        </w:rPr>
      </w:pPr>
      <w:r>
        <w:rPr>
          <w:rFonts w:ascii="Times New Roman;serif" w:hAnsi="Times New Roman;serif"/>
          <w:b/>
          <w:i/>
          <w:sz w:val="20"/>
        </w:rPr>
        <w:t>We face the risk of product liability claims and might not be able to obtain insurance.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pStyle w:val="TextBody"/>
        <w:spacing w:before="200" w:after="0"/>
        <w:jc w:val="both"/>
        <w:rPr>
          <w:rFonts w:ascii="Times New Roman;serif" w:hAnsi="Times New Roman;serif"/>
          <w:b/>
          <w:i/>
          <w:sz w:val="20"/>
        </w:rPr>
      </w:pPr>
      <w:r>
        <w:rPr>
          <w:rFonts w:ascii="Times New Roman;serif" w:hAnsi="Times New Roman;serif"/>
          <w:b/>
          <w:i/>
          <w:sz w:val="20"/>
        </w:rPr>
        <w:t>We might be exposed to liability claims associated with the use of hazardous materials and chemicals.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 We do not carry hazardous materials liability insurance. We intend to obtain such insurance in the future, if necessary, but cannot give assurance that we will obtain such coverage.</w:t>
      </w:r>
    </w:p>
    <w:p>
      <w:pPr>
        <w:pStyle w:val="TextBody"/>
        <w:spacing w:before="200" w:after="0"/>
        <w:jc w:val="both"/>
        <w:rPr>
          <w:rFonts w:ascii="Times New Roman;serif" w:hAnsi="Times New Roman;serif"/>
          <w:b/>
          <w:i/>
          <w:sz w:val="20"/>
        </w:rPr>
      </w:pPr>
      <w:r>
        <w:rPr>
          <w:rFonts w:ascii="Times New Roman;serif" w:hAnsi="Times New Roman;serif"/>
          <w:b/>
          <w:i/>
          <w:sz w:val="20"/>
        </w:rPr>
        <w:t>Our employees, independent contractors, consultants, collaborators and CROs may engage in misconduct or other improper activities, including noncompliance with regulatory standards and requirements, which could result in significant liability for us and harm our reputation.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are exposed to the risk of fraud or other misconduct, including failure to:</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comply with applicable regulations of, and provide accurate information to, the FDA or comparable foreign regulatory authorities;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comply with federal and state healthcare fraud and abuse laws and regulations and similar laws and regulations established and enforced by comparable foreign regulatory authorities;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comply with the FCPA, the U.K. Bribery Act 2010, the PRC Criminal Law, the PRC Anti-unfair Competition Law and other anti-bribery and trade laws;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report financial information and data accurately; or</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disclose unauthorized activities.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pStyle w:val="TextBody"/>
        <w:spacing w:before="200" w:after="0"/>
        <w:jc w:val="both"/>
        <w:rPr>
          <w:rFonts w:ascii="Times New Roman;serif" w:hAnsi="Times New Roman;serif"/>
          <w:b/>
          <w:sz w:val="20"/>
        </w:rPr>
      </w:pPr>
      <w:r>
        <w:rPr>
          <w:rFonts w:ascii="Times New Roman;serif" w:hAnsi="Times New Roman;serif"/>
          <w:b/>
          <w:sz w:val="20"/>
        </w:rPr>
        <w:t>Risks Related to Our Intellectual Property</w:t>
      </w:r>
    </w:p>
    <w:p>
      <w:pPr>
        <w:pStyle w:val="TextBody"/>
        <w:spacing w:before="200" w:after="0"/>
        <w:jc w:val="both"/>
        <w:rPr>
          <w:rFonts w:ascii="Times New Roman;serif" w:hAnsi="Times New Roman;serif"/>
          <w:b/>
          <w:i/>
          <w:sz w:val="20"/>
        </w:rPr>
      </w:pPr>
      <w:r>
        <w:rPr>
          <w:rFonts w:ascii="Times New Roman;serif" w:hAnsi="Times New Roman;serif"/>
          <w:b/>
          <w:i/>
          <w:sz w:val="20"/>
        </w:rPr>
        <w:t>Our business depends on protecting our intellectual property.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we and our licensors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We cannot be certain that we will secure any rights to any issued patents with claims that cover any of our proprietary product candidates and technologies. The patent prosecution process is expensive and time-consuming, and we may be unable to file and prosecute all necessary or desirable patent applications at a reasonable cost or in a timely manner. We could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pStyle w:val="TextBody"/>
        <w:spacing w:before="200" w:after="0"/>
        <w:jc w:val="both"/>
        <w:rPr>
          <w:rFonts w:ascii="Times New Roman" w:hAnsi="Times New Roman"/>
          <w:sz w:val="20"/>
        </w:rPr>
      </w:pPr>
      <w:r>
        <w:rPr>
          <w:rFonts w:ascii="Times New Roman;serif" w:hAnsi="Times New Roman;serif"/>
          <w:b w:val="false"/>
          <w:sz w:val="20"/>
        </w:rPr>
        <w:t>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As a result, even if we or our licensors obtain patents, the patents might be substantially narrower than anticipated.</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Patent and other intellectual property protection is crucial to the success of our business and prospects, and there is a substantial risk that such protections, if obtained, will prove inadequate. The legal systems of certain countries,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pStyle w:val="TextBody"/>
        <w:spacing w:before="200" w:after="0"/>
        <w:jc w:val="both"/>
        <w:rPr>
          <w:rFonts w:ascii="Times New Roman;serif" w:hAnsi="Times New Roman;serif"/>
          <w:b/>
          <w:i/>
          <w:sz w:val="20"/>
        </w:rPr>
      </w:pPr>
      <w:r>
        <w:rPr>
          <w:rFonts w:ascii="Times New Roman;serif" w:hAnsi="Times New Roman;serif"/>
          <w:b/>
          <w:i/>
          <w:sz w:val="20"/>
        </w:rPr>
        <w:t>We may incur substantial costs as a result of litigation or other proceedings relating to our patents and other intellectual property rights.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pStyle w:val="TextBody"/>
        <w:spacing w:before="200" w:after="0"/>
        <w:jc w:val="both"/>
        <w:rPr>
          <w:rFonts w:ascii="Times New Roman;serif" w:hAnsi="Times New Roman;serif"/>
          <w:b/>
          <w:i/>
          <w:sz w:val="20"/>
        </w:rPr>
      </w:pPr>
      <w:r>
        <w:rPr>
          <w:rFonts w:ascii="Times New Roman;serif" w:hAnsi="Times New Roman;serif"/>
          <w:b/>
          <w:i/>
          <w:sz w:val="20"/>
        </w:rPr>
        <w:t>We may infringe the intellectual property rights of others, which may prevent or delay our product development efforts and stop us from commercializing or increase the costs of commercializing our product candidates.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pStyle w:val="TextBody"/>
        <w:spacing w:before="200" w:after="0"/>
        <w:jc w:val="both"/>
        <w:rPr>
          <w:rFonts w:ascii="Times New Roman;serif" w:hAnsi="Times New Roman;serif"/>
          <w:b/>
          <w:i/>
          <w:sz w:val="20"/>
        </w:rPr>
      </w:pPr>
      <w:r>
        <w:rPr>
          <w:rFonts w:ascii="Times New Roman;serif" w:hAnsi="Times New Roman;serif"/>
          <w:b/>
          <w:i/>
          <w:sz w:val="20"/>
        </w:rPr>
        <w:t>The cost of maintaining our patent protection globally is high and requires continuous review and compliance. We may not be able to effectively maintain our intellectual property position throughout the major markets of the world.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pStyle w:val="TextBody"/>
        <w:spacing w:before="200" w:after="0"/>
        <w:jc w:val="both"/>
        <w:rPr>
          <w:rFonts w:ascii="Times New Roman" w:hAnsi="Times New Roman"/>
          <w:sz w:val="20"/>
        </w:rPr>
      </w:pPr>
      <w:r>
        <w:rPr>
          <w:rFonts w:ascii="Times New Roman;serif" w:hAnsi="Times New Roman;serif"/>
          <w:b w:val="false"/>
          <w:sz w:val="20"/>
        </w:rPr>
        <w:t>We have made, and will continue to make, certain strategic decisions in balancing the costs and the potential protections afforded by the patent laws of certain countries. As a result, we may not be able to prevent third parties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from practicing our inventions in all countries, or from selling or importing products made using our inventions in and into the United States or other countries. Third parties may use our technologies in territories in which we have not 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pStyle w:val="TextBody"/>
        <w:spacing w:before="200" w:after="0"/>
        <w:jc w:val="both"/>
        <w:rPr>
          <w:rFonts w:ascii="Times New Roman;serif" w:hAnsi="Times New Roman;serif"/>
          <w:b/>
          <w:i/>
          <w:sz w:val="20"/>
        </w:rPr>
      </w:pPr>
      <w:r>
        <w:rPr>
          <w:rFonts w:ascii="Times New Roman;serif" w:hAnsi="Times New Roman;serif"/>
          <w:b/>
          <w:i/>
          <w:sz w:val="20"/>
        </w:rPr>
        <w:t>Intellectual property rights do not address all potential threats to any competitive advantage we may have.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Others may be able to make compounds that are the same as, or similar to, our current or future product candidates but that are not covered by the claims of the patents that we own or have exclusively licensed.</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or any of our licensors or strategic partners might not have been the first to make the inventions covered by the issued patents or pending patent applications that we own or have exclusively licensed.</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or any of our licensors or strategic partners might not have been the first to file patent applications covering certain of our inventions.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Others may independently develop similar or alternative technologies or duplicate any of our technologies without infringing our intellectual property rights.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prosecution of our pending patent applications may not result in granted patents.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Granted patents that we own or have exclusively licensed may not provide us with any competitive advantages, or may be held invalid or unenforceable, because of legal challenges by our competitors.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Patent protection on our product candidates may expire before we are able to develop and commercialize the product, or before we are able to recover our investment in the product.</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pStyle w:val="TextBody"/>
        <w:spacing w:before="200" w:after="0"/>
        <w:jc w:val="both"/>
        <w:rPr>
          <w:rFonts w:ascii="Times New Roman;serif" w:hAnsi="Times New Roman;serif"/>
          <w:b/>
          <w:i/>
          <w:sz w:val="20"/>
        </w:rPr>
      </w:pPr>
      <w:r>
        <w:rPr>
          <w:rFonts w:ascii="Times New Roman;serif" w:hAnsi="Times New Roman;serif"/>
          <w:b/>
          <w:i/>
          <w:sz w:val="20"/>
        </w:rPr>
        <w:t>The existence of counterfeit pharmaceutical products in pharmaceutical markets may damage our brand and reputation and have a material adverse effect on our business, operations and prospects.</w:t>
      </w:r>
    </w:p>
    <w:p>
      <w:pPr>
        <w:pStyle w:val="TextBody"/>
        <w:spacing w:before="200" w:after="0"/>
        <w:jc w:val="both"/>
        <w:rPr>
          <w:rFonts w:ascii="Times New Roman" w:hAnsi="Times New Roman"/>
          <w:sz w:val="20"/>
        </w:rPr>
      </w:pPr>
      <w:r>
        <w:rPr>
          <w:rFonts w:ascii="Times New Roman;serif" w:hAnsi="Times New Roman;serif"/>
          <w:b w:val="false"/>
          <w:sz w:val="20"/>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and lower quality (having different ingredients or formulations, for example), and have the potential to damage the reputation for quality and effectiveness of the genuine product.</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If counterfeit pharmaceuticals illegally sold or used for research result in adverse events or side effects to consumers, we may be associated with any negative publicity resulting from such incidents. In addition, counterfeit products could be used in nonclinical studies or clinical studies or could otherwise produce undesirable side effects or adverse events that may be attributed to our products as well, which could cause us or regulatory authorities to interrupt, delay or halt clinical studies and could result in the delay or denial of regulatory approval by the FDA or other regulatory authorities and potential product liability claims.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In China, although the government has increased the lower and upper limits on penalties on producers of counterfeit and substandard pharmaceuticals, these penalties have not eliminated counterfeit pharmaceuticals. As a result, we may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be unable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pStyle w:val="TextBody"/>
        <w:spacing w:before="200" w:after="0"/>
        <w:jc w:val="both"/>
        <w:rPr>
          <w:rFonts w:ascii="Times New Roman;serif" w:hAnsi="Times New Roman;serif"/>
          <w:b/>
          <w:sz w:val="20"/>
        </w:rPr>
      </w:pPr>
      <w:r>
        <w:rPr>
          <w:rFonts w:ascii="Times New Roman;serif" w:hAnsi="Times New Roman;serif"/>
          <w:b/>
          <w:sz w:val="20"/>
        </w:rPr>
        <w:t>Risks Related to Our Common Stock</w:t>
      </w:r>
    </w:p>
    <w:p>
      <w:pPr>
        <w:pStyle w:val="TextBody"/>
        <w:spacing w:before="200" w:after="0"/>
        <w:jc w:val="both"/>
        <w:rPr>
          <w:rFonts w:ascii="Times New Roman;serif" w:hAnsi="Times New Roman;serif"/>
          <w:b/>
          <w:i/>
          <w:sz w:val="20"/>
        </w:rPr>
      </w:pPr>
      <w:r>
        <w:rPr>
          <w:rFonts w:ascii="Times New Roman;serif" w:hAnsi="Times New Roman;serif"/>
          <w:b/>
          <w:i/>
          <w:sz w:val="20"/>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pStyle w:val="TextBody"/>
        <w:spacing w:before="200" w:after="0"/>
        <w:jc w:val="both"/>
        <w:rPr>
          <w:rFonts w:ascii="Times New Roman;serif" w:hAnsi="Times New Roman;serif"/>
          <w:b/>
          <w:i/>
          <w:sz w:val="20"/>
        </w:rPr>
      </w:pPr>
      <w:r>
        <w:rPr>
          <w:rFonts w:ascii="Times New Roman;serif" w:hAnsi="Times New Roman;serif"/>
          <w:b/>
          <w:i/>
          <w:sz w:val="20"/>
        </w:rPr>
        <w:t>The price of our common stock might fluctuate significantly, and you could lose all or part of your investment.</w:t>
      </w:r>
    </w:p>
    <w:p>
      <w:pPr>
        <w:pStyle w:val="TextBody"/>
        <w:spacing w:before="200" w:after="0"/>
        <w:jc w:val="both"/>
        <w:rPr>
          <w:rFonts w:ascii="Times New Roman" w:hAnsi="Times New Roman"/>
          <w:sz w:val="20"/>
        </w:rPr>
      </w:pPr>
      <w:r>
        <w:rPr>
          <w:rFonts w:ascii="Times New Roman;serif" w:hAnsi="Times New Roman;serif"/>
          <w:b w:val="false"/>
          <w:sz w:val="20"/>
        </w:rPr>
        <w:t>The price of our common stock fluctuates widely. Continued volatility in the market price of our common stock might prevent a stockholder from being able to sell shares of our common stock at or above the price paid for such shares. The trading price of our common stock may continue to be volatile and subject to wide price fluctuations in response to various factors, many of which are beyond our control, such as the progress, results and timing of our clinical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sz w:val="20"/>
        </w:rPr>
      </w:pPr>
      <w:bookmarkStart w:id="15" w:name="item_2_unregistered_sales_equity_securit"/>
      <w:bookmarkEnd w:id="15"/>
      <w:r>
        <w:rPr>
          <w:rFonts w:ascii="Times New Roman;serif" w:hAnsi="Times New Roman;serif"/>
          <w:b/>
          <w:sz w:val="20"/>
        </w:rPr>
        <w:t>Item 2. Unregistered Sales of Equity Securities and Use of Proceeds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None.</w:t>
      </w:r>
    </w:p>
    <w:p>
      <w:pPr>
        <w:pStyle w:val="TextBody"/>
        <w:spacing w:before="200" w:after="0"/>
        <w:jc w:val="both"/>
        <w:rPr>
          <w:rFonts w:ascii="Times New Roman;serif" w:hAnsi="Times New Roman;serif"/>
          <w:b/>
          <w:sz w:val="20"/>
        </w:rPr>
      </w:pPr>
      <w:bookmarkStart w:id="16" w:name="item_3_defaults_upon_senior_securities"/>
      <w:bookmarkEnd w:id="16"/>
      <w:r>
        <w:rPr>
          <w:rFonts w:ascii="Times New Roman;serif" w:hAnsi="Times New Roman;serif"/>
          <w:b/>
          <w:sz w:val="20"/>
        </w:rPr>
        <w:t>Item 3. Defaults upon Senior Securities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None.</w:t>
      </w:r>
    </w:p>
    <w:p>
      <w:pPr>
        <w:pStyle w:val="TextBody"/>
        <w:spacing w:before="200" w:after="0"/>
        <w:jc w:val="both"/>
        <w:rPr>
          <w:rFonts w:ascii="Times New Roman;serif" w:hAnsi="Times New Roman;serif"/>
          <w:b/>
          <w:sz w:val="20"/>
        </w:rPr>
      </w:pPr>
      <w:bookmarkStart w:id="17" w:name="item_4_mine_safety_disclosures"/>
      <w:bookmarkEnd w:id="17"/>
      <w:r>
        <w:rPr>
          <w:rFonts w:ascii="Times New Roman;serif" w:hAnsi="Times New Roman;serif"/>
          <w:b/>
          <w:sz w:val="20"/>
        </w:rPr>
        <w:t>Item 4. Mine Safety Disclosures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200" w:after="0"/>
        <w:jc w:val="both"/>
        <w:rPr>
          <w:rFonts w:ascii="Times New Roman" w:hAnsi="Times New Roman"/>
          <w:sz w:val="20"/>
        </w:rPr>
      </w:pPr>
      <w:bookmarkStart w:id="18" w:name="item_5_or_information"/>
      <w:bookmarkEnd w:id="18"/>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sz w:val="20"/>
        </w:rPr>
      </w:pPr>
      <w:bookmarkStart w:id="19" w:name="item_6_exhibits"/>
      <w:bookmarkEnd w:id="19"/>
      <w:r>
        <w:rPr>
          <w:rFonts w:ascii="Times New Roman;serif" w:hAnsi="Times New Roman;serif"/>
          <w:b/>
          <w:sz w:val="20"/>
        </w:rPr>
        <w:t>Item 6. Exhibits</w:t>
      </w:r>
    </w:p>
    <w:p>
      <w:pPr>
        <w:pStyle w:val="TextBody"/>
        <w:spacing w:before="20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 xml:space="preserve">Exhibits. </w:t>
      </w:r>
      <w:r>
        <w:rPr>
          <w:rFonts w:ascii="Times New Roman;serif" w:hAnsi="Times New Roman;serif"/>
          <w:b w:val="false"/>
          <w:sz w:val="20"/>
        </w:rPr>
        <w:t>The following exhibits are filed or furnished, as applicable, as part of this quarterly report on Form 10-Q:</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773"/>
        <w:gridCol w:w="146"/>
        <w:gridCol w:w="5373"/>
        <w:gridCol w:w="146"/>
        <w:gridCol w:w="781"/>
        <w:gridCol w:w="146"/>
        <w:gridCol w:w="1066"/>
        <w:gridCol w:w="146"/>
        <w:gridCol w:w="745"/>
        <w:gridCol w:w="146"/>
        <w:gridCol w:w="737"/>
      </w:tblGrid>
      <w:tr>
        <w:trPr/>
        <w:tc>
          <w:tcPr>
            <w:tcW w:w="77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7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r>
      <w:tr>
        <w:trPr/>
        <w:tc>
          <w:tcPr>
            <w:tcW w:w="7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3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Description of Document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Filed</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Herewith</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Incorporated</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by Reference</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from</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r>
      <w:tr>
        <w:trPr/>
        <w:tc>
          <w:tcPr>
            <w:tcW w:w="7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4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7" w:type="dxa"/>
            <w:tcBorders/>
            <w:shd w:fill="auto" w:val="clear"/>
            <w:vAlign w:val="center"/>
          </w:tcPr>
          <w:p>
            <w:pPr>
              <w:pStyle w:val="TableContents"/>
              <w:spacing w:before="0" w:after="0"/>
              <w:ind w:left="0" w:right="0" w:hanging="0"/>
              <w:jc w:val="center"/>
              <w:rPr/>
            </w:pPr>
            <w:r>
              <w:rPr/>
              <w:t> </w:t>
            </w:r>
          </w:p>
        </w:tc>
      </w:tr>
      <w:tr>
        <w:trPr/>
        <w:tc>
          <w:tcPr>
            <w:tcW w:w="77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10.1#</w:t>
            </w:r>
          </w:p>
        </w:tc>
        <w:tc>
          <w:tcPr>
            <w:tcW w:w="146" w:type="dxa"/>
            <w:tcBorders/>
            <w:shd w:fill="auto" w:val="clear"/>
            <w:vAlign w:val="center"/>
          </w:tcPr>
          <w:p>
            <w:pPr>
              <w:pStyle w:val="TableContents"/>
              <w:spacing w:before="0" w:after="0"/>
              <w:ind w:left="0" w:right="0" w:hanging="0"/>
              <w:jc w:val="left"/>
              <w:rPr/>
            </w:pPr>
            <w:r>
              <w:rPr/>
              <w:t> </w:t>
            </w:r>
          </w:p>
        </w:tc>
        <w:tc>
          <w:tcPr>
            <w:tcW w:w="5373" w:type="dxa"/>
            <w:tcBorders/>
            <w:shd w:fill="auto" w:val="clear"/>
            <w:vAlign w:val="center"/>
          </w:tcPr>
          <w:p>
            <w:pPr>
              <w:pStyle w:val="TableContents"/>
              <w:spacing w:before="0" w:after="0"/>
              <w:ind w:left="0" w:right="0" w:hanging="0"/>
              <w:jc w:val="left"/>
              <w:rPr/>
            </w:pPr>
            <w:hyperlink r:id="rId2">
              <w:r>
                <w:rPr>
                  <w:rStyle w:val="InternetLink"/>
                  <w:rFonts w:ascii="Times New Roman;serif" w:hAnsi="Times New Roman;serif"/>
                  <w:b w:val="false"/>
                  <w:sz w:val="20"/>
                  <w:u w:val="single"/>
                </w:rPr>
                <w:t>Form of Notice of Stock Option Grant and Stock Option Agreement under the Amended and Restated 2014 Stock Incentive Plan.</w:t>
              </w:r>
            </w:hyperlink>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10-K</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4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03/22/2023</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7"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10.12</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tc>
      </w:tr>
      <w:tr>
        <w:trPr/>
        <w:tc>
          <w:tcPr>
            <w:tcW w:w="7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left"/>
              <w:rPr/>
            </w:pPr>
            <w:r>
              <w:rPr/>
              <w:t> </w:t>
            </w:r>
          </w:p>
        </w:tc>
      </w:tr>
      <w:tr>
        <w:trPr/>
        <w:tc>
          <w:tcPr>
            <w:tcW w:w="77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10.2#</w:t>
            </w:r>
          </w:p>
        </w:tc>
        <w:tc>
          <w:tcPr>
            <w:tcW w:w="146" w:type="dxa"/>
            <w:tcBorders/>
            <w:shd w:fill="auto" w:val="clear"/>
            <w:vAlign w:val="center"/>
          </w:tcPr>
          <w:p>
            <w:pPr>
              <w:pStyle w:val="TableContents"/>
              <w:spacing w:before="0" w:after="0"/>
              <w:ind w:left="0" w:right="0" w:hanging="0"/>
              <w:jc w:val="left"/>
              <w:rPr/>
            </w:pPr>
            <w:r>
              <w:rPr/>
              <w:t> </w:t>
            </w:r>
          </w:p>
        </w:tc>
        <w:tc>
          <w:tcPr>
            <w:tcW w:w="5373" w:type="dxa"/>
            <w:tcBorders/>
            <w:shd w:fill="auto" w:val="clear"/>
            <w:vAlign w:val="center"/>
          </w:tcPr>
          <w:p>
            <w:pPr>
              <w:pStyle w:val="TableContents"/>
              <w:spacing w:before="0" w:after="0"/>
              <w:ind w:left="0" w:right="0" w:hanging="0"/>
              <w:jc w:val="left"/>
              <w:rPr/>
            </w:pPr>
            <w:hyperlink r:id="rId3">
              <w:r>
                <w:rPr>
                  <w:rStyle w:val="InternetLink"/>
                  <w:rFonts w:ascii="Times New Roman;serif" w:hAnsi="Times New Roman;serif"/>
                  <w:b w:val="false"/>
                  <w:sz w:val="20"/>
                  <w:u w:val="single"/>
                </w:rPr>
                <w:t>Form of Notice of Stock Option Grant and Stock Option Agreement under the 2018 Stock Incentive Plan.</w:t>
              </w:r>
            </w:hyperlink>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10-K</w:t>
            </w:r>
          </w:p>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4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03/22/2023</w:t>
            </w:r>
          </w:p>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7"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10.22</w:t>
            </w:r>
          </w:p>
          <w:p>
            <w:pPr>
              <w:pStyle w:val="TableContents"/>
              <w:spacing w:before="0" w:after="0"/>
              <w:ind w:left="0" w:right="0" w:hanging="0"/>
              <w:jc w:val="center"/>
              <w:rPr/>
            </w:pPr>
            <w:r>
              <w:rPr/>
              <w:t> </w:t>
            </w:r>
          </w:p>
        </w:tc>
      </w:tr>
      <w:tr>
        <w:trPr/>
        <w:tc>
          <w:tcPr>
            <w:tcW w:w="7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left"/>
              <w:rPr/>
            </w:pPr>
            <w:r>
              <w:rPr/>
              <w:t> </w:t>
            </w:r>
          </w:p>
        </w:tc>
      </w:tr>
      <w:tr>
        <w:trPr/>
        <w:tc>
          <w:tcPr>
            <w:tcW w:w="77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31.1</w:t>
            </w:r>
          </w:p>
        </w:tc>
        <w:tc>
          <w:tcPr>
            <w:tcW w:w="146" w:type="dxa"/>
            <w:tcBorders/>
            <w:shd w:fill="auto" w:val="clear"/>
            <w:vAlign w:val="center"/>
          </w:tcPr>
          <w:p>
            <w:pPr>
              <w:pStyle w:val="TableContents"/>
              <w:spacing w:before="0" w:after="0"/>
              <w:ind w:left="0" w:right="0" w:hanging="0"/>
              <w:jc w:val="left"/>
              <w:rPr/>
            </w:pPr>
            <w:r>
              <w:rPr/>
              <w:t> </w:t>
            </w:r>
          </w:p>
        </w:tc>
        <w:tc>
          <w:tcPr>
            <w:tcW w:w="5373" w:type="dxa"/>
            <w:tcBorders/>
            <w:shd w:fill="auto" w:val="clear"/>
            <w:vAlign w:val="center"/>
          </w:tcPr>
          <w:p>
            <w:pPr>
              <w:pStyle w:val="TableContents"/>
              <w:spacing w:before="0" w:after="0"/>
              <w:ind w:left="0" w:right="0" w:hanging="0"/>
              <w:jc w:val="left"/>
              <w:rPr/>
            </w:pPr>
            <w:hyperlink w:anchor="asmb-ex31_1.htm">
              <w:r>
                <w:rPr>
                  <w:rStyle w:val="InternetLink"/>
                  <w:rFonts w:ascii="Times New Roman;serif" w:hAnsi="Times New Roman;serif"/>
                  <w:b w:val="false"/>
                  <w:sz w:val="20"/>
                  <w:u w:val="single"/>
                </w:rPr>
                <w:t>Certification of Chief Executive Officer Pursuant to Section 302 of the Sarbanes-Oxley Act of 2002.</w:t>
              </w:r>
            </w:hyperlink>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45"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7" w:type="dxa"/>
            <w:tcBorders/>
            <w:shd w:fill="auto" w:val="clear"/>
            <w:vAlign w:val="center"/>
          </w:tcPr>
          <w:p>
            <w:pPr>
              <w:pStyle w:val="TableContents"/>
              <w:spacing w:before="0" w:after="283"/>
              <w:ind w:left="0" w:right="0" w:hanging="0"/>
              <w:rPr>
                <w:sz w:val="4"/>
                <w:szCs w:val="4"/>
              </w:rPr>
            </w:pPr>
            <w:r>
              <w:rPr>
                <w:sz w:val="4"/>
                <w:szCs w:val="4"/>
              </w:rPr>
            </w:r>
          </w:p>
        </w:tc>
      </w:tr>
      <w:tr>
        <w:trPr/>
        <w:tc>
          <w:tcPr>
            <w:tcW w:w="7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center"/>
              <w:rPr/>
            </w:pPr>
            <w:r>
              <w:rPr/>
              <w:t> </w:t>
            </w:r>
          </w:p>
        </w:tc>
      </w:tr>
      <w:tr>
        <w:trPr/>
        <w:tc>
          <w:tcPr>
            <w:tcW w:w="77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32.1*</w:t>
            </w:r>
          </w:p>
        </w:tc>
        <w:tc>
          <w:tcPr>
            <w:tcW w:w="146" w:type="dxa"/>
            <w:tcBorders/>
            <w:shd w:fill="auto" w:val="clear"/>
            <w:vAlign w:val="center"/>
          </w:tcPr>
          <w:p>
            <w:pPr>
              <w:pStyle w:val="TableContents"/>
              <w:spacing w:before="0" w:after="0"/>
              <w:ind w:left="0" w:right="0" w:hanging="0"/>
              <w:jc w:val="left"/>
              <w:rPr/>
            </w:pPr>
            <w:r>
              <w:rPr/>
              <w:t> </w:t>
            </w:r>
          </w:p>
        </w:tc>
        <w:tc>
          <w:tcPr>
            <w:tcW w:w="5373" w:type="dxa"/>
            <w:tcBorders/>
            <w:shd w:fill="auto" w:val="clear"/>
            <w:vAlign w:val="center"/>
          </w:tcPr>
          <w:p>
            <w:pPr>
              <w:pStyle w:val="TableContents"/>
              <w:spacing w:before="0" w:after="0"/>
              <w:ind w:left="0" w:right="0" w:hanging="0"/>
              <w:jc w:val="left"/>
              <w:rPr/>
            </w:pPr>
            <w:hyperlink w:anchor="asmb-ex32_1.htm">
              <w:r>
                <w:rPr>
                  <w:rStyle w:val="InternetLink"/>
                  <w:rFonts w:ascii="Times New Roman;serif" w:hAnsi="Times New Roman;serif"/>
                  <w:b w:val="false"/>
                  <w:sz w:val="20"/>
                  <w:u w:val="single"/>
                </w:rPr>
                <w:t>Certification of Chief Executive Officer Pursuant to Section 906 of the Sarbanes-Oxley Act of 2002.</w:t>
              </w:r>
            </w:hyperlink>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45"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7" w:type="dxa"/>
            <w:tcBorders/>
            <w:shd w:fill="auto" w:val="clear"/>
            <w:vAlign w:val="center"/>
          </w:tcPr>
          <w:p>
            <w:pPr>
              <w:pStyle w:val="TableContents"/>
              <w:spacing w:before="0" w:after="283"/>
              <w:ind w:left="0" w:right="0" w:hanging="0"/>
              <w:rPr>
                <w:sz w:val="4"/>
                <w:szCs w:val="4"/>
              </w:rPr>
            </w:pPr>
            <w:r>
              <w:rPr>
                <w:sz w:val="4"/>
                <w:szCs w:val="4"/>
              </w:rPr>
            </w:r>
          </w:p>
        </w:tc>
      </w:tr>
      <w:tr>
        <w:trPr/>
        <w:tc>
          <w:tcPr>
            <w:tcW w:w="7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left"/>
              <w:rPr/>
            </w:pPr>
            <w:r>
              <w:rPr/>
              <w:t> </w:t>
            </w:r>
          </w:p>
        </w:tc>
      </w:tr>
      <w:tr>
        <w:trPr/>
        <w:tc>
          <w:tcPr>
            <w:tcW w:w="7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0"/>
              <w:ind w:left="0" w:right="0" w:hanging="0"/>
              <w:jc w:val="left"/>
              <w:rPr/>
            </w:pPr>
            <w:r>
              <w:rPr/>
              <w:t> </w:t>
            </w:r>
          </w:p>
        </w:tc>
        <w:tc>
          <w:tcPr>
            <w:tcW w:w="53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left"/>
              <w:rPr/>
            </w:pPr>
            <w:r>
              <w:rPr/>
              <w:t> </w:t>
            </w:r>
          </w:p>
        </w:tc>
      </w:tr>
      <w:tr>
        <w:trPr/>
        <w:tc>
          <w:tcPr>
            <w:tcW w:w="7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left"/>
              <w:rPr/>
            </w:pPr>
            <w:r>
              <w:rPr/>
              <w:t> </w:t>
            </w:r>
          </w:p>
        </w:tc>
      </w:tr>
      <w:tr>
        <w:trPr/>
        <w:tc>
          <w:tcPr>
            <w:tcW w:w="7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0"/>
              <w:ind w:left="0" w:right="0" w:hanging="0"/>
              <w:jc w:val="left"/>
              <w:rPr/>
            </w:pPr>
            <w:r>
              <w:rPr/>
              <w:t> </w:t>
            </w:r>
          </w:p>
        </w:tc>
        <w:tc>
          <w:tcPr>
            <w:tcW w:w="53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left"/>
              <w:rPr/>
            </w:pPr>
            <w:r>
              <w:rPr/>
              <w:t> </w:t>
            </w:r>
          </w:p>
        </w:tc>
      </w:tr>
      <w:tr>
        <w:trPr/>
        <w:tc>
          <w:tcPr>
            <w:tcW w:w="7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left"/>
              <w:rPr/>
            </w:pPr>
            <w:r>
              <w:rPr/>
              <w:t> </w:t>
            </w:r>
          </w:p>
        </w:tc>
      </w:tr>
      <w:tr>
        <w:trPr/>
        <w:tc>
          <w:tcPr>
            <w:tcW w:w="7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0"/>
              <w:ind w:left="0" w:right="0" w:hanging="0"/>
              <w:jc w:val="left"/>
              <w:rPr/>
            </w:pPr>
            <w:r>
              <w:rPr/>
              <w:t> </w:t>
            </w:r>
          </w:p>
        </w:tc>
        <w:tc>
          <w:tcPr>
            <w:tcW w:w="53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left"/>
              <w:rPr/>
            </w:pPr>
            <w:r>
              <w:rPr/>
              <w:t> </w:t>
            </w:r>
          </w:p>
        </w:tc>
      </w:tr>
      <w:tr>
        <w:trPr/>
        <w:tc>
          <w:tcPr>
            <w:tcW w:w="7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left"/>
              <w:rPr/>
            </w:pPr>
            <w:r>
              <w:rPr/>
              <w:t> </w:t>
            </w:r>
          </w:p>
        </w:tc>
      </w:tr>
      <w:tr>
        <w:trPr/>
        <w:tc>
          <w:tcPr>
            <w:tcW w:w="7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vAlign w:val="center"/>
          </w:tcPr>
          <w:p>
            <w:pPr>
              <w:pStyle w:val="TableContents"/>
              <w:spacing w:before="0" w:after="0"/>
              <w:ind w:left="0" w:right="0" w:hanging="0"/>
              <w:jc w:val="left"/>
              <w:rPr/>
            </w:pPr>
            <w:r>
              <w:rPr/>
              <w:t> </w:t>
            </w:r>
          </w:p>
        </w:tc>
        <w:tc>
          <w:tcPr>
            <w:tcW w:w="53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left"/>
              <w:rPr/>
            </w:pPr>
            <w:r>
              <w:rPr/>
              <w:t> </w:t>
            </w:r>
          </w:p>
        </w:tc>
      </w:tr>
      <w:tr>
        <w:trPr/>
        <w:tc>
          <w:tcPr>
            <w:tcW w:w="7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left"/>
              <w:rPr/>
            </w:pPr>
            <w:r>
              <w:rPr/>
              <w:t> </w:t>
            </w:r>
          </w:p>
        </w:tc>
      </w:tr>
      <w:tr>
        <w:trPr/>
        <w:tc>
          <w:tcPr>
            <w:tcW w:w="7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0"/>
              <w:ind w:left="0" w:right="0" w:hanging="0"/>
              <w:jc w:val="left"/>
              <w:rPr/>
            </w:pPr>
            <w:r>
              <w:rPr/>
              <w:t> </w:t>
            </w:r>
          </w:p>
        </w:tc>
        <w:tc>
          <w:tcPr>
            <w:tcW w:w="53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left"/>
              <w:rPr/>
            </w:pPr>
            <w:r>
              <w:rPr/>
              <w:t> </w:t>
            </w:r>
          </w:p>
        </w:tc>
      </w:tr>
      <w:tr>
        <w:trPr/>
        <w:tc>
          <w:tcPr>
            <w:tcW w:w="7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7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left"/>
              <w:rPr/>
            </w:pPr>
            <w:r>
              <w:rPr/>
              <w:t> </w:t>
            </w:r>
          </w:p>
        </w:tc>
      </w:tr>
      <w:tr>
        <w:trPr/>
        <w:tc>
          <w:tcPr>
            <w:tcW w:w="7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53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with applicable taxonomy extension information contained in Exhibits 101).</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Represents management contracts or compensatory plans or agreements.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The certification attached as Exhibit 32.1 that accompanies this Quarterly Report on Form 10-Q is to be deemed furnished and shall not be deemed “filed” with the SEC and is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0" w:after="0"/>
        <w:jc w:val="both"/>
        <w:rPr/>
      </w:pPr>
      <w:bookmarkStart w:id="20" w:name="signathure"/>
      <w:bookmarkEnd w:id="20"/>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accordance with the requirements of the Securities Exchange Act of 1934, the registrant caused this report to be signed on its behalf by the undersigned, thereunto duly authorized.</w:t>
      </w:r>
    </w:p>
    <w:p>
      <w:pPr>
        <w:pStyle w:val="TextBody"/>
        <w:spacing w:before="0" w:after="0"/>
        <w:jc w:val="both"/>
        <w:rPr/>
      </w:pPr>
      <w:r>
        <w:rPr/>
        <w:t> </w:t>
      </w:r>
    </w:p>
    <w:tbl>
      <w:tblPr>
        <w:tblW w:w="7053" w:type="dxa"/>
        <w:jc w:val="left"/>
        <w:tblInd w:w="0" w:type="dxa"/>
        <w:tblCellMar>
          <w:top w:w="28" w:type="dxa"/>
          <w:left w:w="28" w:type="dxa"/>
          <w:bottom w:w="28" w:type="dxa"/>
          <w:right w:w="28" w:type="dxa"/>
        </w:tblCellMar>
      </w:tblPr>
      <w:tblGrid>
        <w:gridCol w:w="1636"/>
        <w:gridCol w:w="406"/>
        <w:gridCol w:w="5011"/>
      </w:tblGrid>
      <w:tr>
        <w:trPr/>
        <w:tc>
          <w:tcPr>
            <w:tcW w:w="163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501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5417" w:type="dxa"/>
            <w:gridSpan w:val="2"/>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Assembly Biosciences, Inc.</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5011" w:type="dxa"/>
            <w:tcBorders/>
            <w:shd w:fill="auto" w:val="cle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01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Jason A. Okazaki</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5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Jason A. Okazaki</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5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and President</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5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 and Principal Financial Officer)</w:t>
            </w:r>
          </w:p>
        </w:tc>
      </w:tr>
    </w:tbl>
    <w:p>
      <w:pPr>
        <w:pStyle w:val="TextBody"/>
        <w:spacing w:before="0" w:after="0"/>
        <w:jc w:val="both"/>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r>
        <w:br w:type="page"/>
      </w:r>
    </w:p>
    <w:p>
      <w:pPr>
        <w:pStyle w:val="TextBody"/>
        <w:spacing w:before="0" w:after="0"/>
        <w:jc w:val="left"/>
        <w:rPr/>
      </w:pPr>
      <w:bookmarkStart w:id="21" w:name="asmb-ex31_1.htm"/>
      <w:bookmarkStart w:id="22" w:name="ksasmbex31_1"/>
      <w:bookmarkEnd w:id="21"/>
      <w:bookmarkEnd w:id="22"/>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240" w:after="0"/>
        <w:jc w:val="center"/>
        <w:rPr>
          <w:rFonts w:ascii="Times New Roman;serif" w:hAnsi="Times New Roman;serif"/>
          <w:b/>
          <w:sz w:val="20"/>
        </w:rPr>
      </w:pPr>
      <w:r>
        <w:rPr>
          <w:rFonts w:ascii="Times New Roman;serif" w:hAnsi="Times New Roman;serif"/>
          <w:b/>
          <w:sz w:val="20"/>
        </w:rPr>
        <w:t>CERTIFICATION</w:t>
      </w:r>
    </w:p>
    <w:p>
      <w:pPr>
        <w:pStyle w:val="TextBody"/>
        <w:spacing w:before="200" w:after="0"/>
        <w:jc w:val="both"/>
        <w:rPr>
          <w:rFonts w:ascii="Times New Roman" w:hAnsi="Times New Roman"/>
          <w:sz w:val="20"/>
        </w:rPr>
      </w:pPr>
      <w:r>
        <w:rPr>
          <w:rFonts w:ascii="Times New Roman;serif" w:hAnsi="Times New Roman;serif"/>
          <w:b w:val="false"/>
          <w:sz w:val="20"/>
        </w:rPr>
        <w:t>I, Jason A. Okazaki, certify that:</w:t>
      </w:r>
      <w:r>
        <w:rPr>
          <w:rFonts w:ascii="Times New Roman" w:hAnsi="Times New Roman"/>
          <w:sz w:val="20"/>
        </w:rPr>
        <w:t xml:space="preserve"> </w:t>
      </w:r>
    </w:p>
    <w:p>
      <w:pPr>
        <w:pStyle w:val="TextBody"/>
        <w:spacing w:before="200" w:after="0"/>
        <w:jc w:val="both"/>
        <w:rPr>
          <w:rFonts w:ascii="Times New Roman" w:hAnsi="Times New Roman"/>
          <w:b w:val="false"/>
          <w:sz w:val="20"/>
        </w:rPr>
      </w:pPr>
      <w:r>
        <w:rPr>
          <w:rFonts w:ascii="Times New Roman" w:hAnsi="Times New Roman"/>
          <w:b w:val="false"/>
          <w:sz w:val="20"/>
        </w:rPr>
        <w:t>1.</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 have reviewed this Quarterly Report on Form 10</w:t>
        <w:noBreakHyphen/>
        <w:t xml:space="preserve">Q of Assembly Biosciences, Inc.; </w:t>
      </w:r>
    </w:p>
    <w:p>
      <w:pPr>
        <w:pStyle w:val="TextBody"/>
        <w:spacing w:before="200" w:after="0"/>
        <w:jc w:val="both"/>
        <w:rPr>
          <w:rFonts w:ascii="Times New Roman" w:hAnsi="Times New Roman"/>
          <w:b w:val="false"/>
          <w:sz w:val="20"/>
        </w:rPr>
      </w:pPr>
      <w:r>
        <w:rPr>
          <w:rFonts w:ascii="Times New Roman" w:hAnsi="Times New Roman"/>
          <w:b w:val="false"/>
          <w:sz w:val="20"/>
        </w:rPr>
        <w:t>2.</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200" w:after="0"/>
        <w:jc w:val="both"/>
        <w:rPr>
          <w:rFonts w:ascii="Times New Roman" w:hAnsi="Times New Roman"/>
          <w:b w:val="false"/>
          <w:sz w:val="20"/>
        </w:rPr>
      </w:pPr>
      <w:r>
        <w:rPr>
          <w:rFonts w:ascii="Times New Roman" w:hAnsi="Times New Roman"/>
          <w:b w:val="false"/>
          <w:sz w:val="20"/>
        </w:rPr>
        <w:t>3.</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200" w:after="0"/>
        <w:jc w:val="both"/>
        <w:rPr>
          <w:rFonts w:ascii="Times New Roman" w:hAnsi="Times New Roman"/>
          <w:b w:val="false"/>
          <w:sz w:val="20"/>
        </w:rPr>
      </w:pPr>
      <w:r>
        <w:rPr>
          <w:rFonts w:ascii="Times New Roman" w:hAnsi="Times New Roman"/>
          <w:b w:val="false"/>
          <w:sz w:val="20"/>
        </w:rPr>
        <w:t>4.</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 xml:space="preserve">15(f)) for the registrant and have: </w:t>
      </w:r>
    </w:p>
    <w:p>
      <w:pPr>
        <w:pStyle w:val="TextBody"/>
        <w:spacing w:before="200" w:after="0"/>
        <w:jc w:val="both"/>
        <w:rPr>
          <w:rFonts w:ascii="Times New Roman" w:hAnsi="Times New Roman"/>
          <w:b w:val="false"/>
          <w:sz w:val="20"/>
        </w:rPr>
      </w:pPr>
      <w:r>
        <w:rPr>
          <w:rFonts w:ascii="Times New Roman" w:hAnsi="Times New Roman"/>
          <w:b w:val="false"/>
          <w:sz w:val="20"/>
        </w:rPr>
        <w:t>a.</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200" w:after="0"/>
        <w:jc w:val="both"/>
        <w:rPr>
          <w:rFonts w:ascii="Times New Roman" w:hAnsi="Times New Roman"/>
          <w:b w:val="false"/>
          <w:sz w:val="20"/>
        </w:rPr>
      </w:pPr>
      <w:r>
        <w:rPr>
          <w:rFonts w:ascii="Times New Roman" w:hAnsi="Times New Roman"/>
          <w:b w:val="false"/>
          <w:sz w:val="20"/>
        </w:rPr>
        <w:t>b.</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before="200" w:after="0"/>
        <w:jc w:val="both"/>
        <w:rPr>
          <w:rFonts w:ascii="Times New Roman" w:hAnsi="Times New Roman"/>
          <w:b w:val="false"/>
          <w:sz w:val="20"/>
        </w:rPr>
      </w:pPr>
      <w:r>
        <w:rPr>
          <w:rFonts w:ascii="Times New Roman" w:hAnsi="Times New Roman"/>
          <w:b w:val="false"/>
          <w:sz w:val="20"/>
        </w:rPr>
        <w:t>c.</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before="200" w:after="0"/>
        <w:jc w:val="both"/>
        <w:rPr>
          <w:rFonts w:ascii="Times New Roman" w:hAnsi="Times New Roman"/>
          <w:b w:val="false"/>
          <w:sz w:val="20"/>
        </w:rPr>
      </w:pPr>
      <w:r>
        <w:rPr>
          <w:rFonts w:ascii="Times New Roman" w:hAnsi="Times New Roman"/>
          <w:b w:val="false"/>
          <w:sz w:val="20"/>
        </w:rPr>
        <w:t>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before="200" w:after="0"/>
        <w:jc w:val="both"/>
        <w:rPr>
          <w:rFonts w:ascii="Times New Roman" w:hAnsi="Times New Roman"/>
          <w:b w:val="false"/>
          <w:sz w:val="20"/>
        </w:rPr>
      </w:pPr>
      <w:r>
        <w:rPr>
          <w:rFonts w:ascii="Times New Roman" w:hAnsi="Times New Roman"/>
          <w:b w:val="false"/>
          <w:sz w:val="20"/>
        </w:rPr>
        <w:t>5.</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200" w:after="0"/>
        <w:jc w:val="both"/>
        <w:rPr>
          <w:rFonts w:ascii="Times New Roman" w:hAnsi="Times New Roman"/>
          <w:b w:val="false"/>
          <w:sz w:val="20"/>
        </w:rPr>
      </w:pPr>
      <w:r>
        <w:rPr>
          <w:rFonts w:ascii="Times New Roman" w:hAnsi="Times New Roman"/>
          <w:b w:val="false"/>
          <w:sz w:val="20"/>
        </w:rPr>
        <w:t>a.</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200" w:after="0"/>
        <w:jc w:val="both"/>
        <w:rPr>
          <w:rFonts w:ascii="Times New Roman" w:hAnsi="Times New Roman"/>
          <w:b w:val="false"/>
          <w:sz w:val="20"/>
        </w:rPr>
      </w:pPr>
      <w:r>
        <w:rPr>
          <w:rFonts w:ascii="Times New Roman" w:hAnsi="Times New Roman"/>
          <w:b w:val="false"/>
          <w:sz w:val="20"/>
        </w:rPr>
        <w:t>b.</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p>
      <w:pPr>
        <w:pStyle w:val="TextBody"/>
        <w:spacing w:before="0" w:after="0"/>
        <w:jc w:val="both"/>
        <w:rPr/>
      </w:pPr>
      <w:r>
        <w:rPr/>
        <w:t> </w:t>
      </w:r>
    </w:p>
    <w:tbl>
      <w:tblPr>
        <w:tblW w:w="7053" w:type="dxa"/>
        <w:jc w:val="left"/>
        <w:tblInd w:w="0" w:type="dxa"/>
        <w:tblCellMar>
          <w:top w:w="28" w:type="dxa"/>
          <w:left w:w="28" w:type="dxa"/>
          <w:bottom w:w="28" w:type="dxa"/>
          <w:right w:w="28" w:type="dxa"/>
        </w:tblCellMar>
      </w:tblPr>
      <w:tblGrid>
        <w:gridCol w:w="1636"/>
        <w:gridCol w:w="406"/>
        <w:gridCol w:w="5011"/>
      </w:tblGrid>
      <w:tr>
        <w:trPr/>
        <w:tc>
          <w:tcPr>
            <w:tcW w:w="163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501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c>
          <w:tcPr>
            <w:tcW w:w="406" w:type="dxa"/>
            <w:tcBorders/>
            <w:shd w:fill="auto" w:val="clear"/>
            <w:vAlign w:val="center"/>
          </w:tcPr>
          <w:p>
            <w:pPr>
              <w:pStyle w:val="TableContents"/>
              <w:spacing w:before="0" w:after="0"/>
              <w:ind w:left="0" w:right="0" w:hanging="0"/>
              <w:jc w:val="left"/>
              <w:rPr/>
            </w:pPr>
            <w:r>
              <w:rPr/>
              <w:t> </w:t>
            </w:r>
          </w:p>
        </w:tc>
        <w:tc>
          <w:tcPr>
            <w:tcW w:w="5011" w:type="dxa"/>
            <w:tcBorders/>
            <w:shd w:fill="auto" w:val="clear"/>
            <w:vAlign w:val="center"/>
          </w:tcPr>
          <w:p>
            <w:pPr>
              <w:pStyle w:val="TableContents"/>
              <w:spacing w:before="0" w:after="0"/>
              <w:ind w:left="0" w:right="0" w:hanging="0"/>
              <w:jc w:val="left"/>
              <w:rPr/>
            </w:pPr>
            <w:r>
              <w:rPr/>
              <w:t> </w:t>
            </w:r>
          </w:p>
        </w:tc>
      </w:tr>
      <w:tr>
        <w:trPr/>
        <w:tc>
          <w:tcPr>
            <w:tcW w:w="163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5011" w:type="dxa"/>
            <w:tcBorders/>
            <w:shd w:fill="auto" w:val="clear"/>
            <w:vAlign w:val="center"/>
          </w:tcPr>
          <w:p>
            <w:pPr>
              <w:pStyle w:val="TableContents"/>
              <w:spacing w:before="0" w:after="0"/>
              <w:ind w:left="0" w:right="0" w:hanging="0"/>
              <w:jc w:val="left"/>
              <w:rPr/>
            </w:pPr>
            <w:r>
              <w:rPr/>
              <w:t> </w:t>
            </w:r>
          </w:p>
        </w:tc>
      </w:tr>
      <w:tr>
        <w:trPr/>
        <w:tc>
          <w:tcPr>
            <w:tcW w:w="163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01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Jason A. Okazaki</w:t>
            </w:r>
          </w:p>
        </w:tc>
      </w:tr>
      <w:tr>
        <w:trPr/>
        <w:tc>
          <w:tcPr>
            <w:tcW w:w="163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5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Jason A. Okazaki</w:t>
            </w:r>
          </w:p>
        </w:tc>
      </w:tr>
      <w:tr>
        <w:trPr/>
        <w:tc>
          <w:tcPr>
            <w:tcW w:w="163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5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and President</w:t>
            </w:r>
          </w:p>
        </w:tc>
      </w:tr>
      <w:tr>
        <w:trPr/>
        <w:tc>
          <w:tcPr>
            <w:tcW w:w="163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5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 and Principal Financial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 w:hAnsi="Times New Roman"/>
          <w:sz w:val="20"/>
        </w:rPr>
      </w:pPr>
      <w:bookmarkStart w:id="23" w:name="asmb-ex32_1.htm"/>
      <w:bookmarkStart w:id="24" w:name="ksasmbex32_1"/>
      <w:bookmarkEnd w:id="23"/>
      <w:bookmarkEnd w:id="24"/>
      <w:r>
        <w:rPr>
          <w:rFonts w:ascii="Times New Roman;serif" w:hAnsi="Times New Roman;serif"/>
          <w:b/>
          <w:sz w:val="20"/>
        </w:rPr>
        <w:t>EXHIBIT 32.1</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CERTIFICATION PURSUANT TO 18 U.S.C. SECTION 1350, AS ADOPTED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sz w:val="20"/>
        </w:rPr>
        <w:t>SECTION 906 OF THE SARBANES-OXLEY ACT OF 2002</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In connection with the Quarterly Report on Form 10</w:t>
        <w:noBreakHyphen/>
        <w:t>Q of Assembly Biosciences, Inc. (the Company) for the period ended March 31, 2023 as filed with the Securities and Exchange Commission on or about the date hereof (the Report), I, Jason A. Okazaki, Chief Executive Officer and President, hereby certify, pursuant to 18 U.S.C. Section 1350, as adopted pursuant to Section 906 of the Sarbanes-Oxley Act of 2002, that, to my knowledge:</w:t>
      </w:r>
      <w:r>
        <w:rPr>
          <w:rFonts w:ascii="Times New Roman" w:hAnsi="Times New Roman"/>
          <w:sz w:val="20"/>
        </w:rPr>
        <w:t xml:space="preserve"> </w:t>
      </w:r>
    </w:p>
    <w:p>
      <w:pPr>
        <w:pStyle w:val="TextBody"/>
        <w:spacing w:before="200" w:after="0"/>
        <w:jc w:val="left"/>
        <w:rPr>
          <w:rFonts w:ascii="Times New Roman" w:hAnsi="Times New Roman"/>
          <w:b w:val="false"/>
          <w:sz w:val="20"/>
        </w:rPr>
      </w:pPr>
      <w:r>
        <w:rPr>
          <w:rFonts w:ascii="Times New Roman" w:hAnsi="Times New Roman"/>
          <w:b w:val="false"/>
          <w:sz w:val="20"/>
        </w:rPr>
        <w:t>(1)</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spacing w:before="200" w:after="0"/>
        <w:jc w:val="left"/>
        <w:rPr>
          <w:rFonts w:ascii="Times New Roman" w:hAnsi="Times New Roman"/>
          <w:b w:val="false"/>
          <w:sz w:val="20"/>
        </w:rPr>
      </w:pPr>
      <w:r>
        <w:rPr>
          <w:rFonts w:ascii="Times New Roman" w:hAnsi="Times New Roman"/>
          <w:b w:val="false"/>
          <w:sz w:val="20"/>
        </w:rPr>
        <w:t>(2)</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 as of, and for, the periods presented in the Report.</w:t>
      </w:r>
    </w:p>
    <w:p>
      <w:pPr>
        <w:pStyle w:val="TextBody"/>
        <w:spacing w:before="0" w:after="0"/>
        <w:jc w:val="left"/>
        <w:rPr/>
      </w:pPr>
      <w:r>
        <w:rPr/>
        <w:t> </w:t>
      </w:r>
    </w:p>
    <w:tbl>
      <w:tblPr>
        <w:tblW w:w="5172" w:type="dxa"/>
        <w:jc w:val="left"/>
        <w:tblInd w:w="0" w:type="dxa"/>
        <w:tblCellMar>
          <w:top w:w="28" w:type="dxa"/>
          <w:left w:w="28" w:type="dxa"/>
          <w:bottom w:w="28" w:type="dxa"/>
          <w:right w:w="28" w:type="dxa"/>
        </w:tblCellMar>
      </w:tblPr>
      <w:tblGrid>
        <w:gridCol w:w="161"/>
        <w:gridCol w:w="5011"/>
      </w:tblGrid>
      <w:tr>
        <w:trPr/>
        <w:tc>
          <w:tcPr>
            <w:tcW w:w="161" w:type="dxa"/>
            <w:tcBorders/>
            <w:shd w:fill="auto" w:val="clear"/>
            <w:vAlign w:val="center"/>
          </w:tcPr>
          <w:p>
            <w:pPr>
              <w:pStyle w:val="TableContents"/>
              <w:spacing w:before="0" w:after="283"/>
              <w:rPr>
                <w:sz w:val="4"/>
                <w:szCs w:val="4"/>
              </w:rPr>
            </w:pPr>
            <w:r>
              <w:rPr>
                <w:sz w:val="4"/>
                <w:szCs w:val="4"/>
              </w:rPr>
            </w:r>
          </w:p>
        </w:tc>
        <w:tc>
          <w:tcPr>
            <w:tcW w:w="501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5011" w:type="dxa"/>
            <w:tcBorders/>
            <w:shd w:fill="auto" w:val="clear"/>
            <w:vAlign w:val="center"/>
          </w:tcPr>
          <w:p>
            <w:pPr>
              <w:pStyle w:val="TableContents"/>
              <w:spacing w:before="0" w:after="0"/>
              <w:ind w:left="0" w:right="0" w:hanging="0"/>
              <w:jc w:val="left"/>
              <w:rPr/>
            </w:pPr>
            <w:r>
              <w:rPr/>
              <w:t> </w:t>
            </w:r>
          </w:p>
        </w:tc>
      </w:tr>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501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Jason A. Okazaki</w:t>
            </w:r>
          </w:p>
        </w:tc>
      </w:tr>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5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Jason A. Okazaki</w:t>
            </w:r>
          </w:p>
        </w:tc>
      </w:tr>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5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and President</w:t>
            </w:r>
          </w:p>
        </w:tc>
      </w:tr>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5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 and Principal Financial Officer)</w:t>
            </w:r>
          </w:p>
        </w:tc>
      </w:tr>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5011" w:type="dxa"/>
            <w:tcBorders/>
            <w:shd w:fill="auto" w:val="clear"/>
            <w:vAlign w:val="center"/>
          </w:tcPr>
          <w:p>
            <w:pPr>
              <w:pStyle w:val="TableContents"/>
              <w:spacing w:before="0" w:after="283"/>
              <w:ind w:left="0" w:right="0" w:hanging="0"/>
              <w:rPr>
                <w:sz w:val="4"/>
                <w:szCs w:val="4"/>
              </w:rPr>
            </w:pPr>
            <w:r>
              <w:rPr>
                <w:sz w:val="4"/>
                <w:szCs w:val="4"/>
              </w:rPr>
            </w:r>
          </w:p>
        </w:tc>
      </w:tr>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501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Date: May 4, 2023</w:t>
            </w:r>
          </w:p>
        </w:tc>
      </w:tr>
    </w:tbl>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26800/000095017023009184/asmb-ex10_12.htm" TargetMode="External"/><Relationship Id="rId3" Type="http://schemas.openxmlformats.org/officeDocument/2006/relationships/hyperlink" Target="https://www.sec.gov/Archives/edgar/data/1426800/000095017023009184/asmb-ex10_2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21741</Words>
  <CharactersWithSpaces>144429</CharactersWithSpaces>
  <Paragraphs>3333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