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10-K</w:t>
      </w:r>
    </w:p>
    <w:p>
      <w:pPr>
        <w:spacing w:after="0" w:line="62" w:lineRule="exact"/>
        <w:rPr>
          <w:sz w:val="24"/>
          <w:szCs w:val="24"/>
          <w:color w:val="auto"/>
        </w:rPr>
      </w:pPr>
    </w:p>
    <w:p>
      <w:pPr>
        <w:ind w:left="4320" w:right="3740" w:hanging="4312"/>
        <w:spacing w:after="0" w:line="233" w:lineRule="auto"/>
        <w:tabs>
          <w:tab w:leader="none" w:pos="457"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 xml:space="preserve">ANNUAL REPORT PURSUANT TO SECTION 13 OR 15(d) OF THE SECURITIES EXCHANGE ACT OF 1934 </w:t>
      </w:r>
      <w:r>
        <w:rPr>
          <w:rFonts w:ascii="Arial" w:cs="Arial" w:eastAsia="Arial" w:hAnsi="Arial"/>
          <w:sz w:val="14"/>
          <w:szCs w:val="14"/>
          <w:color w:val="auto"/>
        </w:rPr>
        <w:t>For the fiscal year ended December 31, 2021</w:t>
      </w:r>
    </w:p>
    <w:p>
      <w:pPr>
        <w:ind w:left="5560"/>
        <w:spacing w:after="0" w:line="233" w:lineRule="auto"/>
        <w:rPr>
          <w:rFonts w:ascii="MS PGothic" w:cs="MS PGothic" w:eastAsia="MS PGothic" w:hAnsi="MS PGothic"/>
          <w:sz w:val="14"/>
          <w:szCs w:val="14"/>
          <w:color w:val="auto"/>
        </w:rPr>
      </w:pPr>
      <w:r>
        <w:rPr>
          <w:rFonts w:ascii="Arial" w:cs="Arial" w:eastAsia="Arial" w:hAnsi="Arial"/>
          <w:sz w:val="14"/>
          <w:szCs w:val="14"/>
          <w:color w:val="auto"/>
        </w:rPr>
        <w:t>or</w:t>
      </w:r>
    </w:p>
    <w:p>
      <w:pPr>
        <w:spacing w:after="0" w:line="3" w:lineRule="exact"/>
        <w:rPr>
          <w:sz w:val="24"/>
          <w:szCs w:val="24"/>
          <w:color w:val="auto"/>
        </w:rPr>
      </w:pPr>
    </w:p>
    <w:p>
      <w:pPr>
        <w:ind w:left="3920" w:right="3460" w:hanging="3912"/>
        <w:spacing w:after="0" w:line="258" w:lineRule="auto"/>
        <w:tabs>
          <w:tab w:leader="none" w:pos="473"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 xml:space="preserve">TRANSITION REPORT PURSUANT TO SECTION 13 OR 15(d) OF THE SECURITIES EXCHANGE ACT OF 1934 </w:t>
      </w:r>
      <w:r>
        <w:rPr>
          <w:rFonts w:ascii="Arial" w:cs="Arial" w:eastAsia="Arial" w:hAnsi="Arial"/>
          <w:sz w:val="14"/>
          <w:szCs w:val="14"/>
          <w:color w:val="auto"/>
        </w:rPr>
        <w:t>For the Transition Period from __________ to __________</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Commission File Number</w:t>
      </w:r>
      <w:r>
        <w:rPr>
          <w:rFonts w:ascii="Arial" w:cs="Arial" w:eastAsia="Arial" w:hAnsi="Arial"/>
          <w:sz w:val="14"/>
          <w:szCs w:val="14"/>
          <w:b w:val="1"/>
          <w:bCs w:val="1"/>
          <w:color w:val="auto"/>
        </w:rPr>
        <w:t>: 001-35005</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ASSEMBLY BIOSCIENCES, INC.</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specified in its charter)</w:t>
      </w:r>
    </w:p>
    <w:p>
      <w:pPr>
        <w:sectPr>
          <w:pgSz w:w="11900" w:h="16838" w:orient="portrait"/>
          <w:cols w:equalWidth="0" w:num="1">
            <w:col w:w="11240"/>
          </w:cols>
          <w:pgMar w:left="320" w:top="585" w:right="339" w:bottom="1440" w:gutter="0" w:footer="0" w:header="0"/>
        </w:sectPr>
      </w:pPr>
    </w:p>
    <w:p>
      <w:pPr>
        <w:spacing w:after="0" w:line="39" w:lineRule="exact"/>
        <w:rPr>
          <w:sz w:val="24"/>
          <w:szCs w:val="24"/>
          <w:color w:val="auto"/>
        </w:rPr>
      </w:pPr>
    </w:p>
    <w:p>
      <w:pPr>
        <w:ind w:left="2360"/>
        <w:spacing w:after="0"/>
        <w:rPr>
          <w:sz w:val="20"/>
          <w:szCs w:val="20"/>
          <w:color w:val="auto"/>
        </w:rPr>
      </w:pPr>
      <w:r>
        <w:rPr>
          <w:rFonts w:ascii="Arial" w:cs="Arial" w:eastAsia="Arial" w:hAnsi="Arial"/>
          <w:sz w:val="14"/>
          <w:szCs w:val="14"/>
          <w:b w:val="1"/>
          <w:bCs w:val="1"/>
          <w:color w:val="auto"/>
        </w:rPr>
        <w:t>Delaware</w:t>
      </w:r>
    </w:p>
    <w:p>
      <w:pPr>
        <w:spacing w:after="0" w:line="3" w:lineRule="exact"/>
        <w:rPr>
          <w:sz w:val="24"/>
          <w:szCs w:val="24"/>
          <w:color w:val="auto"/>
        </w:rPr>
      </w:pPr>
    </w:p>
    <w:p>
      <w:pPr>
        <w:ind w:left="1800"/>
        <w:spacing w:after="0"/>
        <w:rPr>
          <w:sz w:val="20"/>
          <w:szCs w:val="20"/>
          <w:color w:val="auto"/>
        </w:rPr>
      </w:pPr>
      <w:r>
        <w:rPr>
          <w:rFonts w:ascii="Arial" w:cs="Arial" w:eastAsia="Arial" w:hAnsi="Arial"/>
          <w:sz w:val="13"/>
          <w:szCs w:val="13"/>
          <w:color w:val="auto"/>
        </w:rPr>
        <w:t>(State or Other Jurisdiction of</w:t>
      </w:r>
    </w:p>
    <w:p>
      <w:pPr>
        <w:ind w:left="1760"/>
        <w:spacing w:after="0"/>
        <w:rPr>
          <w:sz w:val="20"/>
          <w:szCs w:val="20"/>
          <w:color w:val="auto"/>
        </w:rPr>
      </w:pPr>
      <w:r>
        <w:rPr>
          <w:rFonts w:ascii="Arial" w:cs="Arial" w:eastAsia="Arial" w:hAnsi="Arial"/>
          <w:sz w:val="13"/>
          <w:szCs w:val="13"/>
          <w:color w:val="auto"/>
        </w:rPr>
        <w:t>Incorporation or Organization)</w:t>
      </w:r>
    </w:p>
    <w:p>
      <w:pPr>
        <w:spacing w:after="0" w:line="20" w:lineRule="exact"/>
        <w:rPr>
          <w:sz w:val="24"/>
          <w:szCs w:val="24"/>
          <w:color w:val="auto"/>
        </w:rPr>
      </w:pPr>
      <w:r>
        <w:rPr>
          <w:sz w:val="24"/>
          <w:szCs w:val="24"/>
          <w:color w:val="auto"/>
        </w:rPr>
        <w:br w:type="column"/>
      </w:r>
    </w:p>
    <w:p>
      <w:pPr>
        <w:spacing w:after="0" w:line="19" w:lineRule="exact"/>
        <w:rPr>
          <w:sz w:val="24"/>
          <w:szCs w:val="24"/>
          <w:color w:val="auto"/>
        </w:rPr>
      </w:pPr>
    </w:p>
    <w:p>
      <w:pPr>
        <w:jc w:val="center"/>
        <w:ind w:right="2120"/>
        <w:spacing w:after="0"/>
        <w:rPr>
          <w:sz w:val="20"/>
          <w:szCs w:val="20"/>
          <w:color w:val="auto"/>
        </w:rPr>
      </w:pPr>
      <w:r>
        <w:rPr>
          <w:rFonts w:ascii="Arial" w:cs="Arial" w:eastAsia="Arial" w:hAnsi="Arial"/>
          <w:sz w:val="14"/>
          <w:szCs w:val="14"/>
          <w:b w:val="1"/>
          <w:bCs w:val="1"/>
          <w:color w:val="auto"/>
        </w:rPr>
        <w:t>20-8729264</w:t>
      </w:r>
    </w:p>
    <w:p>
      <w:pPr>
        <w:jc w:val="center"/>
        <w:ind w:right="2120"/>
        <w:spacing w:after="0" w:line="226" w:lineRule="auto"/>
        <w:rPr>
          <w:sz w:val="20"/>
          <w:szCs w:val="20"/>
          <w:color w:val="auto"/>
        </w:rPr>
      </w:pPr>
      <w:r>
        <w:rPr>
          <w:rFonts w:ascii="Arial" w:cs="Arial" w:eastAsia="Arial" w:hAnsi="Arial"/>
          <w:sz w:val="14"/>
          <w:szCs w:val="14"/>
          <w:color w:val="auto"/>
        </w:rPr>
        <w:t>(I.R.S. Employer</w:t>
      </w:r>
    </w:p>
    <w:p>
      <w:pPr>
        <w:jc w:val="center"/>
        <w:ind w:right="2120"/>
        <w:spacing w:after="0"/>
        <w:rPr>
          <w:sz w:val="20"/>
          <w:szCs w:val="20"/>
          <w:color w:val="auto"/>
        </w:rPr>
      </w:pPr>
      <w:r>
        <w:rPr>
          <w:rFonts w:ascii="Arial" w:cs="Arial" w:eastAsia="Arial" w:hAnsi="Arial"/>
          <w:sz w:val="13"/>
          <w:szCs w:val="13"/>
          <w:color w:val="auto"/>
        </w:rPr>
        <w:t>Identification No.)</w:t>
      </w:r>
    </w:p>
    <w:p>
      <w:pPr>
        <w:spacing w:after="0" w:line="51" w:lineRule="exact"/>
        <w:rPr>
          <w:sz w:val="24"/>
          <w:szCs w:val="24"/>
          <w:color w:val="auto"/>
        </w:rPr>
      </w:pPr>
    </w:p>
    <w:p>
      <w:pPr>
        <w:sectPr>
          <w:pgSz w:w="11900" w:h="16838" w:orient="portrait"/>
          <w:cols w:equalWidth="0" w:num="2">
            <w:col w:w="7320" w:space="720"/>
            <w:col w:w="3200"/>
          </w:cols>
          <w:pgMar w:left="320" w:top="585" w:right="339" w:bottom="1440" w:gutter="0" w:footer="0" w:header="0"/>
          <w:type w:val="continuous"/>
        </w:sectPr>
      </w:pPr>
    </w:p>
    <w:p>
      <w:pPr>
        <w:ind w:left="4500"/>
        <w:spacing w:after="0"/>
        <w:rPr>
          <w:sz w:val="20"/>
          <w:szCs w:val="20"/>
          <w:color w:val="auto"/>
        </w:rPr>
      </w:pPr>
      <w:r>
        <w:rPr>
          <w:rFonts w:ascii="Arial" w:cs="Arial" w:eastAsia="Arial" w:hAnsi="Arial"/>
          <w:sz w:val="13"/>
          <w:szCs w:val="13"/>
          <w:b w:val="1"/>
          <w:bCs w:val="1"/>
          <w:color w:val="auto"/>
        </w:rPr>
        <w:t>331 Oyster Point Blvd., Fourth Floor</w:t>
      </w:r>
    </w:p>
    <w:p>
      <w:pPr>
        <w:spacing w:after="0" w:line="15" w:lineRule="exact"/>
        <w:rPr>
          <w:sz w:val="24"/>
          <w:szCs w:val="24"/>
          <w:color w:val="auto"/>
        </w:rPr>
      </w:pPr>
    </w:p>
    <w:p>
      <w:pPr>
        <w:ind w:left="4440"/>
        <w:spacing w:after="0"/>
        <w:rPr>
          <w:sz w:val="20"/>
          <w:szCs w:val="20"/>
          <w:color w:val="auto"/>
        </w:rPr>
      </w:pPr>
      <w:r>
        <w:rPr>
          <w:rFonts w:ascii="Arial" w:cs="Arial" w:eastAsia="Arial" w:hAnsi="Arial"/>
          <w:sz w:val="12"/>
          <w:szCs w:val="12"/>
          <w:b w:val="1"/>
          <w:bCs w:val="1"/>
          <w:color w:val="auto"/>
        </w:rPr>
        <w:t>South San Francisco, California 94080</w:t>
      </w:r>
    </w:p>
    <w:p>
      <w:pPr>
        <w:spacing w:after="0" w:line="11" w:lineRule="exact"/>
        <w:rPr>
          <w:sz w:val="24"/>
          <w:szCs w:val="24"/>
          <w:color w:val="auto"/>
        </w:rPr>
      </w:pPr>
    </w:p>
    <w:p>
      <w:pPr>
        <w:ind w:left="4460"/>
        <w:spacing w:after="0"/>
        <w:rPr>
          <w:sz w:val="20"/>
          <w:szCs w:val="20"/>
          <w:color w:val="auto"/>
        </w:rPr>
      </w:pPr>
      <w:r>
        <w:rPr>
          <w:rFonts w:ascii="Arial" w:cs="Arial" w:eastAsia="Arial" w:hAnsi="Arial"/>
          <w:sz w:val="13"/>
          <w:szCs w:val="13"/>
          <w:color w:val="auto"/>
        </w:rPr>
        <w:t>(Address of Principal Executive Offices)</w:t>
      </w:r>
    </w:p>
    <w:p>
      <w:pPr>
        <w:sectPr>
          <w:pgSz w:w="11900" w:h="16838" w:orient="portrait"/>
          <w:cols w:equalWidth="0" w:num="1">
            <w:col w:w="11240"/>
          </w:cols>
          <w:pgMar w:left="320" w:top="585" w:right="339" w:bottom="1440" w:gutter="0" w:footer="0" w:header="0"/>
          <w:type w:val="continuous"/>
        </w:sectPr>
      </w:pPr>
    </w:p>
    <w:p>
      <w:pPr>
        <w:spacing w:after="0" w:line="51" w:lineRule="exact"/>
        <w:rPr>
          <w:sz w:val="24"/>
          <w:szCs w:val="24"/>
          <w:color w:val="auto"/>
        </w:rPr>
      </w:pPr>
    </w:p>
    <w:p>
      <w:pPr>
        <w:ind w:left="3660"/>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4"/>
          <w:szCs w:val="14"/>
          <w:b w:val="1"/>
          <w:bCs w:val="1"/>
          <w:color w:val="auto"/>
        </w:rPr>
        <w:t>(833) 509-4583</w:t>
      </w:r>
    </w:p>
    <w:p>
      <w:pPr>
        <w:spacing w:after="0" w:line="59" w:lineRule="exact"/>
        <w:rPr>
          <w:sz w:val="24"/>
          <w:szCs w:val="24"/>
          <w:color w:val="auto"/>
        </w:rPr>
      </w:pPr>
    </w:p>
    <w:p>
      <w:pPr>
        <w:ind w:left="3640"/>
        <w:spacing w:after="0"/>
        <w:rPr>
          <w:sz w:val="20"/>
          <w:szCs w:val="20"/>
          <w:color w:val="auto"/>
        </w:rPr>
      </w:pPr>
      <w:r>
        <w:rPr>
          <w:rFonts w:ascii="Arial" w:cs="Arial" w:eastAsia="Arial" w:hAnsi="Arial"/>
          <w:sz w:val="14"/>
          <w:szCs w:val="14"/>
          <w:color w:val="auto"/>
        </w:rPr>
        <w:t>Securities Registered Pursuant to Section 12(b) of the Exchange Act:</w:t>
      </w:r>
    </w:p>
    <w:p>
      <w:pPr>
        <w:spacing w:after="0" w:line="56" w:lineRule="exact"/>
        <w:rPr>
          <w:sz w:val="24"/>
          <w:szCs w:val="24"/>
          <w:color w:val="auto"/>
        </w:rPr>
      </w:pPr>
    </w:p>
    <w:tbl>
      <w:tblPr>
        <w:tblLayout w:type="fixed"/>
        <w:tblInd w:w="0" w:type="dxa"/>
        <w:tblCellMar>
          <w:top w:w="0" w:type="dxa"/>
          <w:left w:w="0" w:type="dxa"/>
          <w:bottom w:w="0" w:type="dxa"/>
          <w:right w:w="0" w:type="dxa"/>
        </w:tblCellMar>
      </w:tblPr>
      <w:tr>
        <w:trPr>
          <w:trHeight w:val="153"/>
        </w:trPr>
        <w:tc>
          <w:tcPr>
            <w:tcW w:w="3260" w:type="dxa"/>
            <w:vAlign w:val="bottom"/>
          </w:tcPr>
          <w:p>
            <w:pPr>
              <w:jc w:val="center"/>
              <w:ind w:left="634"/>
              <w:spacing w:after="0"/>
              <w:rPr>
                <w:sz w:val="20"/>
                <w:szCs w:val="20"/>
                <w:color w:val="auto"/>
              </w:rPr>
            </w:pPr>
            <w:r>
              <w:rPr>
                <w:rFonts w:ascii="Arial" w:cs="Arial" w:eastAsia="Arial" w:hAnsi="Arial"/>
                <w:sz w:val="13"/>
                <w:szCs w:val="13"/>
                <w:b w:val="1"/>
                <w:bCs w:val="1"/>
                <w:color w:val="auto"/>
                <w:w w:val="86"/>
              </w:rPr>
              <w:t>Title of Each Class</w:t>
            </w: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560" w:type="dxa"/>
            <w:vAlign w:val="bottom"/>
            <w:gridSpan w:val="3"/>
          </w:tcPr>
          <w:p>
            <w:pPr>
              <w:jc w:val="center"/>
              <w:ind w:right="440"/>
              <w:spacing w:after="0"/>
              <w:rPr>
                <w:sz w:val="20"/>
                <w:szCs w:val="20"/>
                <w:color w:val="auto"/>
              </w:rPr>
            </w:pPr>
            <w:r>
              <w:rPr>
                <w:rFonts w:ascii="Arial" w:cs="Arial" w:eastAsia="Arial" w:hAnsi="Arial"/>
                <w:sz w:val="13"/>
                <w:szCs w:val="13"/>
                <w:b w:val="1"/>
                <w:bCs w:val="1"/>
                <w:color w:val="auto"/>
                <w:w w:val="87"/>
              </w:rPr>
              <w:t>Trading Symbol(s)</w:t>
            </w:r>
          </w:p>
        </w:tc>
        <w:tc>
          <w:tcPr>
            <w:tcW w:w="3600" w:type="dxa"/>
            <w:vAlign w:val="bottom"/>
          </w:tcPr>
          <w:p>
            <w:pPr>
              <w:jc w:val="center"/>
              <w:ind w:right="254"/>
              <w:spacing w:after="0"/>
              <w:rPr>
                <w:sz w:val="20"/>
                <w:szCs w:val="20"/>
                <w:color w:val="auto"/>
              </w:rPr>
            </w:pPr>
            <w:r>
              <w:rPr>
                <w:rFonts w:ascii="Arial" w:cs="Arial" w:eastAsia="Arial" w:hAnsi="Arial"/>
                <w:sz w:val="13"/>
                <w:szCs w:val="13"/>
                <w:b w:val="1"/>
                <w:bCs w:val="1"/>
                <w:color w:val="auto"/>
                <w:w w:val="85"/>
              </w:rPr>
              <w:t>Name of Exchange on which Registered</w:t>
            </w:r>
          </w:p>
        </w:tc>
      </w:tr>
      <w:tr>
        <w:trPr>
          <w:trHeight w:val="154"/>
        </w:trPr>
        <w:tc>
          <w:tcPr>
            <w:tcW w:w="3260" w:type="dxa"/>
            <w:vAlign w:val="bottom"/>
            <w:tcBorders>
              <w:top w:val="single" w:sz="8" w:color="auto"/>
            </w:tcBorders>
          </w:tcPr>
          <w:p>
            <w:pPr>
              <w:jc w:val="center"/>
              <w:ind w:left="634"/>
              <w:spacing w:after="0"/>
              <w:rPr>
                <w:sz w:val="20"/>
                <w:szCs w:val="20"/>
                <w:color w:val="auto"/>
              </w:rPr>
            </w:pPr>
            <w:r>
              <w:rPr>
                <w:rFonts w:ascii="Arial" w:cs="Arial" w:eastAsia="Arial" w:hAnsi="Arial"/>
                <w:sz w:val="13"/>
                <w:szCs w:val="13"/>
                <w:color w:val="auto"/>
                <w:w w:val="87"/>
              </w:rPr>
              <w:t>Common Stock, $0.001 Par Value</w:t>
            </w:r>
          </w:p>
        </w:tc>
        <w:tc>
          <w:tcPr>
            <w:tcW w:w="6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312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97"/>
              </w:rPr>
              <w:t>ASMB</w:t>
            </w:r>
          </w:p>
        </w:tc>
        <w:tc>
          <w:tcPr>
            <w:tcW w:w="12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3600" w:type="dxa"/>
            <w:vAlign w:val="bottom"/>
            <w:tcBorders>
              <w:top w:val="single" w:sz="8" w:color="auto"/>
            </w:tcBorders>
          </w:tcPr>
          <w:p>
            <w:pPr>
              <w:jc w:val="center"/>
              <w:ind w:right="254"/>
              <w:spacing w:after="0"/>
              <w:rPr>
                <w:sz w:val="20"/>
                <w:szCs w:val="20"/>
                <w:color w:val="auto"/>
              </w:rPr>
            </w:pPr>
            <w:r>
              <w:rPr>
                <w:rFonts w:ascii="Arial" w:cs="Arial" w:eastAsia="Arial" w:hAnsi="Arial"/>
                <w:sz w:val="13"/>
                <w:szCs w:val="13"/>
                <w:color w:val="auto"/>
                <w:w w:val="88"/>
              </w:rPr>
              <w:t>The Nasdaq Global Select Market</w:t>
            </w:r>
          </w:p>
        </w:tc>
      </w:tr>
      <w:tr>
        <w:trPr>
          <w:trHeight w:val="206"/>
        </w:trPr>
        <w:tc>
          <w:tcPr>
            <w:tcW w:w="3260" w:type="dxa"/>
            <w:vAlign w:val="bottom"/>
          </w:tcPr>
          <w:p>
            <w:pPr>
              <w:spacing w:after="0"/>
              <w:rPr>
                <w:sz w:val="17"/>
                <w:szCs w:val="17"/>
                <w:color w:val="auto"/>
              </w:rPr>
            </w:pPr>
          </w:p>
        </w:tc>
        <w:tc>
          <w:tcPr>
            <w:tcW w:w="4380" w:type="dxa"/>
            <w:vAlign w:val="bottom"/>
            <w:gridSpan w:val="5"/>
          </w:tcPr>
          <w:p>
            <w:pPr>
              <w:jc w:val="center"/>
              <w:ind w:left="268"/>
              <w:spacing w:after="0"/>
              <w:rPr>
                <w:sz w:val="20"/>
                <w:szCs w:val="20"/>
                <w:color w:val="auto"/>
              </w:rPr>
            </w:pPr>
            <w:r>
              <w:rPr>
                <w:rFonts w:ascii="Arial" w:cs="Arial" w:eastAsia="Arial" w:hAnsi="Arial"/>
                <w:sz w:val="14"/>
                <w:szCs w:val="14"/>
                <w:b w:val="1"/>
                <w:bCs w:val="1"/>
                <w:color w:val="auto"/>
                <w:w w:val="91"/>
              </w:rPr>
              <w:t xml:space="preserve">Securities Registered Pursuant to Section 12(g) of the Act: </w:t>
            </w:r>
            <w:r>
              <w:rPr>
                <w:rFonts w:ascii="Arial" w:cs="Arial" w:eastAsia="Arial" w:hAnsi="Arial"/>
                <w:sz w:val="14"/>
                <w:szCs w:val="14"/>
                <w:color w:val="auto"/>
                <w:w w:val="91"/>
              </w:rPr>
              <w:t>None</w:t>
            </w:r>
          </w:p>
        </w:tc>
        <w:tc>
          <w:tcPr>
            <w:tcW w:w="3600" w:type="dxa"/>
            <w:vAlign w:val="bottom"/>
          </w:tcPr>
          <w:p>
            <w:pPr>
              <w:spacing w:after="0"/>
              <w:rPr>
                <w:sz w:val="17"/>
                <w:szCs w:val="17"/>
                <w:color w:val="auto"/>
              </w:rPr>
            </w:pPr>
          </w:p>
        </w:tc>
      </w:tr>
      <w:tr>
        <w:trPr>
          <w:trHeight w:val="232"/>
        </w:trPr>
        <w:tc>
          <w:tcPr>
            <w:tcW w:w="7640" w:type="dxa"/>
            <w:vAlign w:val="bottom"/>
            <w:gridSpan w:val="6"/>
          </w:tcPr>
          <w:p>
            <w:pPr>
              <w:spacing w:after="0" w:line="161" w:lineRule="exact"/>
              <w:rPr>
                <w:sz w:val="20"/>
                <w:szCs w:val="20"/>
                <w:color w:val="auto"/>
              </w:rPr>
            </w:pPr>
            <w:r>
              <w:rPr>
                <w:rFonts w:ascii="Arial" w:cs="Arial" w:eastAsia="Arial" w:hAnsi="Arial"/>
                <w:sz w:val="14"/>
                <w:szCs w:val="14"/>
                <w:color w:val="auto"/>
                <w:w w:val="95"/>
              </w:rPr>
              <w:t xml:space="preserve">Indicate by check mark if the registrant is a well-known seasoned issuer, as defined in Rule 405 of the Securities Act. Yes  </w:t>
            </w:r>
            <w:r>
              <w:rPr>
                <w:rFonts w:ascii="MS PGothic" w:cs="MS PGothic" w:eastAsia="MS PGothic" w:hAnsi="MS PGothic"/>
                <w:sz w:val="14"/>
                <w:szCs w:val="14"/>
                <w:color w:val="auto"/>
                <w:w w:val="95"/>
              </w:rPr>
              <w:t>☐</w:t>
            </w:r>
            <w:r>
              <w:rPr>
                <w:rFonts w:ascii="Arial" w:cs="Arial" w:eastAsia="Arial" w:hAnsi="Arial"/>
                <w:sz w:val="14"/>
                <w:szCs w:val="14"/>
                <w:color w:val="auto"/>
                <w:w w:val="95"/>
              </w:rPr>
              <w:t xml:space="preserve">  No</w:t>
            </w:r>
          </w:p>
        </w:tc>
        <w:tc>
          <w:tcPr>
            <w:tcW w:w="3600" w:type="dxa"/>
            <w:vAlign w:val="bottom"/>
          </w:tcPr>
          <w:p>
            <w:pPr>
              <w:ind w:left="80"/>
              <w:spacing w:after="0" w:line="141" w:lineRule="exact"/>
              <w:rPr>
                <w:sz w:val="20"/>
                <w:szCs w:val="20"/>
                <w:color w:val="auto"/>
              </w:rPr>
            </w:pPr>
            <w:r>
              <w:rPr>
                <w:rFonts w:ascii="MS PGothic" w:cs="MS PGothic" w:eastAsia="MS PGothic" w:hAnsi="MS PGothic"/>
                <w:sz w:val="14"/>
                <w:szCs w:val="14"/>
                <w:color w:val="auto"/>
              </w:rPr>
              <w:t>☒</w:t>
            </w:r>
          </w:p>
        </w:tc>
      </w:tr>
    </w:tbl>
    <w:p>
      <w:pPr>
        <w:spacing w:after="0" w:line="4" w:lineRule="exact"/>
        <w:rPr>
          <w:sz w:val="24"/>
          <w:szCs w:val="24"/>
          <w:color w:val="auto"/>
        </w:rPr>
      </w:pPr>
    </w:p>
    <w:p>
      <w:pPr>
        <w:spacing w:after="0" w:line="161" w:lineRule="exact"/>
        <w:tabs>
          <w:tab w:leader="none" w:pos="8080" w:val="left"/>
        </w:tabs>
        <w:rPr>
          <w:sz w:val="20"/>
          <w:szCs w:val="20"/>
          <w:color w:val="auto"/>
        </w:rPr>
      </w:pPr>
      <w:r>
        <w:rPr>
          <w:rFonts w:ascii="Arial" w:cs="Arial" w:eastAsia="Arial" w:hAnsi="Arial"/>
          <w:sz w:val="13"/>
          <w:szCs w:val="13"/>
          <w:color w:val="auto"/>
        </w:rPr>
        <w:t xml:space="preserve">Indicate by check mark if the registrant is not required to file reports pursuant to Section 13 or Section 15(d) of the Exchange Act. Yes  </w:t>
      </w:r>
      <w:r>
        <w:rPr>
          <w:rFonts w:ascii="MS PGothic" w:cs="MS PGothic" w:eastAsia="MS PGothic" w:hAnsi="MS PGothic"/>
          <w:sz w:val="13"/>
          <w:szCs w:val="13"/>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82" w:lineRule="exact"/>
        <w:rPr>
          <w:sz w:val="24"/>
          <w:szCs w:val="24"/>
          <w:color w:val="auto"/>
        </w:rPr>
      </w:pPr>
    </w:p>
    <w:p>
      <w:pPr>
        <w:jc w:val="both"/>
        <w:ind w:right="20"/>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8" w:lineRule="exact"/>
        <w:rPr>
          <w:sz w:val="24"/>
          <w:szCs w:val="24"/>
          <w:color w:val="auto"/>
        </w:rPr>
      </w:pPr>
    </w:p>
    <w:p>
      <w:pPr>
        <w:jc w:val="both"/>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8" w:lineRule="exact"/>
        <w:rPr>
          <w:sz w:val="24"/>
          <w:szCs w:val="24"/>
          <w:color w:val="auto"/>
        </w:rPr>
      </w:pPr>
    </w:p>
    <w:p>
      <w:pPr>
        <w:jc w:val="both"/>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 w:lineRule="exact"/>
        <w:rPr>
          <w:sz w:val="24"/>
          <w:szCs w:val="24"/>
          <w:color w:val="auto"/>
        </w:rPr>
      </w:pPr>
    </w:p>
    <w:tbl>
      <w:tblPr>
        <w:tblLayout w:type="fixed"/>
        <w:tblInd w:w="0" w:type="dxa"/>
        <w:tblCellMar>
          <w:top w:w="0" w:type="dxa"/>
          <w:left w:w="0" w:type="dxa"/>
          <w:bottom w:w="0" w:type="dxa"/>
          <w:right w:w="0" w:type="dxa"/>
        </w:tblCellMar>
      </w:tblPr>
      <w:tr>
        <w:trPr>
          <w:trHeight w:val="226"/>
        </w:trPr>
        <w:tc>
          <w:tcPr>
            <w:tcW w:w="19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640" w:type="dxa"/>
            <w:vAlign w:val="bottom"/>
          </w:tcPr>
          <w:p>
            <w:pPr>
              <w:ind w:left="660"/>
              <w:spacing w:after="0" w:line="141" w:lineRule="exact"/>
              <w:rPr>
                <w:sz w:val="20"/>
                <w:szCs w:val="20"/>
                <w:color w:val="auto"/>
              </w:rPr>
            </w:pPr>
            <w:r>
              <w:rPr>
                <w:rFonts w:ascii="MS PGothic" w:cs="MS PGothic" w:eastAsia="MS PGothic" w:hAnsi="MS PGothic"/>
                <w:sz w:val="14"/>
                <w:szCs w:val="14"/>
                <w:color w:val="auto"/>
              </w:rPr>
              <w:t>☐</w:t>
            </w:r>
          </w:p>
        </w:tc>
        <w:tc>
          <w:tcPr>
            <w:tcW w:w="4940" w:type="dxa"/>
            <w:vAlign w:val="bottom"/>
          </w:tcPr>
          <w:p>
            <w:pPr>
              <w:ind w:left="2860"/>
              <w:spacing w:after="0"/>
              <w:rPr>
                <w:sz w:val="20"/>
                <w:szCs w:val="20"/>
                <w:color w:val="auto"/>
              </w:rPr>
            </w:pPr>
            <w:r>
              <w:rPr>
                <w:rFonts w:ascii="Arial" w:cs="Arial" w:eastAsia="Arial" w:hAnsi="Arial"/>
                <w:sz w:val="14"/>
                <w:szCs w:val="14"/>
                <w:color w:val="auto"/>
              </w:rPr>
              <w:t>Accelerated filer</w:t>
            </w:r>
          </w:p>
        </w:tc>
        <w:tc>
          <w:tcPr>
            <w:tcW w:w="640" w:type="dxa"/>
            <w:vAlign w:val="bottom"/>
          </w:tcPr>
          <w:p>
            <w:pPr>
              <w:ind w:left="5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3"/>
        </w:trPr>
        <w:tc>
          <w:tcPr>
            <w:tcW w:w="1940" w:type="dxa"/>
            <w:vAlign w:val="bottom"/>
          </w:tcPr>
          <w:p>
            <w:pPr>
              <w:spacing w:after="0"/>
              <w:rPr>
                <w:sz w:val="20"/>
                <w:szCs w:val="20"/>
                <w:color w:val="auto"/>
              </w:rPr>
            </w:pPr>
            <w:r>
              <w:rPr>
                <w:rFonts w:ascii="Arial" w:cs="Arial" w:eastAsia="Arial" w:hAnsi="Arial"/>
                <w:sz w:val="14"/>
                <w:szCs w:val="14"/>
                <w:color w:val="auto"/>
              </w:rPr>
              <w:t>Non-accelerated filer</w:t>
            </w:r>
          </w:p>
        </w:tc>
        <w:tc>
          <w:tcPr>
            <w:tcW w:w="3640" w:type="dxa"/>
            <w:vAlign w:val="bottom"/>
          </w:tcPr>
          <w:p>
            <w:pPr>
              <w:ind w:left="660"/>
              <w:spacing w:after="0" w:line="141" w:lineRule="exact"/>
              <w:rPr>
                <w:sz w:val="20"/>
                <w:szCs w:val="20"/>
                <w:color w:val="auto"/>
              </w:rPr>
            </w:pPr>
            <w:r>
              <w:rPr>
                <w:rFonts w:ascii="MS PGothic" w:cs="MS PGothic" w:eastAsia="MS PGothic" w:hAnsi="MS PGothic"/>
                <w:sz w:val="14"/>
                <w:szCs w:val="14"/>
                <w:color w:val="auto"/>
              </w:rPr>
              <w:t>☒</w:t>
            </w:r>
          </w:p>
        </w:tc>
        <w:tc>
          <w:tcPr>
            <w:tcW w:w="4940" w:type="dxa"/>
            <w:vAlign w:val="bottom"/>
          </w:tcPr>
          <w:p>
            <w:pPr>
              <w:ind w:left="2860"/>
              <w:spacing w:after="0"/>
              <w:rPr>
                <w:sz w:val="20"/>
                <w:szCs w:val="20"/>
                <w:color w:val="auto"/>
              </w:rPr>
            </w:pPr>
            <w:r>
              <w:rPr>
                <w:rFonts w:ascii="Arial" w:cs="Arial" w:eastAsia="Arial" w:hAnsi="Arial"/>
                <w:sz w:val="14"/>
                <w:szCs w:val="14"/>
                <w:color w:val="auto"/>
              </w:rPr>
              <w:t>Smaller reporting company</w:t>
            </w:r>
          </w:p>
        </w:tc>
        <w:tc>
          <w:tcPr>
            <w:tcW w:w="640" w:type="dxa"/>
            <w:vAlign w:val="bottom"/>
          </w:tcPr>
          <w:p>
            <w:pPr>
              <w:ind w:left="5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3"/>
        </w:trPr>
        <w:tc>
          <w:tcPr>
            <w:tcW w:w="194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4940" w:type="dxa"/>
            <w:vAlign w:val="bottom"/>
          </w:tcPr>
          <w:p>
            <w:pPr>
              <w:ind w:left="2860"/>
              <w:spacing w:after="0"/>
              <w:rPr>
                <w:sz w:val="20"/>
                <w:szCs w:val="20"/>
                <w:color w:val="auto"/>
              </w:rPr>
            </w:pPr>
            <w:r>
              <w:rPr>
                <w:rFonts w:ascii="Arial" w:cs="Arial" w:eastAsia="Arial" w:hAnsi="Arial"/>
                <w:sz w:val="14"/>
                <w:szCs w:val="14"/>
                <w:color w:val="auto"/>
              </w:rPr>
              <w:t>Emerging growth company</w:t>
            </w:r>
          </w:p>
        </w:tc>
        <w:tc>
          <w:tcPr>
            <w:tcW w:w="640" w:type="dxa"/>
            <w:vAlign w:val="bottom"/>
          </w:tcPr>
          <w:p>
            <w:pPr>
              <w:ind w:left="50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31" w:lineRule="exact"/>
        <w:rPr>
          <w:sz w:val="24"/>
          <w:szCs w:val="24"/>
          <w:color w:val="auto"/>
        </w:rPr>
      </w:pPr>
    </w:p>
    <w:p>
      <w:pPr>
        <w:jc w:val="both"/>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8" w:lineRule="exact"/>
        <w:rPr>
          <w:sz w:val="24"/>
          <w:szCs w:val="24"/>
          <w:color w:val="auto"/>
        </w:rPr>
      </w:pPr>
    </w:p>
    <w:p>
      <w:pPr>
        <w:jc w:val="both"/>
        <w:ind w:right="20"/>
        <w:spacing w:after="0" w:line="180"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 (b)) by the registered public accounting firm that prepared or issued its audit report. </w:t>
      </w:r>
      <w:r>
        <w:rPr>
          <w:rFonts w:ascii="MS PGothic" w:cs="MS PGothic" w:eastAsia="MS PGothic" w:hAnsi="MS PGothic"/>
          <w:sz w:val="14"/>
          <w:szCs w:val="14"/>
          <w:color w:val="auto"/>
        </w:rPr>
        <w:t>☐</w:t>
      </w:r>
    </w:p>
    <w:p>
      <w:pPr>
        <w:spacing w:after="0" w:line="5" w:lineRule="exact"/>
        <w:rPr>
          <w:sz w:val="24"/>
          <w:szCs w:val="24"/>
          <w:color w:val="auto"/>
        </w:rPr>
      </w:pPr>
    </w:p>
    <w:p>
      <w:pPr>
        <w:spacing w:after="0" w:line="161" w:lineRule="exact"/>
        <w:tabs>
          <w:tab w:leader="none" w:pos="7120" w:val="left"/>
          <w:tab w:leader="none" w:pos="7520" w:val="left"/>
        </w:tabs>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sz w:val="20"/>
          <w:szCs w:val="20"/>
          <w:color w:val="auto"/>
        </w:rPr>
        <w:tab/>
      </w:r>
      <w:r>
        <w:rPr>
          <w:rFonts w:ascii="Arial" w:cs="Arial" w:eastAsia="Arial" w:hAnsi="Arial"/>
          <w:sz w:val="14"/>
          <w:szCs w:val="14"/>
          <w:color w:val="auto"/>
        </w:rPr>
        <w:t>No</w:t>
      </w:r>
      <w:r>
        <w:rPr>
          <w:sz w:val="20"/>
          <w:szCs w:val="20"/>
          <w:color w:val="auto"/>
        </w:rPr>
        <w:tab/>
      </w:r>
      <w:r>
        <w:rPr>
          <w:rFonts w:ascii="MS PGothic" w:cs="MS PGothic" w:eastAsia="MS PGothic" w:hAnsi="MS PGothic"/>
          <w:sz w:val="12"/>
          <w:szCs w:val="12"/>
          <w:color w:val="auto"/>
        </w:rPr>
        <w:t>☒</w:t>
      </w:r>
    </w:p>
    <w:p>
      <w:pPr>
        <w:spacing w:after="0" w:line="82" w:lineRule="exact"/>
        <w:rPr>
          <w:sz w:val="24"/>
          <w:szCs w:val="24"/>
          <w:color w:val="auto"/>
        </w:rPr>
      </w:pPr>
    </w:p>
    <w:p>
      <w:pPr>
        <w:jc w:val="both"/>
        <w:spacing w:after="0" w:line="251" w:lineRule="auto"/>
        <w:rPr>
          <w:sz w:val="20"/>
          <w:szCs w:val="20"/>
          <w:color w:val="auto"/>
        </w:rPr>
      </w:pPr>
      <w:r>
        <w:rPr>
          <w:rFonts w:ascii="Arial" w:cs="Arial" w:eastAsia="Arial" w:hAnsi="Arial"/>
          <w:sz w:val="13"/>
          <w:szCs w:val="13"/>
          <w:color w:val="auto"/>
        </w:rPr>
        <w:t>The aggregate market value of the voting stock held by non-affiliates of the registrant, as of June 30, 2021, was $168.3 million. Such aggregate market value was computed by reference to the closing price of the common stock as reported on the Nasdaq Global Select Market on June 30, 2021. For purposes of making this calculation only, the registrant has defined affiliates as including only (1) directors, (2) executive officers and (3) certain stockholders, if any, that hold greater than 10% of the voting stock of the registrant, in each case, as of June 30, 2021. Shares of common stock held by other persons, including certain other holders of more than 10% of the registrant’s outstanding common stock, if any, have not been excluded from the above calculation in that such persons are not deemed to be affiliates. The determination of affiliate status is not necessarily a conclusive determination for other purposes.</w:t>
      </w:r>
    </w:p>
    <w:p>
      <w:pPr>
        <w:spacing w:after="0" w:line="15" w:lineRule="exact"/>
        <w:rPr>
          <w:sz w:val="24"/>
          <w:szCs w:val="24"/>
          <w:color w:val="auto"/>
        </w:rPr>
      </w:pPr>
    </w:p>
    <w:p>
      <w:pPr>
        <w:spacing w:after="0"/>
        <w:rPr>
          <w:sz w:val="20"/>
          <w:szCs w:val="20"/>
          <w:color w:val="auto"/>
        </w:rPr>
      </w:pPr>
      <w:r>
        <w:rPr>
          <w:rFonts w:ascii="Arial" w:cs="Arial" w:eastAsia="Arial" w:hAnsi="Arial"/>
          <w:sz w:val="14"/>
          <w:szCs w:val="14"/>
          <w:color w:val="auto"/>
        </w:rPr>
        <w:t>As of February 28, 2022, there were 48,120,437 shares of the registrant’s common stock, $0.001 par value per share, outstanding.</w:t>
      </w:r>
    </w:p>
    <w:p>
      <w:pPr>
        <w:spacing w:after="0" w:line="38" w:lineRule="exact"/>
        <w:rPr>
          <w:sz w:val="24"/>
          <w:szCs w:val="24"/>
          <w:color w:val="auto"/>
        </w:rPr>
      </w:pPr>
    </w:p>
    <w:p>
      <w:pPr>
        <w:ind w:left="3980"/>
        <w:spacing w:after="0"/>
        <w:rPr>
          <w:sz w:val="20"/>
          <w:szCs w:val="20"/>
          <w:color w:val="auto"/>
        </w:rPr>
      </w:pPr>
      <w:r>
        <w:rPr>
          <w:rFonts w:ascii="Arial" w:cs="Arial" w:eastAsia="Arial" w:hAnsi="Arial"/>
          <w:sz w:val="14"/>
          <w:szCs w:val="14"/>
          <w:b w:val="1"/>
          <w:bCs w:val="1"/>
          <w:color w:val="auto"/>
        </w:rPr>
        <w:t>DOCUMENTS INCORPORATED BY REFERENCE</w:t>
      </w:r>
    </w:p>
    <w:p>
      <w:pPr>
        <w:spacing w:after="0" w:line="46" w:lineRule="exact"/>
        <w:rPr>
          <w:sz w:val="24"/>
          <w:szCs w:val="24"/>
          <w:color w:val="auto"/>
        </w:rPr>
      </w:pPr>
    </w:p>
    <w:p>
      <w:pPr>
        <w:jc w:val="both"/>
        <w:spacing w:after="0" w:line="253" w:lineRule="auto"/>
        <w:rPr>
          <w:sz w:val="20"/>
          <w:szCs w:val="20"/>
          <w:color w:val="auto"/>
        </w:rPr>
      </w:pPr>
      <w:r>
        <w:rPr>
          <w:rFonts w:ascii="Arial" w:cs="Arial" w:eastAsia="Arial" w:hAnsi="Arial"/>
          <w:sz w:val="14"/>
          <w:szCs w:val="14"/>
          <w:color w:val="auto"/>
        </w:rPr>
        <w:t>Part III of this Annual Report on Form 10-K incorporates information by reference to portions of the definitive proxy statement for the Company’s Annual Meeting of Stockholders to be held in 2022, to be filed within 120 days of the registrant’s fiscal year ended December 31, 2021.</w:t>
      </w:r>
    </w:p>
    <w:p>
      <w:pPr>
        <w:spacing w:after="0" w:line="79" w:lineRule="exact"/>
        <w:rPr>
          <w:sz w:val="24"/>
          <w:szCs w:val="24"/>
          <w:color w:val="auto"/>
        </w:rPr>
      </w:pPr>
    </w:p>
    <w:p>
      <w:pPr>
        <w:spacing w:after="0"/>
        <w:tabs>
          <w:tab w:leader="none" w:pos="1420" w:val="left"/>
          <w:tab w:leader="none" w:pos="2800" w:val="left"/>
          <w:tab w:leader="none" w:pos="4180" w:val="left"/>
          <w:tab w:leader="none" w:pos="6840" w:val="left"/>
          <w:tab w:leader="none" w:pos="8480" w:val="left"/>
        </w:tabs>
        <w:rPr>
          <w:sz w:val="20"/>
          <w:szCs w:val="20"/>
          <w:color w:val="auto"/>
        </w:rPr>
      </w:pPr>
      <w:r>
        <w:rPr>
          <w:rFonts w:ascii="Arial" w:cs="Arial" w:eastAsia="Arial" w:hAnsi="Arial"/>
          <w:sz w:val="14"/>
          <w:szCs w:val="14"/>
          <w:color w:val="auto"/>
        </w:rPr>
        <w:t>Auditor Firm Id:</w:t>
      </w:r>
      <w:r>
        <w:rPr>
          <w:sz w:val="20"/>
          <w:szCs w:val="20"/>
          <w:color w:val="auto"/>
        </w:rPr>
        <w:tab/>
      </w:r>
      <w:r>
        <w:rPr>
          <w:rFonts w:ascii="Arial" w:cs="Arial" w:eastAsia="Arial" w:hAnsi="Arial"/>
          <w:sz w:val="14"/>
          <w:szCs w:val="14"/>
          <w:color w:val="auto"/>
        </w:rPr>
        <w:t>42</w:t>
      </w:r>
      <w:r>
        <w:rPr>
          <w:sz w:val="20"/>
          <w:szCs w:val="20"/>
          <w:color w:val="auto"/>
        </w:rPr>
        <w:tab/>
      </w:r>
      <w:r>
        <w:rPr>
          <w:rFonts w:ascii="Arial" w:cs="Arial" w:eastAsia="Arial" w:hAnsi="Arial"/>
          <w:sz w:val="14"/>
          <w:szCs w:val="14"/>
          <w:color w:val="auto"/>
        </w:rPr>
        <w:t>Auditor Name:</w:t>
      </w:r>
      <w:r>
        <w:rPr>
          <w:sz w:val="20"/>
          <w:szCs w:val="20"/>
          <w:color w:val="auto"/>
        </w:rPr>
        <w:tab/>
      </w:r>
      <w:r>
        <w:rPr>
          <w:rFonts w:ascii="Arial" w:cs="Arial" w:eastAsia="Arial" w:hAnsi="Arial"/>
          <w:sz w:val="14"/>
          <w:szCs w:val="14"/>
          <w:color w:val="auto"/>
        </w:rPr>
        <w:t>Ernst &amp; Young LLP</w:t>
      </w:r>
      <w:r>
        <w:rPr>
          <w:sz w:val="20"/>
          <w:szCs w:val="20"/>
          <w:color w:val="auto"/>
        </w:rPr>
        <w:tab/>
      </w:r>
      <w:r>
        <w:rPr>
          <w:rFonts w:ascii="Arial" w:cs="Arial" w:eastAsia="Arial" w:hAnsi="Arial"/>
          <w:sz w:val="14"/>
          <w:szCs w:val="14"/>
          <w:color w:val="auto"/>
        </w:rPr>
        <w:t>Auditor Location:</w:t>
      </w:r>
      <w:r>
        <w:rPr>
          <w:sz w:val="20"/>
          <w:szCs w:val="20"/>
          <w:color w:val="auto"/>
        </w:rPr>
        <w:tab/>
      </w:r>
      <w:r>
        <w:rPr>
          <w:rFonts w:ascii="Arial" w:cs="Arial" w:eastAsia="Arial" w:hAnsi="Arial"/>
          <w:sz w:val="13"/>
          <w:szCs w:val="13"/>
          <w:color w:val="auto"/>
        </w:rPr>
        <w:t>Redwood City, California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539750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5"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80" w:type="dxa"/>
            <w:vAlign w:val="bottom"/>
            <w:gridSpan w:val="10"/>
          </w:tcPr>
          <w:p>
            <w:pPr>
              <w:jc w:val="center"/>
              <w:ind w:right="2920"/>
              <w:spacing w:after="0"/>
              <w:rPr>
                <w:sz w:val="20"/>
                <w:szCs w:val="20"/>
                <w:color w:val="auto"/>
              </w:rPr>
            </w:pPr>
            <w:r>
              <w:rPr>
                <w:rFonts w:ascii="Arial" w:cs="Arial" w:eastAsia="Arial" w:hAnsi="Arial"/>
                <w:sz w:val="18"/>
                <w:szCs w:val="18"/>
                <w:b w:val="1"/>
                <w:bCs w:val="1"/>
                <w:color w:val="auto"/>
                <w:w w:val="98"/>
              </w:rPr>
              <w:t>ASSEMBLY BIOSCIENCES, INC.</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60" w:type="dxa"/>
            <w:vAlign w:val="bottom"/>
            <w:gridSpan w:val="9"/>
          </w:tcPr>
          <w:p>
            <w:pPr>
              <w:jc w:val="center"/>
              <w:ind w:right="3340"/>
              <w:spacing w:after="0"/>
              <w:rPr>
                <w:sz w:val="20"/>
                <w:szCs w:val="20"/>
                <w:color w:val="auto"/>
              </w:rPr>
            </w:pPr>
            <w:r>
              <w:rPr>
                <w:rFonts w:ascii="Arial" w:cs="Arial" w:eastAsia="Arial" w:hAnsi="Arial"/>
                <w:sz w:val="18"/>
                <w:szCs w:val="18"/>
                <w:b w:val="1"/>
                <w:bCs w:val="1"/>
                <w:color w:val="auto"/>
                <w:w w:val="98"/>
              </w:rPr>
              <w:t>TABLE OF CONTENTS</w:t>
            </w: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03"/>
        </w:trPr>
        <w:tc>
          <w:tcPr>
            <w:tcW w:w="600" w:type="dxa"/>
            <w:vAlign w:val="bottom"/>
            <w:tcBorders>
              <w:top w:val="single" w:sz="8" w:color="CFF0FC"/>
              <w:bottom w:val="single" w:sz="8" w:color="0000EE"/>
            </w:tcBorders>
            <w:gridSpan w:val="2"/>
            <w:shd w:val="clear" w:color="auto" w:fill="CFF0FC"/>
          </w:tcPr>
          <w:p>
            <w:pPr>
              <w:spacing w:after="0" w:line="169" w:lineRule="exact"/>
              <w:rPr>
                <w:rFonts w:ascii="Arial" w:cs="Arial" w:eastAsia="Arial" w:hAnsi="Arial"/>
                <w:sz w:val="18"/>
                <w:szCs w:val="18"/>
                <w:b w:val="1"/>
                <w:bCs w:val="1"/>
                <w:color w:val="0000EE"/>
                <w:w w:val="98"/>
              </w:rPr>
            </w:pPr>
            <w:hyperlink w:anchor="page4">
              <w:r>
                <w:rPr>
                  <w:rFonts w:ascii="Arial" w:cs="Arial" w:eastAsia="Arial" w:hAnsi="Arial"/>
                  <w:sz w:val="18"/>
                  <w:szCs w:val="18"/>
                  <w:b w:val="1"/>
                  <w:bCs w:val="1"/>
                  <w:color w:val="0000EE"/>
                  <w:w w:val="98"/>
                </w:rPr>
                <w:t>PART I</w:t>
              </w:r>
            </w:hyperlink>
          </w:p>
        </w:tc>
        <w:tc>
          <w:tcPr>
            <w:tcW w:w="540" w:type="dxa"/>
            <w:vAlign w:val="bottom"/>
            <w:tcBorders>
              <w:top w:val="single" w:sz="8" w:color="CFF0FC"/>
              <w:bottom w:val="single" w:sz="8" w:color="CFF0FC"/>
            </w:tcBorders>
            <w:gridSpan w:val="4"/>
            <w:shd w:val="clear" w:color="auto" w:fill="CFF0FC"/>
          </w:tcPr>
          <w:p>
            <w:pPr>
              <w:spacing w:after="0"/>
              <w:rPr>
                <w:sz w:val="17"/>
                <w:szCs w:val="17"/>
                <w:color w:val="auto"/>
              </w:rPr>
            </w:pPr>
          </w:p>
        </w:tc>
        <w:tc>
          <w:tcPr>
            <w:tcW w:w="380" w:type="dxa"/>
            <w:vAlign w:val="bottom"/>
            <w:tcBorders>
              <w:top w:val="single" w:sz="8" w:color="CFF0FC"/>
              <w:bottom w:val="single" w:sz="8" w:color="CFF0FC"/>
            </w:tcBorders>
            <w:shd w:val="clear" w:color="auto" w:fill="CFF0FC"/>
          </w:tcPr>
          <w:p>
            <w:pPr>
              <w:spacing w:after="0"/>
              <w:rPr>
                <w:sz w:val="17"/>
                <w:szCs w:val="17"/>
                <w:color w:val="auto"/>
              </w:rPr>
            </w:pPr>
          </w:p>
        </w:tc>
        <w:tc>
          <w:tcPr>
            <w:tcW w:w="26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6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420" w:type="dxa"/>
            <w:vAlign w:val="bottom"/>
            <w:tcBorders>
              <w:top w:val="single" w:sz="8" w:color="CFF0FC"/>
              <w:bottom w:val="single" w:sz="8" w:color="CFF0FC"/>
            </w:tcBorders>
            <w:shd w:val="clear" w:color="auto" w:fill="CFF0FC"/>
          </w:tcPr>
          <w:p>
            <w:pPr>
              <w:spacing w:after="0"/>
              <w:rPr>
                <w:sz w:val="17"/>
                <w:szCs w:val="17"/>
                <w:color w:val="auto"/>
              </w:rPr>
            </w:pPr>
          </w:p>
        </w:tc>
        <w:tc>
          <w:tcPr>
            <w:tcW w:w="20" w:type="dxa"/>
            <w:vAlign w:val="bottom"/>
            <w:tcBorders>
              <w:top w:val="single" w:sz="8" w:color="CFF0FC"/>
              <w:bottom w:val="single" w:sz="8" w:color="CFF0FC"/>
            </w:tcBorders>
            <w:shd w:val="clear" w:color="auto" w:fill="CFF0FC"/>
          </w:tcPr>
          <w:p>
            <w:pPr>
              <w:spacing w:after="0"/>
              <w:rPr>
                <w:sz w:val="17"/>
                <w:szCs w:val="17"/>
                <w:color w:val="auto"/>
              </w:rPr>
            </w:pP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20" w:type="dxa"/>
            <w:vAlign w:val="bottom"/>
            <w:tcBorders>
              <w:top w:val="single" w:sz="8" w:color="CFF0FC"/>
              <w:bottom w:val="single" w:sz="8" w:color="CFF0FC"/>
            </w:tcBorders>
            <w:shd w:val="clear" w:color="auto" w:fill="CFF0FC"/>
          </w:tcPr>
          <w:p>
            <w:pPr>
              <w:spacing w:after="0"/>
              <w:rPr>
                <w:sz w:val="17"/>
                <w:szCs w:val="17"/>
                <w:color w:val="auto"/>
              </w:rPr>
            </w:pP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840" w:type="dxa"/>
            <w:vAlign w:val="bottom"/>
            <w:tcBorders>
              <w:top w:val="single" w:sz="8" w:color="CFF0FC"/>
              <w:bottom w:val="single" w:sz="8" w:color="CFF0FC"/>
            </w:tcBorders>
            <w:shd w:val="clear" w:color="auto" w:fill="CFF0FC"/>
          </w:tcPr>
          <w:p>
            <w:pPr>
              <w:spacing w:after="0"/>
              <w:rPr>
                <w:sz w:val="17"/>
                <w:szCs w:val="17"/>
                <w:color w:val="auto"/>
              </w:rPr>
            </w:pPr>
          </w:p>
        </w:tc>
        <w:tc>
          <w:tcPr>
            <w:tcW w:w="20" w:type="dxa"/>
            <w:vAlign w:val="bottom"/>
            <w:tcBorders>
              <w:top w:val="single" w:sz="8" w:color="CFF0FC"/>
              <w:bottom w:val="single" w:sz="8" w:color="CFF0FC"/>
            </w:tcBorders>
            <w:shd w:val="clear" w:color="auto" w:fill="CFF0FC"/>
          </w:tcPr>
          <w:p>
            <w:pPr>
              <w:spacing w:after="0"/>
              <w:rPr>
                <w:sz w:val="17"/>
                <w:szCs w:val="17"/>
                <w:color w:val="auto"/>
              </w:rPr>
            </w:pPr>
          </w:p>
        </w:tc>
        <w:tc>
          <w:tcPr>
            <w:tcW w:w="420" w:type="dxa"/>
            <w:vAlign w:val="bottom"/>
            <w:tcBorders>
              <w:top w:val="single" w:sz="8" w:color="CFF0FC"/>
              <w:bottom w:val="single" w:sz="8" w:color="CFF0FC"/>
            </w:tcBorders>
            <w:shd w:val="clear" w:color="auto" w:fill="CFF0FC"/>
          </w:tcPr>
          <w:p>
            <w:pPr>
              <w:spacing w:after="0"/>
              <w:rPr>
                <w:sz w:val="17"/>
                <w:szCs w:val="17"/>
                <w:color w:val="auto"/>
              </w:rPr>
            </w:pPr>
          </w:p>
        </w:tc>
        <w:tc>
          <w:tcPr>
            <w:tcW w:w="780" w:type="dxa"/>
            <w:vAlign w:val="bottom"/>
            <w:tcBorders>
              <w:top w:val="single" w:sz="8" w:color="CFF0FC"/>
              <w:bottom w:val="single" w:sz="8" w:color="CFF0FC"/>
            </w:tcBorders>
            <w:shd w:val="clear" w:color="auto" w:fill="CFF0FC"/>
          </w:tcPr>
          <w:p>
            <w:pPr>
              <w:spacing w:after="0"/>
              <w:rPr>
                <w:sz w:val="17"/>
                <w:szCs w:val="17"/>
                <w:color w:val="auto"/>
              </w:rPr>
            </w:pPr>
          </w:p>
        </w:tc>
        <w:tc>
          <w:tcPr>
            <w:tcW w:w="200" w:type="dxa"/>
            <w:vAlign w:val="bottom"/>
            <w:tcBorders>
              <w:top w:val="single" w:sz="8" w:color="CFF0FC"/>
              <w:bottom w:val="single" w:sz="8" w:color="CFF0FC"/>
            </w:tcBorders>
            <w:shd w:val="clear" w:color="auto" w:fill="CFF0FC"/>
          </w:tcPr>
          <w:p>
            <w:pPr>
              <w:spacing w:after="0"/>
              <w:rPr>
                <w:sz w:val="17"/>
                <w:szCs w:val="17"/>
                <w:color w:val="auto"/>
              </w:rPr>
            </w:pPr>
          </w:p>
        </w:tc>
        <w:tc>
          <w:tcPr>
            <w:tcW w:w="600" w:type="dxa"/>
            <w:vAlign w:val="bottom"/>
            <w:tcBorders>
              <w:top w:val="single" w:sz="8" w:color="CFF0FC"/>
              <w:bottom w:val="single" w:sz="8" w:color="CFF0FC"/>
            </w:tcBorders>
            <w:shd w:val="clear" w:color="auto" w:fill="CFF0FC"/>
          </w:tcPr>
          <w:p>
            <w:pPr>
              <w:spacing w:after="0"/>
              <w:rPr>
                <w:sz w:val="17"/>
                <w:szCs w:val="17"/>
                <w:color w:val="auto"/>
              </w:rPr>
            </w:pPr>
          </w:p>
        </w:tc>
        <w:tc>
          <w:tcPr>
            <w:tcW w:w="560" w:type="dxa"/>
            <w:vAlign w:val="bottom"/>
            <w:tcBorders>
              <w:top w:val="single" w:sz="8" w:color="CFF0FC"/>
              <w:bottom w:val="single" w:sz="8" w:color="CFF0FC"/>
            </w:tcBorders>
            <w:shd w:val="clear" w:color="auto" w:fill="CFF0FC"/>
          </w:tcPr>
          <w:p>
            <w:pPr>
              <w:spacing w:after="0"/>
              <w:rPr>
                <w:sz w:val="17"/>
                <w:szCs w:val="17"/>
                <w:color w:val="auto"/>
              </w:rPr>
            </w:pPr>
          </w:p>
        </w:tc>
        <w:tc>
          <w:tcPr>
            <w:tcW w:w="92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820" w:type="dxa"/>
            <w:vAlign w:val="bottom"/>
            <w:tcBorders>
              <w:top w:val="single" w:sz="8" w:color="CFF0FC"/>
              <w:bottom w:val="single" w:sz="8" w:color="CFF0FC"/>
            </w:tcBorders>
            <w:shd w:val="clear" w:color="auto" w:fill="CFF0FC"/>
          </w:tcPr>
          <w:p>
            <w:pPr>
              <w:spacing w:after="0"/>
              <w:rPr>
                <w:sz w:val="17"/>
                <w:szCs w:val="17"/>
                <w:color w:val="auto"/>
              </w:rPr>
            </w:pPr>
          </w:p>
        </w:tc>
        <w:tc>
          <w:tcPr>
            <w:tcW w:w="780" w:type="dxa"/>
            <w:vAlign w:val="bottom"/>
            <w:tcBorders>
              <w:top w:val="single" w:sz="8" w:color="CFF0FC"/>
              <w:bottom w:val="single" w:sz="8" w:color="CFF0FC"/>
            </w:tcBorders>
            <w:shd w:val="clear" w:color="auto" w:fill="CFF0FC"/>
          </w:tcPr>
          <w:p>
            <w:pPr>
              <w:spacing w:after="0"/>
              <w:rPr>
                <w:sz w:val="17"/>
                <w:szCs w:val="17"/>
                <w:color w:val="auto"/>
              </w:rPr>
            </w:pPr>
          </w:p>
        </w:tc>
        <w:tc>
          <w:tcPr>
            <w:tcW w:w="900" w:type="dxa"/>
            <w:vAlign w:val="bottom"/>
            <w:tcBorders>
              <w:top w:val="single" w:sz="8" w:color="CFF0FC"/>
              <w:bottom w:val="single" w:sz="8" w:color="CFF0FC"/>
            </w:tcBorders>
            <w:shd w:val="clear" w:color="auto" w:fill="CFF0FC"/>
          </w:tcPr>
          <w:p>
            <w:pPr>
              <w:spacing w:after="0"/>
              <w:rPr>
                <w:sz w:val="17"/>
                <w:szCs w:val="17"/>
                <w:color w:val="auto"/>
              </w:rPr>
            </w:pPr>
          </w:p>
        </w:tc>
        <w:tc>
          <w:tcPr>
            <w:tcW w:w="1120" w:type="dxa"/>
            <w:vAlign w:val="bottom"/>
            <w:tcBorders>
              <w:top w:val="single" w:sz="8" w:color="auto"/>
              <w:bottom w:val="single" w:sz="8" w:color="CFF0FC"/>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140" w:type="dxa"/>
            <w:vAlign w:val="bottom"/>
            <w:gridSpan w:val="6"/>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8980" w:type="dxa"/>
            <w:vAlign w:val="bottom"/>
            <w:gridSpan w:val="23"/>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1120" w:type="dxa"/>
            <w:vAlign w:val="bottom"/>
          </w:tcPr>
          <w:p>
            <w:pPr>
              <w:jc w:val="right"/>
              <w:spacing w:after="0" w:line="176"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660" w:type="dxa"/>
            <w:vAlign w:val="bottom"/>
            <w:gridSpan w:val="4"/>
            <w:shd w:val="clear" w:color="auto" w:fill="CFF0FC"/>
          </w:tcPr>
          <w:p>
            <w:pPr>
              <w:spacing w:after="0" w:line="176" w:lineRule="exact"/>
              <w:rPr>
                <w:rFonts w:ascii="Arial" w:cs="Arial" w:eastAsia="Arial" w:hAnsi="Arial"/>
                <w:sz w:val="18"/>
                <w:szCs w:val="18"/>
                <w:color w:val="0000EE"/>
                <w:w w:val="95"/>
              </w:rPr>
            </w:pPr>
            <w:hyperlink w:anchor="page22">
              <w:r>
                <w:rPr>
                  <w:rFonts w:ascii="Arial" w:cs="Arial" w:eastAsia="Arial" w:hAnsi="Arial"/>
                  <w:sz w:val="18"/>
                  <w:szCs w:val="18"/>
                  <w:color w:val="0000EE"/>
                  <w:w w:val="95"/>
                </w:rPr>
                <w:t>Item 1A.</w:t>
              </w:r>
            </w:hyperlink>
          </w:p>
        </w:tc>
        <w:tc>
          <w:tcPr>
            <w:tcW w:w="480" w:type="dxa"/>
            <w:vAlign w:val="bottom"/>
            <w:gridSpan w:val="2"/>
            <w:shd w:val="clear" w:color="auto" w:fill="CFF0FC"/>
          </w:tcPr>
          <w:p>
            <w:pPr>
              <w:spacing w:after="0"/>
              <w:rPr>
                <w:sz w:val="15"/>
                <w:szCs w:val="15"/>
                <w:color w:val="auto"/>
              </w:rPr>
            </w:pPr>
          </w:p>
        </w:tc>
        <w:tc>
          <w:tcPr>
            <w:tcW w:w="8980" w:type="dxa"/>
            <w:vAlign w:val="bottom"/>
            <w:gridSpan w:val="23"/>
            <w:shd w:val="clear" w:color="auto" w:fill="CFF0FC"/>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Risk Factors</w:t>
              </w:r>
            </w:hyperlink>
          </w:p>
        </w:tc>
        <w:tc>
          <w:tcPr>
            <w:tcW w:w="1120" w:type="dxa"/>
            <w:vAlign w:val="bottom"/>
            <w:shd w:val="clear" w:color="auto" w:fill="CFF0FC"/>
          </w:tcPr>
          <w:p>
            <w:pPr>
              <w:jc w:val="right"/>
              <w:spacing w:after="0" w:line="176" w:lineRule="exact"/>
              <w:rPr>
                <w:sz w:val="20"/>
                <w:szCs w:val="20"/>
                <w:color w:val="auto"/>
              </w:rPr>
            </w:pPr>
            <w:r>
              <w:rPr>
                <w:rFonts w:ascii="Arial" w:cs="Arial" w:eastAsia="Arial" w:hAnsi="Arial"/>
                <w:sz w:val="18"/>
                <w:szCs w:val="18"/>
                <w:color w:val="auto"/>
              </w:rPr>
              <w:t>19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20" w:type="dxa"/>
            <w:vAlign w:val="bottom"/>
            <w:tcBorders>
              <w:top w:val="single" w:sz="8" w:color="0000EE"/>
            </w:tcBorders>
            <w:shd w:val="clear" w:color="auto" w:fill="CFF0FC"/>
          </w:tcPr>
          <w:p>
            <w:pPr>
              <w:spacing w:after="0" w:line="20" w:lineRule="exact"/>
              <w:rPr>
                <w:sz w:val="1"/>
                <w:szCs w:val="1"/>
                <w:color w:val="auto"/>
              </w:rPr>
            </w:pPr>
          </w:p>
        </w:tc>
        <w:tc>
          <w:tcPr>
            <w:tcW w:w="80" w:type="dxa"/>
            <w:vAlign w:val="bottom"/>
            <w:tcBorders>
              <w:top w:val="single" w:sz="8" w:color="0000EE"/>
            </w:tcBorders>
            <w:shd w:val="clear" w:color="auto" w:fill="CFF0FC"/>
          </w:tcPr>
          <w:p>
            <w:pPr>
              <w:spacing w:after="0" w:line="20" w:lineRule="exact"/>
              <w:rPr>
                <w:sz w:val="1"/>
                <w:szCs w:val="1"/>
                <w:color w:val="auto"/>
              </w:rPr>
            </w:pPr>
          </w:p>
        </w:tc>
        <w:tc>
          <w:tcPr>
            <w:tcW w:w="40" w:type="dxa"/>
            <w:vAlign w:val="bottom"/>
            <w:tcBorders>
              <w:top w:val="single" w:sz="8" w:color="0000EE"/>
            </w:tcBorders>
            <w:shd w:val="clear" w:color="auto" w:fill="CFF0FC"/>
          </w:tcPr>
          <w:p>
            <w:pPr>
              <w:spacing w:after="0" w:line="20" w:lineRule="exact"/>
              <w:rPr>
                <w:sz w:val="1"/>
                <w:szCs w:val="1"/>
                <w:color w:val="auto"/>
              </w:rPr>
            </w:pPr>
          </w:p>
        </w:tc>
        <w:tc>
          <w:tcPr>
            <w:tcW w:w="20" w:type="dxa"/>
            <w:vAlign w:val="bottom"/>
            <w:tcBorders>
              <w:top w:val="single" w:sz="8" w:color="0000EE"/>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0000EE"/>
            </w:tcBorders>
            <w:shd w:val="clear" w:color="auto" w:fill="CFF0FC"/>
          </w:tcPr>
          <w:p>
            <w:pPr>
              <w:spacing w:after="0" w:line="20" w:lineRule="exact"/>
              <w:rPr>
                <w:sz w:val="1"/>
                <w:szCs w:val="1"/>
                <w:color w:val="auto"/>
              </w:rPr>
            </w:pPr>
          </w:p>
        </w:tc>
        <w:tc>
          <w:tcPr>
            <w:tcW w:w="260" w:type="dxa"/>
            <w:vAlign w:val="bottom"/>
            <w:tcBorders>
              <w:top w:val="single" w:sz="8" w:color="0000EE"/>
            </w:tcBorders>
            <w:shd w:val="clear" w:color="auto" w:fill="CFF0FC"/>
          </w:tcPr>
          <w:p>
            <w:pPr>
              <w:spacing w:after="0" w:line="20" w:lineRule="exact"/>
              <w:rPr>
                <w:sz w:val="1"/>
                <w:szCs w:val="1"/>
                <w:color w:val="auto"/>
              </w:rPr>
            </w:pPr>
          </w:p>
        </w:tc>
        <w:tc>
          <w:tcPr>
            <w:tcW w:w="100" w:type="dxa"/>
            <w:vAlign w:val="bottom"/>
            <w:tcBorders>
              <w:top w:val="single" w:sz="8" w:color="0000EE"/>
            </w:tcBorders>
            <w:shd w:val="clear" w:color="auto" w:fill="CFF0FC"/>
          </w:tcPr>
          <w:p>
            <w:pPr>
              <w:spacing w:after="0" w:line="20" w:lineRule="exact"/>
              <w:rPr>
                <w:sz w:val="1"/>
                <w:szCs w:val="1"/>
                <w:color w:val="auto"/>
              </w:rPr>
            </w:pPr>
          </w:p>
        </w:tc>
        <w:tc>
          <w:tcPr>
            <w:tcW w:w="60" w:type="dxa"/>
            <w:vAlign w:val="bottom"/>
            <w:tcBorders>
              <w:top w:val="single" w:sz="8" w:color="0000EE"/>
            </w:tcBorders>
            <w:shd w:val="clear" w:color="auto" w:fill="CFF0FC"/>
          </w:tcPr>
          <w:p>
            <w:pPr>
              <w:spacing w:after="0" w:line="20" w:lineRule="exact"/>
              <w:rPr>
                <w:sz w:val="1"/>
                <w:szCs w:val="1"/>
                <w:color w:val="auto"/>
              </w:rPr>
            </w:pPr>
          </w:p>
        </w:tc>
        <w:tc>
          <w:tcPr>
            <w:tcW w:w="100" w:type="dxa"/>
            <w:vAlign w:val="bottom"/>
            <w:tcBorders>
              <w:top w:val="single" w:sz="8" w:color="0000EE"/>
            </w:tcBorders>
            <w:shd w:val="clear" w:color="auto" w:fill="CFF0FC"/>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60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660" w:type="dxa"/>
            <w:vAlign w:val="bottom"/>
            <w:gridSpan w:val="4"/>
          </w:tcPr>
          <w:p>
            <w:pPr>
              <w:spacing w:after="0" w:line="176" w:lineRule="exact"/>
              <w:rPr>
                <w:rFonts w:ascii="Arial" w:cs="Arial" w:eastAsia="Arial" w:hAnsi="Arial"/>
                <w:sz w:val="18"/>
                <w:szCs w:val="18"/>
                <w:color w:val="0000EE"/>
                <w:w w:val="95"/>
              </w:rPr>
            </w:pPr>
            <w:hyperlink w:anchor="page36">
              <w:r>
                <w:rPr>
                  <w:rFonts w:ascii="Arial" w:cs="Arial" w:eastAsia="Arial" w:hAnsi="Arial"/>
                  <w:sz w:val="18"/>
                  <w:szCs w:val="18"/>
                  <w:color w:val="0000EE"/>
                  <w:w w:val="95"/>
                </w:rPr>
                <w:t>Item 1B.</w:t>
              </w:r>
            </w:hyperlink>
          </w:p>
        </w:tc>
        <w:tc>
          <w:tcPr>
            <w:tcW w:w="480" w:type="dxa"/>
            <w:vAlign w:val="bottom"/>
            <w:gridSpan w:val="2"/>
          </w:tcPr>
          <w:p>
            <w:pPr>
              <w:spacing w:after="0"/>
              <w:rPr>
                <w:sz w:val="15"/>
                <w:szCs w:val="15"/>
                <w:color w:val="auto"/>
              </w:rPr>
            </w:pPr>
          </w:p>
        </w:tc>
        <w:tc>
          <w:tcPr>
            <w:tcW w:w="8980" w:type="dxa"/>
            <w:vAlign w:val="bottom"/>
            <w:gridSpan w:val="23"/>
          </w:tcPr>
          <w:p>
            <w:pPr>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Unresolved Staff Comments</w:t>
              </w:r>
            </w:hyperlink>
          </w:p>
        </w:tc>
        <w:tc>
          <w:tcPr>
            <w:tcW w:w="1120" w:type="dxa"/>
            <w:vAlign w:val="bottom"/>
          </w:tcPr>
          <w:p>
            <w:pPr>
              <w:jc w:val="right"/>
              <w:spacing w:after="0" w:line="176" w:lineRule="exact"/>
              <w:rPr>
                <w:sz w:val="20"/>
                <w:szCs w:val="20"/>
                <w:color w:val="auto"/>
              </w:rPr>
            </w:pPr>
            <w:r>
              <w:rPr>
                <w:rFonts w:ascii="Arial" w:cs="Arial" w:eastAsia="Arial" w:hAnsi="Arial"/>
                <w:sz w:val="18"/>
                <w:szCs w:val="18"/>
                <w:color w:val="auto"/>
              </w:rPr>
              <w:t>33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shd w:val="clear" w:color="auto" w:fill="CFF0FC"/>
          </w:tcPr>
          <w:p>
            <w:pPr>
              <w:spacing w:after="0" w:line="176" w:lineRule="exact"/>
              <w:rPr>
                <w:rFonts w:ascii="Arial" w:cs="Arial" w:eastAsia="Arial" w:hAnsi="Arial"/>
                <w:sz w:val="18"/>
                <w:szCs w:val="18"/>
                <w:color w:val="0000EE"/>
                <w:w w:val="90"/>
              </w:rPr>
            </w:pPr>
            <w:hyperlink w:anchor="page36">
              <w:r>
                <w:rPr>
                  <w:rFonts w:ascii="Arial" w:cs="Arial" w:eastAsia="Arial" w:hAnsi="Arial"/>
                  <w:sz w:val="18"/>
                  <w:szCs w:val="18"/>
                  <w:color w:val="0000EE"/>
                  <w:w w:val="90"/>
                </w:rPr>
                <w:t>Item 2.</w:t>
              </w:r>
            </w:hyperlink>
          </w:p>
        </w:tc>
        <w:tc>
          <w:tcPr>
            <w:tcW w:w="620" w:type="dxa"/>
            <w:vAlign w:val="bottom"/>
            <w:tcBorders>
              <w:bottom w:val="single" w:sz="8" w:color="CFF0FC"/>
            </w:tcBorders>
            <w:gridSpan w:val="5"/>
            <w:shd w:val="clear" w:color="auto" w:fill="CFF0FC"/>
          </w:tcPr>
          <w:p>
            <w:pPr>
              <w:spacing w:after="0"/>
              <w:rPr>
                <w:sz w:val="17"/>
                <w:szCs w:val="17"/>
                <w:color w:val="auto"/>
              </w:rPr>
            </w:pPr>
          </w:p>
        </w:tc>
        <w:tc>
          <w:tcPr>
            <w:tcW w:w="740" w:type="dxa"/>
            <w:vAlign w:val="bottom"/>
            <w:tcBorders>
              <w:bottom w:val="single" w:sz="8" w:color="0000EE"/>
            </w:tcBorders>
            <w:gridSpan w:val="3"/>
            <w:shd w:val="clear" w:color="auto" w:fill="CFF0FC"/>
          </w:tcPr>
          <w:p>
            <w:pPr>
              <w:spacing w:after="0" w:line="176" w:lineRule="exact"/>
              <w:rPr>
                <w:rFonts w:ascii="Arial" w:cs="Arial" w:eastAsia="Arial" w:hAnsi="Arial"/>
                <w:sz w:val="18"/>
                <w:szCs w:val="18"/>
                <w:color w:val="0000EE"/>
                <w:w w:val="87"/>
              </w:rPr>
            </w:pPr>
            <w:hyperlink w:anchor="page36">
              <w:r>
                <w:rPr>
                  <w:rFonts w:ascii="Arial" w:cs="Arial" w:eastAsia="Arial" w:hAnsi="Arial"/>
                  <w:sz w:val="18"/>
                  <w:szCs w:val="18"/>
                  <w:color w:val="0000EE"/>
                  <w:w w:val="87"/>
                </w:rPr>
                <w:t>Properties</w:t>
              </w:r>
            </w:hyperlink>
          </w:p>
        </w:tc>
        <w:tc>
          <w:tcPr>
            <w:tcW w:w="8240" w:type="dxa"/>
            <w:vAlign w:val="bottom"/>
            <w:tcBorders>
              <w:bottom w:val="single" w:sz="8" w:color="CFF0FC"/>
            </w:tcBorders>
            <w:gridSpan w:val="20"/>
            <w:shd w:val="clear" w:color="auto" w:fill="CFF0FC"/>
          </w:tcPr>
          <w:p>
            <w:pPr>
              <w:spacing w:after="0"/>
              <w:rPr>
                <w:sz w:val="17"/>
                <w:szCs w:val="17"/>
                <w:color w:val="auto"/>
              </w:rPr>
            </w:pPr>
          </w:p>
        </w:tc>
        <w:tc>
          <w:tcPr>
            <w:tcW w:w="1120" w:type="dxa"/>
            <w:vAlign w:val="bottom"/>
            <w:tcBorders>
              <w:bottom w:val="single" w:sz="8" w:color="CFF0FC"/>
            </w:tcBorders>
            <w:shd w:val="clear" w:color="auto" w:fill="CFF0FC"/>
          </w:tcPr>
          <w:p>
            <w:pPr>
              <w:jc w:val="right"/>
              <w:spacing w:after="0" w:line="176" w:lineRule="exact"/>
              <w:rPr>
                <w:sz w:val="20"/>
                <w:szCs w:val="20"/>
                <w:color w:val="auto"/>
              </w:rPr>
            </w:pPr>
            <w:r>
              <w:rPr>
                <w:rFonts w:ascii="Arial" w:cs="Arial" w:eastAsia="Arial" w:hAnsi="Arial"/>
                <w:sz w:val="18"/>
                <w:szCs w:val="18"/>
                <w:color w:val="auto"/>
              </w:rPr>
              <w:t>33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140" w:type="dxa"/>
            <w:vAlign w:val="bottom"/>
            <w:gridSpan w:val="6"/>
          </w:tcPr>
          <w:p>
            <w:pPr>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Item 3.</w:t>
              </w:r>
            </w:hyperlink>
          </w:p>
        </w:tc>
        <w:tc>
          <w:tcPr>
            <w:tcW w:w="8980" w:type="dxa"/>
            <w:vAlign w:val="bottom"/>
            <w:gridSpan w:val="23"/>
          </w:tcPr>
          <w:p>
            <w:pPr>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Legal Proceedings</w:t>
              </w:r>
            </w:hyperlink>
          </w:p>
        </w:tc>
        <w:tc>
          <w:tcPr>
            <w:tcW w:w="1120" w:type="dxa"/>
            <w:vAlign w:val="bottom"/>
          </w:tcPr>
          <w:p>
            <w:pPr>
              <w:jc w:val="right"/>
              <w:spacing w:after="0" w:line="176" w:lineRule="exact"/>
              <w:rPr>
                <w:sz w:val="20"/>
                <w:szCs w:val="20"/>
                <w:color w:val="auto"/>
              </w:rPr>
            </w:pPr>
            <w:r>
              <w:rPr>
                <w:rFonts w:ascii="Arial" w:cs="Arial" w:eastAsia="Arial" w:hAnsi="Arial"/>
                <w:sz w:val="18"/>
                <w:szCs w:val="18"/>
                <w:color w:val="auto"/>
              </w:rPr>
              <w:t>33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shd w:val="clear" w:color="auto" w:fill="CFF0FC"/>
          </w:tcPr>
          <w:p>
            <w:pPr>
              <w:spacing w:after="0" w:line="176" w:lineRule="exact"/>
              <w:rPr>
                <w:rFonts w:ascii="Arial" w:cs="Arial" w:eastAsia="Arial" w:hAnsi="Arial"/>
                <w:sz w:val="18"/>
                <w:szCs w:val="18"/>
                <w:color w:val="0000EE"/>
                <w:w w:val="90"/>
              </w:rPr>
            </w:pPr>
            <w:hyperlink w:anchor="page36">
              <w:r>
                <w:rPr>
                  <w:rFonts w:ascii="Arial" w:cs="Arial" w:eastAsia="Arial" w:hAnsi="Arial"/>
                  <w:sz w:val="18"/>
                  <w:szCs w:val="18"/>
                  <w:color w:val="0000EE"/>
                  <w:w w:val="90"/>
                </w:rPr>
                <w:t>Item 4.</w:t>
              </w:r>
            </w:hyperlink>
          </w:p>
        </w:tc>
        <w:tc>
          <w:tcPr>
            <w:tcW w:w="620" w:type="dxa"/>
            <w:vAlign w:val="bottom"/>
            <w:tcBorders>
              <w:bottom w:val="single" w:sz="8" w:color="CFF0FC"/>
            </w:tcBorders>
            <w:gridSpan w:val="5"/>
            <w:shd w:val="clear" w:color="auto" w:fill="CFF0FC"/>
          </w:tcPr>
          <w:p>
            <w:pPr>
              <w:spacing w:after="0"/>
              <w:rPr>
                <w:sz w:val="17"/>
                <w:szCs w:val="17"/>
                <w:color w:val="auto"/>
              </w:rPr>
            </w:pPr>
          </w:p>
        </w:tc>
        <w:tc>
          <w:tcPr>
            <w:tcW w:w="1780" w:type="dxa"/>
            <w:vAlign w:val="bottom"/>
            <w:tcBorders>
              <w:bottom w:val="single" w:sz="8" w:color="0000EE"/>
            </w:tcBorders>
            <w:gridSpan w:val="9"/>
            <w:shd w:val="clear" w:color="auto" w:fill="CFF0FC"/>
          </w:tcPr>
          <w:p>
            <w:pPr>
              <w:spacing w:after="0" w:line="176" w:lineRule="exact"/>
              <w:rPr>
                <w:rFonts w:ascii="Arial" w:cs="Arial" w:eastAsia="Arial" w:hAnsi="Arial"/>
                <w:sz w:val="18"/>
                <w:szCs w:val="18"/>
                <w:color w:val="0000EE"/>
                <w:w w:val="91"/>
              </w:rPr>
            </w:pPr>
            <w:hyperlink w:anchor="page36">
              <w:r>
                <w:rPr>
                  <w:rFonts w:ascii="Arial" w:cs="Arial" w:eastAsia="Arial" w:hAnsi="Arial"/>
                  <w:sz w:val="18"/>
                  <w:szCs w:val="18"/>
                  <w:color w:val="0000EE"/>
                  <w:w w:val="91"/>
                </w:rPr>
                <w:t>Mine Safety Disclosures</w:t>
              </w:r>
            </w:hyperlink>
          </w:p>
        </w:tc>
        <w:tc>
          <w:tcPr>
            <w:tcW w:w="7200" w:type="dxa"/>
            <w:vAlign w:val="bottom"/>
            <w:tcBorders>
              <w:bottom w:val="single" w:sz="8" w:color="CFF0FC"/>
            </w:tcBorders>
            <w:gridSpan w:val="14"/>
            <w:shd w:val="clear" w:color="auto" w:fill="CFF0FC"/>
          </w:tcPr>
          <w:p>
            <w:pPr>
              <w:spacing w:after="0"/>
              <w:rPr>
                <w:sz w:val="17"/>
                <w:szCs w:val="17"/>
                <w:color w:val="auto"/>
              </w:rPr>
            </w:pPr>
          </w:p>
        </w:tc>
        <w:tc>
          <w:tcPr>
            <w:tcW w:w="1120" w:type="dxa"/>
            <w:vAlign w:val="bottom"/>
            <w:tcBorders>
              <w:bottom w:val="single" w:sz="8" w:color="CFF0FC"/>
            </w:tcBorders>
            <w:shd w:val="clear" w:color="auto" w:fill="CFF0FC"/>
          </w:tcPr>
          <w:p>
            <w:pPr>
              <w:jc w:val="right"/>
              <w:spacing w:after="0" w:line="176" w:lineRule="exact"/>
              <w:rPr>
                <w:sz w:val="20"/>
                <w:szCs w:val="20"/>
                <w:color w:val="auto"/>
              </w:rPr>
            </w:pPr>
            <w:r>
              <w:rPr>
                <w:rFonts w:ascii="Arial" w:cs="Arial" w:eastAsia="Arial" w:hAnsi="Arial"/>
                <w:sz w:val="18"/>
                <w:szCs w:val="18"/>
                <w:color w:val="auto"/>
              </w:rPr>
              <w:t>33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140" w:type="dxa"/>
            <w:vAlign w:val="bottom"/>
            <w:gridSpan w:val="6"/>
          </w:tcPr>
          <w:p>
            <w:pPr>
              <w:spacing w:after="0" w:line="176" w:lineRule="exact"/>
              <w:rPr>
                <w:rFonts w:ascii="Arial" w:cs="Arial" w:eastAsia="Arial" w:hAnsi="Arial"/>
                <w:sz w:val="18"/>
                <w:szCs w:val="18"/>
                <w:b w:val="1"/>
                <w:bCs w:val="1"/>
                <w:color w:val="0000EE"/>
              </w:rPr>
            </w:pPr>
            <w:hyperlink w:anchor="page37">
              <w:r>
                <w:rPr>
                  <w:rFonts w:ascii="Arial" w:cs="Arial" w:eastAsia="Arial" w:hAnsi="Arial"/>
                  <w:sz w:val="18"/>
                  <w:szCs w:val="18"/>
                  <w:b w:val="1"/>
                  <w:bCs w:val="1"/>
                  <w:color w:val="0000EE"/>
                </w:rPr>
                <w:t>PART II</w:t>
              </w:r>
            </w:hyperlink>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5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shd w:val="clear" w:color="auto" w:fill="CFF0FC"/>
          </w:tcPr>
          <w:p>
            <w:pPr>
              <w:spacing w:after="0" w:line="176" w:lineRule="exact"/>
              <w:rPr>
                <w:rFonts w:ascii="Arial" w:cs="Arial" w:eastAsia="Arial" w:hAnsi="Arial"/>
                <w:sz w:val="18"/>
                <w:szCs w:val="18"/>
                <w:color w:val="0000EE"/>
                <w:w w:val="90"/>
              </w:rPr>
            </w:pPr>
            <w:hyperlink w:anchor="page37">
              <w:r>
                <w:rPr>
                  <w:rFonts w:ascii="Arial" w:cs="Arial" w:eastAsia="Arial" w:hAnsi="Arial"/>
                  <w:sz w:val="18"/>
                  <w:szCs w:val="18"/>
                  <w:color w:val="0000EE"/>
                  <w:w w:val="90"/>
                </w:rPr>
                <w:t>Item 5.</w:t>
              </w:r>
            </w:hyperlink>
          </w:p>
        </w:tc>
        <w:tc>
          <w:tcPr>
            <w:tcW w:w="620" w:type="dxa"/>
            <w:vAlign w:val="bottom"/>
            <w:tcBorders>
              <w:bottom w:val="single" w:sz="8" w:color="CFF0FC"/>
            </w:tcBorders>
            <w:gridSpan w:val="5"/>
            <w:shd w:val="clear" w:color="auto" w:fill="CFF0FC"/>
          </w:tcPr>
          <w:p>
            <w:pPr>
              <w:spacing w:after="0"/>
              <w:rPr>
                <w:sz w:val="17"/>
                <w:szCs w:val="17"/>
                <w:color w:val="auto"/>
              </w:rPr>
            </w:pPr>
          </w:p>
        </w:tc>
        <w:tc>
          <w:tcPr>
            <w:tcW w:w="8080" w:type="dxa"/>
            <w:vAlign w:val="bottom"/>
            <w:tcBorders>
              <w:bottom w:val="single" w:sz="8" w:color="0000EE"/>
            </w:tcBorders>
            <w:gridSpan w:val="22"/>
            <w:shd w:val="clear" w:color="auto" w:fill="CFF0FC"/>
          </w:tcPr>
          <w:p>
            <w:pPr>
              <w:spacing w:after="0" w:line="176" w:lineRule="exact"/>
              <w:rPr>
                <w:rFonts w:ascii="Arial" w:cs="Arial" w:eastAsia="Arial" w:hAnsi="Arial"/>
                <w:sz w:val="18"/>
                <w:szCs w:val="18"/>
                <w:color w:val="0000EE"/>
                <w:w w:val="90"/>
              </w:rPr>
            </w:pPr>
            <w:hyperlink w:anchor="page37">
              <w:r>
                <w:rPr>
                  <w:rFonts w:ascii="Arial" w:cs="Arial" w:eastAsia="Arial" w:hAnsi="Arial"/>
                  <w:sz w:val="18"/>
                  <w:szCs w:val="18"/>
                  <w:color w:val="0000EE"/>
                  <w:w w:val="90"/>
                </w:rPr>
                <w:t>Market for Registrant’s Common Equity, Related Stockholder Matters and Issuer Purchases of Equity Securities</w:t>
              </w:r>
            </w:hyperlink>
          </w:p>
        </w:tc>
        <w:tc>
          <w:tcPr>
            <w:tcW w:w="900" w:type="dxa"/>
            <w:vAlign w:val="bottom"/>
            <w:tcBorders>
              <w:bottom w:val="single" w:sz="8" w:color="CFF0FC"/>
            </w:tcBorders>
            <w:shd w:val="clear" w:color="auto" w:fill="CFF0FC"/>
          </w:tcPr>
          <w:p>
            <w:pPr>
              <w:spacing w:after="0"/>
              <w:rPr>
                <w:sz w:val="17"/>
                <w:szCs w:val="17"/>
                <w:color w:val="auto"/>
              </w:rPr>
            </w:pPr>
          </w:p>
        </w:tc>
        <w:tc>
          <w:tcPr>
            <w:tcW w:w="1120" w:type="dxa"/>
            <w:vAlign w:val="bottom"/>
            <w:tcBorders>
              <w:bottom w:val="single" w:sz="8" w:color="CFF0FC"/>
            </w:tcBorders>
            <w:shd w:val="clear" w:color="auto" w:fill="CFF0FC"/>
          </w:tcPr>
          <w:p>
            <w:pPr>
              <w:jc w:val="right"/>
              <w:spacing w:after="0" w:line="176" w:lineRule="exact"/>
              <w:rPr>
                <w:sz w:val="20"/>
                <w:szCs w:val="20"/>
                <w:color w:val="auto"/>
              </w:rPr>
            </w:pPr>
            <w:r>
              <w:rPr>
                <w:rFonts w:ascii="Arial" w:cs="Arial" w:eastAsia="Arial" w:hAnsi="Arial"/>
                <w:sz w:val="18"/>
                <w:szCs w:val="18"/>
                <w:color w:val="auto"/>
              </w:rPr>
              <w:t>34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140" w:type="dxa"/>
            <w:vAlign w:val="bottom"/>
            <w:gridSpan w:val="6"/>
          </w:tcPr>
          <w:p>
            <w:pPr>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Item 6.</w:t>
              </w:r>
            </w:hyperlink>
          </w:p>
        </w:tc>
        <w:tc>
          <w:tcPr>
            <w:tcW w:w="8980" w:type="dxa"/>
            <w:vAlign w:val="bottom"/>
            <w:gridSpan w:val="23"/>
          </w:tcPr>
          <w:p>
            <w:pPr>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[Reserved]</w:t>
              </w:r>
            </w:hyperlink>
          </w:p>
        </w:tc>
        <w:tc>
          <w:tcPr>
            <w:tcW w:w="1120" w:type="dxa"/>
            <w:vAlign w:val="bottom"/>
          </w:tcPr>
          <w:p>
            <w:pPr>
              <w:jc w:val="right"/>
              <w:spacing w:after="0" w:line="176" w:lineRule="exact"/>
              <w:rPr>
                <w:sz w:val="20"/>
                <w:szCs w:val="20"/>
                <w:color w:val="auto"/>
              </w:rPr>
            </w:pPr>
            <w:r>
              <w:rPr>
                <w:rFonts w:ascii="Arial" w:cs="Arial" w:eastAsia="Arial" w:hAnsi="Arial"/>
                <w:sz w:val="18"/>
                <w:szCs w:val="18"/>
                <w:color w:val="auto"/>
              </w:rPr>
              <w:t>36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20" w:type="dxa"/>
            <w:vAlign w:val="bottom"/>
            <w:shd w:val="clear" w:color="auto" w:fill="CFF0FC"/>
          </w:tcPr>
          <w:p>
            <w:pPr>
              <w:spacing w:after="0" w:line="176" w:lineRule="exact"/>
              <w:rPr>
                <w:rFonts w:ascii="Arial" w:cs="Arial" w:eastAsia="Arial" w:hAnsi="Arial"/>
                <w:sz w:val="18"/>
                <w:szCs w:val="18"/>
                <w:color w:val="0000EE"/>
                <w:w w:val="90"/>
              </w:rPr>
            </w:pPr>
            <w:hyperlink w:anchor="page40">
              <w:r>
                <w:rPr>
                  <w:rFonts w:ascii="Arial" w:cs="Arial" w:eastAsia="Arial" w:hAnsi="Arial"/>
                  <w:sz w:val="18"/>
                  <w:szCs w:val="18"/>
                  <w:color w:val="0000EE"/>
                  <w:w w:val="90"/>
                </w:rPr>
                <w:t>Item 7.</w:t>
              </w:r>
            </w:hyperlink>
          </w:p>
        </w:tc>
        <w:tc>
          <w:tcPr>
            <w:tcW w:w="620" w:type="dxa"/>
            <w:vAlign w:val="bottom"/>
            <w:gridSpan w:val="5"/>
            <w:shd w:val="clear" w:color="auto" w:fill="CFF0FC"/>
          </w:tcPr>
          <w:p>
            <w:pPr>
              <w:spacing w:after="0"/>
              <w:rPr>
                <w:sz w:val="15"/>
                <w:szCs w:val="15"/>
                <w:color w:val="auto"/>
              </w:rPr>
            </w:pPr>
          </w:p>
        </w:tc>
        <w:tc>
          <w:tcPr>
            <w:tcW w:w="8980" w:type="dxa"/>
            <w:vAlign w:val="bottom"/>
            <w:gridSpan w:val="23"/>
            <w:shd w:val="clear" w:color="auto" w:fill="CFF0FC"/>
          </w:tcPr>
          <w:p>
            <w:pPr>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Management’s Discussion and Analysis of Financial Condition and Results of Operation</w:t>
              </w:r>
            </w:hyperlink>
          </w:p>
        </w:tc>
        <w:tc>
          <w:tcPr>
            <w:tcW w:w="1120" w:type="dxa"/>
            <w:vAlign w:val="bottom"/>
            <w:shd w:val="clear" w:color="auto" w:fill="CFF0FC"/>
          </w:tcPr>
          <w:p>
            <w:pPr>
              <w:jc w:val="right"/>
              <w:spacing w:after="0" w:line="176" w:lineRule="exact"/>
              <w:rPr>
                <w:sz w:val="20"/>
                <w:szCs w:val="20"/>
                <w:color w:val="auto"/>
              </w:rPr>
            </w:pPr>
            <w:r>
              <w:rPr>
                <w:rFonts w:ascii="Arial" w:cs="Arial" w:eastAsia="Arial" w:hAnsi="Arial"/>
                <w:sz w:val="18"/>
                <w:szCs w:val="18"/>
                <w:color w:val="auto"/>
              </w:rPr>
              <w:t>37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tcBorders>
              <w:top w:val="single" w:sz="8" w:color="0000EE"/>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0000EE"/>
            </w:tcBorders>
            <w:shd w:val="clear" w:color="auto" w:fill="CFF0FC"/>
          </w:tcPr>
          <w:p>
            <w:pPr>
              <w:spacing w:after="0" w:line="20" w:lineRule="exact"/>
              <w:rPr>
                <w:sz w:val="1"/>
                <w:szCs w:val="1"/>
                <w:color w:val="auto"/>
              </w:rPr>
            </w:pPr>
          </w:p>
        </w:tc>
        <w:tc>
          <w:tcPr>
            <w:tcW w:w="260" w:type="dxa"/>
            <w:vAlign w:val="bottom"/>
            <w:tcBorders>
              <w:top w:val="single" w:sz="8" w:color="0000EE"/>
            </w:tcBorders>
            <w:shd w:val="clear" w:color="auto" w:fill="CFF0FC"/>
          </w:tcPr>
          <w:p>
            <w:pPr>
              <w:spacing w:after="0" w:line="20" w:lineRule="exact"/>
              <w:rPr>
                <w:sz w:val="1"/>
                <w:szCs w:val="1"/>
                <w:color w:val="auto"/>
              </w:rPr>
            </w:pPr>
          </w:p>
        </w:tc>
        <w:tc>
          <w:tcPr>
            <w:tcW w:w="100" w:type="dxa"/>
            <w:vAlign w:val="bottom"/>
            <w:tcBorders>
              <w:top w:val="single" w:sz="8" w:color="0000EE"/>
            </w:tcBorders>
            <w:shd w:val="clear" w:color="auto" w:fill="CFF0FC"/>
          </w:tcPr>
          <w:p>
            <w:pPr>
              <w:spacing w:after="0" w:line="20" w:lineRule="exact"/>
              <w:rPr>
                <w:sz w:val="1"/>
                <w:szCs w:val="1"/>
                <w:color w:val="auto"/>
              </w:rPr>
            </w:pPr>
          </w:p>
        </w:tc>
        <w:tc>
          <w:tcPr>
            <w:tcW w:w="60" w:type="dxa"/>
            <w:vAlign w:val="bottom"/>
            <w:tcBorders>
              <w:top w:val="single" w:sz="8" w:color="0000EE"/>
            </w:tcBorders>
            <w:shd w:val="clear" w:color="auto" w:fill="CFF0FC"/>
          </w:tcPr>
          <w:p>
            <w:pPr>
              <w:spacing w:after="0" w:line="20" w:lineRule="exact"/>
              <w:rPr>
                <w:sz w:val="1"/>
                <w:szCs w:val="1"/>
                <w:color w:val="auto"/>
              </w:rPr>
            </w:pPr>
          </w:p>
        </w:tc>
        <w:tc>
          <w:tcPr>
            <w:tcW w:w="100" w:type="dxa"/>
            <w:vAlign w:val="bottom"/>
            <w:tcBorders>
              <w:top w:val="single" w:sz="8" w:color="0000EE"/>
            </w:tcBorders>
            <w:shd w:val="clear" w:color="auto" w:fill="CFF0FC"/>
          </w:tcPr>
          <w:p>
            <w:pPr>
              <w:spacing w:after="0" w:line="20" w:lineRule="exact"/>
              <w:rPr>
                <w:sz w:val="1"/>
                <w:szCs w:val="1"/>
                <w:color w:val="auto"/>
              </w:rPr>
            </w:pPr>
          </w:p>
        </w:tc>
        <w:tc>
          <w:tcPr>
            <w:tcW w:w="420" w:type="dxa"/>
            <w:vAlign w:val="bottom"/>
            <w:tcBorders>
              <w:top w:val="single" w:sz="8" w:color="0000EE"/>
            </w:tcBorders>
            <w:shd w:val="clear" w:color="auto" w:fill="CFF0FC"/>
          </w:tcPr>
          <w:p>
            <w:pPr>
              <w:spacing w:after="0" w:line="20" w:lineRule="exact"/>
              <w:rPr>
                <w:sz w:val="1"/>
                <w:szCs w:val="1"/>
                <w:color w:val="auto"/>
              </w:rPr>
            </w:pPr>
          </w:p>
        </w:tc>
        <w:tc>
          <w:tcPr>
            <w:tcW w:w="20" w:type="dxa"/>
            <w:vAlign w:val="bottom"/>
            <w:tcBorders>
              <w:top w:val="single" w:sz="8" w:color="0000EE"/>
            </w:tcBorders>
            <w:shd w:val="clear" w:color="auto" w:fill="CFF0FC"/>
          </w:tcPr>
          <w:p>
            <w:pPr>
              <w:spacing w:after="0" w:line="20" w:lineRule="exact"/>
              <w:rPr>
                <w:sz w:val="1"/>
                <w:szCs w:val="1"/>
                <w:color w:val="auto"/>
              </w:rPr>
            </w:pPr>
          </w:p>
        </w:tc>
        <w:tc>
          <w:tcPr>
            <w:tcW w:w="220" w:type="dxa"/>
            <w:vAlign w:val="bottom"/>
            <w:tcBorders>
              <w:top w:val="single" w:sz="8" w:color="0000EE"/>
            </w:tcBorders>
            <w:shd w:val="clear" w:color="auto" w:fill="CFF0FC"/>
          </w:tcPr>
          <w:p>
            <w:pPr>
              <w:spacing w:after="0" w:line="20" w:lineRule="exact"/>
              <w:rPr>
                <w:sz w:val="1"/>
                <w:szCs w:val="1"/>
                <w:color w:val="auto"/>
              </w:rPr>
            </w:pPr>
          </w:p>
        </w:tc>
        <w:tc>
          <w:tcPr>
            <w:tcW w:w="220" w:type="dxa"/>
            <w:vAlign w:val="bottom"/>
            <w:tcBorders>
              <w:top w:val="single" w:sz="8" w:color="0000EE"/>
            </w:tcBorders>
            <w:shd w:val="clear" w:color="auto" w:fill="CFF0FC"/>
          </w:tcPr>
          <w:p>
            <w:pPr>
              <w:spacing w:after="0" w:line="20" w:lineRule="exact"/>
              <w:rPr>
                <w:sz w:val="1"/>
                <w:szCs w:val="1"/>
                <w:color w:val="auto"/>
              </w:rPr>
            </w:pPr>
          </w:p>
        </w:tc>
        <w:tc>
          <w:tcPr>
            <w:tcW w:w="20" w:type="dxa"/>
            <w:vAlign w:val="bottom"/>
            <w:tcBorders>
              <w:top w:val="single" w:sz="8" w:color="0000EE"/>
            </w:tcBorders>
            <w:shd w:val="clear" w:color="auto" w:fill="CFF0FC"/>
          </w:tcPr>
          <w:p>
            <w:pPr>
              <w:spacing w:after="0" w:line="20" w:lineRule="exact"/>
              <w:rPr>
                <w:sz w:val="1"/>
                <w:szCs w:val="1"/>
                <w:color w:val="auto"/>
              </w:rPr>
            </w:pPr>
          </w:p>
        </w:tc>
        <w:tc>
          <w:tcPr>
            <w:tcW w:w="240" w:type="dxa"/>
            <w:vAlign w:val="bottom"/>
            <w:tcBorders>
              <w:top w:val="single" w:sz="8" w:color="0000EE"/>
            </w:tcBorders>
            <w:shd w:val="clear" w:color="auto" w:fill="CFF0FC"/>
          </w:tcPr>
          <w:p>
            <w:pPr>
              <w:spacing w:after="0" w:line="20" w:lineRule="exact"/>
              <w:rPr>
                <w:sz w:val="1"/>
                <w:szCs w:val="1"/>
                <w:color w:val="auto"/>
              </w:rPr>
            </w:pPr>
          </w:p>
        </w:tc>
        <w:tc>
          <w:tcPr>
            <w:tcW w:w="840" w:type="dxa"/>
            <w:vAlign w:val="bottom"/>
            <w:tcBorders>
              <w:top w:val="single" w:sz="8" w:color="0000EE"/>
            </w:tcBorders>
            <w:shd w:val="clear" w:color="auto" w:fill="CFF0FC"/>
          </w:tcPr>
          <w:p>
            <w:pPr>
              <w:spacing w:after="0" w:line="20" w:lineRule="exact"/>
              <w:rPr>
                <w:sz w:val="1"/>
                <w:szCs w:val="1"/>
                <w:color w:val="auto"/>
              </w:rPr>
            </w:pPr>
          </w:p>
        </w:tc>
        <w:tc>
          <w:tcPr>
            <w:tcW w:w="20" w:type="dxa"/>
            <w:vAlign w:val="bottom"/>
            <w:tcBorders>
              <w:top w:val="single" w:sz="8" w:color="0000EE"/>
            </w:tcBorders>
            <w:shd w:val="clear" w:color="auto" w:fill="CFF0FC"/>
          </w:tcPr>
          <w:p>
            <w:pPr>
              <w:spacing w:after="0" w:line="20" w:lineRule="exact"/>
              <w:rPr>
                <w:sz w:val="1"/>
                <w:szCs w:val="1"/>
                <w:color w:val="auto"/>
              </w:rPr>
            </w:pPr>
          </w:p>
        </w:tc>
        <w:tc>
          <w:tcPr>
            <w:tcW w:w="420" w:type="dxa"/>
            <w:vAlign w:val="bottom"/>
            <w:tcBorders>
              <w:top w:val="single" w:sz="8" w:color="0000EE"/>
            </w:tcBorders>
            <w:shd w:val="clear" w:color="auto" w:fill="CFF0FC"/>
          </w:tcPr>
          <w:p>
            <w:pPr>
              <w:spacing w:after="0" w:line="20" w:lineRule="exact"/>
              <w:rPr>
                <w:sz w:val="1"/>
                <w:szCs w:val="1"/>
                <w:color w:val="auto"/>
              </w:rPr>
            </w:pPr>
          </w:p>
        </w:tc>
        <w:tc>
          <w:tcPr>
            <w:tcW w:w="780" w:type="dxa"/>
            <w:vAlign w:val="bottom"/>
            <w:tcBorders>
              <w:top w:val="single" w:sz="8" w:color="0000EE"/>
            </w:tcBorders>
            <w:shd w:val="clear" w:color="auto" w:fill="CFF0FC"/>
          </w:tcPr>
          <w:p>
            <w:pPr>
              <w:spacing w:after="0" w:line="20" w:lineRule="exact"/>
              <w:rPr>
                <w:sz w:val="1"/>
                <w:szCs w:val="1"/>
                <w:color w:val="auto"/>
              </w:rPr>
            </w:pPr>
          </w:p>
        </w:tc>
        <w:tc>
          <w:tcPr>
            <w:tcW w:w="200" w:type="dxa"/>
            <w:vAlign w:val="bottom"/>
            <w:tcBorders>
              <w:top w:val="single" w:sz="8" w:color="0000EE"/>
            </w:tcBorders>
            <w:shd w:val="clear" w:color="auto" w:fill="CFF0FC"/>
          </w:tcPr>
          <w:p>
            <w:pPr>
              <w:spacing w:after="0" w:line="20" w:lineRule="exact"/>
              <w:rPr>
                <w:sz w:val="1"/>
                <w:szCs w:val="1"/>
                <w:color w:val="auto"/>
              </w:rPr>
            </w:pPr>
          </w:p>
        </w:tc>
        <w:tc>
          <w:tcPr>
            <w:tcW w:w="600" w:type="dxa"/>
            <w:vAlign w:val="bottom"/>
            <w:tcBorders>
              <w:top w:val="single" w:sz="8" w:color="0000EE"/>
            </w:tcBorders>
            <w:shd w:val="clear" w:color="auto" w:fill="CFF0FC"/>
          </w:tcPr>
          <w:p>
            <w:pPr>
              <w:spacing w:after="0" w:line="20" w:lineRule="exact"/>
              <w:rPr>
                <w:sz w:val="1"/>
                <w:szCs w:val="1"/>
                <w:color w:val="auto"/>
              </w:rPr>
            </w:pPr>
          </w:p>
        </w:tc>
        <w:tc>
          <w:tcPr>
            <w:tcW w:w="560" w:type="dxa"/>
            <w:vAlign w:val="bottom"/>
            <w:tcBorders>
              <w:top w:val="single" w:sz="8" w:color="0000EE"/>
            </w:tcBorders>
            <w:shd w:val="clear" w:color="auto" w:fill="CFF0FC"/>
          </w:tcPr>
          <w:p>
            <w:pPr>
              <w:spacing w:after="0" w:line="20" w:lineRule="exact"/>
              <w:rPr>
                <w:sz w:val="1"/>
                <w:szCs w:val="1"/>
                <w:color w:val="auto"/>
              </w:rPr>
            </w:pPr>
          </w:p>
        </w:tc>
        <w:tc>
          <w:tcPr>
            <w:tcW w:w="920" w:type="dxa"/>
            <w:vAlign w:val="bottom"/>
            <w:tcBorders>
              <w:top w:val="single" w:sz="8" w:color="0000EE"/>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gridSpan w:val="6"/>
          </w:tcPr>
          <w:p>
            <w:pPr>
              <w:spacing w:after="0" w:line="176" w:lineRule="exact"/>
              <w:rPr>
                <w:rFonts w:ascii="Arial" w:cs="Arial" w:eastAsia="Arial" w:hAnsi="Arial"/>
                <w:sz w:val="18"/>
                <w:szCs w:val="18"/>
                <w:color w:val="0000EE"/>
              </w:rPr>
            </w:pPr>
            <w:hyperlink w:anchor="page53">
              <w:r>
                <w:rPr>
                  <w:rFonts w:ascii="Arial" w:cs="Arial" w:eastAsia="Arial" w:hAnsi="Arial"/>
                  <w:sz w:val="18"/>
                  <w:szCs w:val="18"/>
                  <w:color w:val="0000EE"/>
                </w:rPr>
                <w:t>Item 7A.</w:t>
              </w:r>
            </w:hyperlink>
          </w:p>
        </w:tc>
        <w:tc>
          <w:tcPr>
            <w:tcW w:w="8980" w:type="dxa"/>
            <w:vAlign w:val="bottom"/>
            <w:gridSpan w:val="23"/>
          </w:tcPr>
          <w:p>
            <w:pPr>
              <w:spacing w:after="0" w:line="176" w:lineRule="exact"/>
              <w:rPr>
                <w:rFonts w:ascii="Arial" w:cs="Arial" w:eastAsia="Arial" w:hAnsi="Arial"/>
                <w:sz w:val="18"/>
                <w:szCs w:val="18"/>
                <w:color w:val="0000EE"/>
              </w:rPr>
            </w:pPr>
            <w:hyperlink w:anchor="page53">
              <w:r>
                <w:rPr>
                  <w:rFonts w:ascii="Arial" w:cs="Arial" w:eastAsia="Arial" w:hAnsi="Arial"/>
                  <w:sz w:val="18"/>
                  <w:szCs w:val="18"/>
                  <w:color w:val="0000EE"/>
                </w:rPr>
                <w:t>Quantitative and Qualitative Disclosures about Market Risk</w:t>
              </w:r>
            </w:hyperlink>
          </w:p>
        </w:tc>
        <w:tc>
          <w:tcPr>
            <w:tcW w:w="1120" w:type="dxa"/>
            <w:vAlign w:val="bottom"/>
          </w:tcPr>
          <w:p>
            <w:pPr>
              <w:jc w:val="right"/>
              <w:spacing w:after="0" w:line="176" w:lineRule="exact"/>
              <w:rPr>
                <w:sz w:val="20"/>
                <w:szCs w:val="20"/>
                <w:color w:val="auto"/>
              </w:rPr>
            </w:pPr>
            <w:r>
              <w:rPr>
                <w:rFonts w:ascii="Arial" w:cs="Arial" w:eastAsia="Arial" w:hAnsi="Arial"/>
                <w:sz w:val="18"/>
                <w:szCs w:val="18"/>
                <w:color w:val="auto"/>
              </w:rPr>
              <w:t>50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20" w:type="dxa"/>
            <w:vAlign w:val="bottom"/>
            <w:shd w:val="clear" w:color="auto" w:fill="CFF0FC"/>
          </w:tcPr>
          <w:p>
            <w:pPr>
              <w:spacing w:after="0" w:line="176" w:lineRule="exact"/>
              <w:rPr>
                <w:rFonts w:ascii="Arial" w:cs="Arial" w:eastAsia="Arial" w:hAnsi="Arial"/>
                <w:sz w:val="18"/>
                <w:szCs w:val="18"/>
                <w:color w:val="0000EE"/>
                <w:w w:val="90"/>
              </w:rPr>
            </w:pPr>
            <w:hyperlink w:anchor="page53">
              <w:r>
                <w:rPr>
                  <w:rFonts w:ascii="Arial" w:cs="Arial" w:eastAsia="Arial" w:hAnsi="Arial"/>
                  <w:sz w:val="18"/>
                  <w:szCs w:val="18"/>
                  <w:color w:val="0000EE"/>
                  <w:w w:val="90"/>
                </w:rPr>
                <w:t>Item 8.</w:t>
              </w:r>
            </w:hyperlink>
          </w:p>
        </w:tc>
        <w:tc>
          <w:tcPr>
            <w:tcW w:w="620" w:type="dxa"/>
            <w:vAlign w:val="bottom"/>
            <w:gridSpan w:val="5"/>
            <w:shd w:val="clear" w:color="auto" w:fill="CFF0FC"/>
          </w:tcPr>
          <w:p>
            <w:pPr>
              <w:spacing w:after="0"/>
              <w:rPr>
                <w:sz w:val="15"/>
                <w:szCs w:val="15"/>
                <w:color w:val="auto"/>
              </w:rPr>
            </w:pPr>
          </w:p>
        </w:tc>
        <w:tc>
          <w:tcPr>
            <w:tcW w:w="8980" w:type="dxa"/>
            <w:vAlign w:val="bottom"/>
            <w:gridSpan w:val="23"/>
            <w:shd w:val="clear" w:color="auto" w:fill="CFF0FC"/>
          </w:tcPr>
          <w:p>
            <w:pPr>
              <w:spacing w:after="0" w:line="176" w:lineRule="exact"/>
              <w:rPr>
                <w:rFonts w:ascii="Arial" w:cs="Arial" w:eastAsia="Arial" w:hAnsi="Arial"/>
                <w:sz w:val="18"/>
                <w:szCs w:val="18"/>
                <w:color w:val="0000EE"/>
              </w:rPr>
            </w:pPr>
            <w:hyperlink w:anchor="page53">
              <w:r>
                <w:rPr>
                  <w:rFonts w:ascii="Arial" w:cs="Arial" w:eastAsia="Arial" w:hAnsi="Arial"/>
                  <w:sz w:val="18"/>
                  <w:szCs w:val="18"/>
                  <w:color w:val="0000EE"/>
                </w:rPr>
                <w:t>Financial Statements and Supplementary Data</w:t>
              </w:r>
            </w:hyperlink>
          </w:p>
        </w:tc>
        <w:tc>
          <w:tcPr>
            <w:tcW w:w="1120" w:type="dxa"/>
            <w:vAlign w:val="bottom"/>
            <w:shd w:val="clear" w:color="auto" w:fill="CFF0FC"/>
          </w:tcPr>
          <w:p>
            <w:pPr>
              <w:jc w:val="right"/>
              <w:spacing w:after="0" w:line="176" w:lineRule="exact"/>
              <w:rPr>
                <w:sz w:val="20"/>
                <w:szCs w:val="20"/>
                <w:color w:val="auto"/>
              </w:rPr>
            </w:pPr>
            <w:r>
              <w:rPr>
                <w:rFonts w:ascii="Arial" w:cs="Arial" w:eastAsia="Arial" w:hAnsi="Arial"/>
                <w:sz w:val="18"/>
                <w:szCs w:val="18"/>
                <w:color w:val="auto"/>
              </w:rPr>
              <w:t>50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20" w:type="dxa"/>
            <w:vAlign w:val="bottom"/>
            <w:tcBorders>
              <w:top w:val="single" w:sz="8" w:color="0000EE"/>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0000EE"/>
            </w:tcBorders>
            <w:shd w:val="clear" w:color="auto" w:fill="CFF0FC"/>
          </w:tcPr>
          <w:p>
            <w:pPr>
              <w:spacing w:after="0" w:line="20" w:lineRule="exact"/>
              <w:rPr>
                <w:sz w:val="1"/>
                <w:szCs w:val="1"/>
                <w:color w:val="auto"/>
              </w:rPr>
            </w:pPr>
          </w:p>
        </w:tc>
        <w:tc>
          <w:tcPr>
            <w:tcW w:w="260" w:type="dxa"/>
            <w:vAlign w:val="bottom"/>
            <w:tcBorders>
              <w:top w:val="single" w:sz="8" w:color="0000EE"/>
            </w:tcBorders>
            <w:shd w:val="clear" w:color="auto" w:fill="CFF0FC"/>
          </w:tcPr>
          <w:p>
            <w:pPr>
              <w:spacing w:after="0" w:line="20" w:lineRule="exact"/>
              <w:rPr>
                <w:sz w:val="1"/>
                <w:szCs w:val="1"/>
                <w:color w:val="auto"/>
              </w:rPr>
            </w:pPr>
          </w:p>
        </w:tc>
        <w:tc>
          <w:tcPr>
            <w:tcW w:w="100" w:type="dxa"/>
            <w:vAlign w:val="bottom"/>
            <w:tcBorders>
              <w:top w:val="single" w:sz="8" w:color="0000EE"/>
            </w:tcBorders>
            <w:shd w:val="clear" w:color="auto" w:fill="CFF0FC"/>
          </w:tcPr>
          <w:p>
            <w:pPr>
              <w:spacing w:after="0" w:line="20" w:lineRule="exact"/>
              <w:rPr>
                <w:sz w:val="1"/>
                <w:szCs w:val="1"/>
                <w:color w:val="auto"/>
              </w:rPr>
            </w:pPr>
          </w:p>
        </w:tc>
        <w:tc>
          <w:tcPr>
            <w:tcW w:w="60" w:type="dxa"/>
            <w:vAlign w:val="bottom"/>
            <w:tcBorders>
              <w:top w:val="single" w:sz="8" w:color="0000EE"/>
            </w:tcBorders>
            <w:shd w:val="clear" w:color="auto" w:fill="CFF0FC"/>
          </w:tcPr>
          <w:p>
            <w:pPr>
              <w:spacing w:after="0" w:line="20" w:lineRule="exact"/>
              <w:rPr>
                <w:sz w:val="1"/>
                <w:szCs w:val="1"/>
                <w:color w:val="auto"/>
              </w:rPr>
            </w:pPr>
          </w:p>
        </w:tc>
        <w:tc>
          <w:tcPr>
            <w:tcW w:w="100" w:type="dxa"/>
            <w:vAlign w:val="bottom"/>
            <w:tcBorders>
              <w:top w:val="single" w:sz="8" w:color="0000EE"/>
            </w:tcBorders>
            <w:shd w:val="clear" w:color="auto" w:fill="CFF0FC"/>
          </w:tcPr>
          <w:p>
            <w:pPr>
              <w:spacing w:after="0" w:line="20" w:lineRule="exact"/>
              <w:rPr>
                <w:sz w:val="1"/>
                <w:szCs w:val="1"/>
                <w:color w:val="auto"/>
              </w:rPr>
            </w:pPr>
          </w:p>
        </w:tc>
        <w:tc>
          <w:tcPr>
            <w:tcW w:w="420" w:type="dxa"/>
            <w:vAlign w:val="bottom"/>
            <w:tcBorders>
              <w:top w:val="single" w:sz="8" w:color="0000EE"/>
            </w:tcBorders>
            <w:shd w:val="clear" w:color="auto" w:fill="CFF0FC"/>
          </w:tcPr>
          <w:p>
            <w:pPr>
              <w:spacing w:after="0" w:line="20" w:lineRule="exact"/>
              <w:rPr>
                <w:sz w:val="1"/>
                <w:szCs w:val="1"/>
                <w:color w:val="auto"/>
              </w:rPr>
            </w:pPr>
          </w:p>
        </w:tc>
        <w:tc>
          <w:tcPr>
            <w:tcW w:w="20" w:type="dxa"/>
            <w:vAlign w:val="bottom"/>
            <w:tcBorders>
              <w:top w:val="single" w:sz="8" w:color="0000EE"/>
            </w:tcBorders>
            <w:shd w:val="clear" w:color="auto" w:fill="CFF0FC"/>
          </w:tcPr>
          <w:p>
            <w:pPr>
              <w:spacing w:after="0" w:line="20" w:lineRule="exact"/>
              <w:rPr>
                <w:sz w:val="1"/>
                <w:szCs w:val="1"/>
                <w:color w:val="auto"/>
              </w:rPr>
            </w:pPr>
          </w:p>
        </w:tc>
        <w:tc>
          <w:tcPr>
            <w:tcW w:w="220" w:type="dxa"/>
            <w:vAlign w:val="bottom"/>
            <w:tcBorders>
              <w:top w:val="single" w:sz="8" w:color="0000EE"/>
            </w:tcBorders>
            <w:shd w:val="clear" w:color="auto" w:fill="CFF0FC"/>
          </w:tcPr>
          <w:p>
            <w:pPr>
              <w:spacing w:after="0" w:line="20" w:lineRule="exact"/>
              <w:rPr>
                <w:sz w:val="1"/>
                <w:szCs w:val="1"/>
                <w:color w:val="auto"/>
              </w:rPr>
            </w:pPr>
          </w:p>
        </w:tc>
        <w:tc>
          <w:tcPr>
            <w:tcW w:w="220" w:type="dxa"/>
            <w:vAlign w:val="bottom"/>
            <w:tcBorders>
              <w:top w:val="single" w:sz="8" w:color="0000EE"/>
            </w:tcBorders>
            <w:shd w:val="clear" w:color="auto" w:fill="CFF0FC"/>
          </w:tcPr>
          <w:p>
            <w:pPr>
              <w:spacing w:after="0" w:line="20" w:lineRule="exact"/>
              <w:rPr>
                <w:sz w:val="1"/>
                <w:szCs w:val="1"/>
                <w:color w:val="auto"/>
              </w:rPr>
            </w:pPr>
          </w:p>
        </w:tc>
        <w:tc>
          <w:tcPr>
            <w:tcW w:w="20" w:type="dxa"/>
            <w:vAlign w:val="bottom"/>
            <w:tcBorders>
              <w:top w:val="single" w:sz="8" w:color="0000EE"/>
            </w:tcBorders>
            <w:shd w:val="clear" w:color="auto" w:fill="CFF0FC"/>
          </w:tcPr>
          <w:p>
            <w:pPr>
              <w:spacing w:after="0" w:line="20" w:lineRule="exact"/>
              <w:rPr>
                <w:sz w:val="1"/>
                <w:szCs w:val="1"/>
                <w:color w:val="auto"/>
              </w:rPr>
            </w:pPr>
          </w:p>
        </w:tc>
        <w:tc>
          <w:tcPr>
            <w:tcW w:w="240" w:type="dxa"/>
            <w:vAlign w:val="bottom"/>
            <w:tcBorders>
              <w:top w:val="single" w:sz="8" w:color="0000EE"/>
            </w:tcBorders>
            <w:shd w:val="clear" w:color="auto" w:fill="CFF0FC"/>
          </w:tcPr>
          <w:p>
            <w:pPr>
              <w:spacing w:after="0" w:line="20" w:lineRule="exact"/>
              <w:rPr>
                <w:sz w:val="1"/>
                <w:szCs w:val="1"/>
                <w:color w:val="auto"/>
              </w:rPr>
            </w:pPr>
          </w:p>
        </w:tc>
        <w:tc>
          <w:tcPr>
            <w:tcW w:w="840" w:type="dxa"/>
            <w:vAlign w:val="bottom"/>
            <w:tcBorders>
              <w:top w:val="single" w:sz="8" w:color="0000EE"/>
            </w:tcBorders>
            <w:shd w:val="clear" w:color="auto" w:fill="CFF0FC"/>
          </w:tcPr>
          <w:p>
            <w:pPr>
              <w:spacing w:after="0" w:line="20" w:lineRule="exact"/>
              <w:rPr>
                <w:sz w:val="1"/>
                <w:szCs w:val="1"/>
                <w:color w:val="auto"/>
              </w:rPr>
            </w:pPr>
          </w:p>
        </w:tc>
        <w:tc>
          <w:tcPr>
            <w:tcW w:w="20" w:type="dxa"/>
            <w:vAlign w:val="bottom"/>
            <w:tcBorders>
              <w:top w:val="single" w:sz="8" w:color="0000EE"/>
            </w:tcBorders>
            <w:shd w:val="clear" w:color="auto" w:fill="CFF0FC"/>
          </w:tcPr>
          <w:p>
            <w:pPr>
              <w:spacing w:after="0" w:line="20" w:lineRule="exact"/>
              <w:rPr>
                <w:sz w:val="1"/>
                <w:szCs w:val="1"/>
                <w:color w:val="auto"/>
              </w:rPr>
            </w:pPr>
          </w:p>
        </w:tc>
        <w:tc>
          <w:tcPr>
            <w:tcW w:w="420" w:type="dxa"/>
            <w:vAlign w:val="bottom"/>
            <w:tcBorders>
              <w:top w:val="single" w:sz="8" w:color="0000EE"/>
            </w:tcBorders>
            <w:shd w:val="clear" w:color="auto" w:fill="CFF0FC"/>
          </w:tcPr>
          <w:p>
            <w:pPr>
              <w:spacing w:after="0" w:line="20" w:lineRule="exact"/>
              <w:rPr>
                <w:sz w:val="1"/>
                <w:szCs w:val="1"/>
                <w:color w:val="auto"/>
              </w:rPr>
            </w:pPr>
          </w:p>
        </w:tc>
        <w:tc>
          <w:tcPr>
            <w:tcW w:w="7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60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20" w:type="dxa"/>
            <w:vAlign w:val="bottom"/>
          </w:tcPr>
          <w:p>
            <w:pPr>
              <w:spacing w:after="0" w:line="176" w:lineRule="exact"/>
              <w:rPr>
                <w:rFonts w:ascii="Arial" w:cs="Arial" w:eastAsia="Arial" w:hAnsi="Arial"/>
                <w:sz w:val="18"/>
                <w:szCs w:val="18"/>
                <w:color w:val="0000EE"/>
                <w:w w:val="90"/>
              </w:rPr>
            </w:pPr>
            <w:hyperlink w:anchor="page53">
              <w:r>
                <w:rPr>
                  <w:rFonts w:ascii="Arial" w:cs="Arial" w:eastAsia="Arial" w:hAnsi="Arial"/>
                  <w:sz w:val="18"/>
                  <w:szCs w:val="18"/>
                  <w:color w:val="0000EE"/>
                  <w:w w:val="90"/>
                </w:rPr>
                <w:t>Item 9.</w:t>
              </w:r>
            </w:hyperlink>
          </w:p>
        </w:tc>
        <w:tc>
          <w:tcPr>
            <w:tcW w:w="620" w:type="dxa"/>
            <w:vAlign w:val="bottom"/>
            <w:gridSpan w:val="5"/>
          </w:tcPr>
          <w:p>
            <w:pPr>
              <w:spacing w:after="0"/>
              <w:rPr>
                <w:sz w:val="15"/>
                <w:szCs w:val="15"/>
                <w:color w:val="auto"/>
              </w:rPr>
            </w:pPr>
          </w:p>
        </w:tc>
        <w:tc>
          <w:tcPr>
            <w:tcW w:w="8980" w:type="dxa"/>
            <w:vAlign w:val="bottom"/>
            <w:gridSpan w:val="23"/>
          </w:tcPr>
          <w:p>
            <w:pPr>
              <w:spacing w:after="0" w:line="176" w:lineRule="exact"/>
              <w:rPr>
                <w:rFonts w:ascii="Arial" w:cs="Arial" w:eastAsia="Arial" w:hAnsi="Arial"/>
                <w:sz w:val="18"/>
                <w:szCs w:val="18"/>
                <w:color w:val="0000EE"/>
              </w:rPr>
            </w:pPr>
            <w:hyperlink w:anchor="page53">
              <w:r>
                <w:rPr>
                  <w:rFonts w:ascii="Arial" w:cs="Arial" w:eastAsia="Arial" w:hAnsi="Arial"/>
                  <w:sz w:val="18"/>
                  <w:szCs w:val="18"/>
                  <w:color w:val="0000EE"/>
                </w:rPr>
                <w:t>Changes in and Disagreements with Accountants on Accounting and Financial Disclosure</w:t>
              </w:r>
            </w:hyperlink>
          </w:p>
        </w:tc>
        <w:tc>
          <w:tcPr>
            <w:tcW w:w="1120" w:type="dxa"/>
            <w:vAlign w:val="bottom"/>
          </w:tcPr>
          <w:p>
            <w:pPr>
              <w:jc w:val="right"/>
              <w:spacing w:after="0" w:line="176" w:lineRule="exact"/>
              <w:rPr>
                <w:sz w:val="20"/>
                <w:szCs w:val="20"/>
                <w:color w:val="auto"/>
              </w:rPr>
            </w:pPr>
            <w:r>
              <w:rPr>
                <w:rFonts w:ascii="Arial" w:cs="Arial" w:eastAsia="Arial" w:hAnsi="Arial"/>
                <w:sz w:val="18"/>
                <w:szCs w:val="18"/>
                <w:color w:val="auto"/>
              </w:rPr>
              <w:t>50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tcBorders>
              <w:bottom w:val="single" w:sz="8" w:color="0000EE"/>
            </w:tcBorders>
            <w:gridSpan w:val="4"/>
            <w:shd w:val="clear" w:color="auto" w:fill="CFF0FC"/>
          </w:tcPr>
          <w:p>
            <w:pPr>
              <w:spacing w:after="0" w:line="176" w:lineRule="exact"/>
              <w:rPr>
                <w:rFonts w:ascii="Arial" w:cs="Arial" w:eastAsia="Arial" w:hAnsi="Arial"/>
                <w:sz w:val="18"/>
                <w:szCs w:val="18"/>
                <w:color w:val="0000EE"/>
                <w:w w:val="95"/>
              </w:rPr>
            </w:pPr>
            <w:hyperlink w:anchor="page53">
              <w:r>
                <w:rPr>
                  <w:rFonts w:ascii="Arial" w:cs="Arial" w:eastAsia="Arial" w:hAnsi="Arial"/>
                  <w:sz w:val="18"/>
                  <w:szCs w:val="18"/>
                  <w:color w:val="0000EE"/>
                  <w:w w:val="95"/>
                </w:rPr>
                <w:t>Item 9A.</w:t>
              </w:r>
            </w:hyperlink>
          </w:p>
        </w:tc>
        <w:tc>
          <w:tcPr>
            <w:tcW w:w="480" w:type="dxa"/>
            <w:vAlign w:val="bottom"/>
            <w:tcBorders>
              <w:bottom w:val="single" w:sz="8" w:color="CFF0FC"/>
            </w:tcBorders>
            <w:gridSpan w:val="2"/>
            <w:shd w:val="clear" w:color="auto" w:fill="CFF0FC"/>
          </w:tcPr>
          <w:p>
            <w:pPr>
              <w:spacing w:after="0"/>
              <w:rPr>
                <w:sz w:val="17"/>
                <w:szCs w:val="17"/>
                <w:color w:val="auto"/>
              </w:rPr>
            </w:pPr>
          </w:p>
        </w:tc>
        <w:tc>
          <w:tcPr>
            <w:tcW w:w="1780" w:type="dxa"/>
            <w:vAlign w:val="bottom"/>
            <w:tcBorders>
              <w:bottom w:val="single" w:sz="8" w:color="0000EE"/>
            </w:tcBorders>
            <w:gridSpan w:val="9"/>
            <w:shd w:val="clear" w:color="auto" w:fill="CFF0FC"/>
          </w:tcPr>
          <w:p>
            <w:pPr>
              <w:spacing w:after="0" w:line="176" w:lineRule="exact"/>
              <w:rPr>
                <w:rFonts w:ascii="Arial" w:cs="Arial" w:eastAsia="Arial" w:hAnsi="Arial"/>
                <w:sz w:val="18"/>
                <w:szCs w:val="18"/>
                <w:color w:val="0000EE"/>
                <w:w w:val="88"/>
              </w:rPr>
            </w:pPr>
            <w:hyperlink w:anchor="page53">
              <w:r>
                <w:rPr>
                  <w:rFonts w:ascii="Arial" w:cs="Arial" w:eastAsia="Arial" w:hAnsi="Arial"/>
                  <w:sz w:val="18"/>
                  <w:szCs w:val="18"/>
                  <w:color w:val="0000EE"/>
                  <w:w w:val="88"/>
                </w:rPr>
                <w:t>Controls and Procedures</w:t>
              </w:r>
            </w:hyperlink>
          </w:p>
        </w:tc>
        <w:tc>
          <w:tcPr>
            <w:tcW w:w="7200" w:type="dxa"/>
            <w:vAlign w:val="bottom"/>
            <w:tcBorders>
              <w:bottom w:val="single" w:sz="8" w:color="CFF0FC"/>
            </w:tcBorders>
            <w:gridSpan w:val="14"/>
            <w:shd w:val="clear" w:color="auto" w:fill="CFF0FC"/>
          </w:tcPr>
          <w:p>
            <w:pPr>
              <w:spacing w:after="0"/>
              <w:rPr>
                <w:sz w:val="17"/>
                <w:szCs w:val="17"/>
                <w:color w:val="auto"/>
              </w:rPr>
            </w:pPr>
          </w:p>
        </w:tc>
        <w:tc>
          <w:tcPr>
            <w:tcW w:w="1120" w:type="dxa"/>
            <w:vAlign w:val="bottom"/>
            <w:tcBorders>
              <w:bottom w:val="single" w:sz="8" w:color="CFF0FC"/>
            </w:tcBorders>
            <w:shd w:val="clear" w:color="auto" w:fill="CFF0FC"/>
          </w:tcPr>
          <w:p>
            <w:pPr>
              <w:jc w:val="right"/>
              <w:spacing w:after="0" w:line="176" w:lineRule="exact"/>
              <w:rPr>
                <w:sz w:val="20"/>
                <w:szCs w:val="20"/>
                <w:color w:val="auto"/>
              </w:rPr>
            </w:pPr>
            <w:r>
              <w:rPr>
                <w:rFonts w:ascii="Arial" w:cs="Arial" w:eastAsia="Arial" w:hAnsi="Arial"/>
                <w:sz w:val="18"/>
                <w:szCs w:val="18"/>
                <w:color w:val="auto"/>
              </w:rPr>
              <w:t>50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640" w:type="dxa"/>
            <w:vAlign w:val="bottom"/>
            <w:tcBorders>
              <w:bottom w:val="single" w:sz="8" w:color="0000EE"/>
            </w:tcBorders>
            <w:gridSpan w:val="3"/>
          </w:tcPr>
          <w:p>
            <w:pPr>
              <w:spacing w:after="0" w:line="176" w:lineRule="exact"/>
              <w:rPr>
                <w:rFonts w:ascii="Arial" w:cs="Arial" w:eastAsia="Arial" w:hAnsi="Arial"/>
                <w:sz w:val="18"/>
                <w:szCs w:val="18"/>
                <w:color w:val="0000EE"/>
                <w:w w:val="92"/>
              </w:rPr>
            </w:pPr>
            <w:hyperlink w:anchor="page53">
              <w:r>
                <w:rPr>
                  <w:rFonts w:ascii="Arial" w:cs="Arial" w:eastAsia="Arial" w:hAnsi="Arial"/>
                  <w:sz w:val="18"/>
                  <w:szCs w:val="18"/>
                  <w:color w:val="0000EE"/>
                  <w:w w:val="92"/>
                </w:rPr>
                <w:t>Item 9B.</w:t>
              </w:r>
            </w:hyperlink>
          </w:p>
        </w:tc>
        <w:tc>
          <w:tcPr>
            <w:tcW w:w="500" w:type="dxa"/>
            <w:vAlign w:val="bottom"/>
            <w:gridSpan w:val="3"/>
          </w:tcPr>
          <w:p>
            <w:pPr>
              <w:spacing w:after="0"/>
              <w:rPr>
                <w:sz w:val="15"/>
                <w:szCs w:val="15"/>
                <w:color w:val="auto"/>
              </w:rPr>
            </w:pPr>
          </w:p>
        </w:tc>
        <w:tc>
          <w:tcPr>
            <w:tcW w:w="1320" w:type="dxa"/>
            <w:vAlign w:val="bottom"/>
            <w:tcBorders>
              <w:bottom w:val="single" w:sz="8" w:color="0000EE"/>
            </w:tcBorders>
            <w:gridSpan w:val="6"/>
          </w:tcPr>
          <w:p>
            <w:pPr>
              <w:spacing w:after="0" w:line="176" w:lineRule="exact"/>
              <w:rPr>
                <w:rFonts w:ascii="Arial" w:cs="Arial" w:eastAsia="Arial" w:hAnsi="Arial"/>
                <w:sz w:val="18"/>
                <w:szCs w:val="18"/>
                <w:color w:val="0000EE"/>
                <w:w w:val="92"/>
              </w:rPr>
            </w:pPr>
            <w:hyperlink w:anchor="page53">
              <w:r>
                <w:rPr>
                  <w:rFonts w:ascii="Arial" w:cs="Arial" w:eastAsia="Arial" w:hAnsi="Arial"/>
                  <w:sz w:val="18"/>
                  <w:szCs w:val="18"/>
                  <w:color w:val="0000EE"/>
                  <w:w w:val="92"/>
                </w:rPr>
                <w:t>Other Information</w:t>
              </w:r>
            </w:hyperlink>
          </w:p>
        </w:tc>
        <w:tc>
          <w:tcPr>
            <w:tcW w:w="7660" w:type="dxa"/>
            <w:vAlign w:val="bottom"/>
            <w:gridSpan w:val="17"/>
          </w:tcPr>
          <w:p>
            <w:pPr>
              <w:spacing w:after="0"/>
              <w:rPr>
                <w:sz w:val="15"/>
                <w:szCs w:val="15"/>
                <w:color w:val="auto"/>
              </w:rPr>
            </w:pPr>
          </w:p>
        </w:tc>
        <w:tc>
          <w:tcPr>
            <w:tcW w:w="1120" w:type="dxa"/>
            <w:vAlign w:val="bottom"/>
          </w:tcPr>
          <w:p>
            <w:pPr>
              <w:jc w:val="right"/>
              <w:spacing w:after="0" w:line="176" w:lineRule="exact"/>
              <w:rPr>
                <w:sz w:val="20"/>
                <w:szCs w:val="20"/>
                <w:color w:val="auto"/>
              </w:rPr>
            </w:pPr>
            <w:r>
              <w:rPr>
                <w:rFonts w:ascii="Arial" w:cs="Arial" w:eastAsia="Arial" w:hAnsi="Arial"/>
                <w:sz w:val="18"/>
                <w:szCs w:val="18"/>
                <w:color w:val="auto"/>
              </w:rPr>
              <w:t>50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gridSpan w:val="6"/>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Item 9C.</w:t>
              </w:r>
            </w:hyperlink>
          </w:p>
        </w:tc>
        <w:tc>
          <w:tcPr>
            <w:tcW w:w="8980" w:type="dxa"/>
            <w:vAlign w:val="bottom"/>
            <w:gridSpan w:val="23"/>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Disclosure Regarding Foreign Jurisdictions that Prevent Inspections</w:t>
              </w:r>
            </w:hyperlink>
          </w:p>
        </w:tc>
        <w:tc>
          <w:tcPr>
            <w:tcW w:w="11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
        </w:trPr>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40" w:type="dxa"/>
            <w:vAlign w:val="bottom"/>
            <w:tcBorders>
              <w:bottom w:val="single" w:sz="8" w:color="0000EE"/>
            </w:tcBorders>
            <w:gridSpan w:val="5"/>
            <w:shd w:val="clear" w:color="auto" w:fill="CFF0FC"/>
          </w:tcPr>
          <w:p>
            <w:pPr>
              <w:spacing w:after="0" w:line="176" w:lineRule="exact"/>
              <w:rPr>
                <w:rFonts w:ascii="Arial" w:cs="Arial" w:eastAsia="Arial" w:hAnsi="Arial"/>
                <w:sz w:val="18"/>
                <w:szCs w:val="18"/>
                <w:b w:val="1"/>
                <w:bCs w:val="1"/>
                <w:color w:val="0000EE"/>
              </w:rPr>
            </w:pPr>
            <w:hyperlink w:anchor="page54">
              <w:r>
                <w:rPr>
                  <w:rFonts w:ascii="Arial" w:cs="Arial" w:eastAsia="Arial" w:hAnsi="Arial"/>
                  <w:sz w:val="18"/>
                  <w:szCs w:val="18"/>
                  <w:b w:val="1"/>
                  <w:bCs w:val="1"/>
                  <w:color w:val="0000EE"/>
                </w:rPr>
                <w:t>PART III</w:t>
              </w:r>
            </w:hyperlink>
          </w:p>
        </w:tc>
        <w:tc>
          <w:tcPr>
            <w:tcW w:w="40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140" w:type="dxa"/>
            <w:vAlign w:val="bottom"/>
            <w:gridSpan w:val="6"/>
          </w:tcPr>
          <w:p>
            <w:pPr>
              <w:spacing w:after="0" w:line="176" w:lineRule="exact"/>
              <w:rPr>
                <w:rFonts w:ascii="Arial" w:cs="Arial" w:eastAsia="Arial" w:hAnsi="Arial"/>
                <w:sz w:val="18"/>
                <w:szCs w:val="18"/>
                <w:color w:val="0000EE"/>
              </w:rPr>
            </w:pPr>
            <w:hyperlink w:anchor="page54">
              <w:r>
                <w:rPr>
                  <w:rFonts w:ascii="Arial" w:cs="Arial" w:eastAsia="Arial" w:hAnsi="Arial"/>
                  <w:sz w:val="18"/>
                  <w:szCs w:val="18"/>
                  <w:color w:val="0000EE"/>
                </w:rPr>
                <w:t>Item 10.</w:t>
              </w:r>
            </w:hyperlink>
          </w:p>
        </w:tc>
        <w:tc>
          <w:tcPr>
            <w:tcW w:w="8980" w:type="dxa"/>
            <w:vAlign w:val="bottom"/>
            <w:gridSpan w:val="23"/>
          </w:tcPr>
          <w:p>
            <w:pPr>
              <w:spacing w:after="0" w:line="176" w:lineRule="exact"/>
              <w:rPr>
                <w:rFonts w:ascii="Arial" w:cs="Arial" w:eastAsia="Arial" w:hAnsi="Arial"/>
                <w:sz w:val="18"/>
                <w:szCs w:val="18"/>
                <w:color w:val="0000EE"/>
              </w:rPr>
            </w:pPr>
            <w:hyperlink w:anchor="page54">
              <w:r>
                <w:rPr>
                  <w:rFonts w:ascii="Arial" w:cs="Arial" w:eastAsia="Arial" w:hAnsi="Arial"/>
                  <w:sz w:val="18"/>
                  <w:szCs w:val="18"/>
                  <w:color w:val="0000EE"/>
                </w:rPr>
                <w:t>Directors, Executive Officers and Corporate Governance</w:t>
              </w:r>
            </w:hyperlink>
          </w:p>
        </w:tc>
        <w:tc>
          <w:tcPr>
            <w:tcW w:w="1120" w:type="dxa"/>
            <w:vAlign w:val="bottom"/>
          </w:tcPr>
          <w:p>
            <w:pPr>
              <w:jc w:val="right"/>
              <w:spacing w:after="0" w:line="176" w:lineRule="exact"/>
              <w:rPr>
                <w:sz w:val="20"/>
                <w:szCs w:val="20"/>
                <w:color w:val="auto"/>
              </w:rPr>
            </w:pPr>
            <w:r>
              <w:rPr>
                <w:rFonts w:ascii="Arial" w:cs="Arial" w:eastAsia="Arial" w:hAnsi="Arial"/>
                <w:sz w:val="18"/>
                <w:szCs w:val="18"/>
                <w:color w:val="auto"/>
              </w:rPr>
              <w:t>51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gridSpan w:val="6"/>
            <w:shd w:val="clear" w:color="auto" w:fill="CFF0FC"/>
          </w:tcPr>
          <w:p>
            <w:pPr>
              <w:spacing w:after="0" w:line="176" w:lineRule="exact"/>
              <w:rPr>
                <w:rFonts w:ascii="Arial" w:cs="Arial" w:eastAsia="Arial" w:hAnsi="Arial"/>
                <w:sz w:val="18"/>
                <w:szCs w:val="18"/>
                <w:color w:val="0000EE"/>
              </w:rPr>
            </w:pPr>
            <w:hyperlink w:anchor="page54">
              <w:r>
                <w:rPr>
                  <w:rFonts w:ascii="Arial" w:cs="Arial" w:eastAsia="Arial" w:hAnsi="Arial"/>
                  <w:sz w:val="18"/>
                  <w:szCs w:val="18"/>
                  <w:color w:val="0000EE"/>
                </w:rPr>
                <w:t>Item 11.</w:t>
              </w:r>
            </w:hyperlink>
          </w:p>
        </w:tc>
        <w:tc>
          <w:tcPr>
            <w:tcW w:w="8980" w:type="dxa"/>
            <w:vAlign w:val="bottom"/>
            <w:gridSpan w:val="23"/>
            <w:shd w:val="clear" w:color="auto" w:fill="CFF0FC"/>
          </w:tcPr>
          <w:p>
            <w:pPr>
              <w:spacing w:after="0" w:line="176" w:lineRule="exact"/>
              <w:rPr>
                <w:rFonts w:ascii="Arial" w:cs="Arial" w:eastAsia="Arial" w:hAnsi="Arial"/>
                <w:sz w:val="18"/>
                <w:szCs w:val="18"/>
                <w:color w:val="0000EE"/>
              </w:rPr>
            </w:pPr>
            <w:hyperlink w:anchor="page54">
              <w:r>
                <w:rPr>
                  <w:rFonts w:ascii="Arial" w:cs="Arial" w:eastAsia="Arial" w:hAnsi="Arial"/>
                  <w:sz w:val="18"/>
                  <w:szCs w:val="18"/>
                  <w:color w:val="0000EE"/>
                </w:rPr>
                <w:t>Executive Compensation</w:t>
              </w:r>
            </w:hyperlink>
          </w:p>
        </w:tc>
        <w:tc>
          <w:tcPr>
            <w:tcW w:w="1120" w:type="dxa"/>
            <w:vAlign w:val="bottom"/>
            <w:shd w:val="clear" w:color="auto" w:fill="CFF0FC"/>
          </w:tcPr>
          <w:p>
            <w:pPr>
              <w:jc w:val="right"/>
              <w:spacing w:after="0" w:line="176" w:lineRule="exact"/>
              <w:rPr>
                <w:sz w:val="20"/>
                <w:szCs w:val="20"/>
                <w:color w:val="auto"/>
              </w:rPr>
            </w:pPr>
            <w:r>
              <w:rPr>
                <w:rFonts w:ascii="Arial" w:cs="Arial" w:eastAsia="Arial" w:hAnsi="Arial"/>
                <w:sz w:val="18"/>
                <w:szCs w:val="18"/>
                <w:color w:val="auto"/>
              </w:rPr>
              <w:t>51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tcBorders>
              <w:top w:val="single" w:sz="8" w:color="0000EE"/>
            </w:tcBorders>
            <w:shd w:val="clear" w:color="auto" w:fill="CFF0FC"/>
          </w:tcPr>
          <w:p>
            <w:pPr>
              <w:spacing w:after="0" w:line="20" w:lineRule="exact"/>
              <w:rPr>
                <w:sz w:val="1"/>
                <w:szCs w:val="1"/>
                <w:color w:val="auto"/>
              </w:rPr>
            </w:pPr>
          </w:p>
        </w:tc>
        <w:tc>
          <w:tcPr>
            <w:tcW w:w="80" w:type="dxa"/>
            <w:vAlign w:val="bottom"/>
            <w:tcBorders>
              <w:top w:val="single" w:sz="8" w:color="0000EE"/>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0000EE"/>
            </w:tcBorders>
            <w:shd w:val="clear" w:color="auto" w:fill="CFF0FC"/>
          </w:tcPr>
          <w:p>
            <w:pPr>
              <w:spacing w:after="0" w:line="20" w:lineRule="exact"/>
              <w:rPr>
                <w:sz w:val="1"/>
                <w:szCs w:val="1"/>
                <w:color w:val="auto"/>
              </w:rPr>
            </w:pPr>
          </w:p>
        </w:tc>
        <w:tc>
          <w:tcPr>
            <w:tcW w:w="260" w:type="dxa"/>
            <w:vAlign w:val="bottom"/>
            <w:tcBorders>
              <w:top w:val="single" w:sz="8" w:color="0000EE"/>
            </w:tcBorders>
            <w:shd w:val="clear" w:color="auto" w:fill="CFF0FC"/>
          </w:tcPr>
          <w:p>
            <w:pPr>
              <w:spacing w:after="0" w:line="20" w:lineRule="exact"/>
              <w:rPr>
                <w:sz w:val="1"/>
                <w:szCs w:val="1"/>
                <w:color w:val="auto"/>
              </w:rPr>
            </w:pPr>
          </w:p>
        </w:tc>
        <w:tc>
          <w:tcPr>
            <w:tcW w:w="100" w:type="dxa"/>
            <w:vAlign w:val="bottom"/>
            <w:tcBorders>
              <w:top w:val="single" w:sz="8" w:color="0000EE"/>
            </w:tcBorders>
            <w:shd w:val="clear" w:color="auto" w:fill="CFF0FC"/>
          </w:tcPr>
          <w:p>
            <w:pPr>
              <w:spacing w:after="0" w:line="20" w:lineRule="exact"/>
              <w:rPr>
                <w:sz w:val="1"/>
                <w:szCs w:val="1"/>
                <w:color w:val="auto"/>
              </w:rPr>
            </w:pPr>
          </w:p>
        </w:tc>
        <w:tc>
          <w:tcPr>
            <w:tcW w:w="60" w:type="dxa"/>
            <w:vAlign w:val="bottom"/>
            <w:tcBorders>
              <w:top w:val="single" w:sz="8" w:color="0000EE"/>
            </w:tcBorders>
            <w:shd w:val="clear" w:color="auto" w:fill="CFF0FC"/>
          </w:tcPr>
          <w:p>
            <w:pPr>
              <w:spacing w:after="0" w:line="20" w:lineRule="exact"/>
              <w:rPr>
                <w:sz w:val="1"/>
                <w:szCs w:val="1"/>
                <w:color w:val="auto"/>
              </w:rPr>
            </w:pPr>
          </w:p>
        </w:tc>
        <w:tc>
          <w:tcPr>
            <w:tcW w:w="100" w:type="dxa"/>
            <w:vAlign w:val="bottom"/>
            <w:tcBorders>
              <w:top w:val="single" w:sz="8" w:color="0000EE"/>
            </w:tcBorders>
            <w:shd w:val="clear" w:color="auto" w:fill="CFF0FC"/>
          </w:tcPr>
          <w:p>
            <w:pPr>
              <w:spacing w:after="0" w:line="20" w:lineRule="exact"/>
              <w:rPr>
                <w:sz w:val="1"/>
                <w:szCs w:val="1"/>
                <w:color w:val="auto"/>
              </w:rPr>
            </w:pPr>
          </w:p>
        </w:tc>
        <w:tc>
          <w:tcPr>
            <w:tcW w:w="420" w:type="dxa"/>
            <w:vAlign w:val="bottom"/>
            <w:tcBorders>
              <w:top w:val="single" w:sz="8" w:color="0000EE"/>
            </w:tcBorders>
            <w:shd w:val="clear" w:color="auto" w:fill="CFF0FC"/>
          </w:tcPr>
          <w:p>
            <w:pPr>
              <w:spacing w:after="0" w:line="20" w:lineRule="exact"/>
              <w:rPr>
                <w:sz w:val="1"/>
                <w:szCs w:val="1"/>
                <w:color w:val="auto"/>
              </w:rPr>
            </w:pPr>
          </w:p>
        </w:tc>
        <w:tc>
          <w:tcPr>
            <w:tcW w:w="20" w:type="dxa"/>
            <w:vAlign w:val="bottom"/>
            <w:tcBorders>
              <w:top w:val="single" w:sz="8" w:color="0000EE"/>
            </w:tcBorders>
            <w:shd w:val="clear" w:color="auto" w:fill="CFF0FC"/>
          </w:tcPr>
          <w:p>
            <w:pPr>
              <w:spacing w:after="0" w:line="20" w:lineRule="exact"/>
              <w:rPr>
                <w:sz w:val="1"/>
                <w:szCs w:val="1"/>
                <w:color w:val="auto"/>
              </w:rPr>
            </w:pPr>
          </w:p>
        </w:tc>
        <w:tc>
          <w:tcPr>
            <w:tcW w:w="220" w:type="dxa"/>
            <w:vAlign w:val="bottom"/>
            <w:tcBorders>
              <w:top w:val="single" w:sz="8" w:color="0000EE"/>
            </w:tcBorders>
            <w:shd w:val="clear" w:color="auto" w:fill="CFF0FC"/>
          </w:tcPr>
          <w:p>
            <w:pPr>
              <w:spacing w:after="0" w:line="20" w:lineRule="exact"/>
              <w:rPr>
                <w:sz w:val="1"/>
                <w:szCs w:val="1"/>
                <w:color w:val="auto"/>
              </w:rPr>
            </w:pPr>
          </w:p>
        </w:tc>
        <w:tc>
          <w:tcPr>
            <w:tcW w:w="220" w:type="dxa"/>
            <w:vAlign w:val="bottom"/>
            <w:tcBorders>
              <w:top w:val="single" w:sz="8" w:color="0000EE"/>
            </w:tcBorders>
            <w:shd w:val="clear" w:color="auto" w:fill="CFF0FC"/>
          </w:tcPr>
          <w:p>
            <w:pPr>
              <w:spacing w:after="0" w:line="20" w:lineRule="exact"/>
              <w:rPr>
                <w:sz w:val="1"/>
                <w:szCs w:val="1"/>
                <w:color w:val="auto"/>
              </w:rPr>
            </w:pPr>
          </w:p>
        </w:tc>
        <w:tc>
          <w:tcPr>
            <w:tcW w:w="20" w:type="dxa"/>
            <w:vAlign w:val="bottom"/>
            <w:tcBorders>
              <w:top w:val="single" w:sz="8" w:color="0000EE"/>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60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gridSpan w:val="6"/>
          </w:tcPr>
          <w:p>
            <w:pPr>
              <w:spacing w:after="0" w:line="176" w:lineRule="exact"/>
              <w:rPr>
                <w:rFonts w:ascii="Arial" w:cs="Arial" w:eastAsia="Arial" w:hAnsi="Arial"/>
                <w:sz w:val="18"/>
                <w:szCs w:val="18"/>
                <w:color w:val="0000EE"/>
              </w:rPr>
            </w:pPr>
            <w:hyperlink w:anchor="page54">
              <w:r>
                <w:rPr>
                  <w:rFonts w:ascii="Arial" w:cs="Arial" w:eastAsia="Arial" w:hAnsi="Arial"/>
                  <w:sz w:val="18"/>
                  <w:szCs w:val="18"/>
                  <w:color w:val="0000EE"/>
                </w:rPr>
                <w:t>Item 12.</w:t>
              </w:r>
            </w:hyperlink>
          </w:p>
        </w:tc>
        <w:tc>
          <w:tcPr>
            <w:tcW w:w="8980" w:type="dxa"/>
            <w:vAlign w:val="bottom"/>
            <w:gridSpan w:val="23"/>
          </w:tcPr>
          <w:p>
            <w:pPr>
              <w:spacing w:after="0" w:line="176" w:lineRule="exact"/>
              <w:rPr>
                <w:rFonts w:ascii="Arial" w:cs="Arial" w:eastAsia="Arial" w:hAnsi="Arial"/>
                <w:sz w:val="18"/>
                <w:szCs w:val="18"/>
                <w:color w:val="0000EE"/>
              </w:rPr>
            </w:pPr>
            <w:hyperlink w:anchor="page54">
              <w:r>
                <w:rPr>
                  <w:rFonts w:ascii="Arial" w:cs="Arial" w:eastAsia="Arial" w:hAnsi="Arial"/>
                  <w:sz w:val="18"/>
                  <w:szCs w:val="18"/>
                  <w:color w:val="0000EE"/>
                </w:rPr>
                <w:t>Security Ownership of Certain Beneficial Owners and Management and Related Stockholder Matters</w:t>
              </w:r>
            </w:hyperlink>
          </w:p>
        </w:tc>
        <w:tc>
          <w:tcPr>
            <w:tcW w:w="1120" w:type="dxa"/>
            <w:vAlign w:val="bottom"/>
          </w:tcPr>
          <w:p>
            <w:pPr>
              <w:jc w:val="right"/>
              <w:spacing w:after="0" w:line="176" w:lineRule="exact"/>
              <w:rPr>
                <w:sz w:val="20"/>
                <w:szCs w:val="20"/>
                <w:color w:val="auto"/>
              </w:rPr>
            </w:pPr>
            <w:r>
              <w:rPr>
                <w:rFonts w:ascii="Arial" w:cs="Arial" w:eastAsia="Arial" w:hAnsi="Arial"/>
                <w:sz w:val="18"/>
                <w:szCs w:val="18"/>
                <w:color w:val="auto"/>
              </w:rPr>
              <w:t>51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gridSpan w:val="6"/>
            <w:shd w:val="clear" w:color="auto" w:fill="CFF0FC"/>
          </w:tcPr>
          <w:p>
            <w:pPr>
              <w:spacing w:after="0" w:line="176" w:lineRule="exact"/>
              <w:rPr>
                <w:rFonts w:ascii="Arial" w:cs="Arial" w:eastAsia="Arial" w:hAnsi="Arial"/>
                <w:sz w:val="18"/>
                <w:szCs w:val="18"/>
                <w:color w:val="0000EE"/>
              </w:rPr>
            </w:pPr>
            <w:hyperlink w:anchor="page54">
              <w:r>
                <w:rPr>
                  <w:rFonts w:ascii="Arial" w:cs="Arial" w:eastAsia="Arial" w:hAnsi="Arial"/>
                  <w:sz w:val="18"/>
                  <w:szCs w:val="18"/>
                  <w:color w:val="0000EE"/>
                </w:rPr>
                <w:t>Item 13.</w:t>
              </w:r>
            </w:hyperlink>
          </w:p>
        </w:tc>
        <w:tc>
          <w:tcPr>
            <w:tcW w:w="8980" w:type="dxa"/>
            <w:vAlign w:val="bottom"/>
            <w:gridSpan w:val="23"/>
            <w:shd w:val="clear" w:color="auto" w:fill="CFF0FC"/>
          </w:tcPr>
          <w:p>
            <w:pPr>
              <w:spacing w:after="0" w:line="176" w:lineRule="exact"/>
              <w:rPr>
                <w:rFonts w:ascii="Arial" w:cs="Arial" w:eastAsia="Arial" w:hAnsi="Arial"/>
                <w:sz w:val="18"/>
                <w:szCs w:val="18"/>
                <w:color w:val="0000EE"/>
              </w:rPr>
            </w:pPr>
            <w:hyperlink w:anchor="page54">
              <w:r>
                <w:rPr>
                  <w:rFonts w:ascii="Arial" w:cs="Arial" w:eastAsia="Arial" w:hAnsi="Arial"/>
                  <w:sz w:val="18"/>
                  <w:szCs w:val="18"/>
                  <w:color w:val="0000EE"/>
                </w:rPr>
                <w:t>Certain Relationships and Related Transactions, and Director Independence</w:t>
              </w:r>
            </w:hyperlink>
          </w:p>
        </w:tc>
        <w:tc>
          <w:tcPr>
            <w:tcW w:w="1120" w:type="dxa"/>
            <w:vAlign w:val="bottom"/>
            <w:shd w:val="clear" w:color="auto" w:fill="CFF0FC"/>
          </w:tcPr>
          <w:p>
            <w:pPr>
              <w:jc w:val="right"/>
              <w:spacing w:after="0" w:line="176" w:lineRule="exact"/>
              <w:rPr>
                <w:sz w:val="20"/>
                <w:szCs w:val="20"/>
                <w:color w:val="auto"/>
              </w:rPr>
            </w:pPr>
            <w:r>
              <w:rPr>
                <w:rFonts w:ascii="Arial" w:cs="Arial" w:eastAsia="Arial" w:hAnsi="Arial"/>
                <w:sz w:val="18"/>
                <w:szCs w:val="18"/>
                <w:color w:val="auto"/>
              </w:rPr>
              <w:t>51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20" w:type="dxa"/>
            <w:vAlign w:val="bottom"/>
            <w:tcBorders>
              <w:top w:val="single" w:sz="8" w:color="0000EE"/>
            </w:tcBorders>
            <w:shd w:val="clear" w:color="auto" w:fill="CFF0FC"/>
          </w:tcPr>
          <w:p>
            <w:pPr>
              <w:spacing w:after="0" w:line="20" w:lineRule="exact"/>
              <w:rPr>
                <w:sz w:val="1"/>
                <w:szCs w:val="1"/>
                <w:color w:val="auto"/>
              </w:rPr>
            </w:pPr>
          </w:p>
        </w:tc>
        <w:tc>
          <w:tcPr>
            <w:tcW w:w="80" w:type="dxa"/>
            <w:vAlign w:val="bottom"/>
            <w:tcBorders>
              <w:top w:val="single" w:sz="8" w:color="0000EE"/>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0000EE"/>
            </w:tcBorders>
            <w:shd w:val="clear" w:color="auto" w:fill="CFF0FC"/>
          </w:tcPr>
          <w:p>
            <w:pPr>
              <w:spacing w:after="0" w:line="20" w:lineRule="exact"/>
              <w:rPr>
                <w:sz w:val="1"/>
                <w:szCs w:val="1"/>
                <w:color w:val="auto"/>
              </w:rPr>
            </w:pPr>
          </w:p>
        </w:tc>
        <w:tc>
          <w:tcPr>
            <w:tcW w:w="260" w:type="dxa"/>
            <w:vAlign w:val="bottom"/>
            <w:tcBorders>
              <w:top w:val="single" w:sz="8" w:color="0000EE"/>
            </w:tcBorders>
            <w:shd w:val="clear" w:color="auto" w:fill="CFF0FC"/>
          </w:tcPr>
          <w:p>
            <w:pPr>
              <w:spacing w:after="0" w:line="20" w:lineRule="exact"/>
              <w:rPr>
                <w:sz w:val="1"/>
                <w:szCs w:val="1"/>
                <w:color w:val="auto"/>
              </w:rPr>
            </w:pPr>
          </w:p>
        </w:tc>
        <w:tc>
          <w:tcPr>
            <w:tcW w:w="100" w:type="dxa"/>
            <w:vAlign w:val="bottom"/>
            <w:tcBorders>
              <w:top w:val="single" w:sz="8" w:color="0000EE"/>
            </w:tcBorders>
            <w:shd w:val="clear" w:color="auto" w:fill="CFF0FC"/>
          </w:tcPr>
          <w:p>
            <w:pPr>
              <w:spacing w:after="0" w:line="20" w:lineRule="exact"/>
              <w:rPr>
                <w:sz w:val="1"/>
                <w:szCs w:val="1"/>
                <w:color w:val="auto"/>
              </w:rPr>
            </w:pPr>
          </w:p>
        </w:tc>
        <w:tc>
          <w:tcPr>
            <w:tcW w:w="60" w:type="dxa"/>
            <w:vAlign w:val="bottom"/>
            <w:tcBorders>
              <w:top w:val="single" w:sz="8" w:color="0000EE"/>
            </w:tcBorders>
            <w:shd w:val="clear" w:color="auto" w:fill="CFF0FC"/>
          </w:tcPr>
          <w:p>
            <w:pPr>
              <w:spacing w:after="0" w:line="20" w:lineRule="exact"/>
              <w:rPr>
                <w:sz w:val="1"/>
                <w:szCs w:val="1"/>
                <w:color w:val="auto"/>
              </w:rPr>
            </w:pPr>
          </w:p>
        </w:tc>
        <w:tc>
          <w:tcPr>
            <w:tcW w:w="100" w:type="dxa"/>
            <w:vAlign w:val="bottom"/>
            <w:tcBorders>
              <w:top w:val="single" w:sz="8" w:color="0000EE"/>
            </w:tcBorders>
            <w:shd w:val="clear" w:color="auto" w:fill="CFF0FC"/>
          </w:tcPr>
          <w:p>
            <w:pPr>
              <w:spacing w:after="0" w:line="20" w:lineRule="exact"/>
              <w:rPr>
                <w:sz w:val="1"/>
                <w:szCs w:val="1"/>
                <w:color w:val="auto"/>
              </w:rPr>
            </w:pPr>
          </w:p>
        </w:tc>
        <w:tc>
          <w:tcPr>
            <w:tcW w:w="420" w:type="dxa"/>
            <w:vAlign w:val="bottom"/>
            <w:tcBorders>
              <w:top w:val="single" w:sz="8" w:color="0000EE"/>
            </w:tcBorders>
            <w:shd w:val="clear" w:color="auto" w:fill="CFF0FC"/>
          </w:tcPr>
          <w:p>
            <w:pPr>
              <w:spacing w:after="0" w:line="20" w:lineRule="exact"/>
              <w:rPr>
                <w:sz w:val="1"/>
                <w:szCs w:val="1"/>
                <w:color w:val="auto"/>
              </w:rPr>
            </w:pPr>
          </w:p>
        </w:tc>
        <w:tc>
          <w:tcPr>
            <w:tcW w:w="20" w:type="dxa"/>
            <w:vAlign w:val="bottom"/>
            <w:tcBorders>
              <w:top w:val="single" w:sz="8" w:color="0000EE"/>
            </w:tcBorders>
            <w:shd w:val="clear" w:color="auto" w:fill="CFF0FC"/>
          </w:tcPr>
          <w:p>
            <w:pPr>
              <w:spacing w:after="0" w:line="20" w:lineRule="exact"/>
              <w:rPr>
                <w:sz w:val="1"/>
                <w:szCs w:val="1"/>
                <w:color w:val="auto"/>
              </w:rPr>
            </w:pPr>
          </w:p>
        </w:tc>
        <w:tc>
          <w:tcPr>
            <w:tcW w:w="220" w:type="dxa"/>
            <w:vAlign w:val="bottom"/>
            <w:tcBorders>
              <w:top w:val="single" w:sz="8" w:color="0000EE"/>
            </w:tcBorders>
            <w:shd w:val="clear" w:color="auto" w:fill="CFF0FC"/>
          </w:tcPr>
          <w:p>
            <w:pPr>
              <w:spacing w:after="0" w:line="20" w:lineRule="exact"/>
              <w:rPr>
                <w:sz w:val="1"/>
                <w:szCs w:val="1"/>
                <w:color w:val="auto"/>
              </w:rPr>
            </w:pPr>
          </w:p>
        </w:tc>
        <w:tc>
          <w:tcPr>
            <w:tcW w:w="220" w:type="dxa"/>
            <w:vAlign w:val="bottom"/>
            <w:tcBorders>
              <w:top w:val="single" w:sz="8" w:color="0000EE"/>
            </w:tcBorders>
            <w:shd w:val="clear" w:color="auto" w:fill="CFF0FC"/>
          </w:tcPr>
          <w:p>
            <w:pPr>
              <w:spacing w:after="0" w:line="20" w:lineRule="exact"/>
              <w:rPr>
                <w:sz w:val="1"/>
                <w:szCs w:val="1"/>
                <w:color w:val="auto"/>
              </w:rPr>
            </w:pPr>
          </w:p>
        </w:tc>
        <w:tc>
          <w:tcPr>
            <w:tcW w:w="20" w:type="dxa"/>
            <w:vAlign w:val="bottom"/>
            <w:tcBorders>
              <w:top w:val="single" w:sz="8" w:color="0000EE"/>
            </w:tcBorders>
            <w:shd w:val="clear" w:color="auto" w:fill="CFF0FC"/>
          </w:tcPr>
          <w:p>
            <w:pPr>
              <w:spacing w:after="0" w:line="20" w:lineRule="exact"/>
              <w:rPr>
                <w:sz w:val="1"/>
                <w:szCs w:val="1"/>
                <w:color w:val="auto"/>
              </w:rPr>
            </w:pPr>
          </w:p>
        </w:tc>
        <w:tc>
          <w:tcPr>
            <w:tcW w:w="240" w:type="dxa"/>
            <w:vAlign w:val="bottom"/>
            <w:tcBorders>
              <w:top w:val="single" w:sz="8" w:color="0000EE"/>
            </w:tcBorders>
            <w:shd w:val="clear" w:color="auto" w:fill="CFF0FC"/>
          </w:tcPr>
          <w:p>
            <w:pPr>
              <w:spacing w:after="0" w:line="20" w:lineRule="exact"/>
              <w:rPr>
                <w:sz w:val="1"/>
                <w:szCs w:val="1"/>
                <w:color w:val="auto"/>
              </w:rPr>
            </w:pPr>
          </w:p>
        </w:tc>
        <w:tc>
          <w:tcPr>
            <w:tcW w:w="840" w:type="dxa"/>
            <w:vAlign w:val="bottom"/>
            <w:tcBorders>
              <w:top w:val="single" w:sz="8" w:color="0000EE"/>
            </w:tcBorders>
            <w:shd w:val="clear" w:color="auto" w:fill="CFF0FC"/>
          </w:tcPr>
          <w:p>
            <w:pPr>
              <w:spacing w:after="0" w:line="20" w:lineRule="exact"/>
              <w:rPr>
                <w:sz w:val="1"/>
                <w:szCs w:val="1"/>
                <w:color w:val="auto"/>
              </w:rPr>
            </w:pPr>
          </w:p>
        </w:tc>
        <w:tc>
          <w:tcPr>
            <w:tcW w:w="20" w:type="dxa"/>
            <w:vAlign w:val="bottom"/>
            <w:tcBorders>
              <w:top w:val="single" w:sz="8" w:color="0000EE"/>
            </w:tcBorders>
            <w:shd w:val="clear" w:color="auto" w:fill="CFF0FC"/>
          </w:tcPr>
          <w:p>
            <w:pPr>
              <w:spacing w:after="0" w:line="20" w:lineRule="exact"/>
              <w:rPr>
                <w:sz w:val="1"/>
                <w:szCs w:val="1"/>
                <w:color w:val="auto"/>
              </w:rPr>
            </w:pPr>
          </w:p>
        </w:tc>
        <w:tc>
          <w:tcPr>
            <w:tcW w:w="420" w:type="dxa"/>
            <w:vAlign w:val="bottom"/>
            <w:tcBorders>
              <w:top w:val="single" w:sz="8" w:color="0000EE"/>
            </w:tcBorders>
            <w:shd w:val="clear" w:color="auto" w:fill="CFF0FC"/>
          </w:tcPr>
          <w:p>
            <w:pPr>
              <w:spacing w:after="0" w:line="20" w:lineRule="exact"/>
              <w:rPr>
                <w:sz w:val="1"/>
                <w:szCs w:val="1"/>
                <w:color w:val="auto"/>
              </w:rPr>
            </w:pPr>
          </w:p>
        </w:tc>
        <w:tc>
          <w:tcPr>
            <w:tcW w:w="780" w:type="dxa"/>
            <w:vAlign w:val="bottom"/>
            <w:tcBorders>
              <w:top w:val="single" w:sz="8" w:color="0000EE"/>
            </w:tcBorders>
            <w:shd w:val="clear" w:color="auto" w:fill="CFF0FC"/>
          </w:tcPr>
          <w:p>
            <w:pPr>
              <w:spacing w:after="0" w:line="20" w:lineRule="exact"/>
              <w:rPr>
                <w:sz w:val="1"/>
                <w:szCs w:val="1"/>
                <w:color w:val="auto"/>
              </w:rPr>
            </w:pPr>
          </w:p>
        </w:tc>
        <w:tc>
          <w:tcPr>
            <w:tcW w:w="200" w:type="dxa"/>
            <w:vAlign w:val="bottom"/>
            <w:tcBorders>
              <w:top w:val="single" w:sz="8" w:color="0000EE"/>
            </w:tcBorders>
            <w:shd w:val="clear" w:color="auto" w:fill="CFF0FC"/>
          </w:tcPr>
          <w:p>
            <w:pPr>
              <w:spacing w:after="0" w:line="20" w:lineRule="exact"/>
              <w:rPr>
                <w:sz w:val="1"/>
                <w:szCs w:val="1"/>
                <w:color w:val="auto"/>
              </w:rPr>
            </w:pPr>
          </w:p>
        </w:tc>
        <w:tc>
          <w:tcPr>
            <w:tcW w:w="600" w:type="dxa"/>
            <w:vAlign w:val="bottom"/>
            <w:tcBorders>
              <w:top w:val="single" w:sz="8" w:color="0000EE"/>
            </w:tcBorders>
            <w:shd w:val="clear" w:color="auto" w:fill="CFF0FC"/>
          </w:tcPr>
          <w:p>
            <w:pPr>
              <w:spacing w:after="0" w:line="20" w:lineRule="exact"/>
              <w:rPr>
                <w:sz w:val="1"/>
                <w:szCs w:val="1"/>
                <w:color w:val="auto"/>
              </w:rPr>
            </w:pPr>
          </w:p>
        </w:tc>
        <w:tc>
          <w:tcPr>
            <w:tcW w:w="560" w:type="dxa"/>
            <w:vAlign w:val="bottom"/>
            <w:tcBorders>
              <w:top w:val="single" w:sz="8" w:color="0000EE"/>
            </w:tcBorders>
            <w:shd w:val="clear" w:color="auto" w:fill="CFF0FC"/>
          </w:tcPr>
          <w:p>
            <w:pPr>
              <w:spacing w:after="0" w:line="20" w:lineRule="exact"/>
              <w:rPr>
                <w:sz w:val="1"/>
                <w:szCs w:val="1"/>
                <w:color w:val="auto"/>
              </w:rPr>
            </w:pPr>
          </w:p>
        </w:tc>
        <w:tc>
          <w:tcPr>
            <w:tcW w:w="9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gridSpan w:val="6"/>
          </w:tcPr>
          <w:p>
            <w:pPr>
              <w:spacing w:after="0" w:line="176" w:lineRule="exact"/>
              <w:rPr>
                <w:rFonts w:ascii="Arial" w:cs="Arial" w:eastAsia="Arial" w:hAnsi="Arial"/>
                <w:sz w:val="18"/>
                <w:szCs w:val="18"/>
                <w:color w:val="0000EE"/>
              </w:rPr>
            </w:pPr>
            <w:hyperlink w:anchor="page54">
              <w:r>
                <w:rPr>
                  <w:rFonts w:ascii="Arial" w:cs="Arial" w:eastAsia="Arial" w:hAnsi="Arial"/>
                  <w:sz w:val="18"/>
                  <w:szCs w:val="18"/>
                  <w:color w:val="0000EE"/>
                </w:rPr>
                <w:t>Item 14.</w:t>
              </w:r>
            </w:hyperlink>
          </w:p>
        </w:tc>
        <w:tc>
          <w:tcPr>
            <w:tcW w:w="8980" w:type="dxa"/>
            <w:vAlign w:val="bottom"/>
            <w:gridSpan w:val="23"/>
          </w:tcPr>
          <w:p>
            <w:pPr>
              <w:spacing w:after="0" w:line="176" w:lineRule="exact"/>
              <w:rPr>
                <w:rFonts w:ascii="Arial" w:cs="Arial" w:eastAsia="Arial" w:hAnsi="Arial"/>
                <w:sz w:val="18"/>
                <w:szCs w:val="18"/>
                <w:color w:val="0000EE"/>
              </w:rPr>
            </w:pPr>
            <w:hyperlink w:anchor="page54">
              <w:r>
                <w:rPr>
                  <w:rFonts w:ascii="Arial" w:cs="Arial" w:eastAsia="Arial" w:hAnsi="Arial"/>
                  <w:sz w:val="18"/>
                  <w:szCs w:val="18"/>
                  <w:color w:val="0000EE"/>
                </w:rPr>
                <w:t>Principal Accounting Fees and Services</w:t>
              </w:r>
            </w:hyperlink>
          </w:p>
        </w:tc>
        <w:tc>
          <w:tcPr>
            <w:tcW w:w="1120" w:type="dxa"/>
            <w:vAlign w:val="bottom"/>
          </w:tcPr>
          <w:p>
            <w:pPr>
              <w:jc w:val="right"/>
              <w:spacing w:after="0" w:line="176" w:lineRule="exact"/>
              <w:rPr>
                <w:sz w:val="20"/>
                <w:szCs w:val="20"/>
                <w:color w:val="auto"/>
              </w:rPr>
            </w:pPr>
            <w:r>
              <w:rPr>
                <w:rFonts w:ascii="Arial" w:cs="Arial" w:eastAsia="Arial" w:hAnsi="Arial"/>
                <w:sz w:val="18"/>
                <w:szCs w:val="18"/>
                <w:color w:val="auto"/>
              </w:rPr>
              <w:t>51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gridSpan w:val="6"/>
            <w:shd w:val="clear" w:color="auto" w:fill="CFF0FC"/>
          </w:tcPr>
          <w:p>
            <w:pPr>
              <w:spacing w:after="0" w:line="176" w:lineRule="exact"/>
              <w:rPr>
                <w:rFonts w:ascii="Arial" w:cs="Arial" w:eastAsia="Arial" w:hAnsi="Arial"/>
                <w:sz w:val="18"/>
                <w:szCs w:val="18"/>
                <w:color w:val="0000EE"/>
              </w:rPr>
            </w:pPr>
            <w:hyperlink w:anchor="page55">
              <w:r>
                <w:rPr>
                  <w:rFonts w:ascii="Arial" w:cs="Arial" w:eastAsia="Arial" w:hAnsi="Arial"/>
                  <w:sz w:val="18"/>
                  <w:szCs w:val="18"/>
                  <w:color w:val="0000EE"/>
                </w:rPr>
                <w:t>Item 15.</w:t>
              </w:r>
            </w:hyperlink>
          </w:p>
        </w:tc>
        <w:tc>
          <w:tcPr>
            <w:tcW w:w="8980" w:type="dxa"/>
            <w:vAlign w:val="bottom"/>
            <w:gridSpan w:val="23"/>
            <w:shd w:val="clear" w:color="auto" w:fill="CFF0FC"/>
          </w:tcPr>
          <w:p>
            <w:pPr>
              <w:spacing w:after="0" w:line="176" w:lineRule="exact"/>
              <w:rPr>
                <w:rFonts w:ascii="Arial" w:cs="Arial" w:eastAsia="Arial" w:hAnsi="Arial"/>
                <w:sz w:val="18"/>
                <w:szCs w:val="18"/>
                <w:color w:val="0000EE"/>
              </w:rPr>
            </w:pPr>
            <w:hyperlink w:anchor="page55">
              <w:r>
                <w:rPr>
                  <w:rFonts w:ascii="Arial" w:cs="Arial" w:eastAsia="Arial" w:hAnsi="Arial"/>
                  <w:sz w:val="18"/>
                  <w:szCs w:val="18"/>
                  <w:color w:val="0000EE"/>
                </w:rPr>
                <w:t>Exhibits, Financial Statement Schedules</w:t>
              </w:r>
            </w:hyperlink>
          </w:p>
        </w:tc>
        <w:tc>
          <w:tcPr>
            <w:tcW w:w="1120" w:type="dxa"/>
            <w:vAlign w:val="bottom"/>
            <w:shd w:val="clear" w:color="auto" w:fill="CFF0FC"/>
          </w:tcPr>
          <w:p>
            <w:pPr>
              <w:jc w:val="right"/>
              <w:spacing w:after="0" w:line="176" w:lineRule="exact"/>
              <w:rPr>
                <w:sz w:val="20"/>
                <w:szCs w:val="20"/>
                <w:color w:val="auto"/>
              </w:rPr>
            </w:pPr>
            <w:r>
              <w:rPr>
                <w:rFonts w:ascii="Arial" w:cs="Arial" w:eastAsia="Arial" w:hAnsi="Arial"/>
                <w:sz w:val="18"/>
                <w:szCs w:val="18"/>
                <w:color w:val="auto"/>
              </w:rPr>
              <w:t>52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20" w:type="dxa"/>
            <w:vAlign w:val="bottom"/>
            <w:tcBorders>
              <w:top w:val="single" w:sz="8" w:color="0000EE"/>
            </w:tcBorders>
            <w:shd w:val="clear" w:color="auto" w:fill="CFF0FC"/>
          </w:tcPr>
          <w:p>
            <w:pPr>
              <w:spacing w:after="0" w:line="20" w:lineRule="exact"/>
              <w:rPr>
                <w:sz w:val="1"/>
                <w:szCs w:val="1"/>
                <w:color w:val="auto"/>
              </w:rPr>
            </w:pPr>
          </w:p>
        </w:tc>
        <w:tc>
          <w:tcPr>
            <w:tcW w:w="80" w:type="dxa"/>
            <w:vAlign w:val="bottom"/>
            <w:tcBorders>
              <w:top w:val="single" w:sz="8" w:color="0000EE"/>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0000EE"/>
            </w:tcBorders>
            <w:shd w:val="clear" w:color="auto" w:fill="CFF0FC"/>
          </w:tcPr>
          <w:p>
            <w:pPr>
              <w:spacing w:after="0" w:line="20" w:lineRule="exact"/>
              <w:rPr>
                <w:sz w:val="1"/>
                <w:szCs w:val="1"/>
                <w:color w:val="auto"/>
              </w:rPr>
            </w:pPr>
          </w:p>
        </w:tc>
        <w:tc>
          <w:tcPr>
            <w:tcW w:w="260" w:type="dxa"/>
            <w:vAlign w:val="bottom"/>
            <w:tcBorders>
              <w:top w:val="single" w:sz="8" w:color="0000EE"/>
            </w:tcBorders>
            <w:shd w:val="clear" w:color="auto" w:fill="CFF0FC"/>
          </w:tcPr>
          <w:p>
            <w:pPr>
              <w:spacing w:after="0" w:line="20" w:lineRule="exact"/>
              <w:rPr>
                <w:sz w:val="1"/>
                <w:szCs w:val="1"/>
                <w:color w:val="auto"/>
              </w:rPr>
            </w:pPr>
          </w:p>
        </w:tc>
        <w:tc>
          <w:tcPr>
            <w:tcW w:w="100" w:type="dxa"/>
            <w:vAlign w:val="bottom"/>
            <w:tcBorders>
              <w:top w:val="single" w:sz="8" w:color="0000EE"/>
            </w:tcBorders>
            <w:shd w:val="clear" w:color="auto" w:fill="CFF0FC"/>
          </w:tcPr>
          <w:p>
            <w:pPr>
              <w:spacing w:after="0" w:line="20" w:lineRule="exact"/>
              <w:rPr>
                <w:sz w:val="1"/>
                <w:szCs w:val="1"/>
                <w:color w:val="auto"/>
              </w:rPr>
            </w:pPr>
          </w:p>
        </w:tc>
        <w:tc>
          <w:tcPr>
            <w:tcW w:w="60" w:type="dxa"/>
            <w:vAlign w:val="bottom"/>
            <w:tcBorders>
              <w:top w:val="single" w:sz="8" w:color="0000EE"/>
            </w:tcBorders>
            <w:shd w:val="clear" w:color="auto" w:fill="CFF0FC"/>
          </w:tcPr>
          <w:p>
            <w:pPr>
              <w:spacing w:after="0" w:line="20" w:lineRule="exact"/>
              <w:rPr>
                <w:sz w:val="1"/>
                <w:szCs w:val="1"/>
                <w:color w:val="auto"/>
              </w:rPr>
            </w:pPr>
          </w:p>
        </w:tc>
        <w:tc>
          <w:tcPr>
            <w:tcW w:w="100" w:type="dxa"/>
            <w:vAlign w:val="bottom"/>
            <w:tcBorders>
              <w:top w:val="single" w:sz="8" w:color="0000EE"/>
            </w:tcBorders>
            <w:shd w:val="clear" w:color="auto" w:fill="CFF0FC"/>
          </w:tcPr>
          <w:p>
            <w:pPr>
              <w:spacing w:after="0" w:line="20" w:lineRule="exact"/>
              <w:rPr>
                <w:sz w:val="1"/>
                <w:szCs w:val="1"/>
                <w:color w:val="auto"/>
              </w:rPr>
            </w:pPr>
          </w:p>
        </w:tc>
        <w:tc>
          <w:tcPr>
            <w:tcW w:w="420" w:type="dxa"/>
            <w:vAlign w:val="bottom"/>
            <w:tcBorders>
              <w:top w:val="single" w:sz="8" w:color="0000EE"/>
            </w:tcBorders>
            <w:shd w:val="clear" w:color="auto" w:fill="CFF0FC"/>
          </w:tcPr>
          <w:p>
            <w:pPr>
              <w:spacing w:after="0" w:line="20" w:lineRule="exact"/>
              <w:rPr>
                <w:sz w:val="1"/>
                <w:szCs w:val="1"/>
                <w:color w:val="auto"/>
              </w:rPr>
            </w:pPr>
          </w:p>
        </w:tc>
        <w:tc>
          <w:tcPr>
            <w:tcW w:w="20" w:type="dxa"/>
            <w:vAlign w:val="bottom"/>
            <w:tcBorders>
              <w:top w:val="single" w:sz="8" w:color="0000EE"/>
            </w:tcBorders>
            <w:shd w:val="clear" w:color="auto" w:fill="CFF0FC"/>
          </w:tcPr>
          <w:p>
            <w:pPr>
              <w:spacing w:after="0" w:line="20" w:lineRule="exact"/>
              <w:rPr>
                <w:sz w:val="1"/>
                <w:szCs w:val="1"/>
                <w:color w:val="auto"/>
              </w:rPr>
            </w:pPr>
          </w:p>
        </w:tc>
        <w:tc>
          <w:tcPr>
            <w:tcW w:w="220" w:type="dxa"/>
            <w:vAlign w:val="bottom"/>
            <w:tcBorders>
              <w:top w:val="single" w:sz="8" w:color="0000EE"/>
            </w:tcBorders>
            <w:shd w:val="clear" w:color="auto" w:fill="CFF0FC"/>
          </w:tcPr>
          <w:p>
            <w:pPr>
              <w:spacing w:after="0" w:line="20" w:lineRule="exact"/>
              <w:rPr>
                <w:sz w:val="1"/>
                <w:szCs w:val="1"/>
                <w:color w:val="auto"/>
              </w:rPr>
            </w:pPr>
          </w:p>
        </w:tc>
        <w:tc>
          <w:tcPr>
            <w:tcW w:w="220" w:type="dxa"/>
            <w:vAlign w:val="bottom"/>
            <w:tcBorders>
              <w:top w:val="single" w:sz="8" w:color="0000EE"/>
            </w:tcBorders>
            <w:shd w:val="clear" w:color="auto" w:fill="CFF0FC"/>
          </w:tcPr>
          <w:p>
            <w:pPr>
              <w:spacing w:after="0" w:line="20" w:lineRule="exact"/>
              <w:rPr>
                <w:sz w:val="1"/>
                <w:szCs w:val="1"/>
                <w:color w:val="auto"/>
              </w:rPr>
            </w:pPr>
          </w:p>
        </w:tc>
        <w:tc>
          <w:tcPr>
            <w:tcW w:w="20" w:type="dxa"/>
            <w:vAlign w:val="bottom"/>
            <w:tcBorders>
              <w:top w:val="single" w:sz="8" w:color="0000EE"/>
            </w:tcBorders>
            <w:shd w:val="clear" w:color="auto" w:fill="CFF0FC"/>
          </w:tcPr>
          <w:p>
            <w:pPr>
              <w:spacing w:after="0" w:line="20" w:lineRule="exact"/>
              <w:rPr>
                <w:sz w:val="1"/>
                <w:szCs w:val="1"/>
                <w:color w:val="auto"/>
              </w:rPr>
            </w:pPr>
          </w:p>
        </w:tc>
        <w:tc>
          <w:tcPr>
            <w:tcW w:w="240" w:type="dxa"/>
            <w:vAlign w:val="bottom"/>
            <w:tcBorders>
              <w:top w:val="single" w:sz="8" w:color="0000EE"/>
            </w:tcBorders>
            <w:shd w:val="clear" w:color="auto" w:fill="CFF0FC"/>
          </w:tcPr>
          <w:p>
            <w:pPr>
              <w:spacing w:after="0" w:line="20" w:lineRule="exact"/>
              <w:rPr>
                <w:sz w:val="1"/>
                <w:szCs w:val="1"/>
                <w:color w:val="auto"/>
              </w:rPr>
            </w:pPr>
          </w:p>
        </w:tc>
        <w:tc>
          <w:tcPr>
            <w:tcW w:w="840" w:type="dxa"/>
            <w:vAlign w:val="bottom"/>
            <w:tcBorders>
              <w:top w:val="single" w:sz="8" w:color="0000EE"/>
            </w:tcBorders>
            <w:shd w:val="clear" w:color="auto" w:fill="CFF0FC"/>
          </w:tcPr>
          <w:p>
            <w:pPr>
              <w:spacing w:after="0" w:line="20" w:lineRule="exact"/>
              <w:rPr>
                <w:sz w:val="1"/>
                <w:szCs w:val="1"/>
                <w:color w:val="auto"/>
              </w:rPr>
            </w:pPr>
          </w:p>
        </w:tc>
        <w:tc>
          <w:tcPr>
            <w:tcW w:w="20" w:type="dxa"/>
            <w:vAlign w:val="bottom"/>
            <w:tcBorders>
              <w:top w:val="single" w:sz="8" w:color="0000EE"/>
            </w:tcBorders>
            <w:shd w:val="clear" w:color="auto" w:fill="CFF0FC"/>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60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gridSpan w:val="6"/>
          </w:tcPr>
          <w:p>
            <w:pPr>
              <w:spacing w:after="0" w:line="176" w:lineRule="exact"/>
              <w:rPr>
                <w:rFonts w:ascii="Arial" w:cs="Arial" w:eastAsia="Arial" w:hAnsi="Arial"/>
                <w:sz w:val="18"/>
                <w:szCs w:val="18"/>
                <w:color w:val="0000EE"/>
              </w:rPr>
            </w:pPr>
            <w:hyperlink w:anchor="page57">
              <w:r>
                <w:rPr>
                  <w:rFonts w:ascii="Arial" w:cs="Arial" w:eastAsia="Arial" w:hAnsi="Arial"/>
                  <w:sz w:val="18"/>
                  <w:szCs w:val="18"/>
                  <w:color w:val="0000EE"/>
                </w:rPr>
                <w:t>Item 16.</w:t>
              </w:r>
            </w:hyperlink>
          </w:p>
        </w:tc>
        <w:tc>
          <w:tcPr>
            <w:tcW w:w="8980" w:type="dxa"/>
            <w:vAlign w:val="bottom"/>
            <w:gridSpan w:val="23"/>
          </w:tcPr>
          <w:p>
            <w:pPr>
              <w:spacing w:after="0" w:line="176" w:lineRule="exact"/>
              <w:rPr>
                <w:rFonts w:ascii="Arial" w:cs="Arial" w:eastAsia="Arial" w:hAnsi="Arial"/>
                <w:sz w:val="18"/>
                <w:szCs w:val="18"/>
                <w:color w:val="0000EE"/>
              </w:rPr>
            </w:pPr>
            <w:hyperlink w:anchor="page57">
              <w:r>
                <w:rPr>
                  <w:rFonts w:ascii="Arial" w:cs="Arial" w:eastAsia="Arial" w:hAnsi="Arial"/>
                  <w:sz w:val="18"/>
                  <w:szCs w:val="18"/>
                  <w:color w:val="0000EE"/>
                </w:rPr>
                <w:t>Form 10-K Summary</w:t>
              </w:r>
            </w:hyperlink>
          </w:p>
        </w:tc>
        <w:tc>
          <w:tcPr>
            <w:tcW w:w="1120" w:type="dxa"/>
            <w:vAlign w:val="bottom"/>
          </w:tcPr>
          <w:p>
            <w:pPr>
              <w:jc w:val="right"/>
              <w:spacing w:after="0" w:line="176" w:lineRule="exact"/>
              <w:rPr>
                <w:sz w:val="20"/>
                <w:szCs w:val="20"/>
                <w:color w:val="auto"/>
              </w:rPr>
            </w:pPr>
            <w:r>
              <w:rPr>
                <w:rFonts w:ascii="Arial" w:cs="Arial" w:eastAsia="Arial" w:hAnsi="Arial"/>
                <w:sz w:val="18"/>
                <w:szCs w:val="18"/>
                <w:color w:val="auto"/>
              </w:rPr>
              <w:t>54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120" w:type="dxa"/>
            <w:vAlign w:val="bottom"/>
            <w:gridSpan w:val="29"/>
            <w:shd w:val="clear" w:color="auto" w:fill="CFF0FC"/>
          </w:tcPr>
          <w:p>
            <w:pPr>
              <w:spacing w:after="0" w:line="176" w:lineRule="exact"/>
              <w:rPr>
                <w:rFonts w:ascii="Arial" w:cs="Arial" w:eastAsia="Arial" w:hAnsi="Arial"/>
                <w:sz w:val="18"/>
                <w:szCs w:val="18"/>
                <w:color w:val="0000EE"/>
              </w:rPr>
            </w:pPr>
            <w:hyperlink w:anchor="page59">
              <w:r>
                <w:rPr>
                  <w:rFonts w:ascii="Arial" w:cs="Arial" w:eastAsia="Arial" w:hAnsi="Arial"/>
                  <w:sz w:val="18"/>
                  <w:szCs w:val="18"/>
                  <w:color w:val="0000EE"/>
                </w:rPr>
                <w:t>Financial Statements</w:t>
              </w:r>
            </w:hyperlink>
          </w:p>
        </w:tc>
        <w:tc>
          <w:tcPr>
            <w:tcW w:w="1120" w:type="dxa"/>
            <w:vAlign w:val="bottom"/>
            <w:shd w:val="clear" w:color="auto" w:fill="CFF0FC"/>
          </w:tcPr>
          <w:p>
            <w:pPr>
              <w:jc w:val="right"/>
              <w:spacing w:after="0" w:line="176" w:lineRule="exact"/>
              <w:rPr>
                <w:sz w:val="20"/>
                <w:szCs w:val="20"/>
                <w:color w:val="auto"/>
              </w:rPr>
            </w:pPr>
            <w:r>
              <w:rPr>
                <w:rFonts w:ascii="Arial" w:cs="Arial" w:eastAsia="Arial" w:hAnsi="Arial"/>
                <w:sz w:val="18"/>
                <w:szCs w:val="18"/>
                <w:color w:val="auto"/>
              </w:rPr>
              <w:t>F-1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tcBorders>
              <w:top w:val="single" w:sz="8" w:color="0000EE"/>
            </w:tcBorders>
            <w:shd w:val="clear" w:color="auto" w:fill="CFF0FC"/>
          </w:tcPr>
          <w:p>
            <w:pPr>
              <w:spacing w:after="0" w:line="20" w:lineRule="exact"/>
              <w:rPr>
                <w:sz w:val="1"/>
                <w:szCs w:val="1"/>
                <w:color w:val="auto"/>
              </w:rPr>
            </w:pPr>
          </w:p>
        </w:tc>
        <w:tc>
          <w:tcPr>
            <w:tcW w:w="80" w:type="dxa"/>
            <w:vAlign w:val="bottom"/>
            <w:tcBorders>
              <w:top w:val="single" w:sz="8" w:color="0000EE"/>
            </w:tcBorders>
            <w:shd w:val="clear" w:color="auto" w:fill="CFF0FC"/>
          </w:tcPr>
          <w:p>
            <w:pPr>
              <w:spacing w:after="0" w:line="20" w:lineRule="exact"/>
              <w:rPr>
                <w:sz w:val="1"/>
                <w:szCs w:val="1"/>
                <w:color w:val="auto"/>
              </w:rPr>
            </w:pPr>
          </w:p>
        </w:tc>
        <w:tc>
          <w:tcPr>
            <w:tcW w:w="40" w:type="dxa"/>
            <w:vAlign w:val="bottom"/>
            <w:tcBorders>
              <w:top w:val="single" w:sz="8" w:color="0000EE"/>
            </w:tcBorders>
            <w:shd w:val="clear" w:color="auto" w:fill="CFF0FC"/>
          </w:tcPr>
          <w:p>
            <w:pPr>
              <w:spacing w:after="0" w:line="20" w:lineRule="exact"/>
              <w:rPr>
                <w:sz w:val="1"/>
                <w:szCs w:val="1"/>
                <w:color w:val="auto"/>
              </w:rPr>
            </w:pPr>
          </w:p>
        </w:tc>
        <w:tc>
          <w:tcPr>
            <w:tcW w:w="20" w:type="dxa"/>
            <w:vAlign w:val="bottom"/>
            <w:tcBorders>
              <w:top w:val="single" w:sz="8" w:color="0000EE"/>
            </w:tcBorders>
            <w:shd w:val="clear" w:color="auto" w:fill="CFF0FC"/>
          </w:tcPr>
          <w:p>
            <w:pPr>
              <w:spacing w:after="0" w:line="20" w:lineRule="exact"/>
              <w:rPr>
                <w:sz w:val="1"/>
                <w:szCs w:val="1"/>
                <w:color w:val="auto"/>
              </w:rPr>
            </w:pPr>
          </w:p>
        </w:tc>
        <w:tc>
          <w:tcPr>
            <w:tcW w:w="80" w:type="dxa"/>
            <w:vAlign w:val="bottom"/>
            <w:tcBorders>
              <w:top w:val="single" w:sz="8" w:color="0000EE"/>
            </w:tcBorders>
            <w:shd w:val="clear" w:color="auto" w:fill="CFF0FC"/>
          </w:tcPr>
          <w:p>
            <w:pPr>
              <w:spacing w:after="0" w:line="20" w:lineRule="exact"/>
              <w:rPr>
                <w:sz w:val="1"/>
                <w:szCs w:val="1"/>
                <w:color w:val="auto"/>
              </w:rPr>
            </w:pPr>
          </w:p>
        </w:tc>
        <w:tc>
          <w:tcPr>
            <w:tcW w:w="400" w:type="dxa"/>
            <w:vAlign w:val="bottom"/>
            <w:tcBorders>
              <w:top w:val="single" w:sz="8" w:color="0000EE"/>
            </w:tcBorders>
            <w:shd w:val="clear" w:color="auto" w:fill="CFF0FC"/>
          </w:tcPr>
          <w:p>
            <w:pPr>
              <w:spacing w:after="0" w:line="20" w:lineRule="exact"/>
              <w:rPr>
                <w:sz w:val="1"/>
                <w:szCs w:val="1"/>
                <w:color w:val="auto"/>
              </w:rPr>
            </w:pPr>
          </w:p>
        </w:tc>
        <w:tc>
          <w:tcPr>
            <w:tcW w:w="380" w:type="dxa"/>
            <w:vAlign w:val="bottom"/>
            <w:tcBorders>
              <w:top w:val="single" w:sz="8" w:color="0000EE"/>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60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References to Assembly Biosciences, Inc.</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Throughout this Annual Report on Form 10-K, the “Company,” “Assembly,” “we,” “us,” and “our,” except where the context requires otherwise, refer to Assembly Biosciences, Inc. and its consolidated subsidiaries, and “our board of directors” or “the Board” refers to the board of directors of Assembly Biosciences, Inc.</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Annual Report on Form 10-K contains “forward-looking statements” that are subject to certain risks and uncertainties, including, without limitation, those set forth in Part I, Item 1A under the heading “Risk Factors,” that could cause actual results to materially differ. Such risks and uncertainties include, among other things:</w:t>
      </w:r>
    </w:p>
    <w:p>
      <w:pPr>
        <w:spacing w:after="0" w:line="143" w:lineRule="exact"/>
        <w:rPr>
          <w:sz w:val="20"/>
          <w:szCs w:val="20"/>
          <w:color w:val="auto"/>
        </w:rPr>
      </w:pPr>
    </w:p>
    <w:p>
      <w:pPr>
        <w:ind w:left="880" w:hanging="440"/>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initiate and complete clinical studies involving our therapeutic product candidates, including studies contemplated by our clinical collaboration agreements, in the currently anticipated timeframes;</w:t>
      </w:r>
    </w:p>
    <w:p>
      <w:pPr>
        <w:spacing w:after="0" w:line="129" w:lineRule="exact"/>
        <w:rPr>
          <w:rFonts w:ascii="Arial" w:cs="Arial" w:eastAsia="Arial" w:hAnsi="Arial"/>
          <w:sz w:val="18"/>
          <w:szCs w:val="18"/>
          <w:color w:val="auto"/>
        </w:rPr>
      </w:pPr>
    </w:p>
    <w:p>
      <w:pPr>
        <w:ind w:left="880" w:hanging="440"/>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safety and efficacy data from clinical studies may not warrant further development of our product candidates;</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3"/>
        </w:numPr>
        <w:rPr>
          <w:rFonts w:ascii="Arial" w:cs="Arial" w:eastAsia="Arial" w:hAnsi="Arial"/>
          <w:sz w:val="17"/>
          <w:szCs w:val="17"/>
          <w:color w:val="auto"/>
        </w:rPr>
      </w:pPr>
      <w:r>
        <w:rPr>
          <w:rFonts w:ascii="Arial" w:cs="Arial" w:eastAsia="Arial" w:hAnsi="Arial"/>
          <w:sz w:val="17"/>
          <w:szCs w:val="17"/>
          <w:color w:val="auto"/>
        </w:rPr>
        <w:t>clinical and nonclinical data presented at conferences may not differentiate our product candidates from other companies’ candidates;</w:t>
      </w:r>
    </w:p>
    <w:p>
      <w:pPr>
        <w:spacing w:after="0" w:line="196" w:lineRule="exact"/>
        <w:rPr>
          <w:rFonts w:ascii="Arial" w:cs="Arial" w:eastAsia="Arial" w:hAnsi="Arial"/>
          <w:sz w:val="17"/>
          <w:szCs w:val="17"/>
          <w:color w:val="auto"/>
        </w:rPr>
      </w:pPr>
    </w:p>
    <w:p>
      <w:pPr>
        <w:ind w:left="880" w:hanging="440"/>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results of nonclinical studies may not be representative of disease behavior in a clinical setting and may not be predictive of the outcomes of clinical studies;</w:t>
      </w:r>
    </w:p>
    <w:p>
      <w:pPr>
        <w:spacing w:after="0" w:line="129" w:lineRule="exact"/>
        <w:rPr>
          <w:rFonts w:ascii="Arial" w:cs="Arial" w:eastAsia="Arial" w:hAnsi="Arial"/>
          <w:sz w:val="18"/>
          <w:szCs w:val="18"/>
          <w:color w:val="auto"/>
        </w:rPr>
      </w:pPr>
    </w:p>
    <w:p>
      <w:pPr>
        <w:ind w:left="880" w:hanging="440"/>
        <w:spacing w:after="0" w:line="308" w:lineRule="auto"/>
        <w:tabs>
          <w:tab w:leader="none" w:pos="880" w:val="left"/>
        </w:tabs>
        <w:numPr>
          <w:ilvl w:val="0"/>
          <w:numId w:val="3"/>
        </w:numPr>
        <w:rPr>
          <w:rFonts w:ascii="Arial" w:cs="Arial" w:eastAsia="Arial" w:hAnsi="Arial"/>
          <w:sz w:val="17"/>
          <w:szCs w:val="17"/>
          <w:color w:val="auto"/>
        </w:rPr>
      </w:pPr>
      <w:r>
        <w:rPr>
          <w:rFonts w:ascii="Arial" w:cs="Arial" w:eastAsia="Arial" w:hAnsi="Arial"/>
          <w:sz w:val="17"/>
          <w:szCs w:val="17"/>
          <w:color w:val="auto"/>
        </w:rPr>
        <w:t>continued development and commercialization of our hepatitis B virus (HBV) product candidates, if successful, in the China territory will be dependent on, and subject to, our collaboration agreement governing our HBV-related activity in the China territory;</w:t>
      </w:r>
    </w:p>
    <w:p>
      <w:pPr>
        <w:spacing w:after="0" w:line="105" w:lineRule="exact"/>
        <w:rPr>
          <w:rFonts w:ascii="Arial" w:cs="Arial" w:eastAsia="Arial" w:hAnsi="Arial"/>
          <w:sz w:val="17"/>
          <w:szCs w:val="17"/>
          <w:color w:val="auto"/>
        </w:rPr>
      </w:pPr>
    </w:p>
    <w:p>
      <w:pPr>
        <w:ind w:left="880" w:hanging="440"/>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financial resources necessary to continue our clinical studies and fund business operations; and</w:t>
      </w:r>
    </w:p>
    <w:p>
      <w:pPr>
        <w:spacing w:after="0" w:line="184"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impact that the COVID-19 pandemic may have on our business and operations, including initiation, enrollment and continuation of our clinical studies or timing of discussions with regulatory authorities.</w:t>
      </w:r>
    </w:p>
    <w:p>
      <w:pPr>
        <w:spacing w:after="0" w:line="13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You are urged to consider statements that include the words may, will, would, could, should, might, believes, hopes, estimates, projects, potential, expects, plans, anticipates, intends, continues, forecast, designed, goal or the negative of those words or other comparable words to be uncertain and forward-looking. In particular, forward-looking statements include, but are not limited to, statements regarding the timing of commencement of future clinical studies involving our therapeutic product candidates; our ability to successfully complete, and receive favorable results in, clinical trials for our product candidates; and the expected impact of the COVID-19 pandemic on our business and operations. We intend such forward-looking statements to be covered by the safe harbor provisions contained in Section 27A of the Securities Act of 1933, as amended (the Securities Act), and Section 21E of the Securities Exchange Act of 1934, as amended (the Exchange Act). Except as required by law, we assume no obligation to update publicly any forward-looking statements, whether as a result of new information, future events or otherwise.</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PART I</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a clinical-stage biotechnology company focused on discovery and development of innovative therapeutics targeting hepatitis B virus (HBV) and other viral diseases.</w:t>
      </w:r>
    </w:p>
    <w:p>
      <w:pPr>
        <w:spacing w:after="0" w:line="13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World Health Organization (WHO) estimates that 296 million people worldwide are chronically infected with HBV as of 2019. Our research and development organizations are pursuing multiple drug candidates designed to inhibit the HBV replication cycle and block the generation of covalently closed circular DNA (cccDNA), with the aim of discovering and developing finite and curative therapies for patients with chronic HBV infection. We have discovered several novel core inhibitors, which are small molecules that directly target and allosterically modulate the HBV core protein in a way that affects assembly and stability of HBV nucleocapsids. In addition, our research organization is working on discovering and developing cccDNA disruptors and small molecules targeting two novel undisclosed HBV targets.</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While we continue our efforts to develop finite and curative therapies for patients with chronic HBV infection, our research organization recently launched an exploratory virology discovery program for compounds directed at a number of non-HBV viral targets. These targets, currently expected to be disclosed in mid-2022, were selected to leverage the deep antiviral expertise and experience of our research and development organizations against diseases with significant unmet medical need.</w:t>
      </w:r>
    </w:p>
    <w:p>
      <w:pPr>
        <w:spacing w:after="0" w:line="14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ongoing COVID-19 pandemic and its broad, global impacts, including supply chain disruptions, have impacted certain aspects of our business, including where and how our employees work in our labs and offices and how and when our nonclinical and clinical studies are conducted. Early in the pandemic, our current and future planned clinical trials and preclinical studies were largely unaffected, but as the pandemic has continued, we have experienced enrollment delays for our current clinical studies, particularly our two ongoing multi-drug combination studies. For more information, see “— Multi-Drug Combination Studies.”</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As previously announced, in January 2021, we wound down our Microbiome program to prioritize and focus our resources on our virology programs.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HBV Background</w:t>
      </w:r>
    </w:p>
    <w:p>
      <w:pPr>
        <w:spacing w:after="0" w:line="18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HBV is a leading global cause of chronic liver disease and liver transplants. The WHO estimates that, as of 2019, 296 million people worldwide were infected with HBV, with 1.5 million new infections occurring each year. The WHO also estimates that 820,000 people died in 2019 because of HBV, mostly from complications, including cirrhosis and hepatocellular carcinoma. HBV is a global epidemic and infects more than three times the number of people infected with hepatitis C virus and HIV infections combined, according to the WHO. Of the 296 million people living with chronic HBV infection, only approximately 30 million were aware of their infection, and only approximately 6.6 million of those diagnosed received treatment. Few treated patients exhibit cure, defined herein as sustained viral suppression (more than six months) of HBV DNA (less than the lower limit of quantification (LLOQ)) after a finite duration of therapy.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Treatments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There have been no new mechanisms used to treat chronic HBV infection approved in over 25 years. Current therapeutic options for HBV include:</w:t>
      </w:r>
    </w:p>
    <w:p>
      <w:pPr>
        <w:spacing w:after="0" w:line="192" w:lineRule="exact"/>
        <w:rPr>
          <w:sz w:val="20"/>
          <w:szCs w:val="20"/>
          <w:color w:val="auto"/>
        </w:rPr>
      </w:pPr>
    </w:p>
    <w:p>
      <w:pPr>
        <w:jc w:val="both"/>
        <w:ind w:left="880" w:hanging="440"/>
        <w:spacing w:after="0" w:line="258" w:lineRule="auto"/>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Direct Acting Antiviral medications (Nucelos(t)ide analog reverse transcriptase inhibitors (NrtIs)). </w:t>
      </w:r>
      <w:r>
        <w:rPr>
          <w:rFonts w:ascii="Arial" w:cs="Arial" w:eastAsia="Arial" w:hAnsi="Arial"/>
          <w:sz w:val="18"/>
          <w:szCs w:val="18"/>
          <w:color w:val="auto"/>
        </w:rPr>
        <w:t>Several antiviral medications—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lamivudine (Epivir®), adefovir (Hepsera®), telbivudine (Tyzeka®), tenofovir alafenamide (Vemlidy®), tenofovir disoproxil fumarate (Viread®) and entecavir (Baraclude®)—effectively reduce circulating virus levels by inhibiting reverse transcription. Chronic therapy with these agents can result in reduced liver inflammation and fibrosis. Unfortunately, NrtIs are rarely curative, even after years of therapy, and viral replication resumes when therapy is stopped.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jc w:val="both"/>
        <w:ind w:left="880" w:hanging="440"/>
        <w:spacing w:after="0" w:line="261" w:lineRule="auto"/>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Pegylated Interferon alfa (Peg-IFNα or interferon). </w:t>
      </w:r>
      <w:r>
        <w:rPr>
          <w:rFonts w:ascii="Arial" w:cs="Arial" w:eastAsia="Arial" w:hAnsi="Arial"/>
          <w:sz w:val="18"/>
          <w:szCs w:val="18"/>
          <w:color w:val="auto"/>
        </w:rPr>
        <w:t>This synthetic version of a substance produced by the body to fight infection is used</w:t>
      </w:r>
      <w:r>
        <w:rPr>
          <w:rFonts w:ascii="Arial" w:cs="Arial" w:eastAsia="Arial" w:hAnsi="Arial"/>
          <w:sz w:val="18"/>
          <w:szCs w:val="18"/>
          <w:b w:val="1"/>
          <w:bCs w:val="1"/>
          <w:color w:val="auto"/>
        </w:rPr>
        <w:t xml:space="preserve"> </w:t>
      </w:r>
      <w:r>
        <w:rPr>
          <w:rFonts w:ascii="Arial" w:cs="Arial" w:eastAsia="Arial" w:hAnsi="Arial"/>
          <w:sz w:val="18"/>
          <w:szCs w:val="18"/>
          <w:color w:val="auto"/>
        </w:rPr>
        <w:t>mainly for people infected with HBV who do not want to undergo long-term treatment (e.g., patients who might want to become pregnant within a few years). It is administered by injection. Cure rates are relatively low and side effects may be severe, including flu-like symptoms and depression.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HBV Strategy</w:t>
      </w:r>
    </w:p>
    <w:p>
      <w:pPr>
        <w:spacing w:after="0" w:line="20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goal of our HBV program is to discover and develop finite and curative therapies for those chronically infected with HBV. Our efforts to forge a new and differentiated path to develop finite and curative therapies for chronic HBV infection are inspired by the hundreds of millions of people living with this condition worldwide. While we have learned that combination therapy of our first-generation core inhibitor product candidate, vebicorvir (VBR), with NrtIs alone will not result in a finite and curative treatment, we believe that a regimen of core inhibitors in combination with NrtI therapy will be the antiviral backbone of future finite and curative therapies. As a result, our current business strategy is focused on three parallel paths:</w:t>
      </w:r>
    </w:p>
    <w:p>
      <w:pPr>
        <w:spacing w:after="0" w:line="136" w:lineRule="exact"/>
        <w:rPr>
          <w:sz w:val="20"/>
          <w:szCs w:val="20"/>
          <w:color w:val="auto"/>
        </w:rPr>
      </w:pPr>
    </w:p>
    <w:p>
      <w:pPr>
        <w:ind w:left="880" w:hanging="440"/>
        <w:spacing w:after="0" w:line="277" w:lineRule="auto"/>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Developing and advancing our next-generation core inhibitors, ABI-H3733 (3733) and ABI-4334 (4334), which we believe has a best-in-class preclinical profile;</w:t>
      </w:r>
    </w:p>
    <w:p>
      <w:pPr>
        <w:spacing w:after="0" w:line="129"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Assessing core inhibitors in multi-drug combination studies, adding nonoverlapping mechanisms of action to the core inhibitor + NrtI antiviral backbone by utilizing our first-generation core inhibitor VBR; and</w:t>
      </w:r>
    </w:p>
    <w:p>
      <w:pPr>
        <w:spacing w:after="0" w:line="129"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Discovering and developing additional compounds beyond core inhibitors, including a cccDNA disruptor and two other novel preclinical programs.</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With respect to our core inhibitor pipeline, we have concise, data-driven development plans that we believe will enable selection of the optimal core inhibitor to advance for finite and curative combination therapies for HBV. We intend to further complement our core inhibitor programs with additional new mechanisms of action discovered and developed internally as well as externally through collaborations, licenses, partnerships and other types of business arrangements.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Primary Focus: Targeting HBV Core Protein to Achieve a Cure</w:t>
      </w:r>
    </w:p>
    <w:p>
      <w:pPr>
        <w:spacing w:after="0" w:line="20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HBV is a DNA virus that infects hepatocytes and establishes a reservoir of cccDNA, a unique viral DNA moiety that resides in the cell nucleus of HBV-infected hepatocytes and is associated with viral persistence and chronic infection. No currently approved oral therapies target cccDNA activity directly, which makes molecules that can modulate cccDNA generation or disrupt its function highly sought in the HBV field. As a result, most of our research and development efforts to date have focused on discovering and developing compounds targeting the core protein, a viral protein involved in numerous aspects of the HBV replication cycle, including the generation of HBV cccDNA. Through our research efforts, we have discovered several chemically distinct series of small molecule core inhibitors that directly target and allosterically inhibit core protein functions. As a result, our pipeline offers the potential for both first-in-class and best-in-class compounds that target critical steps involved in cccDNA generation and the HBV viral replication cycle. We believe that our approach of targeting viral core protein and its related functions provides a promising foundation for finite and curative HBV treatment regimens.</w:t>
      </w:r>
    </w:p>
    <w:p>
      <w:pPr>
        <w:spacing w:after="0" w:line="1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 benchmark for therapeutic agents aiming to decrease cccDNA levels is the use of several key viral antigens as surrogate biomarkers of active cccDNA. The same biomarkers can be used in both primary human hepatocyte cells and patients. On this basis, our core inhibitors have shown preclinical proof of principle. In a variety of cell culture models, core inhibitors have demonstrated the ability to reduce production of viral HBV DNA levels as well as the surrogate markers for cccDNA establishment: HBV e antigen (HBeAg), HBV core-related antigen (HBcrAg) and viral pre-genomic RNA (pgRNA).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Core Inhibitor Product Candidates</w:t>
      </w:r>
    </w:p>
    <w:p>
      <w:pPr>
        <w:spacing w:after="0" w:line="19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clinical strategy encompasses testing core inhibitors first as a monotherapy in Phase 1, as required by regulatory agencies, to demonstrate their intrinsic antiviral activity and safety and subsequently in Phase 2 in combination with NrtI and potentially other classes of HBV therapies.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i w:val="1"/>
          <w:iCs w:val="1"/>
          <w:color w:val="auto"/>
        </w:rPr>
        <w:t>Vebicorvir</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VBR, our lead core inhibitor product candidate, is licensed from Indiana University. The conduct of our initial Phase 2 studies, Study 201 and 202, is complete. In these studies, VBR administered with NrtI therapy demonstrated a favorable safety profile and led to greater viral suppression of both HBV DNA and viral pgRNA than NrtI therapy alone.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Finite Therapy Development</w:t>
      </w:r>
    </w:p>
    <w:p>
      <w:pPr>
        <w:spacing w:after="0" w:line="18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most recently completed study for VBR, Study 211, involved transitioning patients who met the requisite stopping criteria, as determined in collaboration with our lead investigators and the U.S. Food and Drug Administration (FDA), off of therapy to test for sustained virologic response (SVR). SVR refers to sustained viral suppression (more than six months) of HBV DNA below LLOQ and would be consistent with a successful finite treatment for chronic HBV infection. During the trial, it became clear that patients who stopped therapy in Study 211 had not achieved SVR, as all patients relapsed, meaning they had detectable HBV and the dual combination therapy of VBR + NrtI was insufficient to cure chronic HBV infection in the studied population. Based on these results, we terminated Study 211 in the fourth quarter of 2020. We presented follow-up data from Study 211 related to virologic response, safety and resistance following treatment discontinuation, at the European Association for the Study of the Liver’s (EASL) International Liver Congress</w:t>
      </w:r>
      <w:r>
        <w:rPr>
          <w:rFonts w:ascii="Arial" w:cs="Arial" w:eastAsia="Arial" w:hAnsi="Arial"/>
          <w:sz w:val="13"/>
          <w:szCs w:val="13"/>
          <w:color w:val="auto"/>
        </w:rPr>
        <w:t>TM</w:t>
      </w:r>
      <w:r>
        <w:rPr>
          <w:rFonts w:ascii="Arial" w:cs="Arial" w:eastAsia="Arial" w:hAnsi="Arial"/>
          <w:sz w:val="16"/>
          <w:szCs w:val="16"/>
          <w:color w:val="auto"/>
        </w:rPr>
        <w:t xml:space="preserve"> in June 2021 (EASL 2021). At the American Association for the Study of Liver Diseases (AASLD) Annual Meeting in November 2021 (AASLD 2021), we presented additional follow-up data from Study 211 demonstrating that patients had increases of HBV DNA and pgRNA after discontinuation of VBR despite continued NrtI treatment, further supporting that core inhibitors deepen viral suppression in combination with NrtIs.</w:t>
      </w:r>
    </w:p>
    <w:p>
      <w:pPr>
        <w:spacing w:after="0" w:line="1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currently have two Phase 2 triple combination studies involving VBR ongoing, with a third expected to be initiated in the first half of 2022. These studies are detailed below. See “—Multi-Drug Combination Studies.”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Chronic Suppressive Therapy Development</w:t>
      </w:r>
    </w:p>
    <w:p>
      <w:pPr>
        <w:spacing w:after="0" w:line="18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Despite the off-treatment results in Study 211, the Phase 2 studies demonstrated on-treatment that subjects receiving VBR + NrtI achieved faster and deeper suppression of viral replication as compared to placebo. Based on these data, we believed that the addition of VBR to NrtI therapy could potentially help two patient populations as a chronic suppressive treatment (CST): (1) treatment-naïve patients, for whom addition of VBR to NrtI could lead to faster and deeper viral suppression and (2) partially virologically suppressed patients who continue to have viral levels above LLOQ by commercial assays, for whom the addition of VBR to NrtI could suppress viral levels below what could be achieved by NrtI alone.</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preparation for registrational studies for VBR in CST in 2020, we held a number of discussions with leading viral hepatitis experts regarding use of VBR as a CST. In addition, we initiated an additional Phase 2 study of VBR, Study 205, to evaluate treatment intensification with VBR in patients with chronic HBV infection who are only partially virologically suppressed on NrtI.</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second half of 2020, we also held an End-of-Phase 2 meeting with the National Medical Products Administration, Center for Drug Evaluation, China, and reached agreement on a Phase 3 registrational program for CST use of VBR plus NrtI. We also had discussions with the FDA regarding the same Phase 3 registrational program.</w:t>
      </w:r>
    </w:p>
    <w:p>
      <w:pPr>
        <w:spacing w:after="0" w:line="14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Based on discussions with leading viral hepatitis experts, global regulatory discussions and feedback, and, with respect to the China territory, discussions and agreement with our collaboration partner, BeiGene, Ltd. (BeiGene), in early 2021, we decided to not move forward with the global registrational studies for VBR as a CST with NrtI. The decision was made to focus on the greatest unmet medical need of patients, which lies predominantly in cure, rather than CST. As a result, we terminated Study 205 and began to focus our efforts with VBR in combination with NrtI and additional mechanisms targeting finite and curative combination therapy.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Next-Generation Core Inhibitors</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pursuit of our goal of developing finite and curative therapies for patients with chronic HBV infection, we plan to advance the optimal core inhibitor in our portfolio for use as the antiviral backbone with NrtI. While we currently have VBR, our first-generation core inhibitor product candidate, and 3733, a next-generation product candidate, in clinical studies, we expect to initiate Phase 1a studies of 4334, our most potent next-generation product candidate in the second half of 2022. Based on the clinical progress of these candidates, we will apply disciplined, data-driven analyses to identify the optimal candidate to advance into late-stage clinical trials to produce potentially higher cure rates than are currently obtainable for patients with chronic HBV infection under the current standard of care.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auto"/>
        </w:rPr>
        <w:t>ABI-H3733</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first of two next-generation core inhibitor product candidates, 3733, was internally discovered and developed. The chemical scaffold of 3733 is novel and distinct from each of VBR, 4334 and our discontinued core inhibitor product candidate, ABI-H2158 (2158).</w:t>
      </w:r>
    </w:p>
    <w:p>
      <w:pPr>
        <w:spacing w:after="0" w:line="13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2020, we initiated and completed a Phase 1a clinical study of 3733 to evaluate safety, tolerability and pharmacokinetics (PK) following single ascending dose and multiple ascending dose administration in healthy subjects in New Zealand. Preliminary data indicate that 3733 was generally well-tolerated and had favorable PK. Results detailing 3733’s safety and PK from this study were presented in a poster presentation at AASLD 2021.</w:t>
      </w:r>
    </w:p>
    <w:p>
      <w:pPr>
        <w:spacing w:after="0" w:line="1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at EASL 2021, we presented observations on 3733’s enhanced potency and target coverage for both antiviral activity and inhibition of cccDNA generation as compared to VBR and 2158.</w:t>
      </w:r>
    </w:p>
    <w:p>
      <w:pPr>
        <w:spacing w:after="0" w:line="143" w:lineRule="exact"/>
        <w:rPr>
          <w:sz w:val="20"/>
          <w:szCs w:val="20"/>
          <w:color w:val="auto"/>
        </w:rPr>
      </w:pPr>
    </w:p>
    <w:p>
      <w:pPr>
        <w:ind w:right="1100"/>
        <w:spacing w:after="0" w:line="453" w:lineRule="auto"/>
        <w:rPr>
          <w:sz w:val="20"/>
          <w:szCs w:val="20"/>
          <w:color w:val="auto"/>
        </w:rPr>
      </w:pPr>
      <w:r>
        <w:rPr>
          <w:rFonts w:ascii="Arial" w:cs="Arial" w:eastAsia="Arial" w:hAnsi="Arial"/>
          <w:sz w:val="18"/>
          <w:szCs w:val="18"/>
          <w:color w:val="auto"/>
        </w:rPr>
        <w:t xml:space="preserve">We expect to initiate a Phase 1b study with an improved formulation of 3733 in patients with chronic HBV infection in the first half of 2022. </w:t>
      </w:r>
      <w:r>
        <w:rPr>
          <w:rFonts w:ascii="Arial" w:cs="Arial" w:eastAsia="Arial" w:hAnsi="Arial"/>
          <w:sz w:val="18"/>
          <w:szCs w:val="18"/>
          <w:u w:val="single" w:color="auto"/>
          <w:color w:val="auto"/>
        </w:rPr>
        <w:t>ABI-4334</w:t>
      </w:r>
    </w:p>
    <w:p>
      <w:pPr>
        <w:spacing w:after="0" w:line="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mid-2021, we announced the selection of 4334, our other next-generation core inhibitor product candidate. As with all of our core inhibitor product candidates nominated after VBR, 4334 was internally discovered and developed. In addition, the chemical scaffold of 4334 is also novel and distinct from each of VBR, 3733 and 2158.</w:t>
      </w:r>
    </w:p>
    <w:p>
      <w:pPr>
        <w:spacing w:after="0" w:line="1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nominated 4334 based on a preclinical target drug profile that indicates enhanced target coverage and potency to prevent both formation of new virus and cccDNA, which is responsible for maintaining the HBV viral reservoir. We believe that 4334 has a best-in-class preclinical profile, with single-digit nanomolar potency against the production of new virus and the formation of cccDNA. Preclinically to date, 4334 has also demonstrated pan-genotypic activity, an improved resistance profile and a favorable safety profile. Preclinical characterization of 4334 was shared in a poster presentation at AASLD in November 2021.</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preclinical work on 4334 is ongoing, with the aim of completing Investigational New Drug (IND) enabling studies and initiating a Phase 1a clinical study in the second half of 2022.</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ABI-2158</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September 2021, we discontinued development of 2158 following the observation of elevated alanine transaminase (ALT) levels in the Phase 2 clinical study consistent with drug-induced hepatotoxicity.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Core Inhibitor Collaboration and License Agreements</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Indiana University Research and Technology Corporation</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September 2013, we entered into an exclusive license agreement (the IURTC License Agreement) with Indiana University Research and Technology Corporation (IURTC) pursuant to which we acquired, with rights to sublicense, the rights to develop and commercialize products associated with multiple patents and patent applications covering aspects of our HBV program held by IURTC. As part of this agreement, we are obligated to make milestone payments based upon the successful accomplishment of clinical and regulatory milestones. The aggregate amount of all performance milestone payments under the IURTC License Agreement, should all performance milestones through development be met, is $0.8 million, with a portion related to the first performance milestone having been paid. Under the IURTC License Agreement, we are also obligated to pay IURTC royalties based on net sales of the licensed technology ranging from 0.5% to 1.75%. In addition, under the IURTC License Agreement, we pay annual diligence maintenance fees of $0.1 million. Milestone payments received by IURTC are fully creditable against the annual diligence maintenance fee for the year in which the milestone payments are received.</w:t>
      </w:r>
    </w:p>
    <w:p>
      <w:pPr>
        <w:spacing w:after="0" w:line="15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IURTC License Agreement may be terminated by us, with or without cause, upon 90 days advance written notice, by IURTC upon our material breach with 60 days advance written notice or by IURTC, in certain cases, upon our insolvency or bankruptcy immediately upon written notice.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7" w:name="page8"/>
    <w:bookmarkEnd w:id="7"/>
    <w:p>
      <w:pPr>
        <w:ind w:left="440"/>
        <w:spacing w:after="0"/>
        <w:rPr>
          <w:sz w:val="20"/>
          <w:szCs w:val="20"/>
          <w:color w:val="auto"/>
        </w:rPr>
      </w:pPr>
      <w:r>
        <w:rPr>
          <w:rFonts w:ascii="Arial" w:cs="Arial" w:eastAsia="Arial" w:hAnsi="Arial"/>
          <w:sz w:val="18"/>
          <w:szCs w:val="18"/>
          <w:i w:val="1"/>
          <w:iCs w:val="1"/>
          <w:color w:val="auto"/>
        </w:rPr>
        <w:t>BeiGene, Ltd.</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July 2020, we entered into a Collaboration Agreement with BeiGene, granting BeiGene an exclusive, royalty-bearing license to develop and commercialize products containing VBR, 2158 and 3733 (the BeiGene Agreement) in the People’s Republic of China, Hong Kong, Taiwan and Macau (the Territory).</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Under the BeiGene Agreement, we and BeiGene will collaborate on development activities with respect to the licensed products in accordance with a mutually agreed upon development plan.</w:t>
      </w:r>
    </w:p>
    <w:p>
      <w:pPr>
        <w:spacing w:after="0" w:line="13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Pursuant to the terms of the BeiGene Agreement, BeiGene paid us an upfront amount of $40.0 million, and we were eligible to receive up to approximately $500.0 million in milestone payments, comprised of up to $113.8 million in development and regulatory and $385.0 million in net sales milestone payments. In September 2021, we discontinued development of 2158 following the observation of elevated ALT levels in the Phase 2 clinical study consistent with drug-induced hepatotoxicity. Due to the discontinuation of development of 2158, the maximum cash milestone payments we are eligible to receive for VBR and 3733 are $427.5 million, comprised of up to $97.5 million for development and regulatory milestones and up to $330.0 million in net sales milestones. In addition, we are eligible to receive tiered royalties at percentages ranging from the mid-teens to the low 30s of net sales. BeiGene has also agreed to pay all development and regulatory costs up to an aggregate of $45.0 million in the Territory for VBR, 2158 and 3733. Following this initial investment, we and BeiGene will share development costs for the Territory equally.</w:t>
      </w:r>
    </w:p>
    <w:p>
      <w:pPr>
        <w:spacing w:after="0" w:line="15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BeiGene Agreement also contains provisions such as representations and warranties of the parties, terms as to governance of the collaboration, commercialization and regulatory responsibilities of the parties, and manufacturing and supply, including potential adjustments in the event supply costs exceed certain levels. In addition, during the term of the BeiGene Agreement, neither party will commercialize any competing products in the Territory.</w:t>
      </w:r>
    </w:p>
    <w:p>
      <w:pPr>
        <w:spacing w:after="0" w:line="1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terms of the BeiGene Agreement, if after 3733 reaches the end of Phase 2 clinical trials we and BeiGene are unable to mutually agree on the terms of a Phase 3 global study, BeiGene may elect to terminate the BeiGene Agreement solely as it relates to that compound. Such a termination would result in us regaining all rights to the applicable compound in the Territory. In addition, BeiGene may terminate the BeiGene Agreement for convenience at any time upon 90 days’ advance written notice to us. The BeiGene Agreement also contains customary provisions for termination by either party, including in the event of breach of the BeiGene Agreement, subject to cure.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Multi-Drug Combination Studies</w:t>
      </w:r>
    </w:p>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believe that core inhibitors and NrtI will be central to finite and curative therapies for chronic HBV infection. Therefore, as we continue to develop and advance our current and future core inhibitors through clinical studies, we plan to conduct multi-drug combination studies in parallel that add additional drugs (or compounds) with nonoverlapping mechanisms of action to the core inhibitor + NrtI antiviral backbone. Specifically, we plan on only incorporating our current and future core inhibitors that have demonstrated they are well-tolerated and effective in clinical studies in dual combination with NrtI. The 300 mg daily dose of VBR has been observed to be well-tolerated in all studies conducted to date, with no serious adverse effects or dose-limiting toxicities identified and no pattern of treatment-emergent clinical or laboratory abnormalities observed. We currently have two ongoing triple combination studies and a third triple combination study expected to start in the first half of 2022 to study VBR in combination with NrtI and a third mechanism of action.</w:t>
      </w:r>
    </w:p>
    <w:p>
      <w:pPr>
        <w:spacing w:after="0" w:line="15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first triple combination study is being conducted pursuant to a Clinical Trial Agreement with Arbutus Biopharma Corporation (Arbutus Biopharma) and consists of a randomized, multi-center, open-label Phase 2 clinical study to explore the safety, PK and antiviral activity of the triple combination of VBR, NrtI and AB-729 (Arbutus Biopharma’s investigational RNAi candidate) compared to the double combinations of VBR + NrtI and AB-729 + NrtI in virologically suppressed patients. This clinical study initiated in the first quarter of 2021 and completed enrollment in February 2022. We expect to share interim on-treatment results from this study in the second half of 2022.</w:t>
      </w:r>
    </w:p>
    <w:p>
      <w:pPr>
        <w:spacing w:after="0" w:line="14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Our second triple combination study evaluates VBR and NrtI in combination with interferon in treatment-naïve HBeAg positive subjects. This study was also initiated in the first quarter of 2021, and we expect enrollment to be complete in March 2022. We expect to share interim on-treatment results from this study in the second half of 2022.</w:t>
      </w:r>
    </w:p>
    <w:p>
      <w:pPr>
        <w:spacing w:after="0" w:line="15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third triple combination study will be conducted pursuant to a Clinical Trial Collaboration Agreement with Antios Therapeutics, Inc. (Antios) and will evaluate ATI-2173, Antios’s investigational proprietary active site polymerase inhibitor nucleotide (ASPIN), VBR and tenofovir disoproxil fumarate, an NrtI. This multi-center, double-blinded, placebo-controlled study will evaluate the safety, PK and antiviral activity of this all-oral triple combination. We expect to initiate this study, which will enroll ten treatment-naïve or off-treatment HBeAg negative or positive patients in a 12-week treatment study, in the first half of 2022. The study plan initially included a site in Ukraine, but we will no</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8" w:name="page9"/>
    <w:bookmarkEnd w:id="8"/>
    <w:p>
      <w:pPr>
        <w:jc w:val="both"/>
        <w:ind w:right="20"/>
        <w:spacing w:after="0" w:line="277" w:lineRule="auto"/>
        <w:rPr>
          <w:sz w:val="20"/>
          <w:szCs w:val="20"/>
          <w:color w:val="auto"/>
        </w:rPr>
      </w:pPr>
      <w:r>
        <w:rPr>
          <w:rFonts w:ascii="Arial" w:cs="Arial" w:eastAsia="Arial" w:hAnsi="Arial"/>
          <w:sz w:val="18"/>
          <w:szCs w:val="18"/>
          <w:color w:val="auto"/>
        </w:rPr>
        <w:t>longer be conducting the study there due to the instability resulting from Russia’s recent invasion of Ukraine. We expect these changes to our study plan to result in a delayed data readout.</w:t>
      </w:r>
    </w:p>
    <w:p>
      <w:pPr>
        <w:spacing w:after="0" w:line="143"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In addition to the above studies, we expect to pursue additional multi-drug combinations that include other or additional nonoverlapping mechanisms of action to the core inhibitor + NrtI antiviral backbone, using our current and future core inhibitors as they advance in clinical development.</w:t>
      </w:r>
    </w:p>
    <w:p>
      <w:pPr>
        <w:spacing w:after="0" w:line="10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Both our first and second triple combination studies have experienced enrollment delays due to the ongoing COVID-19 pandemic. The pandemic has impacted patients and study sites through patient screening delays, travel restrictions and hesitancy to travel to study sites. The pandemic has also impacted our vendors, as our central laboratories have been unable to meet their contractual obligations, and our vendors have experienced staffing constraints and supply chain-related challenges as they seek to obtain lab kits, reagents and other items necessary to enroll patients in our studies. As a result, we were unable to fully enroll our first and second triple combination studies in 2021 as initially planned; however, based on enrollment to date, we do not believe these delays will impact interim data readouts for these studies, which remains on schedule in 2022.</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Beyond Core Inhibitors</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to the development and advancement of our core inhibitor portfolio and our current and future multi-drug combination studies, our research and development team is working on discovering and developing cccDNA disruptors and small molecules targeting two novel undisclosed HBV targets, which we expect to announce in the first half of 2022, to complement our HBV cure strategy.</w:t>
      </w:r>
    </w:p>
    <w:p>
      <w:pPr>
        <w:spacing w:after="0" w:line="14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November 2020, we entered into an exclusive, two-year collaboration and option agreement with Door Pharmaceuticals, LLC (Door Pharma) focused on the development of a novel class of HBV inhibitors. Door Pharma’s discovery platform targets functions of core protein distinct from viral assembly and have the potential to interfere with viral nucleic acid including intra-nuclear cccDNA, providing a strong complement to our current portfolio. Together with Door Pharma, we are working on identifying cccDNA disruptors, which will be aimed at inhibiting different intra-nuclear steps in the viral replication cycle that complement the activity of our core inhibitors.</w:t>
      </w:r>
    </w:p>
    <w:p>
      <w:pPr>
        <w:spacing w:after="0" w:line="14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Under the terms of the agreement, Door Pharma will build upon its previous efforts to lead and conduct new discovery research, which we will fund. In return for an up-front payment and success-based milestones and royalties, we will be granted an exclusive option to license compounds arising from the collaboration and will be responsible for the continued development and commercialization of optioned compounds.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Antiviral Opportunities</w:t>
      </w:r>
    </w:p>
    <w:p>
      <w:pPr>
        <w:spacing w:after="0" w:line="18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addition to our work toward developing finite and curative therapies for patients with chronic HBV infection, we have expanded our research and development organizations’ reach by pursuing exploratory research on novel compounds targeting other viruses. Our expanded focus leverages the depth and breadth of virology expertise of our research and development organization to diversify our pipeline into areas of high unmet medical need.</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We expect to disclose more information regarding these discovery programs on additional viral targets in mid-2022.</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regard to our HBV patent estate, we co-own with and exclusively license from Indiana University two issued U.S. patents and related foreign patents and patent applications that relate to compositions of matter and methods of using VBR. The issued U.S. patents are expected to expire in 2035 and 2036. In addition, we own a U.S. patent and related foreign applications directed to a process for preparing VBR. The issued U.S. patent is expected to expire in 2038. Finally, we own a U.S. patent application and related foreign applications directed to formulations of VBR; any patents issuing therefrom are expected to expire in 2040.</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own a U.S. patent application and related foreign patent applications that relate to compositions of matter and methods of using 3733; any patents issuing therefrom are expected to expire in 2039.</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own an international (PCT) application that relates to compositions of matter and methods of using 4334; any patents issuing therefrom are expected to expire in 2041.</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9" w:name="page10"/>
    <w:bookmarkEnd w:id="9"/>
    <w:p>
      <w:pPr>
        <w:jc w:val="both"/>
        <w:ind w:right="20"/>
        <w:spacing w:after="0" w:line="277" w:lineRule="auto"/>
        <w:rPr>
          <w:sz w:val="20"/>
          <w:szCs w:val="20"/>
          <w:color w:val="auto"/>
        </w:rPr>
      </w:pPr>
      <w:r>
        <w:rPr>
          <w:rFonts w:ascii="Arial" w:cs="Arial" w:eastAsia="Arial" w:hAnsi="Arial"/>
          <w:sz w:val="18"/>
          <w:szCs w:val="18"/>
          <w:color w:val="auto"/>
        </w:rPr>
        <w:t>Finally, we own a U.S. patent and related foreign patents and patent applications that relate to compositions of matter and methods of using 2158. The issued U.S. patent is expected to expire in 2038.</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8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Government authorities in the United States, at the federal, state and local level, and in other countries extensively regulate, among other things, the research, development, testing, manufacture, including any manufacturing changes, packaging, storage, recordkeeping, labeling, advertising, promotion, distribution, marketing, post-approval monitoring and reporting, import and export of pharmaceutical products, such as those we are developing.</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drug approval process</w:t>
      </w:r>
    </w:p>
    <w:p>
      <w:pPr>
        <w:spacing w:after="0" w:line="19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United States, the FDA regulates drugs under the Federal Food, Drug, and Cosmetic Act (FDCA) and implementing regulations. The process of obtaining regulatory approvals and subsequent compliance with appropriate federal, state, local and foreign statutes and regulations requires the expenditure of substantial time and financial resources. Failure to comply with the applicable U.S. requirements at any time during the product development process, approval process or after approval may subject an applicant to a variety of administrative or judicial sanctions, such as the FDA’s refusal to approve pending applications, withdrawal of an approval, license revocation, imposition of a clinical hold, issuance of warning letters and untitled letters, product recalls, product seizures, total or partial suspension of production or distribution, injunctions, fines, refusals of government contracts, restitution, disgorgement of profits or civil or criminal penalties.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process required by the FDA before a drug may be marketed in the United States generally involves the following:</w:t>
      </w:r>
    </w:p>
    <w:p>
      <w:pPr>
        <w:spacing w:after="0" w:line="185" w:lineRule="exact"/>
        <w:rPr>
          <w:sz w:val="20"/>
          <w:szCs w:val="20"/>
          <w:color w:val="auto"/>
        </w:rPr>
      </w:pPr>
    </w:p>
    <w:p>
      <w:pPr>
        <w:ind w:left="880" w:right="20" w:hanging="440"/>
        <w:spacing w:after="0" w:line="277" w:lineRule="auto"/>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completion of nonclinical laboratory tests and animal studies in compliance with the FDA’s good laboratory practice (GLP) regulations and applicable requirements for the humane use of laboratory animals or other applicable requirements;</w:t>
      </w:r>
    </w:p>
    <w:p>
      <w:pPr>
        <w:spacing w:after="0" w:line="129" w:lineRule="exact"/>
        <w:rPr>
          <w:rFonts w:ascii="Arial" w:cs="Arial" w:eastAsia="Arial" w:hAnsi="Arial"/>
          <w:sz w:val="18"/>
          <w:szCs w:val="18"/>
          <w:color w:val="auto"/>
        </w:rPr>
      </w:pPr>
    </w:p>
    <w:p>
      <w:pPr>
        <w:ind w:left="880" w:hanging="440"/>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submission to the FDA of an IND which must become effective before human clinical studies may begin;</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7"/>
        </w:numPr>
        <w:rPr>
          <w:rFonts w:ascii="Arial" w:cs="Arial" w:eastAsia="Arial" w:hAnsi="Arial"/>
          <w:sz w:val="17"/>
          <w:szCs w:val="17"/>
          <w:color w:val="auto"/>
        </w:rPr>
      </w:pPr>
      <w:r>
        <w:rPr>
          <w:rFonts w:ascii="Arial" w:cs="Arial" w:eastAsia="Arial" w:hAnsi="Arial"/>
          <w:sz w:val="17"/>
          <w:szCs w:val="17"/>
          <w:color w:val="auto"/>
        </w:rPr>
        <w:t>approval by an independent institutional review board (IRB) or ethics committee at each clinical site before each trial may be initiated;</w:t>
      </w:r>
    </w:p>
    <w:p>
      <w:pPr>
        <w:spacing w:after="0" w:line="196" w:lineRule="exact"/>
        <w:rPr>
          <w:rFonts w:ascii="Arial" w:cs="Arial" w:eastAsia="Arial" w:hAnsi="Arial"/>
          <w:sz w:val="17"/>
          <w:szCs w:val="17"/>
          <w:color w:val="auto"/>
        </w:rPr>
      </w:pPr>
    </w:p>
    <w:p>
      <w:pPr>
        <w:jc w:val="both"/>
        <w:ind w:left="880" w:hanging="440"/>
        <w:spacing w:after="0" w:line="263" w:lineRule="auto"/>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studies in accordance with good clinical practices (GCP), and any additional requirements for the protection of human research patients and their health information, to establish the safety and efficacy of the proposed drug for each indication;</w:t>
      </w:r>
    </w:p>
    <w:p>
      <w:pPr>
        <w:spacing w:after="0" w:line="143" w:lineRule="exact"/>
        <w:rPr>
          <w:rFonts w:ascii="Arial" w:cs="Arial" w:eastAsia="Arial" w:hAnsi="Arial"/>
          <w:sz w:val="18"/>
          <w:szCs w:val="18"/>
          <w:color w:val="auto"/>
        </w:rPr>
      </w:pPr>
    </w:p>
    <w:p>
      <w:pPr>
        <w:ind w:left="880" w:hanging="440"/>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submission to the FDA of a new drug application (NDA);</w:t>
      </w:r>
    </w:p>
    <w:p>
      <w:pPr>
        <w:spacing w:after="0" w:line="184" w:lineRule="exact"/>
        <w:rPr>
          <w:rFonts w:ascii="Arial" w:cs="Arial" w:eastAsia="Arial" w:hAnsi="Arial"/>
          <w:sz w:val="18"/>
          <w:szCs w:val="18"/>
          <w:color w:val="auto"/>
        </w:rPr>
      </w:pPr>
    </w:p>
    <w:p>
      <w:pPr>
        <w:jc w:val="both"/>
        <w:ind w:left="880" w:hanging="440"/>
        <w:spacing w:after="0" w:line="263" w:lineRule="auto"/>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satisfactory completion of an FDA inspection of the manufacturing facility or facilities at which the product is produced to assess compliance with current good manufacturing practices (cGMP) requirements and to assure that the facilities, methods and controls are adequate to preserve the product’s identity, strength, quality and purity; and</w:t>
      </w:r>
    </w:p>
    <w:p>
      <w:pPr>
        <w:spacing w:after="0" w:line="143" w:lineRule="exact"/>
        <w:rPr>
          <w:rFonts w:ascii="Arial" w:cs="Arial" w:eastAsia="Arial" w:hAnsi="Arial"/>
          <w:sz w:val="18"/>
          <w:szCs w:val="18"/>
          <w:color w:val="auto"/>
        </w:rPr>
      </w:pPr>
    </w:p>
    <w:p>
      <w:pPr>
        <w:ind w:left="880" w:hanging="440"/>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FDA review and approval of the NDA.</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Nonclinical studies and IND</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Nonclinical studies include laboratory evaluation of product chemistry and formulation, as well as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and animal studies to assess the potential for adverse events and in some cases to establish a rationale for therapeutic use. The conduct of nonclinical studies is subject to federal regulations and requirements, including GLP regulations for safety/toxicology studies. An IND sponsor must submit the results of the nonclinical tests, together with manufacturing information, analytical data, any available clinical data or literature and plans for clinical studies, among other things, to the FDA as part of an IND. Some long-term nonclinical testing, such as animal tests of reproductive adverse events and carcinogenicity, may continue after the IND is submitted. For some products, the FDA may waive the need for certain nonclinical tests. An IND automatically becomes effective 30 days after receipt by the FDA, unless before that time the FDA raises concerns or questions related to one or more proposed clinical studies and places the trial on clinical hold. If an IND or clinical study is placed on clinical hold, the IND sponsor and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10" w:name="page11"/>
    <w:bookmarkEnd w:id="10"/>
    <w:p>
      <w:pPr>
        <w:jc w:val="both"/>
        <w:ind w:right="20"/>
        <w:spacing w:after="0" w:line="277" w:lineRule="auto"/>
        <w:rPr>
          <w:sz w:val="20"/>
          <w:szCs w:val="20"/>
          <w:color w:val="auto"/>
        </w:rPr>
      </w:pPr>
      <w:r>
        <w:rPr>
          <w:rFonts w:ascii="Arial" w:cs="Arial" w:eastAsia="Arial" w:hAnsi="Arial"/>
          <w:sz w:val="18"/>
          <w:szCs w:val="18"/>
          <w:color w:val="auto"/>
        </w:rPr>
        <w:t>the FDA must resolve any outstanding concerns before the clinical study can begin. As a result, submission of an IND may not result in the FDA allowing clinical studies to commence.</w:t>
      </w:r>
    </w:p>
    <w:p>
      <w:pPr>
        <w:spacing w:after="0" w:line="14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Clinical studies</w:t>
      </w:r>
    </w:p>
    <w:p>
      <w:pPr>
        <w:spacing w:after="0" w:line="18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Clinical studies involve the administration of the investigational new drug to human subjects under the supervision of qualified investigators in accordance with GCP requirements, which include, among other things, the requirement that all research subjects provide their informed consent in writing before their participation in any clinical study. Clinical studies are conducted under written study protocols detailing, among other things, the objectives of the study, the parameters to be used in monitoring safety, and the effectiveness criteria to be evaluated. A protocol for each clinical study and any subsequent protocol amendments must be submitted to the FDA as part of the IND. In addition, an IRB at each institution participating in the clinical study must review and approve the plan for any clinical study before it commences at that institution, and the IRB must conduct continuing review. The IRB must review and approve, among other things, the study protocol and informed consent information to be provided to study subjects. An IRB must operate in compliance with FDA regulations. Information about certain clinical studies must be submitted within specific timeframes to the National Institutes of Health for public dissemination at www.clinicaltrials.gov.</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Human clinical studies are typically conducted in three sequential phases, which may overlap or be combined:</w:t>
      </w:r>
    </w:p>
    <w:p>
      <w:pPr>
        <w:spacing w:after="0" w:line="198" w:lineRule="exact"/>
        <w:rPr>
          <w:sz w:val="20"/>
          <w:szCs w:val="20"/>
          <w:color w:val="auto"/>
        </w:rPr>
      </w:pPr>
    </w:p>
    <w:p>
      <w:pPr>
        <w:ind w:left="880" w:hanging="440"/>
        <w:spacing w:after="0" w:line="308" w:lineRule="auto"/>
        <w:tabs>
          <w:tab w:leader="none" w:pos="88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Phase 1: </w:t>
      </w:r>
      <w:r>
        <w:rPr>
          <w:rFonts w:ascii="Arial" w:cs="Arial" w:eastAsia="Arial" w:hAnsi="Arial"/>
          <w:sz w:val="17"/>
          <w:szCs w:val="17"/>
          <w:color w:val="auto"/>
        </w:rPr>
        <w:t>The drug is initially introduced into healthy human subjects or patients with the target disease or condition and tested for safety,</w:t>
      </w:r>
      <w:r>
        <w:rPr>
          <w:rFonts w:ascii="Arial" w:cs="Arial" w:eastAsia="Arial" w:hAnsi="Arial"/>
          <w:sz w:val="17"/>
          <w:szCs w:val="17"/>
          <w:i w:val="1"/>
          <w:iCs w:val="1"/>
          <w:color w:val="auto"/>
        </w:rPr>
        <w:t xml:space="preserve"> </w:t>
      </w:r>
      <w:r>
        <w:rPr>
          <w:rFonts w:ascii="Arial" w:cs="Arial" w:eastAsia="Arial" w:hAnsi="Arial"/>
          <w:sz w:val="17"/>
          <w:szCs w:val="17"/>
          <w:color w:val="auto"/>
        </w:rPr>
        <w:t>dosage tolerance, absorption, metabolism, distribution, excretion and, if possible, to gain an early indication of its effectiveness.</w:t>
      </w:r>
    </w:p>
    <w:p>
      <w:pPr>
        <w:spacing w:after="0" w:line="105" w:lineRule="exact"/>
        <w:rPr>
          <w:rFonts w:ascii="Arial" w:cs="Arial" w:eastAsia="Arial" w:hAnsi="Arial"/>
          <w:sz w:val="17"/>
          <w:szCs w:val="17"/>
          <w:color w:val="auto"/>
        </w:rPr>
      </w:pPr>
    </w:p>
    <w:p>
      <w:pPr>
        <w:ind w:left="880" w:right="20" w:hanging="440"/>
        <w:spacing w:after="0" w:line="308" w:lineRule="auto"/>
        <w:tabs>
          <w:tab w:leader="none" w:pos="88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Phase 2: </w:t>
      </w:r>
      <w:r>
        <w:rPr>
          <w:rFonts w:ascii="Arial" w:cs="Arial" w:eastAsia="Arial" w:hAnsi="Arial"/>
          <w:sz w:val="17"/>
          <w:szCs w:val="17"/>
          <w:color w:val="auto"/>
        </w:rPr>
        <w:t>The drug is administered to a limited patient population to identify possible adverse effects and safety risks, to preliminarily evaluate</w:t>
      </w:r>
      <w:r>
        <w:rPr>
          <w:rFonts w:ascii="Arial" w:cs="Arial" w:eastAsia="Arial" w:hAnsi="Arial"/>
          <w:sz w:val="17"/>
          <w:szCs w:val="17"/>
          <w:i w:val="1"/>
          <w:iCs w:val="1"/>
          <w:color w:val="auto"/>
        </w:rPr>
        <w:t xml:space="preserve"> </w:t>
      </w:r>
      <w:r>
        <w:rPr>
          <w:rFonts w:ascii="Arial" w:cs="Arial" w:eastAsia="Arial" w:hAnsi="Arial"/>
          <w:sz w:val="17"/>
          <w:szCs w:val="17"/>
          <w:color w:val="auto"/>
        </w:rPr>
        <w:t>the efficacy of the product for specific targeted diseases and to determine dosage tolerance and optimal dosage.</w:t>
      </w:r>
    </w:p>
    <w:p>
      <w:pPr>
        <w:spacing w:after="0" w:line="105" w:lineRule="exact"/>
        <w:rPr>
          <w:rFonts w:ascii="Arial" w:cs="Arial" w:eastAsia="Arial" w:hAnsi="Arial"/>
          <w:sz w:val="17"/>
          <w:szCs w:val="17"/>
          <w:color w:val="auto"/>
        </w:rPr>
      </w:pPr>
    </w:p>
    <w:p>
      <w:pPr>
        <w:jc w:val="both"/>
        <w:ind w:left="880" w:hanging="440"/>
        <w:spacing w:after="0" w:line="263" w:lineRule="auto"/>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Phase 3: </w:t>
      </w:r>
      <w:r>
        <w:rPr>
          <w:rFonts w:ascii="Arial" w:cs="Arial" w:eastAsia="Arial" w:hAnsi="Arial"/>
          <w:sz w:val="18"/>
          <w:szCs w:val="18"/>
          <w:color w:val="auto"/>
        </w:rPr>
        <w:t>The drug is administered to an expanded patient population in adequate and well-controlled clinical studies to generate sufficient data</w:t>
      </w:r>
      <w:r>
        <w:rPr>
          <w:rFonts w:ascii="Arial" w:cs="Arial" w:eastAsia="Arial" w:hAnsi="Arial"/>
          <w:sz w:val="18"/>
          <w:szCs w:val="18"/>
          <w:i w:val="1"/>
          <w:iCs w:val="1"/>
          <w:color w:val="auto"/>
        </w:rPr>
        <w:t xml:space="preserve"> </w:t>
      </w:r>
      <w:r>
        <w:rPr>
          <w:rFonts w:ascii="Arial" w:cs="Arial" w:eastAsia="Arial" w:hAnsi="Arial"/>
          <w:sz w:val="18"/>
          <w:szCs w:val="18"/>
          <w:color w:val="auto"/>
        </w:rPr>
        <w:t>to statistically confirm the efficacy and safety of the product for approval, to establish the overall risk-benefit profile of the product and to provide adequate information for the labeling of the product.</w:t>
      </w:r>
    </w:p>
    <w:p>
      <w:pPr>
        <w:spacing w:after="0" w:line="14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Progress reports detailing the results of the clinical studies must be submitted at least annually to the FDA. Additionally, IND safety reports must be submitted to the FDA and the investigators within 15 calendar days after determining that the information qualifies for reporting. IND safety reports are required for serious and unexpected suspected adverse reactions, findings from animal or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testing or other studies that suggest a significant risk to humans, and any clinically important increase in the rate of a serious suspected adverse reaction over that listed in the protocol or investigator brochure. In addition, a sponsor must notify the FDA within seven calendar days after receiving information concerning any unexpected fatal or life-threatening suspected adverse reaction. Phase 1, Phase 2 and Phase 3 clinical studies may not be completed successfully within any specified period, or at all. Furthermore, the FDA or the sponsor may suspend or terminate a clinical study at any time on various grounds, including a finding that the research subjects are being exposed to an unacceptable health risk. Similarly, an IRB can suspend or terminate approval of a clinical study at its institution if the clinical study is not being conducted in accordance with the IRB’s requirements or if the drug has been associated with unexpected serious harm to patients.</w:t>
      </w:r>
    </w:p>
    <w:p>
      <w:pPr>
        <w:spacing w:after="0" w:line="1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manufacturer of an investigational drug for a serious disease or condition is required to make available, such as by posting on its website, its policy regarding evaluating and responding to requests for individual patient access to such investigational drug. This requirement applies on the earlier of the first initiation of a Phase 2 or Phase 3 trial of the investigational drug or, as applicable, 15 days after the drug receives a designation as a breakthrough therapy, Fast Track product, or regenerative advanced therapy.</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Marketing approval</w:t>
      </w:r>
    </w:p>
    <w:p>
      <w:pPr>
        <w:spacing w:after="0" w:line="19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After the completion of required clinical testing, the results of the nonclinical studies and clinical studies, together with detailed information relating to the product’s chemistry, manufacture, controls and proposed labeling, among other things, are submitted to the FDA as part of an NDA requesting approval to market the product for one or more indications. Under federal law, the submission of most NDAs is additionally subject to a substantial application user</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11" w:name="page12"/>
    <w:bookmarkEnd w:id="11"/>
    <w:p>
      <w:pPr>
        <w:jc w:val="both"/>
        <w:spacing w:after="0" w:line="277" w:lineRule="auto"/>
        <w:rPr>
          <w:sz w:val="20"/>
          <w:szCs w:val="20"/>
          <w:color w:val="auto"/>
        </w:rPr>
      </w:pPr>
      <w:r>
        <w:rPr>
          <w:rFonts w:ascii="Arial" w:cs="Arial" w:eastAsia="Arial" w:hAnsi="Arial"/>
          <w:sz w:val="18"/>
          <w:szCs w:val="18"/>
          <w:color w:val="auto"/>
        </w:rPr>
        <w:t>fee, currently $3.1 million and the sponsor of an approved NDA is also subject to an annual program fee currently set at $0.4 million through September 30, 2022. These fees are typically adjusted on October 1 each year.</w:t>
      </w:r>
    </w:p>
    <w:p>
      <w:pPr>
        <w:spacing w:after="0" w:line="14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FDA conducts a preliminary review of all NDAs within the first 60 days after submission before accepting them for filing to determine whether they are sufficiently complete to permit substantive review. The FDA may request additional information rather than accept an NDA for filing. In this event, the application must be resubmitted with the additional information. The resubmitted application is also subject to review before the FDA accepts it for filing. Once the submission is accepted for filing, the FDA begins an in-depth substantive review. The FDA has agreed to specified performance goals in the review of NDAs. Under these goals, the FDA has committed to review most original applications for non-priority products within ten months, and most original applications for priority review products, that is, drugs for a serious or life-threatening condition that the FDA determines represent a significant improvement over existing therapy, within six months. For NDAs for novel products, the ten- and six-month time periods runs from the filing date; for all other original applications, the ten- and six-month time periods run from the submission date. The review process may be extended by the FDA for three additional months to consider certain information or clarification regarding information already provided in the submission. Despite these review goals, it is not uncommon for FDA review of an NDA to extend beyond the goal date. The FDA may also refer applications for novel drugs or products that present difficult questions of safety or efficacy to an advisory committee, typically a panel that includes clinicians and other experts, for review, evaluation and a recommendation as to whether the application should be approved. The FDA is not bound by the recommendations of an advisory committee, but it considers such recommendations carefully when making decisions.</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Before approving an NDA, the FDA typically will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In addition, before approving an NDA, the FDA will typically inspect one or more clinical sites to assure compliance with GCP and integrity of the clinical data submitted.</w:t>
      </w:r>
    </w:p>
    <w:p>
      <w:pPr>
        <w:spacing w:after="0" w:line="14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After the FDA’s evaluation of the NDA and inspection of the manufacturing facilities, the FDA may issue an approval letter or a complete response letter. An approval letter authorizes commercial marketing of the drug with specific prescribing information for specific indications. A complete response letter generally outlines the deficiencies in the submission and may require substantial additional testing or information in order for the FDA to reconsider the application. If and when those deficiencies have been addressed to the FDA’s satisfaction in a resubmission of the NDA, the FDA will issue an approval letter. The FDA has committed to reviewing such resubmissions in two or six months depending on the type of information included. Even with submission of this additional information, the FDA ultimately may decide that the application does not satisfy the regulatory criteria for approval and refuse to approve the NDA. Even if the FDA approves a product, it may limit the approved indications for use for the product, require that contraindications, warnings or precautions be included in the product labeling, require that post-approval studies, including Phase 4 clinical studies, be conducted to further assess a drug’s safety after approval, require testing and surveillance programs to monitor the product after commercialization, or impose other conditions, including distribution and use restrictions or other risk management mechanisms, including Risk Evaluation and Mitigation Strategies (REMS), which can materially affect the potential market and profitability of the product or impose new labeling, testing or distribution and use requirements. The FDA may prevent or limit further marketing of a product based on the results of post-market studies or surveillance programs. After approval, some types of changes to the approved product, such as adding new indications, manufacturing changes and additional labeling claims, are subject to further testing requirements and FDA review and approval.</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Fast Track designation</w:t>
      </w:r>
    </w:p>
    <w:p>
      <w:pPr>
        <w:spacing w:after="0" w:line="18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FDA is required to facilitate and expedite the development and review of drugs that are intended for the treatment of a serious or life-threatening disease or condition for which there is no effective treatment and which demonstrate the potential to address unmet medical needs for the disease or condition. Under the Fast Track program, the sponsor of a new product candidate may request the FDA to designate the product for a specific indication as a Fast Track product concurrent with or after the filing of the IND for the product candidate. The FDA must determine if the product candidate qualifies for fast track designation within 60 calendar days after receipt of the sponsor’s request.</w:t>
      </w:r>
    </w:p>
    <w:p>
      <w:pPr>
        <w:spacing w:after="0" w:line="13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addition to other benefits, such as the ability to have greater interactions with the FDA, the FDA may initiate review of sections of a Fast Track product’s NDA before the application is complete. This rolling review is available if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12" w:name="page13"/>
    <w:bookmarkEnd w:id="12"/>
    <w:p>
      <w:pPr>
        <w:jc w:val="both"/>
        <w:spacing w:after="0" w:line="279" w:lineRule="auto"/>
        <w:rPr>
          <w:sz w:val="20"/>
          <w:szCs w:val="20"/>
          <w:color w:val="auto"/>
        </w:rPr>
      </w:pPr>
      <w:r>
        <w:rPr>
          <w:rFonts w:ascii="Arial" w:cs="Arial" w:eastAsia="Arial" w:hAnsi="Arial"/>
          <w:sz w:val="17"/>
          <w:szCs w:val="17"/>
          <w:color w:val="auto"/>
        </w:rPr>
        <w:t>applicant provides and the FDA approves a schedule for the submission of the remaining information and the applicant pays applicable user fees. However, the FDA’s time period goal for reviewing a Fast Track application does not begin until the last section of the NDA is submitted. In addition, the Fast Track designation may be withdrawn by the FDA if the FDA believes that the designation is no longer supported by data emerging in the clinical study process. In 2018, the FDA granted Fast Track designation to VBR for the treatment of patients with chronic HBV infection.</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Priority review</w:t>
      </w:r>
    </w:p>
    <w:p>
      <w:pPr>
        <w:spacing w:after="0" w:line="18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Under FDA policies, a product candidate may be eligible for priority review, a review generally within a six-month time frame from the time a complete application is received or filed. Products generally are eligible for priority review if they are intended for treatment of a serious or life-threatening disease or condition and provide a significant improvement in safety or effectiveness compared to marketed products in the treatment, diagnosis or prevention of a serious disease or condition. A fast track designated product candidate would ordinarily meet the FDA’s criteria for priority review.</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Accelerated approval</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Under the FDA’s accelerated approval regulations, the FDA may approve a drug for a serious or life-threatening illness that provides meaningful therapeutic benefit to patients over existing treatments based upon a surrogate endpoint that is reasonably likely to predict clinical benefit or on a clinical endpoint that can be measured earlier than irreversible morbidity or mortality (IMM). In clinical studies, a surrogate endpoint is a measurement of laboratory or clinical signs of a disease or condition that substitutes for a direct measurement of how a patient feels, functions or survives. Surrogate endpoints can often be measured more easily or more rapidly than clinical endpoints. A product candidate approved on this basis is subject to rigorous post-marketing compliance requirements, including the completion of Phase 4 or post-approval clinical studies to confirm the effect on the clinical endpoint. Failure to conduct required post-approval studies, or confirm a clinical benefit during post-marketing studies, would allow the FDA to withdraw the drug from the market on an expedited basis. All promotional materials for drug candidates approved under accelerated regulations are subject to prior review by the FDA.</w:t>
      </w:r>
    </w:p>
    <w:p>
      <w:pPr>
        <w:spacing w:after="0" w:line="15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Breakthrough therapy designation</w:t>
      </w:r>
    </w:p>
    <w:p>
      <w:pPr>
        <w:spacing w:after="0" w:line="18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 sponsor can request designation of a product candidate as a “breakthrough therapy.”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Drugs designated as breakthrough therapies also may be eligible for priority review. The FDA must take certain actions, such as holding timely meetings and providing advice, intended to expedite the development and review of an application for approval of a breakthrough therapy. Even if a product qualifies for one or more of these programs, the FDA may later decide that the product no longer meets the conditions for qualification or decide that the time period for FDA review or approval will not be shortened.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Orphan drugs</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Under the Orphan Drug Act, as amended, the FDA may grant orphan drug designation to drugs intended to treat a rare disease or condition, which is generally defined as a disease or condition that affects fewer than 200,000 individuals in the United States or that affects more than 200,000 individuals in the United States and for which there is no reasonable expectation that the cost of developing and making available the drug for the disease or condition will be recovered from sales of the product in the United States. Orphan drug designation must be requested before submitting an NDA or BLA. After the FDA grants orphan drug designation, the identity of the product and its potential orphan use are disclosed publicly by the FDA. Orphan drug designation does not shorten the duration of the regulatory review and approval process. The first NDA or BLA applicant to receive FDA approval for a particular active moiety to treat a particular disease with FDA orphan drug designation is entitled to a seven-year exclusive marketing period in the United States for that product and indication. During the seven-year exclusivity period, the FDA may not approve any other applications to market the same drug for the same orphan indication, except in limited circumstances, such as a showing of clinical superiority to the product with orphan drug exclusivity. A drug will be considered clinically superior if it is shown to be safer, more effective or makes a major contribution to patient care. Orphan drug exclusivity does not prevent the FDA from approving a different drug for the same orphan disease or condition, or the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13" w:name="page14"/>
    <w:bookmarkEnd w:id="13"/>
    <w:p>
      <w:pPr>
        <w:jc w:val="both"/>
        <w:spacing w:after="0" w:line="277" w:lineRule="auto"/>
        <w:rPr>
          <w:sz w:val="20"/>
          <w:szCs w:val="20"/>
          <w:color w:val="auto"/>
        </w:rPr>
      </w:pPr>
      <w:r>
        <w:rPr>
          <w:rFonts w:ascii="Arial" w:cs="Arial" w:eastAsia="Arial" w:hAnsi="Arial"/>
          <w:sz w:val="18"/>
          <w:szCs w:val="18"/>
          <w:color w:val="auto"/>
        </w:rPr>
        <w:t>same drug for a different disease or condition. Among the other benefits of orphan drug designation are tax credits for certain research and a waiver of the NDA/BLA application user fee.</w:t>
      </w:r>
    </w:p>
    <w:p>
      <w:pPr>
        <w:spacing w:after="0" w:line="14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Pediatric information</w:t>
      </w:r>
    </w:p>
    <w:p>
      <w:pPr>
        <w:spacing w:after="0" w:line="18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Under the Pediatric Research Equity Act of 2003, as amended, an NDA or supplement to an NDA for drug with certain novel features (e.g., new active ingredient, new indication) must contain data that are adequate to assess the safety and effectiveness of the drug for the claimed indications in all relevant pediatric subpopulations, and to support dosing and administration for each pediatric subpopulation for which the product is safe and effective. The FDA may, on its own initiative or at the request of the applicant, grant deferrals for submission of some or all pediatric data until after approval of the product for use in adults, or full or partial waivers from the pediatric data requirements. A sponsor of a new drug subject to the above pediatric testing requirements also is required to submit to the FDA a pediatric study plan generally 60 days after an end-of-Phase 2 meeting with the agency. Generally, the pediatric data requirements do not apply to products with orphan drug designation.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regulatory requirements</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drug manufactured or distributed by us pursuant to FDA approvals will be subject to pervasive and continuing regulation by the FDA, including, among other things, requirements relating to recordkeeping, periodic reporting, product sampling and distribution, advertising and promotion and reporting of adverse experiences with the product. After approval, most changes to the approved product, such as adding new indications or other labeling claims, are subject to prior FDA review and approval.</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FDA may impose a number of post-approval requirements, including REMS, as a condition of approval of an NDA or BLA. For example, the FDA may require post-marketing testing, including Phase 4 clinical studies, and surveillance to further assess and monitor the product’s safety and effectiveness after commercialization.</w:t>
      </w:r>
    </w:p>
    <w:p>
      <w:pPr>
        <w:spacing w:after="0" w:line="14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drug manufacturers and other entities involved in the manufacture and distribution of approved drugs are required to register their establishments with the FDA and state agencies and are subject to periodic unannounced inspections by the FDA and these state agencies for compliance with cGMP requirements. Changes to the manufacturing process are strictly regulated and often require prior FDA approval before being implemented. FDA regulations also require investigation and correction of any deviations from cGMP and impose reporting and documentation requirements upon us and any third-party manufacturers that we may decide to use. Accordingly, manufacturers must continue to expend time, money and effort in the areas of production and quality control to maintain cGMP compliance.</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or other restrictions under a REM program. Other potential consequences include, among other things:</w:t>
      </w:r>
    </w:p>
    <w:p>
      <w:pPr>
        <w:spacing w:after="0" w:line="147" w:lineRule="exact"/>
        <w:rPr>
          <w:sz w:val="20"/>
          <w:szCs w:val="20"/>
          <w:color w:val="auto"/>
        </w:rPr>
      </w:pPr>
    </w:p>
    <w:p>
      <w:pPr>
        <w:ind w:left="880" w:hanging="440"/>
        <w:spacing w:after="0"/>
        <w:tabs>
          <w:tab w:leader="none" w:pos="880" w:val="left"/>
        </w:tabs>
        <w:numPr>
          <w:ilvl w:val="0"/>
          <w:numId w:val="9"/>
        </w:numPr>
        <w:rPr>
          <w:rFonts w:ascii="Arial" w:cs="Arial" w:eastAsia="Arial" w:hAnsi="Arial"/>
          <w:sz w:val="17"/>
          <w:szCs w:val="17"/>
          <w:color w:val="auto"/>
        </w:rPr>
      </w:pPr>
      <w:r>
        <w:rPr>
          <w:rFonts w:ascii="Arial" w:cs="Arial" w:eastAsia="Arial" w:hAnsi="Arial"/>
          <w:sz w:val="17"/>
          <w:szCs w:val="17"/>
          <w:color w:val="auto"/>
        </w:rPr>
        <w:t>restrictions on the marketing or manufacturing of the product, complete withdrawal of the product from the market or product recalls;</w:t>
      </w:r>
    </w:p>
    <w:p>
      <w:pPr>
        <w:spacing w:after="0" w:line="196" w:lineRule="exact"/>
        <w:rPr>
          <w:rFonts w:ascii="Arial" w:cs="Arial" w:eastAsia="Arial" w:hAnsi="Arial"/>
          <w:sz w:val="17"/>
          <w:szCs w:val="17"/>
          <w:color w:val="auto"/>
        </w:rPr>
      </w:pPr>
    </w:p>
    <w:p>
      <w:pPr>
        <w:ind w:left="880" w:hanging="440"/>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studies;</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refusal of the FDA to approve pending applications or supplements to approved applications, or suspension or revocation of product approvals;</w:t>
      </w:r>
    </w:p>
    <w:p>
      <w:pPr>
        <w:spacing w:after="0" w:line="207" w:lineRule="exact"/>
        <w:rPr>
          <w:rFonts w:ascii="Arial" w:cs="Arial" w:eastAsia="Arial" w:hAnsi="Arial"/>
          <w:sz w:val="16"/>
          <w:szCs w:val="16"/>
          <w:color w:val="auto"/>
        </w:rPr>
      </w:pPr>
    </w:p>
    <w:p>
      <w:pPr>
        <w:ind w:left="880" w:hanging="440"/>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or</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consent decrees, injunctions or the imposition of civil or criminal penalties.</w:t>
      </w:r>
    </w:p>
    <w:p>
      <w:pPr>
        <w:spacing w:after="0" w:line="18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FDA strictly regulates marketing, labeling, advertising and promotion of products that are placed on the market. Drugs generally may be promoted only for the approved indications and in accordance with the provisions of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14" w:name="page15"/>
    <w:bookmarkEnd w:id="14"/>
    <w:p>
      <w:pPr>
        <w:jc w:val="both"/>
        <w:spacing w:after="0" w:line="277" w:lineRule="auto"/>
        <w:rPr>
          <w:sz w:val="20"/>
          <w:szCs w:val="20"/>
          <w:color w:val="auto"/>
        </w:rPr>
      </w:pPr>
      <w:r>
        <w:rPr>
          <w:rFonts w:ascii="Arial" w:cs="Arial" w:eastAsia="Arial" w:hAnsi="Arial"/>
          <w:sz w:val="18"/>
          <w:szCs w:val="18"/>
          <w:color w:val="auto"/>
        </w:rPr>
        <w:t>approved labeling. The FDA and other agencies actively enforce the laws and regulations prohibiting the promotion of off label uses, and a company that is found to have improperly promoted off label uses may be subject to significant liability.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Physician Drug Samples</w:t>
      </w:r>
    </w:p>
    <w:p>
      <w:pPr>
        <w:spacing w:after="0" w:line="18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part of the sales and marketing process, pharmaceutical companies frequently provide samples of approved drugs to physicians. The Prescription Drug Marketing Act (PDMA) regulates the distribution of drug samples at the federal level and sets minimum standards for the registration and regulation of drug distributors by the states. Both the PDMA and state laws limit the distribution of prescription pharmaceutical product samples and impose requirements to ensure accountability in distribution. In addition, the PDMA sets forth civil and criminal penalties for violations.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Regulation</w:t>
      </w:r>
    </w:p>
    <w:p>
      <w:pPr>
        <w:spacing w:after="0" w:line="20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order to market any product outside of the United States, we would need to comply with numerous and varying regulatory requirements of other countries regarding safety and efficacy and governing, among other things, clinical studies, marketing authorization, commercial sales and distribution of our products. Whether or not we obtain FDA approval for a product, we would need to obtain the necessary approvals by the comparable regulatory authorities of foreign countries before we can commence clinical studies or marketing of the product in those countries. The approval process varies from country to country and can involve additional product testing and additional administrative review periods. The time required to obtain approval in other countries might differ from and be longer than that required to obtain FDA approval. Regulatory approval in one country does not ensure regulatory approval in another, but a failure or delay in obtaining regulatory approval in one country may negatively impact the regulatory process in others.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Legislation and Regulations</w:t>
      </w:r>
    </w:p>
    <w:p>
      <w:pPr>
        <w:spacing w:after="0" w:line="18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From time to time, legislation is drafted, introduced and passed in Congress that could significantly change the statutory provisions governing the testing, approval, manufacturing and marketing of products regulated by the FDA. In addition to new legislation, FDA regulations and policies are often revised or interpreted by the agency in ways that may significantly affect our business and our products. It is impossible to predict whether further legislative changes will be enacted or whether FDA regulations, guidance, policies or interpretations will be changed or what the effect of such changes, if any, may be.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Pharmaceutical Coverage, Pricing and Reimbursement</w:t>
      </w:r>
    </w:p>
    <w:p>
      <w:pPr>
        <w:spacing w:after="0" w:line="18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Significant uncertainty exists as to the coverage and reimbursement status of any drug products for which we may obtain regulatory approval. Sales of any of our product candidates, if approved, will depend, in part, on the extent to which the costs of the products will be covered by third-party payors, including government health programs such as Medicare and Medicaid, commercial health insurers and managed care organizations. The process for determining whether a payor will provide coverage for a drug product may be separate from the process for setting the price or reimbursement rate that the payor will pay for the drug product once coverage is approved. Third-party payors may limit coverage to specific drug products on an approved list, or formulary, which might not include all of the approved drugs for a particular indication.</w:t>
      </w:r>
    </w:p>
    <w:p>
      <w:pPr>
        <w:spacing w:after="0" w:line="13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order to secure coverage and reimbursement for any product that might be approved for sale, we may need to conduct expensive pharmacoeconomic studies in order to demonstrate the medical necessity and cost-effectiveness of the product, in addition to the trials required to obtain FDA or other comparable regulatory approvals. Our product candidates may not be considered medically necessary or cost-effective. A payor’s decision to provide coverage for a drug product does not imply that an adequate reimbursement rate will be approved. Companies may also need to provide discounts to purchasers, private health plans or government healthcare programs. Third-party reimbursement may not be sufficient to enable us to maintain price levels high enough to realize an appropriate return on our investment in product development. Further, one payor’s determination to provide coverage for a product does not assure that other payors will also provide coverage and reimbursement for the product, and the level of coverage and reimbursement can differ significantly from payor to payor.</w:t>
      </w:r>
    </w:p>
    <w:p>
      <w:pPr>
        <w:spacing w:after="0" w:line="15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containment of healthcare costs has become a priority of federal, state and foreign governments, and the prices of drugs have been a focus in this effort. Third-party payors are increasingly challenging the prices charged for medical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15" w:name="page16"/>
    <w:bookmarkEnd w:id="15"/>
    <w:p>
      <w:pPr>
        <w:jc w:val="both"/>
        <w:spacing w:after="0" w:line="270" w:lineRule="auto"/>
        <w:rPr>
          <w:sz w:val="20"/>
          <w:szCs w:val="20"/>
          <w:color w:val="auto"/>
        </w:rPr>
      </w:pPr>
      <w:r>
        <w:rPr>
          <w:rFonts w:ascii="Arial" w:cs="Arial" w:eastAsia="Arial" w:hAnsi="Arial"/>
          <w:sz w:val="17"/>
          <w:szCs w:val="17"/>
          <w:color w:val="auto"/>
        </w:rPr>
        <w:t>products and services and examining the medical necessity and cost-effectiveness of medical products and services, in addition to their safety and efficacy. If these third-party payors do not consider our products to be cost-effective compared to other available therapies, they may not cover our products after approval as a benefit under their plans or, if they do, the level of payment may not be sufficient to allow us to sell our products at a profit. The U.S. government, state legislatures and foreign governments have shown significant interest in implementing cost containment programs to limit the growth of government-paid health care costs, including price controls, restrictions on reimbursement and requirements for substitution of generic products for branded prescription drugs. Adoption of such controls and measures and tightening of restrictive policies in jurisdictions with existing controls and measures, could limit payments for pharmaceuticals such as the drug candidates that we are developing and could adversely affect our net revenue and results. Even if favorable coverage and reimbursement status is attained for one or more products for which we may receive regulatory approval, less favorable coverage policies and reimbursement rates may be implemented in the future.</w:t>
      </w:r>
    </w:p>
    <w:p>
      <w:pPr>
        <w:spacing w:after="0" w:line="15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Pricing and reimbursement schemes vary widely from country to country. Some countries provide that drug products may be marketed only after a reimbursement price has been agreed. Some countries may require the completion of additional studies that compare the cost-effectiveness of a particular product candidate to currently available therapies. For example, the European Union provides options for its member states to restrict the range of drug products for which their national health insurance systems provide reimbursement and to control the prices of medicinal products for human use. European Union member states may approve a specific price for a drug product or may instead adopt a system of direct or indirect controls on the profitability of us placing the drug product on the market. Other member states allow companies to fix their own prices for drug products but monitor and control company profits. The downward pressure on health care costs in general, particularly prescription drugs, has become very intense. As a result, increasingly high barriers are being erected to the entry of new products. In addition, in some countries, cross-border imports from low-priced markets exert competitive pressure that may reduce pricing within a country. There can be no assurance that any country that has price controls or reimbursement limitations for drug products will allow favorable reimbursement and pricing arrangements for any of our products.</w:t>
      </w:r>
    </w:p>
    <w:p>
      <w:pPr>
        <w:spacing w:after="0" w:line="12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marketability of any products for which we may receive regulatory approval for commercial sale is dependent on the availability of adequate coverage and reimbursement from government and third-party payors. In addition, the emphasis on managed care in the United States has increased and we expect will continue to increase the pressure on drug pricing. Coverage policies, third-party reimbursement rates and drug pricing regulation may change at any time. In particular, in the United States, the Affordable Care Act (ACA) and its amendment, the Health Care and Education Reconciliation Act, contains provisions that may reduce the profitability of drug products, including, for example, increased rebates for drugs sold to Medicaid programs, extension of Medicaid rebates to Medicaid managed care plans, mandatory discounts for certain Medicare Part D beneficiaries and annual fees based on pharmaceutical companies’ share of sales to federal health care programs.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Among the provisions of the ACA of importance to our potential drug candidates are the following:</w:t>
      </w:r>
    </w:p>
    <w:p>
      <w:pPr>
        <w:spacing w:after="0" w:line="198" w:lineRule="exact"/>
        <w:rPr>
          <w:sz w:val="20"/>
          <w:szCs w:val="20"/>
          <w:color w:val="auto"/>
        </w:rPr>
      </w:pPr>
    </w:p>
    <w:p>
      <w:pPr>
        <w:ind w:left="880" w:hanging="440"/>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specified branded prescription drugs;</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w:t>
      </w:r>
    </w:p>
    <w:p>
      <w:pPr>
        <w:spacing w:after="0" w:line="184" w:lineRule="exact"/>
        <w:rPr>
          <w:rFonts w:ascii="Arial" w:cs="Arial" w:eastAsia="Arial" w:hAnsi="Arial"/>
          <w:sz w:val="18"/>
          <w:szCs w:val="18"/>
          <w:color w:val="auto"/>
        </w:rPr>
      </w:pPr>
    </w:p>
    <w:p>
      <w:pPr>
        <w:ind w:left="880" w:right="20" w:hanging="440"/>
        <w:spacing w:after="0" w:line="277" w:lineRule="auto"/>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expansion of healthcare fraud and abuse laws, including the False Claims Act and the Anti-Kickback Statute, new government investigative powers, and enhanced penalties for noncompliance;</w:t>
      </w:r>
    </w:p>
    <w:p>
      <w:pPr>
        <w:spacing w:after="0" w:line="129"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agree to offer 70% point-of-sale discounts off negotiated prices of applicable brand drugs under the Bipartisan Budget Act of 2018 (BBA);</w:t>
      </w:r>
    </w:p>
    <w:p>
      <w:pPr>
        <w:spacing w:after="0" w:line="129" w:lineRule="exact"/>
        <w:rPr>
          <w:rFonts w:ascii="Arial" w:cs="Arial" w:eastAsia="Arial" w:hAnsi="Arial"/>
          <w:sz w:val="18"/>
          <w:szCs w:val="18"/>
          <w:color w:val="auto"/>
        </w:rPr>
      </w:pPr>
    </w:p>
    <w:p>
      <w:pPr>
        <w:ind w:left="880" w:hanging="440"/>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Act pharmaceutical pricing program;</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16" w:name="page17"/>
    <w:bookmarkEnd w:id="16"/>
    <w:p>
      <w:pPr>
        <w:ind w:left="880" w:hanging="440"/>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requirements to report financial arrangements with physicians and teaching hospitals;</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requirement to annually report drug samples that manufacturers and distributors provide to physicians; and</w:t>
      </w:r>
    </w:p>
    <w:p>
      <w:pPr>
        <w:spacing w:after="0" w:line="184" w:lineRule="exact"/>
        <w:rPr>
          <w:rFonts w:ascii="Arial" w:cs="Arial" w:eastAsia="Arial" w:hAnsi="Arial"/>
          <w:sz w:val="18"/>
          <w:szCs w:val="18"/>
          <w:color w:val="auto"/>
        </w:rPr>
      </w:pPr>
    </w:p>
    <w:p>
      <w:pPr>
        <w:ind w:left="880" w:right="20" w:hanging="440"/>
        <w:spacing w:after="0" w:line="277" w:lineRule="auto"/>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Patient-Centered Outcomes Research Institute to oversee, identify priorities in, and conduct comparative clinical effectiveness research, along with funding for such research.</w:t>
      </w:r>
    </w:p>
    <w:p>
      <w:pPr>
        <w:spacing w:after="0" w:line="13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Since its enactment, there have been many judicial, Presidential, and Congressional challenges to numerous aspects of the ACA. For example, former President Trump issued several executive orders and other directives designed to delay, circumvent, or loosen certain requirements or implementation of certain requirements mandated by the ACA. Concurrently, Congress has considered legislation that would repeal, or repeal and replace all or part of the ACA. While Congress has not passed comprehensive repeal legislation, several bills affecting the implementation of certain taxes under the ACA have been signed into law. For example, the Tax Cuts and Jobs Act, signed into law in 2017, effectively repealed the individual health insurance mandate, which is considered a key component of the ACA. On December 14, 2018, a U.S. District Court Judge in the Northern District of Texas ruled that the individual mandate is a critical and inseverable feature of the ACA, and because it was repealed as part of the Tax Act, the remaining provisions of the ACA are invalid as well. In December 2019, the U.S. Court of Appeals for the Fifth Circuit upheld the lower court decision, which was then appealed to the U.S. Supreme Court. On June 17, 2021, the U.S. Supreme Court held that state and individual plaintiffs did not have standing to challenge the individual mandate provision of the ACA; in so holding, the Supreme Court did not consider larger constitutional questions about the validity of this provision or the validity of the ACA in its entirety. Further, the Trump Administration’s 2020 federal spending package permanently eliminated, effective January 1, 2020, the ACA-mandated “Cadillac” tax on certain high-cost employer-sponsored insurance plans and, on January 1, 2021, eliminated the health insurer tax. Moreover, the BBA, among other things, amended the ACA to close the coverage gap in most Medicare drug plans, commonly referred to as the “donut hole”.</w:t>
      </w:r>
    </w:p>
    <w:p>
      <w:pPr>
        <w:spacing w:after="0" w:line="15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addition, other legislative changes have been proposed and adopted since the ACA was enacted. These changes included aggregate reductions to Medicare payments to providers of up to 2% per fiscal year, and, due to subsequent legislative amendments, will remain in effect through 2030, with the exception of a temporary suspension from May 1, 2020 through March 2021, due to the COVID-19 pandemic. Following the temporary suspension, a 1% payment reduction will occur beginning April 1, 2022 through June 30, 2022, and the 2% payment reduction will resume on July 1, 2022. Further, in January 2013, then President Obama signed into law the American Taxpayer Relief Act of 2012, which, among other things, reduced Medicare payments to several providers, and increased the statute of limitations period for the government to recover overpayments to providers from three to five years. These laws may result in additional reductions in Medicare and other healthcare funding.</w:t>
      </w:r>
    </w:p>
    <w:p>
      <w:pPr>
        <w:spacing w:after="0" w:line="13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Additionally, there has been increasing legislative and enforcement interest in the United States with respect to drug pricing practices. Specifically, there have been several recent United States Congressional inquiries and proposed and enacted federal legislation designed to, among other things, bring more transparency to drug pricing, reduce the cost of prescription drugs under Medicare, review the relationship between pricing and manufacturer patient programs, and reform government program reimbursement methodologies for drugs. For example, at the federal level, President Biden signed an Executive Order on July 9, 2021 affirming the administration’s policy to (1) support legislative reforms that would lower the prices of prescription drug and biologics, including by allowing Medicare to negotiate drug prices, by imposing inflation caps, and, by supporting the development and market entry of lower-cost generic drugs and biosimilars; and (2) support the enactment of a public health insurance option. Among other things, the Executive Order also directs HHS to provide a report on actions to combat excessive pricing of prescription drugs, enhance the domestic drug supply chain, reduce the price that the Federal government pays for drugs, and address price gouging in the industry; and directs the FDA to work with states and Indian Tribes that propose to develop section 804 Importation Programs in accordance with the Medicare Prescription Drug, Improvement, and Modernization Act of 2003, and the FDA’s implementing regulations. In addition, in September 2020, the FDA issued a final rule that sets up a legal framework for allowing the importation of certain prescription drugs from Canada, and the Centers for Medicare &amp; Medicaid Services (CMS) issued guidance that addresses the treatment of certain imported drugs under the Medicaid Drug Rebate Program. On December 27, 2021, CMS rescinded an interim final rule that would have implemented former President Trump’s Most Favored Nation executive order tying Medicare Part B payments for certain physician-administered drugs to the lowest price paid in other economically advanced countries.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17" w:name="page18"/>
    <w:bookmarkEnd w:id="17"/>
    <w:p>
      <w:pPr>
        <w:jc w:val="both"/>
        <w:spacing w:after="0" w:line="291" w:lineRule="auto"/>
        <w:rPr>
          <w:sz w:val="20"/>
          <w:szCs w:val="20"/>
          <w:color w:val="auto"/>
        </w:rPr>
      </w:pPr>
      <w:r>
        <w:rPr>
          <w:rFonts w:ascii="Arial" w:cs="Arial" w:eastAsia="Arial" w:hAnsi="Arial"/>
          <w:sz w:val="16"/>
          <w:szCs w:val="16"/>
          <w:color w:val="auto"/>
        </w:rPr>
        <w:t>Additionally, on November 30, 2020, HHS published a regulation removing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Pursuant to court order, the removal and addition of the aforementioned safe harbors were delayed and recent legislation imposed a moratorium on implementation of the rule until January 1, 2026. Although a number of these and other proposed measures may require authorization through additional legislation to become effective, and the Biden administration may reverse or otherwise change these measures, both the Biden administration and Congress have indicated that they will continue to seek new legislative measures to control drug costs.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Healthcare Laws</w:t>
      </w:r>
    </w:p>
    <w:p>
      <w:pPr>
        <w:spacing w:after="0" w:line="18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the United States, our activities are potentially subject to regulation by various federal, state and local authorities in addition to the FDA, including but not limited to, CMS, other divisions of the U.S. Department of Health and Human Services (e.g., the Office of Inspector General), the U.S. Department of Justice (DOJ), and individual U.S. Attorney offices within the DOJ, and state and local governments. For example, the Company’s business practices, including its research and sales, marketing and scientific/ educational grant programs may be required to comply with federal and state fraud and abuse laws, false claims laws, the data privacy and security provisions of the Health Insurance Portability and Accountability Act (HIPAA), federal transparency requirements and similar state laws, each as amended. The laws that may affect our ability to operate include:</w:t>
      </w:r>
    </w:p>
    <w:p>
      <w:pPr>
        <w:spacing w:after="0" w:line="137" w:lineRule="exact"/>
        <w:rPr>
          <w:sz w:val="20"/>
          <w:szCs w:val="20"/>
          <w:color w:val="auto"/>
        </w:rPr>
      </w:pPr>
    </w:p>
    <w:p>
      <w:pPr>
        <w:jc w:val="both"/>
        <w:ind w:left="880" w:hanging="440"/>
        <w:spacing w:after="0" w:line="254" w:lineRule="auto"/>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can be found guilty of violating the statute without actual knowledge of the statute or specific intent to violate it. The Anti-Kickback Statute has been interpreted to apply to arrangements between pharmaceutical manufacturers on the one hand and prescribers, purchasers, and formulary managers on the other;</w:t>
      </w:r>
    </w:p>
    <w:p>
      <w:pPr>
        <w:spacing w:after="0" w:line="154" w:lineRule="exact"/>
        <w:rPr>
          <w:rFonts w:ascii="Arial" w:cs="Arial" w:eastAsia="Arial" w:hAnsi="Arial"/>
          <w:sz w:val="18"/>
          <w:szCs w:val="18"/>
          <w:color w:val="auto"/>
        </w:rPr>
      </w:pPr>
    </w:p>
    <w:p>
      <w:pPr>
        <w:jc w:val="both"/>
        <w:ind w:left="880" w:hanging="440"/>
        <w:spacing w:after="0" w:line="290" w:lineRule="auto"/>
        <w:tabs>
          <w:tab w:leader="none" w:pos="8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federal civil and criminal false claims laws and civil monetary penalty laws, such as the federal False Claims Act, which impose criminal and civil penalties and authorize civil whistleblower or qui tam actions, against individuals or entities for, among other things: knowingly presenting, or causing to be presented, to the federal government, claims for payment that are false or fraudulent; making a false statement or record material to a false or fraudulent claim or obligation to pay or transmit money or property to the federal government; or knowingly concealing or knowingly and improperly avoiding or decreasing an obligation to pay money to the federal government. In addition, the government may assert that a claim including items and services resulting from a violation of the federal Anti-Kickback Statute constitutes a false or fraudulent claim for purposes of the False Claims Act. Manufacturers can be held liable under the False Claims Act even when they do not submit claims directly to government payors if they are deemed to “cause” the submission of false or fraudulent claims;</w:t>
      </w:r>
    </w:p>
    <w:p>
      <w:pPr>
        <w:spacing w:after="0" w:line="124" w:lineRule="exact"/>
        <w:rPr>
          <w:rFonts w:ascii="Arial" w:cs="Arial" w:eastAsia="Arial" w:hAnsi="Arial"/>
          <w:sz w:val="16"/>
          <w:szCs w:val="16"/>
          <w:color w:val="auto"/>
        </w:rPr>
      </w:pPr>
    </w:p>
    <w:p>
      <w:pPr>
        <w:jc w:val="both"/>
        <w:ind w:left="880" w:hanging="440"/>
        <w:spacing w:after="0" w:line="254" w:lineRule="auto"/>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HIPAA, which created new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can be found guilty of violating HIPAA without actual knowledge of the statute or specific intent to violate it;</w:t>
      </w:r>
    </w:p>
    <w:p>
      <w:pPr>
        <w:spacing w:after="0" w:line="154" w:lineRule="exact"/>
        <w:rPr>
          <w:rFonts w:ascii="Arial" w:cs="Arial" w:eastAsia="Arial" w:hAnsi="Arial"/>
          <w:sz w:val="18"/>
          <w:szCs w:val="18"/>
          <w:color w:val="auto"/>
        </w:rPr>
      </w:pPr>
    </w:p>
    <w:p>
      <w:pPr>
        <w:jc w:val="both"/>
        <w:ind w:left="880" w:hanging="440"/>
        <w:spacing w:after="0" w:line="311" w:lineRule="auto"/>
        <w:tabs>
          <w:tab w:leader="none" w:pos="8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HIPAA, as amended by HITECH, and their respective implementing regulations, which impose requirements on certain covered healthcare providers, health plans, and healthcare clearinghouses as well as their respective business associates that perform services for them that involve the use, or disclosure of, individually identifiable health information, relating to the privacy, security and transmission of individually</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18" w:name="page19"/>
    <w:bookmarkEnd w:id="18"/>
    <w:p>
      <w:pPr>
        <w:jc w:val="both"/>
        <w:ind w:left="880"/>
        <w:spacing w:after="0" w:line="311" w:lineRule="auto"/>
        <w:rPr>
          <w:sz w:val="20"/>
          <w:szCs w:val="20"/>
          <w:color w:val="auto"/>
        </w:rPr>
      </w:pPr>
      <w:r>
        <w:rPr>
          <w:rFonts w:ascii="Arial" w:cs="Arial" w:eastAsia="Arial" w:hAnsi="Arial"/>
          <w:sz w:val="16"/>
          <w:szCs w:val="16"/>
          <w:color w:val="auto"/>
        </w:rPr>
        <w:t>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spacing w:after="0" w:line="108" w:lineRule="exact"/>
        <w:rPr>
          <w:sz w:val="20"/>
          <w:szCs w:val="20"/>
          <w:color w:val="auto"/>
        </w:rPr>
      </w:pPr>
    </w:p>
    <w:p>
      <w:pPr>
        <w:ind w:left="880" w:hanging="440"/>
        <w:spacing w:after="0" w:line="277"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federal false statements statute prohibits knowingly and willfully falsifying, concealing or covering up a material fact or making any materially false statement in connection with the delivery of or payment for healthcare benefits, items or services;</w:t>
      </w:r>
    </w:p>
    <w:p>
      <w:pPr>
        <w:spacing w:after="0" w:line="129"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U.S. federal Food, Drug and Cosmetic Act (FDCA), which prohibits, among other things, the adulteration or misbranding of drugs, biologics and medical devices;</w:t>
      </w:r>
    </w:p>
    <w:p>
      <w:pPr>
        <w:spacing w:after="0" w:line="129" w:lineRule="exact"/>
        <w:rPr>
          <w:rFonts w:ascii="Arial" w:cs="Arial" w:eastAsia="Arial" w:hAnsi="Arial"/>
          <w:sz w:val="18"/>
          <w:szCs w:val="18"/>
          <w:color w:val="auto"/>
        </w:rPr>
      </w:pPr>
    </w:p>
    <w:p>
      <w:pPr>
        <w:jc w:val="both"/>
        <w:ind w:left="880" w:hanging="440"/>
        <w:spacing w:after="0" w:line="273" w:lineRule="auto"/>
        <w:tabs>
          <w:tab w:leader="none" w:pos="8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federal transparency requirements under the ACA, including the provision commonly referred to as the Physician Payments Sunshine Act, which requires manufacturers of drugs, devices, biologics and medical supplies for which payment is available under Medicare, Medicaid or the Children’s Health Insurance Program to report annually to the U.S. Department of Health and Human Services information related to payments or other transfers of value made to physicians and teaching hospitals, as well as ownership and investment interests held by physicians and their immediate family members. Effective January 1, 2022, these reporting obligations will extend to include transfers of value made to certain non-physician providers such as physician assistants and nurse practitioners; and</w:t>
      </w:r>
    </w:p>
    <w:p>
      <w:pPr>
        <w:spacing w:after="0" w:line="137" w:lineRule="exact"/>
        <w:rPr>
          <w:rFonts w:ascii="Arial" w:cs="Arial" w:eastAsia="Arial" w:hAnsi="Arial"/>
          <w:sz w:val="17"/>
          <w:szCs w:val="17"/>
          <w:color w:val="auto"/>
        </w:rPr>
      </w:pPr>
    </w:p>
    <w:p>
      <w:pPr>
        <w:ind w:left="880" w:hanging="440"/>
        <w:spacing w:after="0" w:line="277"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w:t>
      </w:r>
    </w:p>
    <w:p>
      <w:pPr>
        <w:spacing w:after="0" w:line="13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Additionally, we are subject to state and non-U.S. equivalents of each of the healthcare laws described above, among others, some of which may be broader in scope and may apply regardless of the payor. Many U.S. states have adopted laws similar to the federal Anti-Kickback Statute, some of which apply to the referral of patients for healthcare services reimbursed by any source, not just governmental payors, including private insurers. In addition, some states have passed laws that require pharmaceutical companies to comply with the April 2003 Office of Inspector General Compliance Program Guidance for Pharmaceutical Manufacturers and/or the Pharmaceutical Research and Manufacturers of America’s Code on Interactions with Healthcare Professionals. Several states also impose other marketing restrictions or require pharmaceutical companies to make marketing or price disclosures to the state. There are ambiguities as to what is required to comply with these state requirements and if we fail to comply with an applicable state law requirement, we could be subject to penalties.</w:t>
      </w:r>
    </w:p>
    <w:p>
      <w:pPr>
        <w:spacing w:after="0" w:line="16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addition, regulators globally are also imposing greater monetary fines for privacy violations. The General Data Protection Regulation (GDPR), which went into effect on May 25, 2018, applies to any company established in the European Union (EU) as well as to those outside the EU if they collect and use personal data in connection with the offering goods or services to individuals in the EU or the monitoring of their behavior. The GDPR enhances data protection obligations for processors and controllers of personal data, including, for example, expanded disclosures about how personal information is to be used, limitations on retention of information, mandatory data breach notification requirements and onerous new obligations on services providers. Noncompliance with the GDPR may result in monetary penalties of up to €20 million or 4% of worldwide revenue, whichever is higher. The GDPR also confers a private right of action on data subjects and consumer associations to lodge complaints with supervisory authorities, seek judicial remedies, and obtain compensation for damages resulting from violations. In addition, the GDPR includes restrictions on cross-border data transfers. The GDPR may increase our responsibility and liability in relation to personal data that we process where such processing is subject to the GDPR, and we may be required to put in place additional mechanisms to ensure compliance with the GDPR, including as implemented by individual countries.</w:t>
      </w:r>
    </w:p>
    <w:p>
      <w:pPr>
        <w:spacing w:after="0" w:line="12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California enacted the California Consumer Privacy Act (CCPA), which creates new individual privacy rights for California consumers (as defined in the law) and places increased privacy and security obligations on entities handling personal data of consumers or households. The CCPA will require covered companies to provide certain disclosures to consumers about its data collection, use and sharing practices, and to provide affected California residents with ways to opt-out of certain sales or transfers of personal information. The CCPA went into effect on January 1, 2020, and the California Attorney General began taking enforcement action against violators beginning July 1, 2020. While there is currently an exception for protected health information that is subject to HIPAA and clinical trial regulations, as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19" w:name="page20"/>
    <w:bookmarkEnd w:id="19"/>
    <w:p>
      <w:pPr>
        <w:jc w:val="both"/>
        <w:spacing w:after="0" w:line="257" w:lineRule="auto"/>
        <w:rPr>
          <w:sz w:val="20"/>
          <w:szCs w:val="20"/>
          <w:color w:val="auto"/>
        </w:rPr>
      </w:pPr>
      <w:r>
        <w:rPr>
          <w:rFonts w:ascii="Arial" w:cs="Arial" w:eastAsia="Arial" w:hAnsi="Arial"/>
          <w:sz w:val="18"/>
          <w:szCs w:val="18"/>
          <w:color w:val="auto"/>
        </w:rPr>
        <w:t>currently written, the CCPA may impact our business activities. Additionally, the California Privacy Rights Act (CPRA) was passed in November 2020 and will become effective on January 1, 2023. Among other things, the CPRA imposes additional obligations on companies covered by the legislation and expands consumers’ rights with respect to certain sensitive personal information. The CPRA also creates a new state agency that will be vested with authority to implement and enforce the CCPA and the CPRA. Virginia and Colorado similarly passed data privacy laws that will go into effect in January 2023 and will regulate how businesses collect and share personal information.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8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pharmaceutical and biotechnology industry is very competitive, and the development and commercialization of new drugs is influenced by rapid technological developments and innovation. We face competition from several companies developing and commercializing products that will be competitive with our drug candidates, including large pharmaceutical and smaller biotechnology companies. Additionally, new entrants may potentially enter the market. Potential competitors include Johnson &amp; Johnson, Roche, Gilead Sciences Inc., GlaxoSmithKline plc, Enanta Pharmaceuticals, Inc., HEC Pharma, Arbutus Biopharma, Vir Bio, Aligos Therapeutics, Antios and Qilu Pharmaceutical, among others. Additionally, we may face competition from currently available HBV treatments. Some of the competitive development programs from these companies may be based on scientific approaches that are similar to our approach, and others may be based on entirely different approaches. Potential competitors also include academic institutions, government agencies and other public and private research organizations that conduct research, seek patent protection and establish collaborative arrangements for research, development, manufacturing and commercialization of products similar to ours or that otherwise target indications that we are pursuing.</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currently rely on third-party manufacturers to supply the quantities of VBR, 3733 and 4334 used in our clinical and nonclinical studies. We currently have no plans to establish any manufacturing facilities for our product candidates.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Management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Employees</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December 31, 2021, we had 102 total employees and contracts with a number of temporary contractors, consultants and contract research organizations. The majority of our employees work out of our facility in South San Francisco, California. We also have a small number of remote employees spread across the United States, two remote employees in China and one remote employee in the United Kingdom. Following the wind-down of our Microbiome program on January 31, 2021, we increased our headcount by adding eight additional employees. The new employees were hired to support, extend and grow our clinical and preclinical pipeline, with new hires in clinical development and operations, research, manufacturing and general and administrative functions.</w:t>
      </w:r>
    </w:p>
    <w:p>
      <w:pPr>
        <w:spacing w:after="0" w:line="15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expect to continue to add employees to support our virology programs in 2022, with a focus on continued expansion of our preclinical research team. We continually evaluate our needs and make strategic choices regarding whether to hire internal teams or outsource certain functions to contract research organizations (CROs) or contract manufacturing organizations (CMOs), as appropriate. We currently outsource our clinical study management to various CROs and utilize certain CMOs to manufacture both the drug substance and the drug product used in our ongoing and planned clinical studies.</w:t>
      </w:r>
    </w:p>
    <w:p>
      <w:pPr>
        <w:spacing w:after="0" w:line="11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compete with both large and small companies in our industry for a limited number of qualified applicants to fill highly specialized needs. We generally target our base salaries and annual performance-based cash bonuses at the 50</w:t>
      </w:r>
      <w:r>
        <w:rPr>
          <w:rFonts w:ascii="Arial" w:cs="Arial" w:eastAsia="Arial" w:hAnsi="Arial"/>
          <w:sz w:val="13"/>
          <w:szCs w:val="13"/>
          <w:color w:val="auto"/>
        </w:rPr>
        <w:t>th</w:t>
      </w:r>
      <w:r>
        <w:rPr>
          <w:rFonts w:ascii="Arial" w:cs="Arial" w:eastAsia="Arial" w:hAnsi="Arial"/>
          <w:sz w:val="16"/>
          <w:szCs w:val="16"/>
          <w:color w:val="auto"/>
        </w:rPr>
        <w:t xml:space="preserve"> percentile of our peers and our long-term equity incentive compensation, which all employees receive, between the 50</w:t>
      </w:r>
      <w:r>
        <w:rPr>
          <w:rFonts w:ascii="Arial" w:cs="Arial" w:eastAsia="Arial" w:hAnsi="Arial"/>
          <w:sz w:val="13"/>
          <w:szCs w:val="13"/>
          <w:color w:val="auto"/>
        </w:rPr>
        <w:t>th</w:t>
      </w:r>
      <w:r>
        <w:rPr>
          <w:rFonts w:ascii="Arial" w:cs="Arial" w:eastAsia="Arial" w:hAnsi="Arial"/>
          <w:sz w:val="16"/>
          <w:szCs w:val="16"/>
          <w:color w:val="auto"/>
        </w:rPr>
        <w:t xml:space="preserve"> and 75</w:t>
      </w:r>
      <w:r>
        <w:rPr>
          <w:rFonts w:ascii="Arial" w:cs="Arial" w:eastAsia="Arial" w:hAnsi="Arial"/>
          <w:sz w:val="13"/>
          <w:szCs w:val="13"/>
          <w:color w:val="auto"/>
        </w:rPr>
        <w:t>th</w:t>
      </w:r>
      <w:r>
        <w:rPr>
          <w:rFonts w:ascii="Arial" w:cs="Arial" w:eastAsia="Arial" w:hAnsi="Arial"/>
          <w:sz w:val="16"/>
          <w:szCs w:val="16"/>
          <w:color w:val="auto"/>
        </w:rPr>
        <w:t xml:space="preserve"> percentiles of our peers. In certain circumstances, we offer compensation above these levels, based on a candidate’s experience, criticality, amount of responsibility and either individual or Company-wide performance. We routinely review our employees’ base salaries to ensure that they remain market competitive. Both annual performance-based cash bonuses and long-term equity compensation increase as a percentage of total compensation based on employees’ levels of responsibility. We also offer comprehensive benefits packages to all of our employees, including: 100% Company-covered medical, dental and vision coverage for employees and their families; a 401k program with a Company match; a comprehensive employee assistance program, an employee stock purchase plan; and paid family leave.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20" w:name="page21"/>
    <w:bookmarkEnd w:id="20"/>
    <w:p>
      <w:pPr>
        <w:jc w:val="both"/>
        <w:spacing w:after="0" w:line="263" w:lineRule="auto"/>
        <w:rPr>
          <w:sz w:val="20"/>
          <w:szCs w:val="20"/>
          <w:color w:val="auto"/>
        </w:rPr>
      </w:pPr>
      <w:r>
        <w:rPr>
          <w:rFonts w:ascii="Arial" w:cs="Arial" w:eastAsia="Arial" w:hAnsi="Arial"/>
          <w:sz w:val="18"/>
          <w:szCs w:val="18"/>
          <w:color w:val="auto"/>
        </w:rPr>
        <w:t>A large majority of our employees have advanced degrees, and we also offer an educational assistance program that reimburses employees up to a maximum amount per year for courses that directly enhance his or her area of professional work or contribute to his or her immediate career growth. This program demonstrates our commitment to analytical growth, enhanced knowledge and professional development.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Response</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Shortly after the counties in the San Francisco Bay Area implemented a shelter-in-place order, followed quickly by California’s similar statewide order, we established a COVID-19 Task Force (the Task Force) that held regular meetings through mid-2021. The Task Force, in conjunction with our Human Resources department, took the following actions in our effort to curb the pandemic:</w:t>
      </w:r>
    </w:p>
    <w:p>
      <w:pPr>
        <w:spacing w:after="0" w:line="143" w:lineRule="exact"/>
        <w:rPr>
          <w:sz w:val="20"/>
          <w:szCs w:val="20"/>
          <w:color w:val="auto"/>
        </w:rPr>
      </w:pPr>
    </w:p>
    <w:p>
      <w:pPr>
        <w:ind w:left="880" w:hanging="440"/>
        <w:spacing w:after="0" w:line="277"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Drafting and distributing comprehensive COVID-19 office and exposure policies, and lab and safety protocols, each of which have been modified as federal, state and local governments have updated their guidance;</w:t>
      </w:r>
    </w:p>
    <w:p>
      <w:pPr>
        <w:spacing w:after="0" w:line="129" w:lineRule="exact"/>
        <w:rPr>
          <w:rFonts w:ascii="Arial" w:cs="Arial" w:eastAsia="Arial" w:hAnsi="Arial"/>
          <w:sz w:val="18"/>
          <w:szCs w:val="18"/>
          <w:color w:val="auto"/>
        </w:rPr>
      </w:pPr>
    </w:p>
    <w:p>
      <w:pPr>
        <w:ind w:left="880" w:hanging="440"/>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Implementing a vaccine mandate for all employees as well as any third-party individuals entering our facility;</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Permitting all employees who are able to do so to work remotely;</w:t>
      </w:r>
    </w:p>
    <w:p>
      <w:pPr>
        <w:spacing w:after="0" w:line="184"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Holding Company-wide virtual Town Hall meetings at least monthly to foster a sense of community given that the majority of our employees worked remotely;</w:t>
      </w:r>
    </w:p>
    <w:p>
      <w:pPr>
        <w:spacing w:after="0" w:line="129" w:lineRule="exact"/>
        <w:rPr>
          <w:rFonts w:ascii="Arial" w:cs="Arial" w:eastAsia="Arial" w:hAnsi="Arial"/>
          <w:sz w:val="18"/>
          <w:szCs w:val="18"/>
          <w:color w:val="auto"/>
        </w:rPr>
      </w:pPr>
    </w:p>
    <w:p>
      <w:pPr>
        <w:ind w:left="880" w:hanging="440"/>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Increasing cleaning protocols at U.S. office and lab facilities;</w:t>
      </w:r>
    </w:p>
    <w:p>
      <w:pPr>
        <w:spacing w:after="0" w:line="184"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Providing all employees with cloth face coverings and filter inserts along with increasing availability of personal protective equipment to lab employees;</w:t>
      </w:r>
    </w:p>
    <w:p>
      <w:pPr>
        <w:spacing w:after="0" w:line="129" w:lineRule="exact"/>
        <w:rPr>
          <w:rFonts w:ascii="Arial" w:cs="Arial" w:eastAsia="Arial" w:hAnsi="Arial"/>
          <w:sz w:val="18"/>
          <w:szCs w:val="18"/>
          <w:color w:val="auto"/>
        </w:rPr>
      </w:pPr>
    </w:p>
    <w:p>
      <w:pPr>
        <w:ind w:left="880" w:hanging="440"/>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Prohibiting all work-related domestic and international travel; and</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Following local requirements regarding mask wearing at our facility.</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Since the cessation of Task Force meetings in mid-2021 due to the widespread availability of vaccines and then-declining COVID case numbers, our human resources group and executive leadership team continued to regularly monitor all local and national guidelines and discuss and update internal guidance and protocols.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History</w:t>
      </w:r>
    </w:p>
    <w:p>
      <w:pPr>
        <w:spacing w:after="0" w:line="18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were incorporated in Delaware in October 2005 under the name South Island Biosciences, Inc. (which was changed to Ventrus Biosciences, Inc. in April 2007). On July 11, 2014, we acquired Assembly Pharmaceuticals, Inc., a private company, through a merger with our wholly owned subsidiary (the Merger). In connection with the Merger, we changed our name from Ventrus Biosciences, Inc. to Assembly Biosciences, Inc.</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02" w:lineRule="exact"/>
        <w:rPr>
          <w:sz w:val="20"/>
          <w:szCs w:val="20"/>
          <w:color w:val="auto"/>
        </w:rPr>
      </w:pPr>
    </w:p>
    <w:p>
      <w:pPr>
        <w:ind w:right="60"/>
        <w:spacing w:after="0" w:line="453" w:lineRule="auto"/>
        <w:rPr>
          <w:sz w:val="20"/>
          <w:szCs w:val="20"/>
          <w:color w:val="auto"/>
        </w:rPr>
      </w:pPr>
      <w:r>
        <w:rPr>
          <w:rFonts w:ascii="Arial" w:cs="Arial" w:eastAsia="Arial" w:hAnsi="Arial"/>
          <w:sz w:val="18"/>
          <w:szCs w:val="18"/>
          <w:color w:val="auto"/>
        </w:rPr>
        <w:t xml:space="preserve">Our principal executive office is at 331 Oyster Point Blvd., Fourth Floor, South San Francisco, California 94080. Our telephone number is (833) 409-4583. </w:t>
      </w:r>
      <w:r>
        <w:rPr>
          <w:rFonts w:ascii="Arial" w:cs="Arial" w:eastAsia="Arial" w:hAnsi="Arial"/>
          <w:sz w:val="18"/>
          <w:szCs w:val="18"/>
          <w:b w:val="1"/>
          <w:bCs w:val="1"/>
          <w:color w:val="auto"/>
        </w:rPr>
        <w:t>Available Information</w:t>
      </w:r>
    </w:p>
    <w:p>
      <w:pPr>
        <w:spacing w:after="0" w:line="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website address is www.assemblybio.com. We routinely post, or have posted, important information for investors on our website in the “Investors” section. We use this website as a means of disclosing material information in compliance with our disclosure obligations under Regulation FD. Accordingly, investors should monitor the “Investors” section of our website, in addition to following our press releases, Securities and Exchange Commission (SEC) filings, presentations and webcasts. We make available free of charge through our website our press releases, Annual Reports on Form 10-K, Quarterly Reports on Form 10-Q, Current Reports on Form 8-K and all amendments to those reports as soon as reasonably practicable after electronically filed with or furnished to the SEC.</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The information contained on our website is not a part of, and should not be construed as being incorporated by reference, into this report.</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reports filed with the SEC by us and by our officers, directors and significant shareholders are available for review on the SEC’s website at www.sec.gov.</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8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You should carefully consider the following risk factors, together with all other information in this report, including our consolidated financial statements and notes thereto, and in our other filings with the SEC. If any of the following risks, or other risks not presently known to us or that we currently believe to not be material, develop into actual events, then our business, financial condition, results of operations or prospects could be materially adversely affected. If that happens, the market price of our common stock could decline, and stockholders may lose all or part of their investment.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8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b w:val="1"/>
          <w:bCs w:val="1"/>
          <w:i w:val="1"/>
          <w:iCs w:val="1"/>
          <w:color w:val="auto"/>
        </w:rPr>
        <w:t>We have no approved products and depend on the future success of our HBV program. We cannot be certain that we or our collaborators will be able to obtain regulatory approval for, or successfully commercialize, product candidates from our current pipeline or any other product candidates that we may subsequently identify, license or otherwise acquire.</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and our collaborators are not permitted to market or promote any product candidates in the United States, Europe, China or other countries before we receive regulatory approval from the FDA or comparable foreign regulatory authorities, and we may never receive such regulatory approval for our current product candidates. We have not submitted a new drug application (NDA) to the FDA or comparable applications to other regulatory authorities and do not expect to be in a position to do so in the near future.</w:t>
      </w:r>
    </w:p>
    <w:p>
      <w:pPr>
        <w:spacing w:after="0" w:line="16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All of our product candidates are in clinical development or in varying stages of nonclinical development. Data supporting our drug discovery and nonclinical and clinical development programs are derived from laboratory studies, nonclinical studies and Phase 1 and Phase 2 clinical studies. It may be years before the larger, pivotal studies necessary to support regulatory approval of our current product candidates are completed, if ever.</w:t>
      </w:r>
    </w:p>
    <w:p>
      <w:pPr>
        <w:spacing w:after="0" w:line="1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to our current product pipeline, we may identify, license or otherwise acquire rights to other technologies or product candidates. Any such transactions would involve numerous risks, and we may be unsuccessful in entering into any such transactions or developing any such technologies or product candidates.</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these reasons, our drug discovery and development may not be successful, and we may be unable to continue clinical development of our product candidates and may not generate product approvals or product revenue, any of which could have a material adverse impact on our business, results of operations and financial condition.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COVID-19 pandemic may materially and adversely affect our business.</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continued spread of COVID-19, including through infection by variants of the SARS-CoV-2 virus, could continue to adversely impact our research and development through delay, modification or suspension of our clinical and/or nonclinical studies. Other clinical-stage biotechnology companies, like us, have had their clinical and nonclinical studies affected by the COVID-19 pandemic.</w:t>
      </w:r>
    </w:p>
    <w:p>
      <w:pPr>
        <w:spacing w:after="0" w:line="14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COVID-19 pandemic has and may continue to: (1) impact patient enrollment, retention or compliance with clinical study protocols; (2) require modifications to, or deviations from, study protocols and procedures, such as the use of telehealth and home health visits instead of on-site monitoring and treatment, which could increase the cost of, and time for, conducting clinical studies; (3) disrupt or suspend the business operations of our third-party CROs, manufacturers of our drug candidates and the clinical sites conducting our clinical studies; (4) delay regulatory meetings and filings with regulatory agencies in the United States and other countries; and (5) disrupt supply chains and cause delays of shipments of critical reagents, PPE and disinfectants, each of which are necessary for our laboratories and our CROs’ laboratories to maintain normal workflows. Even if we are able to collect timely clinical data while the pandemic is ongoing, COVID-19 may negatively affect the quality, completeness, integrity, interpretability and cost of obtaining such clinical study data.</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22" w:name="page23"/>
    <w:bookmarkEnd w:id="22"/>
    <w:p>
      <w:pPr>
        <w:jc w:val="both"/>
        <w:spacing w:after="0" w:line="273" w:lineRule="auto"/>
        <w:rPr>
          <w:sz w:val="20"/>
          <w:szCs w:val="20"/>
          <w:color w:val="auto"/>
        </w:rPr>
      </w:pPr>
      <w:r>
        <w:rPr>
          <w:rFonts w:ascii="Arial" w:cs="Arial" w:eastAsia="Arial" w:hAnsi="Arial"/>
          <w:sz w:val="17"/>
          <w:szCs w:val="17"/>
          <w:color w:val="auto"/>
        </w:rPr>
        <w:t>The full extent of the pandemic’s impact on our business will depend on future developments, which are highly uncertain and cannot be predicted with confidence, such as the duration and severity of the pandemic and the effectiveness of actions for containment, treatment and prevention of COVID-19. However, any COVID-19-related business interruptions or delays could materially and adversely affect our ability to conduct our research and development activities in the manner and on the timelines presently planned as well as negatively affect the accuracy of our estimates regarding capital requirements, needs for additional financing and our ability to produce accurate and timely financial statements. Any of these disruptions could have a material adverse impact on our business, results of operations, financial condition and share price.</w:t>
      </w:r>
    </w:p>
    <w:p>
      <w:pPr>
        <w:spacing w:after="0" w:line="15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a result of the COVID-19 pandemic, governments around the world implemented significant measures to control the spread of the virus, including quarantines, travel restrictions, stay-at-home orders and business shutdowns. While governments have relaxed these measures as case numbers decreased, surges in COVID-19 cases have prompted, and may in the future prompt, many governments to reimplement these restrictions, including in Europe and the United States. We continue to take precautionary measures intended to minimize our employees’ potential exposure to the virus, including temporarily requiring all employees who can do so to work remotely and suspending all non-essential business travel worldwide for our employees and requiring employees to be fully vaccinated against COVID-19. The majority of our employees continuing to work remotely may disrupt our operations, increase the risk of a cybersecurity incident or otherwise negatively affect our business.</w:t>
      </w:r>
    </w:p>
    <w:p>
      <w:pPr>
        <w:spacing w:after="0" w:line="1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the risks related to the COVID-19 pandemic discussed above, the uncertainty surrounding, and risks created by, the pandemic may have the effect of heightening many of the other risks discussed in this section impacting our operations.</w:t>
      </w:r>
    </w:p>
    <w:p>
      <w:pPr>
        <w:spacing w:after="0" w:line="13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are not currently profitable and might never become profitable, and we will need additional financing to complete the development of any product candidates and fund our activities into the future.</w:t>
      </w:r>
    </w:p>
    <w:p>
      <w:pPr>
        <w:spacing w:after="0" w:line="14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do not have any approved products, and we have a history of losses. We expect to continue to incur substantial operating and capital expenditures to advance our current product candidates through clinical development, continue research and discovery efforts to identify potential additional product candidates and seek regulatory approvals for our current and future product candidates. All operations and capital expenditures will be funded from cash on hand, securities offerings or debt financings and payments we may receive from out-licensing, collaborations or other strategic arrangements. However, there is no assurance that we will be successful in raising any necessary additional capital on terms that are acceptable to us, or at all. If we are unable to develop and commercialize any product candidates and generate sufficient revenue or raise capital, we could be forced to delay, scale back or discontinue product development and clinical studies, sacrifice attractive business opportunities, cease operations entirely and sell, or otherwise transfer, all or substantially all of our remaining assets, which would likely have a material adverse impact on our business, results of operations, financial condition and share price.</w:t>
      </w:r>
    </w:p>
    <w:p>
      <w:pPr>
        <w:spacing w:after="0" w:line="1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Nonclinical and clinical studies required for our product candidates are expensive and time-consuming and may fail to demonstrate the level of safety and efficacy necessary for product approval.</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Before we or any commercial partners can obtain FDA approval (or other foreign approvals) necessary to sell any of our product candidates, we must show that each potential product is safe and effective. To meet these requirements, we must conduct extensive nonclinical and sufficient, well-controlled clinical studies.</w:t>
      </w:r>
    </w:p>
    <w:p>
      <w:pPr>
        <w:spacing w:after="0" w:line="15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results of nonclinical studies may not be representative of disease behavior in a clinical setting and may not be predictive of the outcomes of our clinical studies. In addition, the results of early clinical studies of product candidates may not be predictive of the results of later-stage clinical studies.</w:t>
      </w:r>
    </w:p>
    <w:p>
      <w:pPr>
        <w:spacing w:after="0" w:line="10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Conducting nonclinical and clinical studies is a lengthy, time consuming and expensive process. The length of time varies substantially according to the type, complexity, novelty, and intended use of the product candidate, and often can be several years or more. In addition, failure or delays can occur at any time during the nonclinical and clinical study process, resulting in additional operating expenses or harm to our business.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The commencement and rate of completion of clinical studies might be delayed by many factors, including, for example:</w:t>
      </w:r>
    </w:p>
    <w:p>
      <w:pPr>
        <w:spacing w:after="0" w:line="198" w:lineRule="exact"/>
        <w:rPr>
          <w:sz w:val="20"/>
          <w:szCs w:val="20"/>
          <w:color w:val="auto"/>
        </w:rPr>
      </w:pPr>
    </w:p>
    <w:p>
      <w:pPr>
        <w:ind w:left="880" w:hanging="440"/>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delays in reaching agreement with regulatory authorities on study design;</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delays in reaching agreement on acceptable terms with prospective CROs and clinical study sites;</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to demonstrate efficacy or the emergence of unforeseen safety issues;</w:t>
      </w:r>
    </w:p>
    <w:p>
      <w:pPr>
        <w:spacing w:after="0" w:line="184"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insufficient quantities of qualified materials under cGMP for use in clinical studies due to manufacturing challenges, delays or interruptions in the supply chain;</w:t>
      </w:r>
    </w:p>
    <w:p>
      <w:pPr>
        <w:spacing w:after="0" w:line="129" w:lineRule="exact"/>
        <w:rPr>
          <w:rFonts w:ascii="Arial" w:cs="Arial" w:eastAsia="Arial" w:hAnsi="Arial"/>
          <w:sz w:val="18"/>
          <w:szCs w:val="18"/>
          <w:color w:val="auto"/>
        </w:rPr>
      </w:pPr>
    </w:p>
    <w:p>
      <w:pPr>
        <w:jc w:val="both"/>
        <w:ind w:left="880" w:hanging="440"/>
        <w:spacing w:after="0" w:line="263"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slower than expected rates of patient recruitment or failure to recruit a sufficient number of eligible patients, which may be due to a number of reasons, including the size of the patient population, the proximity of patients to clinical sites, the eligibility criteria for the study, the design of the clinical study, and other potential drug candidates being studied;</w:t>
      </w:r>
    </w:p>
    <w:p>
      <w:pPr>
        <w:spacing w:after="0" w:line="143" w:lineRule="exact"/>
        <w:rPr>
          <w:rFonts w:ascii="Arial" w:cs="Arial" w:eastAsia="Arial" w:hAnsi="Arial"/>
          <w:sz w:val="18"/>
          <w:szCs w:val="18"/>
          <w:color w:val="auto"/>
        </w:rPr>
      </w:pPr>
    </w:p>
    <w:p>
      <w:pPr>
        <w:ind w:left="880" w:right="20" w:hanging="440"/>
        <w:spacing w:after="0" w:line="277"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delays in patients completing participation in a study or return for post-treatment follow-up for any reason, including, product side effects or disease progression;</w:t>
      </w:r>
    </w:p>
    <w:p>
      <w:pPr>
        <w:spacing w:after="0" w:line="129" w:lineRule="exact"/>
        <w:rPr>
          <w:rFonts w:ascii="Arial" w:cs="Arial" w:eastAsia="Arial" w:hAnsi="Arial"/>
          <w:sz w:val="18"/>
          <w:szCs w:val="18"/>
          <w:color w:val="auto"/>
        </w:rPr>
      </w:pPr>
    </w:p>
    <w:p>
      <w:pPr>
        <w:ind w:left="880" w:hanging="440"/>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modification of clinical study protocols;</w:t>
      </w:r>
    </w:p>
    <w:p>
      <w:pPr>
        <w:spacing w:after="0" w:line="184"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delays, suspension, or termination of clinical studies by the institutional review board or ethics committee responsible for overseeing the study at a particular study site; and</w:t>
      </w:r>
    </w:p>
    <w:p>
      <w:pPr>
        <w:spacing w:after="0" w:line="129" w:lineRule="exact"/>
        <w:rPr>
          <w:rFonts w:ascii="Arial" w:cs="Arial" w:eastAsia="Arial" w:hAnsi="Arial"/>
          <w:sz w:val="18"/>
          <w:szCs w:val="18"/>
          <w:color w:val="auto"/>
        </w:rPr>
      </w:pPr>
    </w:p>
    <w:p>
      <w:pPr>
        <w:ind w:left="880" w:right="20" w:hanging="440"/>
        <w:spacing w:after="0" w:line="277"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government or other regulatory agency delays or clinical holds requiring suspension or termination of our clinical studies due to safety, tolerability or other issues related to our product candidates.</w:t>
      </w:r>
    </w:p>
    <w:p>
      <w:pPr>
        <w:spacing w:after="0" w:line="1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failure of nonclinical and clinical studies to demonstrate safety and effectiveness of a product candidate for the desired indications, whether conducted by us or by a CRO, would harm the development of that product candidate and potentially other product candidates. This failure could cause us to abandon a product candidate and could delay development of other product candidates. Any delay in, or failure of, our nonclinical studies or clinical studies could delay, or preclude, the filing of our NDAs and comparable applications with the FDA and foreign regulatory agencies, as applicable, and materially harm our business, prospects, financial condition and results of operations.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CROs to conduct some of our nonclinical and clinical studies due to our lack of suitable facilities and resources.</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do not have sufficient facilities or resources to conduct all of our anticipated nonclinical and clinical studies internally. As a result, we contract with CROs to conduct a significant portion of the nonclinical and clinical studies required for regulatory approval for our product candidates. Our reliance on CROs reduces our control over these activities but does not relieve us of our responsibilities. For example, we are responsible for ensuring that each of our studies is conducted in accordance with the applicable protocol, legal and regulatory requirements and scientific standards, including, in the case of clinical studies, good clinical practices, even if the study is conducted by a CRO. In the event CROs fail to perform their duties in such a fashion or we are unable to retain or continue with CROs on acceptable terms, we may be unable to complete our clinical studies and may fail to obtain regulatory approval for our product candidates.</w:t>
      </w:r>
    </w:p>
    <w:p>
      <w:pPr>
        <w:spacing w:after="0" w:line="16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Furthermore, these CROs may also have relationships with other entities, some of which may be our competitors. CRO personnel are not our employees, and except for remedies available to us under our agreements with such third parties, we cannot control whether they devote sufficient time and resources to our clinical and nonclinical studies. If the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our research, nonclinical or clinical studies may be extended, delayed or terminated and we may not be able to obtain, or may be delayed in obtaining, regulatory approvals for our product candidates, any of which could materially harm our business, prospects, financial condition and results of operations.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Top-line or preliminary data may not accurately reflect the final results of a particular study.</w:t>
      </w:r>
    </w:p>
    <w:p>
      <w:pPr>
        <w:spacing w:after="0" w:line="19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may publicly disclose top-line or preliminary data based on analysis of then-available efficacy, tolerability, PK and safety data, and the results and related findings and conclusions are subject to change following a more comprehensive review of the data related to the particular study. We also make assumptions, estimates, calculations and conclusions as part of our data analyses, and we may not have received or had the opportunity to fully and carefully evaluate all data prior to release. As a result, the top-line or preliminary results that we report may differ from final results of the same studies or different conclusions or considerations may qualify such results once additional data have been received and fully evaluated. Top-line data also remains subject to audit and verification procedures that may result in the final data differing materially from previously published preliminary data. As a result, top-line and preliminary data should be viewed with caution until the final data are available.</w:t>
      </w:r>
    </w:p>
    <w:p>
      <w:pPr>
        <w:spacing w:after="0" w:line="13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addition to top-line or preliminary results, the information we may publicly disclose regarding a particular nonclinical or clinical study is based on extensive information, and you or others may not agree with what we determine is the material or otherwise appropriate information to include in our disclosure. In addition, any information we determine not to disclose may ultimately be deemed significant with respect to future decisions, conclusions, views, activities or otherwise regarding a particular drug, drug candidate or our business. If the top-line or preliminary data that we report differ from final results, or if others, including regulatory authorities, disagree with, or do not accept, the data or conclusions reached, our ability to obtain approval for, and commercialize, our product candidates may be harmed or delayed, which could harm our business, financial condition, operating results or prospects.</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rely on third parties to formulate and manufacture our product candidates and products that we study in combination with our product candidates. Our use of third parties may increase the risk that we will not have sufficient quantities of our product candidates or other products on time or at an acceptable cost.</w:t>
      </w:r>
    </w:p>
    <w:p>
      <w:pPr>
        <w:spacing w:after="0" w:line="15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rely on third-party manufacturers to supply the quantities of VBR, 3733 and 4334 used in our clinical and nonclinical studies. If any product candidate we develop or acquire in the future receives FDA or other regulatory approval, we expect to continue our reliance on one or more third-party contractors to manufacture our products. If, for any reason, we are unable to rely on any third-party sources we have identified to manufacture our product candidates, we would need to identify and contract with additional or replacement third-party manufacturers to manufacture compounds, drug substances and drug products for nonclinical, clinical and commercial purposes. We may be unsuccessful in identifying additional or replacement third-party manufacturers, or in negotiating acceptable terms with any that we do identify. If we are unable to establish and maintain manufacturing capacity, the development and sales of our products and our financial performance may be materially and adversely affected.</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We are exposed to the following risks with respect to the manufacture of our product candidates:</w:t>
      </w:r>
    </w:p>
    <w:p>
      <w:pPr>
        <w:spacing w:after="0" w:line="185" w:lineRule="exact"/>
        <w:rPr>
          <w:sz w:val="20"/>
          <w:szCs w:val="20"/>
          <w:color w:val="auto"/>
        </w:rPr>
      </w:pPr>
    </w:p>
    <w:p>
      <w:pPr>
        <w:ind w:left="880" w:hanging="440"/>
        <w:spacing w:after="0" w:line="277"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will need to identify manufacturers for commercial supply on acceptable terms, which we may be unable to do because the number of potential manufacturers is limited, and the FDA must evaluate and approve any new or replacement contractor.</w:t>
      </w:r>
    </w:p>
    <w:p>
      <w:pPr>
        <w:spacing w:after="0" w:line="129" w:lineRule="exact"/>
        <w:rPr>
          <w:rFonts w:ascii="Arial" w:cs="Arial" w:eastAsia="Arial" w:hAnsi="Arial"/>
          <w:sz w:val="18"/>
          <w:szCs w:val="18"/>
          <w:color w:val="auto"/>
        </w:rPr>
      </w:pPr>
    </w:p>
    <w:p>
      <w:pPr>
        <w:ind w:left="880" w:right="20" w:hanging="440"/>
        <w:spacing w:after="0" w:line="277"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third-party manufacturers with whom we contract might be unable to formulate and manufacture our product candidates in the volume and quality required to meet our clinical and, if approved, commercial needs in a timely manner.</w:t>
      </w:r>
    </w:p>
    <w:p>
      <w:pPr>
        <w:spacing w:after="0" w:line="129"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third-party manufacturers with whom we contract might not perform as agreed or might not remain in the contract manufacturing business for the time required to supply our products.</w:t>
      </w:r>
    </w:p>
    <w:p>
      <w:pPr>
        <w:spacing w:after="0" w:line="129"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One or more of any third-party manufacturers with whom we contract could be foreign, which increases the risk of shipping delays and adds the risk of import restrictions.</w:t>
      </w:r>
    </w:p>
    <w:p>
      <w:pPr>
        <w:spacing w:after="0" w:line="129"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do not have complete control over, and cannot ensure, any third-party manufacturers’ compliance with cGMP and other government regulations and corresponding foreign requirements, including periodic FDA and state regulatory inspections.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25" w:name="page26"/>
    <w:bookmarkEnd w:id="25"/>
    <w:p>
      <w:pPr>
        <w:jc w:val="both"/>
        <w:ind w:left="880" w:hanging="440"/>
        <w:spacing w:after="0" w:line="263" w:lineRule="auto"/>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be required to obtain intellectual property rights from third parties to manufacture our product candidates, and if any third-party manufacturer makes improvements in the manufacturing process for our product candidates, we may not own, or may have to share, the intellectual property rights to the innovation.</w:t>
      </w:r>
    </w:p>
    <w:p>
      <w:pPr>
        <w:spacing w:after="0" w:line="143"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be required to share our trade secrets and know-how with third parties, increasing risk of misappropriation or disclosure of our intellectual property by or to third parties.</w:t>
      </w:r>
    </w:p>
    <w:p>
      <w:pPr>
        <w:spacing w:after="0" w:line="129"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When contracting with third-party manufacturers, we might compete with other companies for access to these manufacturers’ facilities and might be subject to manufacturing delays if the manufacturers give other clients higher priority than we are given.</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Each of these risks could delay our development efforts, nonclinical studies and clinical studies or the approval, if any, of our product candidates by the FDA or applicable non-U.S. regulatory authorities and the commercialization of our product candidates. This could result in higher costs or deprive us of potential product revenues and materially harm our business, financial condition and results of operations.</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lose key management personnel and cannot recruit and retain similarly qualified replacements, our business may materially suffer.</w:t>
      </w:r>
    </w:p>
    <w:p>
      <w:pPr>
        <w:spacing w:after="0" w:line="1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highly dependent on the services of our executive officers. Our employment agreements with our executive officers do not ensure their retention. We do not currently maintain, nor do we intend to obtain in the future, “key person” life insurance that would compensate us in the event of the death or disability of any of the members of our management team. Our executive officers are critical to our success, and loss of any of these key employees could have a material adverse impact on our business, financial condition and results of operations.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Fact Track Designation for VBR may not result in faster development, regulatory review or approval.</w:t>
      </w:r>
    </w:p>
    <w:p>
      <w:pPr>
        <w:spacing w:after="0" w:line="19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 nonclinical or clinical data demonstrate potential to address unmet medical needs for a serious or life-threatening condition, the sponsor may apply for FDA Fast Track designation. Fast Track designation provides increased opportunities for sponsor meetings with the FDA during nonclinical and clinical development, in addition to the potential for rolling review once a marketing application is filed. VBR has received Fast Track designation for treatment of patients with chronic HBV infection. However, even with Fast Track designation, we may not experience a faster development process, review or approval compared to conventional FDA procedures. Fast Track designation does not assure ultimate approval by the FDA. The FDA may withdraw Fast Track designation if it believes that the designation is no longer supported by data from our product development program. Any such withdrawal could adversely affect our business.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an in-license relationship for VBR.</w:t>
      </w:r>
    </w:p>
    <w:p>
      <w:pPr>
        <w:spacing w:after="0" w:line="18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license agreement with IURTC imposes diligence requirements on us and requires us to make milestone payments based upon the successful accomplishment of clinical and regulatory milestones related to VBR, royalty payments if VBR is approved and diligence maintenance fees. These payments will make it less profitable for us to develop VBR than if we owned the technology outright. In addition, if we breach any of our obligations under our license agreement, IURTC may have a right to terminate the license, in which event we could lose our rights to VBR.</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collaboration partners might delay, prevent, or undermine the success of our product candidates.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operating and financial strategy for the development, nonclinical and clinical testing, manufacture, and commercialization of drug candidates heavily depends on collaborating with corporations, academic institutions, licensors, licensees, and other parties. However, there can be no assurance that we will successfully establish or maintain these collaborations. If a collaboration is terminated, replacement collaborators might not be available on attractive terms, or at all.</w:t>
      </w:r>
    </w:p>
    <w:p>
      <w:pPr>
        <w:spacing w:after="0" w:line="1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activities of any collaborator will not be within our control and might not be within our power to influence. There can be no assurance that any collaborator will perform its obligations to our satisfaction or at all, that we will derive any revenue or profits from these collaborations, or that any collaborator will not compete with us. If any collaboration is unsuccessful, we might require substantially greater capital to undertake development and marketing of our proposed products and might not be able to develop and market these products effectively, if at all. In addition, a lack of development and marketing collaborations might lead to significant delays in introducing proposed products into certain markets and/or reduced sales of proposed products in such markets.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26" w:name="page27"/>
    <w:bookmarkEnd w:id="26"/>
    <w:p>
      <w:pPr>
        <w:spacing w:after="0"/>
        <w:rPr>
          <w:sz w:val="20"/>
          <w:szCs w:val="20"/>
          <w:color w:val="auto"/>
        </w:rPr>
      </w:pPr>
      <w:r>
        <w:rPr>
          <w:rFonts w:ascii="Arial" w:cs="Arial" w:eastAsia="Arial" w:hAnsi="Arial"/>
          <w:sz w:val="17"/>
          <w:szCs w:val="17"/>
          <w:b w:val="1"/>
          <w:bCs w:val="1"/>
          <w:i w:val="1"/>
          <w:iCs w:val="1"/>
          <w:color w:val="auto"/>
        </w:rPr>
        <w:t>We rely on data provided by third parties that has not been independently verified and could prove to be false, misleading, or incomplete.</w:t>
      </w:r>
    </w:p>
    <w:p>
      <w:pPr>
        <w:spacing w:after="0" w:line="21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rely on third-party vendors, scientists, investigators and collaborators to provide us with significant data and other information related to our projects, nonclinical studies and clinical studies, and our business. If these third parties provide inaccurate, misleading, or incomplete data, our business, prospects, and results of operations could be materially adversely affected.</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Significant disruptions of information technology systems or breaches of data security could materially and adversely affect our business, results of operations and financial condition.</w:t>
      </w:r>
    </w:p>
    <w:p>
      <w:pPr>
        <w:spacing w:after="0" w:line="13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collect and maintain information in digital form and are increasingly dependent on information technology systems and infrastructure to operate our business. In the ordinary course of our business, we collect, store and transmit large amounts of confidential information, including intellectual property, proprietary business information and personal information. It is critical that we do so in a secure manner to maintain the confidentiality and integrity of such confidential information. We have outsourced elements of our information technology infrastructure and, as a result, a number of third-party vendors may or could have access to our confidential information. Our internal information technology systems and infrastructure, and those of our current and any future collaborators, contractors and consultants and other third parties on which we rely, are vulnerable to damage from computer viruses, malware, natural disasters, terrorism, war, telecommunication and electrical failures, cyberattacks or cyber intrusions over the Internet, attachments to emails, persons inside our organization, or persons with access to systems inside our organization.</w:t>
      </w:r>
    </w:p>
    <w:p>
      <w:pPr>
        <w:spacing w:after="0" w:line="15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risk of a security breach or disruption, particularly through cyberattacks or cyber intrusion, has escalated as the number, intensity and sophistication of attempted attacks and intrusions from around the world have increased. In addition, the prevalent use of mobile devices that access confidential information increases the risk of data security breaches, which could lead to the loss of confidential information or other intellectual property. The costs to us to mitigate network security problems, bugs, viruses, worms, malicious software programs and security vulnerabilities could be significant, and our efforts to address these problems may not be successful. If unsuccessful, these problems could cause interruptions, delays, cessation of service and other harm to our business and our competitive position, including material disruption of our product development programs. For example, any loss of clinical study data from completed or ongoing or planned clinical studies could result in delays in our regulatory approval efforts and significantly increase our costs to recover or reproduce the data.</w:t>
      </w:r>
    </w:p>
    <w:p>
      <w:pPr>
        <w:spacing w:after="0" w:line="15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 a computer security breach affects our systems or results in the unauthorized release of personally identifiable information, our reputation could be materially damaged. In addition, such a breach may require notification to governmental agencies, the media or individuals pursuant to various federal, state and non-U.S. privacy and security laws, if applicable, including the Health Insurance Portability and Accountability Act of 1996 (HIPAA), as amended by the Health Information Technology for Clinical Health Act of 2009, and its implementing rules and regulations, as well as regulations promulgated by the Federal Trade Commission, state breach notification law and the General Data Protection Regulation (GDPR) in the European Union (EU). We would also be exposed to a risk of loss or litigation and potential liability, which could materially adversely affect our business, results of operations and financial condition.</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Research, development and commercialization goals may not be achieved in the timeframes that we publicly estimate, which could have an adverse impact on our business and could cause our stock price to decline.</w:t>
      </w:r>
    </w:p>
    <w:p>
      <w:pPr>
        <w:spacing w:after="0" w:line="14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set goals, and make public statements regarding our expectations, regarding the timing of certain accomplishments, developments and milestones under our research and development programs. The actual timing of these events can vary significantly due to a number of factors, including, the amount of time, effort and resources committed to our programs by us and any collaborators and the uncertainties inherent in the clinical development and regulatory approval process. As a result, there can be no assurance that we or any collaborators will initiate or complete clinical development activities, make regulatory submissions or receive regulatory approvals as planned or that we or any collaborators will be able to adhere to our current schedule for the achievement of key milestones under any of our programs. If we or any collaborators fail to achieve one or more of the milestones as planned, our business could be materially adversely affected, and the price of our common stock could decline.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Developments by competitors might render our product candidates or technologies obsolete or non-competitive.</w:t>
      </w:r>
    </w:p>
    <w:p>
      <w:pPr>
        <w:spacing w:after="0" w:line="19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pharmaceutical and biotechnology industries are intensely competitive. In addition, the clinical and commercial landscape for HBV is rapidly changing; we expect new data from commercial and clinical-stage products to continue to emerge. We compete with organizations, some with significantly more resources, who are developing competitive product candidates. If our competitors develop effective treatments for HBV or any other indication or field we might pursue, and successfully commercialize those treatments, our business and prospects could be materially harmed.</w:t>
      </w:r>
    </w:p>
    <w:p>
      <w:pPr>
        <w:spacing w:after="0" w:line="13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Other companies with core inhibitor products may produce negative clinical data, which would adversely affect public and clinical communities’ perceptions of our product candidates, and may negatively impact regulatory approval of, or demand for, our potential products.</w:t>
      </w:r>
    </w:p>
    <w:p>
      <w:pPr>
        <w:spacing w:after="0" w:line="8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HBV therapy research and development efforts involve therapeutics based on modulating forms of HBV core proteins with core inhibitors. Negative data from clinical studies using a competitor’s core inhibitors could adversely impact the perception of the therapeutic use of our product candidates and our ability to enroll patients in clinical studies.</w:t>
      </w:r>
    </w:p>
    <w:p>
      <w:pPr>
        <w:spacing w:after="0" w:line="15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clinical and commercial success of our potential products will depend in part on the public and clinical communities’ acceptance of core inhibitors, a novel class of product candidates. Moreover, our success depends upon physicians prescribing, and their patients being willing to receive, treatments that involve the use of core inhibitor product candidates we may develop in lieu of, or in addition to, existing treatments with which they are already familiar and for which more clinical data may be available. Adverse events in our nonclinical or clinical studies or those of our competitors or of academic researchers utilizing core inhibitor therapies, even if not ultimately attributable to our product candidates, and any resulting publicity could result in increased governmental regulation, unfavorable public perception, potential regulatory delays in the testing or approval of our product candidates, stricter labeling requirements for our product candidates that are approved, if any, and a decrease in demand for any such products.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Regulatory and Legal Environment</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and will be subject to extensive and costly government regulation and the failure to comply with these regulations may have a material adverse effect on our operations and business.</w:t>
      </w:r>
    </w:p>
    <w:p>
      <w:pPr>
        <w:spacing w:after="0" w:line="14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product candidates are subject to extensive and rigorous domestic government regulation including regulation by the FDA, the Centers for Medicare and Medicaid Services, other divisions of the U.S. Department of Health and Human Services, the U.S. Department of Justice, state and local governments, and their respective foreign equivalents. Both before and after approval of any product, we and our collaborators, suppliers, contract manufacturers and clinical investigators are subject to extensive regulation by governmental authorities in the United States and other countries, covering, among other things, testing, manufacturing, quality control, clinical studies, post-marketing studies, labeling, advertising, promotion, distribution, import and export, governmental pricing, price reporting and rebate requirements. Failure to comply with applicable requirements could result in one or more of the following actions: warning or untitled letters; unanticipated expenditures; delays in approval or refusal to approve a product candidate; voluntary or mandatory product recall; product seizure; interruption of manufacturing or clinical studies; operating or marketing restrictions; injunctions; criminal prosecution and civil or criminal penalties including fines and other monetary penalties; exclusion from federal health care programs such as Medicare and Medicaid; adverse publicity; and disruptions to our business.</w:t>
      </w:r>
    </w:p>
    <w:p>
      <w:pPr>
        <w:spacing w:after="0" w:line="14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we or our collaborators obtain regulatory approval for a particular product, the approval might limit the intended medical uses for the product, limit our ability to promote, sell, and distribute the product, require that we conduct costly post-marketing surveillance, and/or require that we conduct ongoing post-marketing studies. Once obtained, any approvals might be withdrawn, including, for example, if there is a later discovery of previously unknown problems with the product, such as a previously unknown safety issue.</w:t>
      </w:r>
    </w:p>
    <w:p>
      <w:pPr>
        <w:spacing w:after="0" w:line="14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If we, our collaborators, or our contract manufacturers fail to comply with applicable regulatory requirements at any stage during the regulatory process, such noncompliance could result in delays in the approval of applications or supplements to approved applications, refusal by a regulatory authority (including the FDA) to review pending market approval applications or supplements to approved applications, untitled letters or warning letters, fines, import and export restrictions, product recalls or seizures, injunctions, total or partial suspension of production, civil penalties,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28" w:name="page29"/>
    <w:bookmarkEnd w:id="28"/>
    <w:p>
      <w:pPr>
        <w:jc w:val="both"/>
        <w:ind w:right="20"/>
        <w:spacing w:after="0" w:line="277" w:lineRule="auto"/>
        <w:rPr>
          <w:sz w:val="20"/>
          <w:szCs w:val="20"/>
          <w:color w:val="auto"/>
        </w:rPr>
      </w:pPr>
      <w:r>
        <w:rPr>
          <w:rFonts w:ascii="Arial" w:cs="Arial" w:eastAsia="Arial" w:hAnsi="Arial"/>
          <w:sz w:val="18"/>
          <w:szCs w:val="18"/>
          <w:color w:val="auto"/>
        </w:rPr>
        <w:t>withdrawals of previously approved marketing applications, recommendations by the FDA or other regulatory authorities against governmental contracts, and/or criminal prosecutions.</w:t>
      </w:r>
    </w:p>
    <w:p>
      <w:pPr>
        <w:spacing w:after="0" w:line="14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The regulatory approval processes of the FDA and comparable foreign authorities are lengthy, time consuming and inherently unpredictable, and if we or our collaborators are ultimately unable to obtain regulatory approval for our product candidates, our business will be substantially harmed.</w:t>
      </w:r>
    </w:p>
    <w:p>
      <w:pPr>
        <w:spacing w:after="0" w:line="8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or any current or future collaborators, cannot assure you that we will receive the approvals necessary to commercialize for sale any of our product candidates, or any product candidate we acquire or develop in the future. We will need FDA approval to commercialize our product candidates in the United States and approvals from applicable regulatory authorities in foreign jurisdictions to commercialize our product candidates in those jurisdictions. To obtain FDA approval of any product candidate, we must submit to the FDA an NDA demonstrating that the product candidate is safe and effective for its intended use. This requires significant research, nonclinical studies, and clinical studies. Satisfaction of the FDA’s regulatory requirements typically takes many years, depends upon the type, complexity and novelty of the product candidate and requires substantial resources for research, development and testing. We cannot predict whether our research and clinical approaches will result in drugs that the FDA considers safe and effective for their indicated uses. The FDA has substantial discretion in the approval process and might require us to conduct additional nonclinical and clinical testing, perform post-marketing studies or otherwise limit or impose conditions on any approval we obtain.</w:t>
      </w:r>
    </w:p>
    <w:p>
      <w:pPr>
        <w:spacing w:after="0" w:line="14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approval process might also be delayed by changes in government regulation, future legislation or administrative action or changes in FDA policy that occur prior to or during our regulatory review. Delays in obtaining regulatory approvals might: delay commercialization of, and our ability to derive product revenues from, our product candidates; impose costly procedures on us; and diminish any competitive advantages that we might otherwise enjoy.</w:t>
      </w:r>
    </w:p>
    <w:p>
      <w:pPr>
        <w:spacing w:after="0" w:line="1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Even if we comply with all FDA requests, the FDA might ultimately reject one or more of our NDAs. We cannot be sure that we will ever obtain regulatory approval and commercialize any of our current or future product candidates. In foreign jurisdictions, we are subject to regulatory approval processes and risks similar to those associated with the FDA described above. We cannot assure you that we will receive the approvals necessary to commercialize our product candidates for sale outside the United States.</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We and our collaborators may be subject, directly or indirectly, to applicable U.S. federal and state anti-kickback, false claims laws, physician payment transparency laws, fraud and abuse laws or similar healthcare and security laws and regulations, and health information privacy and security laws, which could expose us or them to criminal sanctions, civil penalties, contractual damages, reputational harm and diminished profits and future earnings.</w:t>
      </w:r>
    </w:p>
    <w:p>
      <w:pPr>
        <w:spacing w:after="0" w:line="14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Healthcare providers, physicians and others play a primary role in the recommendation and prescription of any products for which we obtain regulatory approval. If we obtain FDA approval for any of our drug candidates and begin commercializing those drugs in the United States, our operations may be subject to various federal and state fraud and abuse laws, including the federal Anti-Kickback Statute, the federal False Claims Act, and physician payment sunshine laws and regulations. Additionally, we are subject to state and non-U.S. equivalents of each of the healthcare laws described above, among others, some of which may be broader in scope and may apply regardless of the payor. These laws may impact, among other things, our proposed sales, marketing and education programs. In addition, we may be subject to patient privacy regulation by both the federal government and the states and foreign jurisdictions in which we conduct our business. If we fail to comply with any applicable federal, state or foreign legal requirement, we could be subject to penalties.</w:t>
      </w:r>
    </w:p>
    <w:p>
      <w:pPr>
        <w:spacing w:after="0" w:line="13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Regulators globally are imposing greater monetary fines for privacy violations. The GDPR applies to any company established in the EU as well as to those outside the EU if they collect and use personal data in connection with the offering goods or services to individuals in the EU or the monitoring of their behavior. The GDPR enhances data protection obligations for processors and controllers of personal data, including, for example, expanded disclosures about how personal information is to be used, limitations on retention of information, mandatory data breach notification requirements and onerous new obligations on services providers. Noncompliance with the GDPR may result in monetary penalties of up to €20 million or 4% of worldwide revenue, whichever is higher. The GDPR may increase our responsibility and liability in relation to personal data that we process and we may be required to put in place additional mechanisms to ensure compliance with the GDPR, including as implemented by individual countries. Compliance with the GDPR and other changes in laws or regulations associated with the enhanced protection of</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29" w:name="page30"/>
    <w:bookmarkEnd w:id="29"/>
    <w:p>
      <w:pPr>
        <w:jc w:val="both"/>
        <w:spacing w:after="0" w:line="277" w:lineRule="auto"/>
        <w:rPr>
          <w:sz w:val="20"/>
          <w:szCs w:val="20"/>
          <w:color w:val="auto"/>
        </w:rPr>
      </w:pPr>
      <w:r>
        <w:rPr>
          <w:rFonts w:ascii="Arial" w:cs="Arial" w:eastAsia="Arial" w:hAnsi="Arial"/>
          <w:sz w:val="18"/>
          <w:szCs w:val="18"/>
          <w:color w:val="auto"/>
        </w:rPr>
        <w:t>certain types of personal data, such as healthcare data or other sensitive information, could greatly increase our cost of developing our products or even prevent us from offering certain products in jurisdictions that we may operate in.</w:t>
      </w:r>
    </w:p>
    <w:p>
      <w:pPr>
        <w:spacing w:after="0" w:line="14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California Consumer Privacy Act (CCPA) also created new individual privacy rights for California consumers (as defined in the law) and places increased privacy and security obligations on entities handling personal data of consumers or households. The CCPA requires covered companies to provide certain disclosures to consumers about its data collection, use and sharing practices, and to provide affected California residents with ways to opt-out of certain sales or transfers of personal information. While there is currently an exception for protected health information that is subject to HIPAA and clinical study regulations, as currently written, the CCPA may impact our business activities. The uncertainty surrounding the implementation of the CCPA exemplifies the vulnerability of our business to the evolving regulatory environment related to personal data and protected health information.</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Because of the breadth of these laws and the narrowness of the statutory exceptions and safe harbors available, it is possible that some of our business activities could be subject to challenge under one or more of such laws.</w:t>
      </w:r>
    </w:p>
    <w:p>
      <w:pPr>
        <w:spacing w:after="0" w:line="130"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Violations of these laws may be punishable by criminal and/or civil sanctions, including penalties, fines and/or exclusion or suspension from federal and state healthcare programs such as Medicare and Medicaid and debarment from contracting with the U.S. government. In addition, private individuals have the ability to bring actions on behalf of the U.S. government under the federal False Claims Act as well as under the false claims laws of several states.</w:t>
      </w:r>
    </w:p>
    <w:p>
      <w:pPr>
        <w:spacing w:after="0" w:line="12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any of the physicians or other providers or entities with whom we expect to do business with are found to be not in compliance with applicable laws, they may be subject to criminal, civil or administrative sanctions, including exclusions from government funded healthcare programs, which may also adversely affect our business.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the risk of product liability claims and might not be able to obtain insurance.</w:t>
      </w:r>
    </w:p>
    <w:p>
      <w:pPr>
        <w:spacing w:after="0" w:line="18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business exposes us to the risk of product liability claims that are inherent in drug development. If the use of one or more of our product candidates or approved drugs, if any, harms people, we might be subject to costly and damaging product liability claims brought against us by clinical study participants, consumers, health care providers, pharmaceutical companies or others selling our products. Our inability to obtain sufficient product liability/clinical study insurance at an acceptable cost to protect against potential product liability claims could prevent or inhibit the commercialization of pharmaceutical products we develop. We cannot predict all of the possible harms or side effects that might result and, therefore, the amount of insurance coverage we maintain might not be adequate to cover all liabilities we might incur. If we are unable to obtain insurance at an acceptable cost or otherwise protect against potential product liability claims, we will be exposed to significant liabilities, which might materially and adversely affect our business and financial position. If we are sued for any injury allegedly caused by our products, our liability could exceed our total assets and our ability to pay. Any successful product liability claims brought against us would decrease our cash and may adversely affect our business, stock price and financial condition.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might be exposed to liability claims associated with the use of hazardous materials and chemicals.</w:t>
      </w:r>
    </w:p>
    <w:p>
      <w:pPr>
        <w:spacing w:after="0" w:line="18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research, development and manufacturing activities and/or those of our third-party contractors might involve the controlled use of hazardous materials and chemicals. Although we will strive to have our safety procedures, and those of our contractors, comply with federal, state and local laws and regulations for using, storing, handling and disposing of these materials, we cannot completely eliminate the risk of accidental injury or contamination from these materials. In the event of such an accident, we could be held liable for any resulting damages, and any liability could materially and adversely affect our business, financial condition and results of operations. In addition, the federal, state and local laws and regulations governing the use, manufacture, storage, handling and disposal of hazardous or radioactive materials and waste products might require us to incur substantial compliance costs that could materially and adversely affect our business, financial condition and results of operations. We do not carry hazardous materials liability insurance. We intend to obtain such insurance in the future, if necessary, but cannot give assurance that we will obtain such coverage.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30" w:name="page31"/>
    <w:bookmarkEnd w:id="30"/>
    <w:p>
      <w:pPr>
        <w:spacing w:after="0" w:line="342" w:lineRule="auto"/>
        <w:rPr>
          <w:sz w:val="20"/>
          <w:szCs w:val="20"/>
          <w:color w:val="auto"/>
        </w:rPr>
      </w:pPr>
      <w:r>
        <w:rPr>
          <w:rFonts w:ascii="Arial" w:cs="Arial" w:eastAsia="Arial" w:hAnsi="Arial"/>
          <w:sz w:val="16"/>
          <w:szCs w:val="16"/>
          <w:b w:val="1"/>
          <w:bCs w:val="1"/>
          <w:i w:val="1"/>
          <w:iCs w:val="1"/>
          <w:color w:val="auto"/>
        </w:rPr>
        <w:t>Our employees, independent contractors, consultants, collaborators and CROs may engage in misconduct or other improper activities, including noncompliance with regulatory standards and requirements, which could result in significant liability for us and harm our reputation.</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We are exposed to the risk of fraud or other misconduct, including failure to:</w:t>
      </w:r>
    </w:p>
    <w:p>
      <w:pPr>
        <w:spacing w:after="0" w:line="185" w:lineRule="exact"/>
        <w:rPr>
          <w:sz w:val="20"/>
          <w:szCs w:val="20"/>
          <w:color w:val="auto"/>
        </w:rPr>
      </w:pPr>
    </w:p>
    <w:p>
      <w:pPr>
        <w:ind w:left="880" w:hanging="440"/>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comply with applicable regulations of, and provide accurate information to, the FDA or comparable foreign regulatory authorities;</w:t>
      </w:r>
    </w:p>
    <w:p>
      <w:pPr>
        <w:spacing w:after="0" w:line="184"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comply with federal and state healthcare fraud and abuse laws and regulations and similar laws and regulations established and enforced by comparable foreign regulatory authorities;</w:t>
      </w:r>
    </w:p>
    <w:p>
      <w:pPr>
        <w:spacing w:after="0" w:line="129"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comply with the United States Foreign Corrupt Practices Act (the FCPA), the U.K. Bribery Act 2010, the PRC Criminal Law, the PRC Anti-unfair Competition Law and other anti-bribery and trade laws;</w:t>
      </w:r>
    </w:p>
    <w:p>
      <w:pPr>
        <w:spacing w:after="0" w:line="129" w:lineRule="exact"/>
        <w:rPr>
          <w:rFonts w:ascii="Arial" w:cs="Arial" w:eastAsia="Arial" w:hAnsi="Arial"/>
          <w:sz w:val="18"/>
          <w:szCs w:val="18"/>
          <w:color w:val="auto"/>
        </w:rPr>
      </w:pPr>
    </w:p>
    <w:p>
      <w:pPr>
        <w:ind w:left="880" w:hanging="440"/>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report financial information and data accurately; or</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disclose unauthorized activities.</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Misconduct could also involve the improper use or misrepresentation of information obtained during clinical studies, creating fraudulent data in our nonclinical studies or clinical studies or illegal misappropriation of product materials, which could result in regulatory sanctions, delays in clinical studies, or serious harm to our reputation.</w:t>
      </w:r>
    </w:p>
    <w:p>
      <w:pPr>
        <w:spacing w:after="0" w:line="14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It is not always possible to identify and deter misconduct.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harm our business, results of operations, financial condition and cash flows, including through the imposition of significant fines or other sanctions.</w:t>
      </w:r>
    </w:p>
    <w:p>
      <w:pPr>
        <w:spacing w:after="0" w:line="13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We have international operations, including in China, and conduct clinical studies outside of the United States, including planned studies in Eastern Europe. A number of risks associated with international operations could materially and adversely affect our business.</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color w:val="auto"/>
        </w:rPr>
        <w:t>We expect to be subject to a number of risks related with our international operations, many of which may be beyond our control. These risks include:</w:t>
      </w:r>
    </w:p>
    <w:p>
      <w:pPr>
        <w:spacing w:after="0" w:line="196" w:lineRule="exact"/>
        <w:rPr>
          <w:sz w:val="20"/>
          <w:szCs w:val="20"/>
          <w:color w:val="auto"/>
        </w:rPr>
      </w:pPr>
    </w:p>
    <w:p>
      <w:pPr>
        <w:ind w:left="880" w:hanging="440"/>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different regulatory requirements for drug approvals in foreign countries;</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different standards of care in various countries that could complicate the evaluation of our product candidates;</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different U.S. and foreign drug import and export rules;</w:t>
      </w:r>
    </w:p>
    <w:p>
      <w:pPr>
        <w:spacing w:after="0" w:line="184"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different reimbursement systems and different competitive drugs indicated to treat the indication for which our product candidates are being developed;</w:t>
      </w:r>
    </w:p>
    <w:p>
      <w:pPr>
        <w:spacing w:after="0" w:line="129" w:lineRule="exact"/>
        <w:rPr>
          <w:rFonts w:ascii="Arial" w:cs="Arial" w:eastAsia="Arial" w:hAnsi="Arial"/>
          <w:sz w:val="18"/>
          <w:szCs w:val="18"/>
          <w:color w:val="auto"/>
        </w:rPr>
      </w:pPr>
    </w:p>
    <w:p>
      <w:pPr>
        <w:ind w:left="880" w:hanging="440"/>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 in certain countries;</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compliance with the FCPA and other anti-corruption and anti-bribery laws;</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31" w:name="page32"/>
    <w:bookmarkEnd w:id="31"/>
    <w:p>
      <w:pPr>
        <w:ind w:left="880" w:hanging="440"/>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184"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foreign currency fluctuations and compliance with foreign currency exchange rules, which could result in increased operating expenses and reduced revenues, and other obligations incident to doing business in another country; and</w:t>
      </w:r>
    </w:p>
    <w:p>
      <w:pPr>
        <w:spacing w:after="0" w:line="129" w:lineRule="exact"/>
        <w:rPr>
          <w:rFonts w:ascii="Arial" w:cs="Arial" w:eastAsia="Arial" w:hAnsi="Arial"/>
          <w:sz w:val="18"/>
          <w:szCs w:val="18"/>
          <w:color w:val="auto"/>
        </w:rPr>
      </w:pPr>
    </w:p>
    <w:p>
      <w:pPr>
        <w:ind w:left="880" w:hanging="440"/>
        <w:spacing w:after="0"/>
        <w:tabs>
          <w:tab w:leader="none" w:pos="8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business interruptions resulting from geopolitical actions, including tariffs, war and terrorism, natural disasters or outbreaks of disease.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depends on protecting our intellectual property.</w:t>
      </w:r>
    </w:p>
    <w:p>
      <w:pPr>
        <w:spacing w:after="0" w:line="18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If we and our licensors do not obtain protection for our respective intellectual property rights, our competitors might be able to take advantage of our research and development efforts to develop competing drugs. Our success, competitive position and future revenues, if any, depend in part on our ability and the abilities of our licensors to obtain and maintain patent protection for our products, methods, processes and other technologies, to preserve our trade secrets, to prevent third parties from infringing on our proprietary rights and to operate without infringing the proprietary rights of third parties.</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rely upon a combination of patents, trade secret protection and contractual arrangements to protect the intellectual property related to our technologies. We will only be able to protect our products and proprietary information and technology by preventing unauthorized use by third parties to the extent that our patents, trade secrets, and contractual position allow us to do so. We cannot be certain that we will secure any rights to any issued patents with claims that cover any of our proprietary product candidates and technologies. The patent prosecution process is expensive and time-consuming, and we may be unable to file and prosecute all necessary or desirable patent applications at a reasonable cost or in a timely manner. We could fail to identify patentable aspects of our research and development output before it is too late to obtain patent protection or before our competitors secure patents covering such discoveries. The patent process also is subject to numerous risks and uncertainties, and there can be no assurance that we will be successful in protecting our products by obtaining and defending patents.</w:t>
      </w:r>
    </w:p>
    <w:p>
      <w:pPr>
        <w:spacing w:after="0" w:line="15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Composition-of-matter patents relating to the active pharmaceutical ingredient are generally considered to be the strongest form of intellectual property protection for pharmaceutical products. Such patents provide protection not limited to any one method of use. Method-of-use patents protect the use of a product for the specified method(s) and do not prevent a competitor from making and marketing a product that is identical to our product for an indication that is outside the scope of the patented method. We rely on a combination of these and other types of patents to protect our product candidates, and there can be no assurance that our intellectual property will create and sustain the competitive position of our product candidates.</w:t>
      </w:r>
    </w:p>
    <w:p>
      <w:pPr>
        <w:spacing w:after="0" w:line="13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Biotechnology and pharmaceutical product patents involve highly complex legal and scientific questions. Any patent applications that we own or license may fail to result in issued patents. In addition, the U.S. Patent and Trademark Office (USPTO) and patent offices in other jurisdictions often require that patent applications concerning pharmaceutical and/or biotechnology-related inventions are limited or narrowed substantially to cover only the specific innovations exemplified in the patent application, thereby limiting the scope of protection against competitive challenges. As a result, even if we or our licensors obtain patents, the patents might be substantially narrower than anticipated.</w:t>
      </w:r>
    </w:p>
    <w:p>
      <w:pPr>
        <w:spacing w:after="0" w:line="14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If patents do successfully issue from our applications, third parties may challenge their validity or enforceability, which may result in such patents being narrowed, invalidated, or held unenforceable. Even if our patents and patent applications are not challenged by third parties, those patents and patent applications may not prevent others from designing around our claims and may not otherwise adequately protect our product candidates.</w:t>
      </w:r>
    </w:p>
    <w:p>
      <w:pPr>
        <w:spacing w:after="0" w:line="13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Patent and other intellectual property protection is crucial to the success of our business and prospects, and there is a substantial risk that such protections, if obtained, will prove inadequate. The legal systems of certain countries, including China, do not always favor the enforcement of patents, trade secrets, and other intellectual property rights, particularly those relating to pharmaceutical and biotechnology products, which could make it difficult for us to stop infringement of our patents, misappropriation of our trade secrets, or marketing of competing products in violation of our proprietary rights.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32" w:name="page33"/>
    <w:bookmarkEnd w:id="32"/>
    <w:p>
      <w:pPr>
        <w:jc w:val="both"/>
        <w:spacing w:after="0" w:line="290" w:lineRule="auto"/>
        <w:rPr>
          <w:sz w:val="20"/>
          <w:szCs w:val="20"/>
          <w:color w:val="auto"/>
        </w:rPr>
      </w:pPr>
      <w:r>
        <w:rPr>
          <w:rFonts w:ascii="Arial" w:cs="Arial" w:eastAsia="Arial" w:hAnsi="Arial"/>
          <w:sz w:val="16"/>
          <w:szCs w:val="16"/>
          <w:color w:val="auto"/>
        </w:rPr>
        <w:t>Beyond the protection afforded by patents, we seek to rely on trade secret protection and confidentiality agreements to protect proprietary know-how, information, or technology that is not covered by our patents. Although our agreements require all of our employees to assign their inventions to us, and we require all of our employees, consultants, advisors, collaborators, contractors and any third parties who have access to our trade secrets, proprietary know-how and other confidential information and technology to enter into appropriate confidentiality agreements, we cannot be certain that our trade secrets, proprietary know-how and other confidential information and technology will not be subject to unauthorized disclosure or that our competitors will not otherwise gain access to or independently develop substantially equivalent trade secrets, proprietary know-how and other information and technology. If we are unable to prevent unauthorized disclosure of our intellectual property related to our product candidates and technology to third parties, we may not be able to establish or maintain a competitive advantage in our market, which could materially adversely affect our business and operations.</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incur substantial costs as a result of litigation or other proceedings relating to our patents and other intellectual property rights.</w:t>
      </w:r>
    </w:p>
    <w:p>
      <w:pPr>
        <w:spacing w:after="0" w:line="19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may in the future be involved in legal or administrative proceedings involving our intellectual property, including infringement of our intellectual property by third parties. These lawsuits or proceedings likely would be expensive, consume time and resources and divert the attention of managerial and scientific personnel, even if we were successful in stopping the infringement of such patents. There is a risk that these proceedings will decide that such patents or other intellectual property rights are not valid and that we do not have the right to stop the other party from using our inventions. There is also the risk that, even if the validity of such patents is upheld, the court or administrative agency will refuse to stop the other party on the ground that such other party’s activities do not infringe our rights to such patents. If we were not successful in defending our intellectual property, our competitors could develop and market products based on our discoveries, which may reduce demand for our products.</w:t>
      </w:r>
    </w:p>
    <w:p>
      <w:pPr>
        <w:spacing w:after="0" w:line="1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infringe the intellectual property rights of others, which may prevent or delay our product development efforts and stop us from commercializing or increase the costs of commercializing our product candidates.</w:t>
      </w:r>
    </w:p>
    <w:p>
      <w:pPr>
        <w:spacing w:after="0" w:line="14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success will depend in part on our ability to operate without infringing the proprietary rights of third parties. Our competitors may have filed, and may in the future file, patent applications covering products and technologies similar to ours. Any such patent application may have priority over our patent applications, which could further require us to obtain rights from third parties to issued patents covering such products and technologies. We cannot guarantee that the manufacture, use or marketing of any product candidates that we develop will not infringe third-party patents.</w:t>
      </w:r>
    </w:p>
    <w:p>
      <w:pPr>
        <w:spacing w:after="0" w:line="13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If a patent infringement suit were brought against us, we may be forced to stop or delay developing, manufacturing, or selling potential products that are claimed to infringe a third party’s intellectual property, unless that third party grants us rights to use its intellectual property. In such cases, we may be required to obtain licenses to patents or proprietary rights of others to continue development, manufacture or sale of our products. If we are unable to obtain a license or develop or obtain non-infringing technology, or if we fail to defend an infringement action successfully, or if we are found to have infringed a valid patent, we may incur substantial costs and monetary damages, encounter significant delays in bringing our product candidates to market and be precluded from manufacturing or selling our product candidates, any of which could harm our business significantly.</w:t>
      </w:r>
    </w:p>
    <w:p>
      <w:pPr>
        <w:spacing w:after="0" w:line="1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cost of maintaining our patent protection globally is high and requires continuous review and compliance. We may not be able to effectively maintain our intellectual property position throughout the major markets of the world.</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USPTO and foreign patent authorities require maintenance fees, payments and continued compliance with a number of procedural and documentary requirements. Noncompliance may result in abandonment or lapse of patents or patent applications and a partial or complete loss of patent rights in the relevant jurisdiction. Such a loss could reduce royalty payments for lack of patent coverage from our collaboration partners or may result in competition, either of which could have a material adverse effect on our business.</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made, and will continue to make, certain strategic decisions in balancing the costs and the potential protections afforded by the patent laws of certain countries. As a result, we may not be able to prevent third parties from practicing our inventions in all countries, or from selling or importing products made using our inventions in and into the United States or other countries. Third parties may use our technologies in territories in which we have not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33" w:name="page34"/>
    <w:bookmarkEnd w:id="33"/>
    <w:p>
      <w:pPr>
        <w:jc w:val="both"/>
        <w:spacing w:after="0" w:line="286" w:lineRule="auto"/>
        <w:rPr>
          <w:sz w:val="20"/>
          <w:szCs w:val="20"/>
          <w:color w:val="auto"/>
        </w:rPr>
      </w:pPr>
      <w:r>
        <w:rPr>
          <w:rFonts w:ascii="Arial" w:cs="Arial" w:eastAsia="Arial" w:hAnsi="Arial"/>
          <w:sz w:val="17"/>
          <w:szCs w:val="17"/>
          <w:color w:val="auto"/>
        </w:rPr>
        <w:t>obtained patent protection to develop their own products and may infringe our patents in territories which provide inadequate enforcement mechanisms. Such third-party products may compete with our product candidates, and our patents or other intellectual property rights may not be effective or sufficient to prevent them from competing. Such competition could materially and adversely affect our business and financial condition.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address all potential threats to any competitive advantage we may have.</w:t>
      </w:r>
    </w:p>
    <w:p>
      <w:pPr>
        <w:spacing w:after="0" w:line="18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degree of future protection afforded by our intellectual property rights is uncertain because intellectual property rights have limitations, and intellectual property rights may not adequately protect our business or permit us to maintain our competitive advantage. The following examples are illustrative:</w:t>
      </w:r>
    </w:p>
    <w:p>
      <w:pPr>
        <w:spacing w:after="0" w:line="83" w:lineRule="exact"/>
        <w:rPr>
          <w:sz w:val="20"/>
          <w:szCs w:val="20"/>
          <w:color w:val="auto"/>
        </w:rPr>
      </w:pPr>
    </w:p>
    <w:p>
      <w:pPr>
        <w:ind w:left="880" w:hanging="440"/>
        <w:spacing w:after="0" w:line="277"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Others may be able to make compounds that are the same as, or similar to, our current or future product candidates but that are not covered by the claims of the patents that we own or have exclusively licensed.</w:t>
      </w:r>
    </w:p>
    <w:p>
      <w:pPr>
        <w:spacing w:after="0" w:line="129"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or any of our licensors or strategic partners might not have been the first to make the inventions covered by the issued patents or pending patent applications that we own or have exclusively licensed.</w:t>
      </w:r>
    </w:p>
    <w:p>
      <w:pPr>
        <w:spacing w:after="0" w:line="129" w:lineRule="exact"/>
        <w:rPr>
          <w:rFonts w:ascii="Arial" w:cs="Arial" w:eastAsia="Arial" w:hAnsi="Arial"/>
          <w:sz w:val="18"/>
          <w:szCs w:val="18"/>
          <w:color w:val="auto"/>
        </w:rPr>
      </w:pPr>
    </w:p>
    <w:p>
      <w:pPr>
        <w:ind w:left="880" w:hanging="440"/>
        <w:spacing w:after="0"/>
        <w:tabs>
          <w:tab w:leader="none" w:pos="8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We or any of our licensors or strategic partners might not have been the first to file patent applications covering certain of our inventions.</w:t>
      </w:r>
    </w:p>
    <w:p>
      <w:pPr>
        <w:spacing w:after="0" w:line="196" w:lineRule="exact"/>
        <w:rPr>
          <w:rFonts w:ascii="Arial" w:cs="Arial" w:eastAsia="Arial" w:hAnsi="Arial"/>
          <w:sz w:val="17"/>
          <w:szCs w:val="17"/>
          <w:color w:val="auto"/>
        </w:rPr>
      </w:pPr>
    </w:p>
    <w:p>
      <w:pPr>
        <w:ind w:left="880" w:hanging="440"/>
        <w:spacing w:after="0" w:line="277"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129" w:lineRule="exact"/>
        <w:rPr>
          <w:rFonts w:ascii="Arial" w:cs="Arial" w:eastAsia="Arial" w:hAnsi="Arial"/>
          <w:sz w:val="18"/>
          <w:szCs w:val="18"/>
          <w:color w:val="auto"/>
        </w:rPr>
      </w:pPr>
    </w:p>
    <w:p>
      <w:pPr>
        <w:ind w:left="880" w:hanging="440"/>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prosecution of our pending patent applications may not result in granted patents.</w:t>
      </w:r>
    </w:p>
    <w:p>
      <w:pPr>
        <w:spacing w:after="0" w:line="184"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Granted patents that we own or have exclusively licensed may not provide us with any competitive advantages, or may be held invalid or unenforceable, because of legal challenges by our competitors.</w:t>
      </w:r>
    </w:p>
    <w:p>
      <w:pPr>
        <w:spacing w:after="0" w:line="129"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Patent protection on our product candidates may expire before we are able to develop and commercialize the product, or before we are able to recover our investment in the product.</w:t>
      </w:r>
    </w:p>
    <w:p>
      <w:pPr>
        <w:spacing w:after="0" w:line="129" w:lineRule="exact"/>
        <w:rPr>
          <w:rFonts w:ascii="Arial" w:cs="Arial" w:eastAsia="Arial" w:hAnsi="Arial"/>
          <w:sz w:val="18"/>
          <w:szCs w:val="18"/>
          <w:color w:val="auto"/>
        </w:rPr>
      </w:pPr>
    </w:p>
    <w:p>
      <w:pPr>
        <w:jc w:val="both"/>
        <w:ind w:left="880" w:hanging="440"/>
        <w:spacing w:after="0" w:line="311" w:lineRule="auto"/>
        <w:tabs>
          <w:tab w:leader="none" w:pos="8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Our competitors might conduct research and development activities in the United States and other countries that provide a safe harbor from patent infringement claims for such activities, as well as in countries in which we do not have patent rights and may then use the information learned from such activities to develop competitive products for sale in markets where we intend to market our product candidates.</w:t>
      </w:r>
    </w:p>
    <w:p>
      <w:pPr>
        <w:spacing w:after="0" w:line="1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existence of counterfeit pharmaceutical products in pharmaceutical markets may damage our brand and reputation and have a material adverse effect on our business, operations and prospects.</w:t>
      </w:r>
    </w:p>
    <w:p>
      <w:pPr>
        <w:spacing w:after="0" w:line="14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Counterfeit products, including counterfeit pharmaceutical products, are a significant problem, particularly in China. Counterfeit pharmaceuticals are products sold or used for research under the same or similar names, or similar mechanism of action or product class, but which are sold without proper licenses or approvals. The proliferation of counterfeit pharmaceuticals has grown in recent years and may continue to grow in the future. Such products may be used for indications or purposes that are not recommended or approved or for which there is no data or inadequate data with regard to safety or efficacy. Such products divert sales from genuine products, often are of lower cost and lower quality (having different ingredients or formulations, for example), and have the potential to damage the reputation for quality and effectiveness of the genuine product.</w:t>
      </w:r>
    </w:p>
    <w:p>
      <w:pPr>
        <w:spacing w:after="0" w:line="13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counterfeit pharmaceuticals illegally sold or used for research result in adverse events or side effects to consumers, we may be associated with any negative publicity resulting from such incidents. In addition, counterfeit products could be used in nonclinical studies or clinical studies or could otherwise produce undesirable side effects or adverse events that may be attributed to our products as well, which could cause us or regulatory authorities to interrupt, delay or halt clinical studies and could result in the delay or denial of regulatory approval by the FDA or other regulatory authorities and potential product liability claims.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34" w:name="page35"/>
    <w:bookmarkEnd w:id="34"/>
    <w:p>
      <w:pPr>
        <w:jc w:val="both"/>
        <w:spacing w:after="0" w:line="279" w:lineRule="auto"/>
        <w:rPr>
          <w:sz w:val="20"/>
          <w:szCs w:val="20"/>
          <w:color w:val="auto"/>
        </w:rPr>
      </w:pPr>
      <w:r>
        <w:rPr>
          <w:rFonts w:ascii="Arial" w:cs="Arial" w:eastAsia="Arial" w:hAnsi="Arial"/>
          <w:sz w:val="17"/>
          <w:szCs w:val="17"/>
          <w:color w:val="auto"/>
        </w:rPr>
        <w:t>In China, although the government has increased the lower and upper limits on penalties on producers of counterfeit and substandard pharmaceuticals, these penalties have not eliminated counterfeit pharmaceuticals. As a result, we may be unable to prevent third parties from selling or purporting to sell our products in China. The existence of, and any increase in, the sales and production of counterfeit pharmaceuticals, or the technological capabilities of counterfeiters, could negatively impact our revenues, brand reputation, business and results of operations.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amended and restated bylaws provide that the Court of Chancery of the State of Delaware will be the sole and exclusive forum for certain types of actions and proceedings that may be initiated by our stockholders, which could limit our stockholders’ ability to bring a claim in a judicial forum they find favorable for disputes with us or our directors, officers or other employees.</w:t>
      </w:r>
    </w:p>
    <w:p>
      <w:pPr>
        <w:spacing w:after="0" w:line="14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amended and restated bylaws provide that, with certain limited exceptions, unless we consent to the selection of an alternative forum, the Court of Chancery of the State of Delaware is the sole and exclusive forum for (1) any derivative action or proceeding brought on our behalf; (2) any action asserting a claim of breach of fiduciary duty owed by any of our current or former directors, officers or other employees to us or to our stockholders; (3) any action asserting a claim arising pursuant to the Delaware General Corporation Law, or our certificate of incorporation or bylaws (as each may be amended from time to time); or (4) any action asserting a claim governed by the internal affairs doctrine. Alternatively, if such court does not have jurisdiction, the Superior Court of Delaware, or, if such other court does not have jurisdiction, the United States District Court for the District of Delaware, will be the sole and exclusive forum for such actions and proceedings.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our amended and restated bylaws to be inapplicable or unenforceable in an action, we may incur additional costs associated with resolving such action in other jurisdictions, which could have a material adverse impact on our business. The choice of forum provision in our amended and restated bylaws will not preclude or contract the scope of exclusive federal or concurrent jurisdiction for actions brought under the federal securities laws, including the Exchange Act or the Securities Act, or the respective rules and regulations promulgated thereunder.</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might fluctuate significantly, and you could lose all or part of your investment.</w:t>
      </w:r>
    </w:p>
    <w:p>
      <w:pPr>
        <w:spacing w:after="0" w:line="18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price of our common stock fluctuates widely. Continued volatility in the market price of our common stock might prevent a stockholder from being able to sell shares of our common stock at or above the price paid for such shares. The trading price of our common stock may continue to be volatile and subject to wide price fluctuations in response to various factors, many of which are beyond our control, such as the progress, results and timing of our clinical and nonclinical studies and other studies involving our product candidates, the success or failure of our product candidates, the receipt or loss of required regulatory approvals for our product candidates, the availability of capital or the other risks discussed in this “Risk Factors” section.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8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lease office space for corporate and administrative functions and laboratory space in South San Francisco, California under a sub-sublease that expires in December 2023. We also lease office space that was used for administrative functions in Carmel, Indiana under a lease agreement that expires in August 2023. In February 2021, we subleased substantially all of the office space under the lease in Carmel, Indiana for the remainder of its term. Our China subsidiary leases registrational offices in Shanghai and Beijing under leases that expire in May 2022 and October 2022, respectively.</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these leased facilities are adequate for our current needs and that additional space will be available in the future on commercially reasonable terms as needed.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not a party to any material legal proceedings at this time. From time to time, we may be subject to various legal proceedings and claims that arise in the ordinary course of our business activities. Although the results of litigation and claims cannot be predicted with certainty, we do not believe we are party to any claim or litigation the outcome of which, if determined adversely to us, would individually or in the aggregate be reasonably expected to have a material adverse effect on our business. Regardless of the outcome, litigation can have an adverse effect on us because of defense and settlement costs, diversion of management resources and other factors.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PART II</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for Common Stock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traded under the symbol “ASMB” and is quoted on The Nasdaq Global Select Market.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As of February 28, 2022, there were 66 stockholders of record, which excludes stockholders whose shares were held in nominee or street name by brokers.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We have never declared or paid any dividends and do not anticipate paying any dividends on our common stock in the foreseeable future.</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indicated information as of December 31, 2021 with respect to our equity compensation plans.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1"/>
              </w:rPr>
              <w:t>Number of</w:t>
            </w:r>
          </w:p>
        </w:tc>
        <w:tc>
          <w:tcPr>
            <w:tcW w:w="360" w:type="dxa"/>
            <w:vAlign w:val="bottom"/>
          </w:tcPr>
          <w:p>
            <w:pPr>
              <w:spacing w:after="0"/>
              <w:rPr>
                <w:sz w:val="18"/>
                <w:szCs w:val="18"/>
                <w:color w:val="auto"/>
              </w:rPr>
            </w:pPr>
          </w:p>
        </w:tc>
      </w:tr>
      <w:tr>
        <w:trPr>
          <w:trHeight w:val="216"/>
        </w:trPr>
        <w:tc>
          <w:tcPr>
            <w:tcW w:w="6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5"/>
              </w:rPr>
              <w:t>securities</w:t>
            </w:r>
          </w:p>
        </w:tc>
        <w:tc>
          <w:tcPr>
            <w:tcW w:w="360" w:type="dxa"/>
            <w:vAlign w:val="bottom"/>
          </w:tcPr>
          <w:p>
            <w:pPr>
              <w:spacing w:after="0"/>
              <w:rPr>
                <w:sz w:val="18"/>
                <w:szCs w:val="18"/>
                <w:color w:val="auto"/>
              </w:rPr>
            </w:pPr>
          </w:p>
        </w:tc>
      </w:tr>
      <w:tr>
        <w:trPr>
          <w:trHeight w:val="216"/>
        </w:trPr>
        <w:tc>
          <w:tcPr>
            <w:tcW w:w="6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0"/>
              </w:rPr>
              <w:t>remaining</w:t>
            </w:r>
          </w:p>
        </w:tc>
        <w:tc>
          <w:tcPr>
            <w:tcW w:w="360" w:type="dxa"/>
            <w:vAlign w:val="bottom"/>
          </w:tcPr>
          <w:p>
            <w:pPr>
              <w:spacing w:after="0"/>
              <w:rPr>
                <w:sz w:val="18"/>
                <w:szCs w:val="18"/>
                <w:color w:val="auto"/>
              </w:rPr>
            </w:pPr>
          </w:p>
        </w:tc>
      </w:tr>
      <w:tr>
        <w:trPr>
          <w:trHeight w:val="216"/>
        </w:trPr>
        <w:tc>
          <w:tcPr>
            <w:tcW w:w="6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3"/>
              </w:rPr>
              <w:t>available for</w:t>
            </w:r>
          </w:p>
        </w:tc>
        <w:tc>
          <w:tcPr>
            <w:tcW w:w="360" w:type="dxa"/>
            <w:vAlign w:val="bottom"/>
          </w:tcPr>
          <w:p>
            <w:pPr>
              <w:spacing w:after="0"/>
              <w:rPr>
                <w:sz w:val="18"/>
                <w:szCs w:val="18"/>
                <w:color w:val="auto"/>
              </w:rPr>
            </w:pPr>
          </w:p>
        </w:tc>
      </w:tr>
      <w:tr>
        <w:trPr>
          <w:trHeight w:val="216"/>
        </w:trPr>
        <w:tc>
          <w:tcPr>
            <w:tcW w:w="6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Weighted</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4"/>
              </w:rPr>
              <w:t>future</w:t>
            </w:r>
          </w:p>
        </w:tc>
        <w:tc>
          <w:tcPr>
            <w:tcW w:w="360" w:type="dxa"/>
            <w:vAlign w:val="bottom"/>
          </w:tcPr>
          <w:p>
            <w:pPr>
              <w:spacing w:after="0"/>
              <w:rPr>
                <w:sz w:val="18"/>
                <w:szCs w:val="18"/>
                <w:color w:val="auto"/>
              </w:rPr>
            </w:pPr>
          </w:p>
        </w:tc>
      </w:tr>
      <w:tr>
        <w:trPr>
          <w:trHeight w:val="216"/>
        </w:trPr>
        <w:tc>
          <w:tcPr>
            <w:tcW w:w="6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5"/>
              </w:rPr>
              <w:t>securities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8"/>
              </w:rPr>
              <w:t>average</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3"/>
              </w:rPr>
              <w:t>issuance</w:t>
            </w:r>
          </w:p>
        </w:tc>
        <w:tc>
          <w:tcPr>
            <w:tcW w:w="360" w:type="dxa"/>
            <w:vAlign w:val="bottom"/>
          </w:tcPr>
          <w:p>
            <w:pPr>
              <w:spacing w:after="0"/>
              <w:rPr>
                <w:sz w:val="18"/>
                <w:szCs w:val="18"/>
                <w:color w:val="auto"/>
              </w:rPr>
            </w:pPr>
          </w:p>
        </w:tc>
      </w:tr>
      <w:tr>
        <w:trPr>
          <w:trHeight w:val="216"/>
        </w:trPr>
        <w:tc>
          <w:tcPr>
            <w:tcW w:w="6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5"/>
              </w:rPr>
              <w:t>to be issued</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5"/>
              </w:rPr>
              <w:t>exercise</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0"/>
              </w:rPr>
              <w:t>under equity</w:t>
            </w:r>
          </w:p>
        </w:tc>
        <w:tc>
          <w:tcPr>
            <w:tcW w:w="360" w:type="dxa"/>
            <w:vAlign w:val="bottom"/>
          </w:tcPr>
          <w:p>
            <w:pPr>
              <w:spacing w:after="0"/>
              <w:rPr>
                <w:sz w:val="18"/>
                <w:szCs w:val="18"/>
                <w:color w:val="auto"/>
              </w:rPr>
            </w:pPr>
          </w:p>
        </w:tc>
      </w:tr>
      <w:tr>
        <w:trPr>
          <w:trHeight w:val="216"/>
        </w:trPr>
        <w:tc>
          <w:tcPr>
            <w:tcW w:w="6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6"/>
              </w:rPr>
              <w:t>upon</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price of</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6"/>
              </w:rPr>
              <w:t>compensation</w:t>
            </w:r>
          </w:p>
        </w:tc>
        <w:tc>
          <w:tcPr>
            <w:tcW w:w="360" w:type="dxa"/>
            <w:vAlign w:val="bottom"/>
          </w:tcPr>
          <w:p>
            <w:pPr>
              <w:spacing w:after="0"/>
              <w:rPr>
                <w:sz w:val="18"/>
                <w:szCs w:val="18"/>
                <w:color w:val="auto"/>
              </w:rPr>
            </w:pPr>
          </w:p>
        </w:tc>
      </w:tr>
      <w:tr>
        <w:trPr>
          <w:trHeight w:val="216"/>
        </w:trPr>
        <w:tc>
          <w:tcPr>
            <w:tcW w:w="6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5"/>
              </w:rPr>
              <w:t>exercise of</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7"/>
              </w:rPr>
              <w:t>outstanding</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9"/>
              </w:rPr>
              <w:t>plans</w:t>
            </w:r>
          </w:p>
        </w:tc>
        <w:tc>
          <w:tcPr>
            <w:tcW w:w="360" w:type="dxa"/>
            <w:vAlign w:val="bottom"/>
          </w:tcPr>
          <w:p>
            <w:pPr>
              <w:spacing w:after="0"/>
              <w:rPr>
                <w:sz w:val="18"/>
                <w:szCs w:val="18"/>
                <w:color w:val="auto"/>
              </w:rPr>
            </w:pPr>
          </w:p>
        </w:tc>
      </w:tr>
      <w:tr>
        <w:trPr>
          <w:trHeight w:val="216"/>
        </w:trPr>
        <w:tc>
          <w:tcPr>
            <w:tcW w:w="6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7"/>
              </w:rPr>
              <w:t>outstanding</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options,</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8"/>
              </w:rPr>
              <w:t>(excluding</w:t>
            </w:r>
          </w:p>
        </w:tc>
        <w:tc>
          <w:tcPr>
            <w:tcW w:w="360" w:type="dxa"/>
            <w:vAlign w:val="bottom"/>
          </w:tcPr>
          <w:p>
            <w:pPr>
              <w:spacing w:after="0"/>
              <w:rPr>
                <w:sz w:val="18"/>
                <w:szCs w:val="18"/>
                <w:color w:val="auto"/>
              </w:rPr>
            </w:pPr>
          </w:p>
        </w:tc>
      </w:tr>
      <w:tr>
        <w:trPr>
          <w:trHeight w:val="216"/>
        </w:trPr>
        <w:tc>
          <w:tcPr>
            <w:tcW w:w="6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5"/>
              </w:rPr>
              <w:t>options,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warrants</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5"/>
              </w:rPr>
              <w:t>securities</w:t>
            </w:r>
          </w:p>
        </w:tc>
        <w:tc>
          <w:tcPr>
            <w:tcW w:w="360" w:type="dxa"/>
            <w:vAlign w:val="bottom"/>
          </w:tcPr>
          <w:p>
            <w:pPr>
              <w:spacing w:after="0"/>
              <w:rPr>
                <w:sz w:val="18"/>
                <w:szCs w:val="18"/>
                <w:color w:val="auto"/>
              </w:rPr>
            </w:pPr>
          </w:p>
        </w:tc>
      </w:tr>
      <w:tr>
        <w:trPr>
          <w:trHeight w:val="216"/>
        </w:trPr>
        <w:tc>
          <w:tcPr>
            <w:tcW w:w="6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3"/>
              </w:rPr>
              <w:t>warrants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and</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9"/>
              </w:rPr>
              <w:t>reflected in</w:t>
            </w:r>
          </w:p>
        </w:tc>
        <w:tc>
          <w:tcPr>
            <w:tcW w:w="360" w:type="dxa"/>
            <w:vAlign w:val="bottom"/>
          </w:tcPr>
          <w:p>
            <w:pPr>
              <w:spacing w:after="0"/>
              <w:rPr>
                <w:sz w:val="18"/>
                <w:szCs w:val="18"/>
                <w:color w:val="auto"/>
              </w:rPr>
            </w:pPr>
          </w:p>
        </w:tc>
      </w:tr>
      <w:tr>
        <w:trPr>
          <w:trHeight w:val="216"/>
        </w:trPr>
        <w:tc>
          <w:tcPr>
            <w:tcW w:w="6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9"/>
              </w:rPr>
              <w:t>and rights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rights</w:t>
            </w:r>
            <w:r>
              <w:rPr>
                <w:rFonts w:ascii="Arial" w:cs="Arial" w:eastAsia="Arial" w:hAnsi="Arial"/>
                <w:sz w:val="15"/>
                <w:szCs w:val="15"/>
                <w:b w:val="1"/>
                <w:bCs w:val="1"/>
                <w:color w:val="auto"/>
                <w:w w:val="90"/>
              </w:rPr>
              <w:t>(1)</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2"/>
              </w:rPr>
              <w:t>column (a))</w:t>
            </w:r>
          </w:p>
        </w:tc>
        <w:tc>
          <w:tcPr>
            <w:tcW w:w="360" w:type="dxa"/>
            <w:vAlign w:val="bottom"/>
          </w:tcPr>
          <w:p>
            <w:pPr>
              <w:spacing w:after="0"/>
              <w:rPr>
                <w:sz w:val="18"/>
                <w:szCs w:val="18"/>
                <w:color w:val="auto"/>
              </w:rPr>
            </w:pPr>
          </w:p>
        </w:tc>
      </w:tr>
      <w:tr>
        <w:trPr>
          <w:trHeight w:val="234"/>
        </w:trPr>
        <w:tc>
          <w:tcPr>
            <w:tcW w:w="6400" w:type="dxa"/>
            <w:vAlign w:val="bottom"/>
            <w:gridSpan w:val="2"/>
          </w:tcPr>
          <w:p>
            <w:pPr>
              <w:spacing w:after="0"/>
              <w:rPr>
                <w:sz w:val="20"/>
                <w:szCs w:val="20"/>
                <w:color w:val="auto"/>
              </w:rPr>
            </w:pPr>
            <w:r>
              <w:rPr>
                <w:rFonts w:ascii="Arial" w:cs="Arial" w:eastAsia="Arial" w:hAnsi="Arial"/>
                <w:sz w:val="18"/>
                <w:szCs w:val="18"/>
                <w:b w:val="1"/>
                <w:bCs w:val="1"/>
                <w:color w:val="auto"/>
              </w:rPr>
              <w:t>Plan Category</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9"/>
              </w:rPr>
              <w:t>(a)</w:t>
            </w: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5"/>
              </w:rPr>
              <w:t>(b)</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0"/>
              </w:rPr>
              <w:t>(c)</w:t>
            </w:r>
          </w:p>
        </w:tc>
        <w:tc>
          <w:tcPr>
            <w:tcW w:w="360" w:type="dxa"/>
            <w:vAlign w:val="bottom"/>
          </w:tcPr>
          <w:p>
            <w:pPr>
              <w:spacing w:after="0"/>
              <w:rPr>
                <w:sz w:val="20"/>
                <w:szCs w:val="20"/>
                <w:color w:val="auto"/>
              </w:rPr>
            </w:pPr>
          </w:p>
        </w:tc>
      </w:tr>
      <w:tr>
        <w:trPr>
          <w:trHeight w:val="223"/>
        </w:trPr>
        <w:tc>
          <w:tcPr>
            <w:tcW w:w="62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Equity compensation plans approved by securityholders</w:t>
            </w:r>
          </w:p>
        </w:tc>
        <w:tc>
          <w:tcPr>
            <w:tcW w:w="16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5,271,260</w:t>
            </w:r>
          </w:p>
        </w:tc>
        <w:tc>
          <w:tcPr>
            <w:tcW w:w="460" w:type="dxa"/>
            <w:vAlign w:val="bottom"/>
            <w:tcBorders>
              <w:top w:val="single" w:sz="8" w:color="CFF0FC"/>
            </w:tcBorders>
            <w:shd w:val="clear" w:color="auto" w:fill="CFF0FC"/>
          </w:tcPr>
          <w:p>
            <w:pPr>
              <w:jc w:val="right"/>
              <w:ind w:right="84"/>
              <w:spacing w:after="0"/>
              <w:rPr>
                <w:sz w:val="20"/>
                <w:szCs w:val="20"/>
                <w:color w:val="auto"/>
              </w:rPr>
            </w:pPr>
            <w:r>
              <w:rPr>
                <w:rFonts w:ascii="Arial" w:cs="Arial" w:eastAsia="Arial" w:hAnsi="Arial"/>
                <w:sz w:val="15"/>
                <w:szCs w:val="15"/>
                <w:color w:val="auto"/>
              </w:rPr>
              <w:t>(2)</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10.47</w:t>
            </w:r>
          </w:p>
        </w:tc>
        <w:tc>
          <w:tcPr>
            <w:tcW w:w="26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5,114,258</w:t>
            </w:r>
          </w:p>
        </w:tc>
        <w:tc>
          <w:tcPr>
            <w:tcW w:w="36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(3)</w:t>
            </w:r>
          </w:p>
        </w:tc>
      </w:tr>
      <w:tr>
        <w:trPr>
          <w:trHeight w:val="229"/>
        </w:trPr>
        <w:tc>
          <w:tcPr>
            <w:tcW w:w="6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230"/>
        </w:trPr>
        <w:tc>
          <w:tcPr>
            <w:tcW w:w="64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Equity compensation plans not approved by securityholders</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1,860,980</w:t>
            </w:r>
          </w:p>
        </w:tc>
        <w:tc>
          <w:tcPr>
            <w:tcW w:w="46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rPr>
              <w:t>(4)</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14.98</w:t>
            </w:r>
          </w:p>
        </w:tc>
        <w:tc>
          <w:tcPr>
            <w:tcW w:w="260" w:type="dxa"/>
            <w:vAlign w:val="bottom"/>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203,248</w:t>
            </w:r>
          </w:p>
        </w:tc>
        <w:tc>
          <w:tcPr>
            <w:tcW w:w="3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w:t>
            </w:r>
          </w:p>
        </w:tc>
      </w:tr>
      <w:tr>
        <w:trPr>
          <w:trHeight w:val="223"/>
        </w:trPr>
        <w:tc>
          <w:tcPr>
            <w:tcW w:w="64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7,132,240</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5,317,506</w:t>
            </w:r>
          </w:p>
        </w:tc>
        <w:tc>
          <w:tcPr>
            <w:tcW w:w="360" w:type="dxa"/>
            <w:vAlign w:val="bottom"/>
          </w:tcPr>
          <w:p>
            <w:pPr>
              <w:spacing w:after="0"/>
              <w:rPr>
                <w:sz w:val="19"/>
                <w:szCs w:val="19"/>
                <w:color w:val="auto"/>
              </w:rPr>
            </w:pPr>
          </w:p>
        </w:tc>
      </w:tr>
      <w:tr>
        <w:trPr>
          <w:trHeight w:val="20"/>
        </w:trPr>
        <w:tc>
          <w:tcPr>
            <w:tcW w:w="6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215" w:lineRule="exact"/>
        <w:rPr>
          <w:sz w:val="20"/>
          <w:szCs w:val="20"/>
          <w:color w:val="auto"/>
        </w:rPr>
      </w:pPr>
    </w:p>
    <w:p>
      <w:pPr>
        <w:ind w:left="440" w:hanging="432"/>
        <w:spacing w:after="0" w:line="308" w:lineRule="auto"/>
        <w:tabs>
          <w:tab w:leader="none" w:pos="4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weighted average exercise price is calculated solely based on the exercise prices of the outstanding stock options and does not reflect the shares that will be issued upon the vesting of outstanding awards of restricted stock units (RSUs), which have no exercise price.</w:t>
      </w:r>
    </w:p>
    <w:p>
      <w:pPr>
        <w:spacing w:after="0" w:line="105" w:lineRule="exact"/>
        <w:rPr>
          <w:rFonts w:ascii="Arial" w:cs="Arial" w:eastAsia="Arial" w:hAnsi="Arial"/>
          <w:sz w:val="17"/>
          <w:szCs w:val="17"/>
          <w:color w:val="auto"/>
        </w:rPr>
      </w:pPr>
    </w:p>
    <w:p>
      <w:pPr>
        <w:jc w:val="both"/>
        <w:ind w:left="440" w:hanging="432"/>
        <w:spacing w:after="0" w:line="254" w:lineRule="auto"/>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This number includes the following: 278,369 shares subject to stock options granted under the 2010 Equity Incentive Plan (2010 Plan); 1,751,322 shares subject to outstanding awards granted under the Assembly Biosciences, Inc. Amended and Restated 2014 Stock Incentive Plan (2014 Plan), of which 1,743,308 were subject to outstanding stock options and 8,014 were subject to outstanding RSUs; 2,788,966 shares subject to outstanding awards granted under the Assembly Biosciences, Inc. 2018 Stock Incentive Plan, as amended (2018 Plan), of which 1,891,756 were subject to outstanding stock options, 883,575 were subject to outstanding RSUs and 13,635 are underlying stock appreciation rights (which are not included in column (a) but are reflected in column (c)); and 466,238 options assumed by us in connection with our merger with Assembly Pharmaceuticals. This number excludes purchase rights currently accruing under the Assembly Biosciences, Inc. Amended and Restated 2018 Employee Stock Purchase Plan (2018 ESPP).</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37" w:name="page38"/>
    <w:bookmarkEnd w:id="37"/>
    <w:p>
      <w:pPr>
        <w:jc w:val="both"/>
        <w:ind w:left="440" w:hanging="432"/>
        <w:spacing w:after="0" w:line="259" w:lineRule="auto"/>
        <w:tabs>
          <w:tab w:leader="none" w:pos="4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This number includes: no shares under the 2010 Plan, which has been frozen; 733,295 shares available for issuance under the 2014 Plan; 3,337,448 shares available for issuance under the 2018 Plan; and 1,043,515 shares reserved for issuance under the 2018 ESPP. As of February 28, 2022, assuming each participant purchases the maximum number of shares in the current offering period, no more than 155,000 shares are subject to purchase in the current offering, which ends on May 13, 2022.</w:t>
      </w:r>
    </w:p>
    <w:p>
      <w:pPr>
        <w:spacing w:after="0" w:line="146" w:lineRule="exact"/>
        <w:rPr>
          <w:rFonts w:ascii="Arial" w:cs="Arial" w:eastAsia="Arial" w:hAnsi="Arial"/>
          <w:sz w:val="18"/>
          <w:szCs w:val="18"/>
          <w:color w:val="auto"/>
        </w:rPr>
      </w:pPr>
    </w:p>
    <w:p>
      <w:pPr>
        <w:jc w:val="both"/>
        <w:ind w:left="440" w:hanging="432"/>
        <w:spacing w:after="0" w:line="257" w:lineRule="auto"/>
        <w:tabs>
          <w:tab w:leader="none" w:pos="4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This number includes 596,690 shares subject to outstanding awards granted under the 2017 Inducement Award Plan (2017 Inducement Plan), of which 589,190 were subject to outstanding stock options and 7,500 were subject to outstanding RSUs; 500,000 shares subject to stock options granted under the 2019 Inducement Award Plan (2019 Inducement Plan); and 764,290 shares subject to outstanding awards granted under the 2020 Inducement Award Plan (2020 Inducement Plan), of which 693,040 were subject to outstanding stock options and 71,250 were subject to outstanding RSUs.</w:t>
      </w:r>
    </w:p>
    <w:p>
      <w:pPr>
        <w:spacing w:after="0" w:line="147" w:lineRule="exact"/>
        <w:rPr>
          <w:rFonts w:ascii="Arial" w:cs="Arial" w:eastAsia="Arial" w:hAnsi="Arial"/>
          <w:sz w:val="18"/>
          <w:szCs w:val="18"/>
          <w:color w:val="auto"/>
        </w:rPr>
      </w:pPr>
    </w:p>
    <w:p>
      <w:pPr>
        <w:ind w:left="440" w:right="20" w:hanging="432"/>
        <w:spacing w:after="0" w:line="277" w:lineRule="auto"/>
        <w:tabs>
          <w:tab w:leader="none" w:pos="4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This number includes: 191,288 shares available for issuance under the 2017 Inducement Plan, no shares under the 2019 Inducement Plan and 11,960 shares available for issuance under the 2020 Inducement Plan.</w:t>
      </w:r>
    </w:p>
    <w:p>
      <w:pPr>
        <w:spacing w:after="0" w:line="1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stockholder-approved equity compensation plans consist of the 2018 Plan, 2014 Plan, the 2010 Plan, stock options assumed in our merger with Assembly Pharmaceuticals and the 2018 ESPP. Effective on June 2, 2016, the 2010 Plan was frozen, and no further grants will be made under the 2010 Plan. Shares that are forfeited under the 2010 Plan on or after June 2, 2016 will become available for issuance under the 2014 Plan. An “Award” under the 2018 Plan, 2014 Plan or 2010 Plan is any right to receive our common stock consisting of non-statutory stock options, incentive stock options, stock appreciation rights, RSUs, or any other stock award.</w:t>
      </w:r>
    </w:p>
    <w:p>
      <w:pPr>
        <w:spacing w:after="0" w:line="16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May 2018, our stockholders approved the 2018 ESPP and was amended and restated in May 2021. The 2018 ESPP provides for the purchase by employees of up to an aggregate of 1,300,000 shares of the Company’s common stock. Eligible employees can purchase shares of our common stock at the end of a predetermined offering period at 85% of the lower of the fair market value at the beginning or end of the offering period.</w:t>
      </w:r>
    </w:p>
    <w:p>
      <w:pPr>
        <w:spacing w:after="0" w:line="1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outstanding equity compensation arrangements that have not been approved by our stockholders consist of the 2017 Inducement Plan, the 2019 Inducement Plan and the 2020 Inducement Plan. In April 2017, our board of directors adopted the 2017 Inducement Plan and reserved 800,000 shares of our common stock for issuance under 2017 the Inducement Plan. In August 2019, our board of directors adopted the 2019 Inducement Plan and reserved 500,000 shares of our common stock for issuance under the 2019 Inducement Plan. In March 2020, our board of directors adopted the 2020 Inducement Plan and reserved 800,000 shares of our common stock for issuance under the 2020 Inducement Plan. The only persons eligible to receive grants of awards under the either the 2017 Inducement Plan, the 2019 Inducement Plan or the 2020 Inducement Plan are individuals who satisfy the standards for inducement grants under Nasdaq Marketplace Rule 5635(c)(4) and the related guidance under Nasdaq IM 5635-1-that is, generally, a person not previously an employee or director of ours, or following a bona fide period of non-employment, as an inducement material to the individual's entering into employment with us. An “Award” is any right to receive our common stock pursuant to the Inducement Plan, consisting of nonstatutory stock options, stock appreciation rights, restricted stock awards, RSUs, or any other stock award.</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unregistered sales of equity securities in 2021.</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We did not purchase any of our registered equity securities during the period covered by this Annual Report on Form 10-K.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Item 6. [Reserved]</w:t>
      </w:r>
    </w:p>
    <w:p>
      <w:pPr>
        <w:spacing w:after="0" w:line="229"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51" w:right="1440"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w:t>
      </w:r>
    </w:p>
    <w:p>
      <w:pPr>
        <w:spacing w:after="0" w:line="18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our consolidated financial statements and the related notes thereto and other financial information appearing elsewhere in this Annual Report on Form 10-K. The following discussion contains forward-looking statements that involve risks and uncertainties. Our actual results could differ materially from those expressed or implied in any forward-looking statements as a result of various factors, including those set forth in this Form 10-K under “Item 1A. Risk Factors.”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a clinical-stage biotechnology company focused on discovery and development of innovative therapeutics targeting hepatitis B virus (HBV) and other viral diseases.</w:t>
      </w:r>
    </w:p>
    <w:p>
      <w:pPr>
        <w:spacing w:after="0" w:line="13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World Health Organization (WHO) estimates that 296 million people worldwide are chronically infected with HBV as of 2019. Our research and development organizations are pursuing multiple drug candidates designed to inhibit the HBV replication cycle and block the generation of covalently closed circular DNA (cccDNA), with the aim of discovering and developing finite and curative therapies for patients with chronic HBV infection. We have discovered several novel core inhibitors, which are small molecules that directly target and allosterically modulate the HBV core protein in a way that affects assembly and stability of HBV nucleocapsids. In addition, our research organization is working on discovering and developing cccDNA disruptors and small molecules targeting two novel undisclosed HBV targets,</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While we continue our efforts to develop finite and curative therapies for patients with chronic HBV infection, our research organization recently launched an exploratory virology discovery program for compounds directed at a number of non-HBV viral targets. These targets, currently expected to be disclosed in mid-2022, were selected to leverage the deep antiviral expertise and experience of our research and development organizations against diseases with significant unmet medical need.</w:t>
      </w:r>
    </w:p>
    <w:p>
      <w:pPr>
        <w:spacing w:after="0" w:line="14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ongoing COVID-19 pandemic and its broad, global impacts, including supply chain disruptions, have impacted certain aspects of our business, including where and how our employees work in our labs and offices and how and when our nonclinical and clinical studies are conducted. Early in the pandemic, our current and future planned clinical trials and preclinical studies were largely unaffected, but as the pandemic has continued, we have experienced enrollment delays for our current clinical studies, particularly our two ongoing multi-drug combination studies.</w:t>
      </w:r>
    </w:p>
    <w:p>
      <w:pPr>
        <w:spacing w:after="0" w:line="13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previously announced, in January 2021, we wound down our Microbiome program to prioritize and focus our resources on our virology programs. Our Microbiome program had been developing a novel class of oral live microbial biotherapeutics candidates designed to treat disorders associated with the microbiome.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Primary Focus: Targeting HBV Core Protein to Achieve a Cure</w:t>
      </w:r>
    </w:p>
    <w:p>
      <w:pPr>
        <w:spacing w:after="0" w:line="18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HBV is a DNA virus that infects hepatocytes and establishes a reservoir of cccDNA, a unique viral DNA moiety that resides in the cell nucleus of HBV-infected hepatocytes and is associated with viral persistence and chronic infection. No currently approved oral therapies target cccDNA activity directly, which makes molecules that can modulate cccDNA generation or disrupt its function highly sought in the HBV field. As a result, most of our research and development efforts to date have focused on discovering and developing compounds targeting the core protein, a viral protein involved in numerous aspects of the HBV replication cycle, including the generation of HBV cccDNA. Through our research efforts, we have discovered several chemically distinct series of small molecule core inhibitors that directly target and allosterically inhibit core protein functions.</w:t>
      </w:r>
    </w:p>
    <w:p>
      <w:pPr>
        <w:spacing w:after="0" w:line="13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Vebicorvir</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Vebicorvir (VBR), our lead core inhibitor product candidate, is licensed from Indiana University. The conduct of our initial Phase 2 studies, Study 201 and 202, is complete. In these studies, VBR administered with NrtI therapy demonstrated a favorable safety profile and led to greater viral suppression of both HBV DNA and viral pgRNA than NrtI therapy alone.</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most recently completed study for VBR, Study 211, involved transitioning patients who met the requisite stopping criteria, as determined in collaboration with our lead investigators and the U.S. Food and Drug Administration (FDA), off of therapy to test for sustained virologic response (SVR). SVR refers to sustained viral suppression (more than six months) of HBV DNA below LLOQ and would be consistent with a successful finite treatment for chronic HBV infection. During the trial, it became clear that patients who stopped therapy in Study 211</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0" w:name="page41"/>
    <w:bookmarkEnd w:id="40"/>
    <w:p>
      <w:pPr>
        <w:jc w:val="both"/>
        <w:spacing w:after="0" w:line="254" w:lineRule="auto"/>
        <w:rPr>
          <w:sz w:val="20"/>
          <w:szCs w:val="20"/>
          <w:color w:val="auto"/>
        </w:rPr>
      </w:pPr>
      <w:r>
        <w:rPr>
          <w:rFonts w:ascii="Arial" w:cs="Arial" w:eastAsia="Arial" w:hAnsi="Arial"/>
          <w:sz w:val="18"/>
          <w:szCs w:val="18"/>
          <w:color w:val="auto"/>
        </w:rPr>
        <w:t>had not achieved SVR, as all patients relapsed, meaning they had detectable HBV and the dual combination therapy of VBR + NrtI was insufficient to cure chronic HBV infection in the studied population. Based on these results, we terminated Study 211 in the fourth quarter of 2020. We presented follow-up data from Study 211 related to virologic response, safety and resistance following treatment discontinuation, at the European Association for the Study of the Liver’s (EASL) International Liver Congress</w:t>
      </w:r>
      <w:r>
        <w:rPr>
          <w:rFonts w:ascii="Arial" w:cs="Arial" w:eastAsia="Arial" w:hAnsi="Arial"/>
          <w:sz w:val="15"/>
          <w:szCs w:val="15"/>
          <w:color w:val="auto"/>
        </w:rPr>
        <w:t>TM</w:t>
      </w:r>
      <w:r>
        <w:rPr>
          <w:rFonts w:ascii="Arial" w:cs="Arial" w:eastAsia="Arial" w:hAnsi="Arial"/>
          <w:sz w:val="18"/>
          <w:szCs w:val="18"/>
          <w:color w:val="auto"/>
        </w:rPr>
        <w:t xml:space="preserve"> in June 2021 (EASL 2021). At the American Association for the Study of Liver Diseases (AASLD) Annual Meeting in November 2021 (AASLD 2021), we presented additional follow-up data from Study 211 demonstrating that patients had increases of HBV DNA and pgRNA after discontinuation of VBR despite continued NrtI treatment, further supporting that core inhibitors deepen viral suppression in combination with NrtIs.</w:t>
      </w:r>
    </w:p>
    <w:p>
      <w:pPr>
        <w:spacing w:after="0" w:line="1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Based on discussions with leading viral hepatitis experts, global regulatory discussions and feedback, and, with respect to the China territory, discussions and agreement with our collaboration partner, BeiGene, Ltd. (BeiGene), in early 2021, we decided to not move forward with the global registrational studies for VBR as a CST with NrtI. The decision was made to focus on the greatest unmet medical need of patients, which lies predominantly in cure, rather than CST. As a result, we terminated Study 205 and began to focus our efforts with VBR in combination with NrtI and additional mechanisms targeting finite and curative combination therapy.</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currently have two Phase 2 triple combination studies involving VBR ongoing, with a third expected to be initiated in the first half of 2022. These studies are detailed below. See “—Multi-Drug Combination Studies.”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Next-Generation Core Inhibitors</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pursuit of our goal of developing finite and curative therapies for patients with chronic HBV infection, we plan to advance the optimal core inhibitor in our portfolio for use as the antiviral backbone with NrtI. While we currently have VBR, our first-generation core inhibitor product candidate, and 3733, a next-generation product candidate, in clinical studies, we expect to initiate Phase 1a studies of 4334, our most potent next-generation product candidate in the second half of 2022. Based on the clinical progress of these candidates, we will apply disciplined, data-driven analyses to identify the optimal candidate to advance into late-stage clinical trials to produce potentially higher cure rates than are currently obtainable for patients with chronic HBV infection under the current standard of care.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ABI-H3733</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first of two next-generation core inhibitor product candidates, 3733, was internally discovered and developed. The chemical scaffold of 3733 is novel and distinct from each of VBR, 4334 and our discontinued core inhibitor product candidate, ABI-H2158 (2158).</w:t>
      </w:r>
    </w:p>
    <w:p>
      <w:pPr>
        <w:spacing w:after="0" w:line="14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2020, we initiated and completed a Phase 1a clinical study of 3733 to evaluate safety, tolerability and pharmacokinetics (PK) following single ascending dose and multiple ascending dose administration in healthy subjects in New Zealand. Preliminary data indicate that 3733 was generally well-tolerated and had favorable PK. Results detailing 3733’s safety and PK from this study were presented in a poster presentation at AASLD 2021.</w:t>
      </w:r>
    </w:p>
    <w:p>
      <w:pPr>
        <w:spacing w:after="0" w:line="1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at EASL 2021, we presented observations on 3733’s enhanced potency and target coverage for both antiviral activity and inhibition of cccDNA generation as compared to VBR and 2158.</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We expect to initiate a Phase 1b study with an improved formulation of 3733 in patients with chronic HBV infection in the first half of 2022.</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ABI-4334</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mid-2021, we announced the selection of 4334, our other next-generation core inhibitor product candidate. As with all of our core inhibitor product candidates nominated after VBR, 4334 was internally discovered and developed. In addition, the chemical scaffold of 4334 is also novel and distinct from each of VBR, 3733 and 2158.</w:t>
      </w:r>
    </w:p>
    <w:p>
      <w:pPr>
        <w:spacing w:after="0" w:line="14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nominated 4334 based on a preclinical target drug profile that indicates enhanced target coverage and potency to prevent both formation of new virus and cccDNA, which is responsible for maintaining the HBV viral reservoir. We believe that 4334 has a best-in-class preclinical profile, with single-digit nanomolar potency against the production of new virus and the formation of cccDNA. Preclinically to date, 4334 has also demonstrated pan-genotypic activity, an improved resistance profile and a favorable safety profile. Preclinical characterization of 4334 was shared in a poster presentation at AASLD in November 2021.</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preclinical work on 4334 is ongoing, with the aim of completing Investigational New Drug (IND) enabling studies and initiating a Phase 1a clinical study in the second half of 2022.</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i w:val="1"/>
          <w:iCs w:val="1"/>
          <w:color w:val="auto"/>
        </w:rPr>
        <w:t>ABI-2158</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September 2021, we discontinued development of 2158 following the observation of elevated alanine transaminase (ALT) levels in the Phase 2 clinical study consistent with drug-induced hepatotoxicity.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Multi-Drug Combination Studies</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believe that core inhibitors and NrtI will be central to finite and curative therapies for chronic HBV infection. Therefore, as we continue to develop and advance our current and future core inhibitors through clinical studies, we plan to conduct multi-drug combination studies in parallel that add additional drugs (or compounds) with nonoverlapping mechanisms of action to the core inhibitor + NrtI antiviral backbone. We currently have two ongoing triple combination studies and a third triple combination study expected to start in the first half of 2022 to study VBR in combination with NrtI and a third mechanism of action.</w:t>
      </w:r>
    </w:p>
    <w:p>
      <w:pPr>
        <w:spacing w:after="0" w:line="16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first triple combination study is being conducted pursuant to a Clinical Trial Agreement with Arbutus Biopharma Corporation (Arbutus Biopharma) and consists of a randomized, multi-center, open-label Phase 2 clinical study to explore the safety, PK and antiviral activity of the triple combination of VBR, NrtI and AB-729 (Arbutus Biopharma’s investigational RNAi candidate) compared to the double combinations of VBR + NrtI and AB-729 + NrtI in virologically suppressed patients. This clinical study initiated in the first quarter of 2021 and completed enrollment in February 2022. We expect to share interim on-treatment results from this study in the second half of 2022.</w:t>
      </w:r>
    </w:p>
    <w:p>
      <w:pPr>
        <w:spacing w:after="0" w:line="14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Our second triple combination study evaluates VBR and NrtI in combination with interferon in treatment-naïve HBeAg positive subjects. This study was also initiated in the first quarter of 2021, and we expect enrollment to be complete in March 2022. We expect to share interim on-treatment results from this study in the second half of 2022.</w:t>
      </w:r>
    </w:p>
    <w:p>
      <w:pPr>
        <w:spacing w:after="0" w:line="14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third triple combination study will be conducted pursuant to a Clinical Trial Collaboration Agreement with Antios Therapeutics, Inc. (Antios) and will evaluate ATI-2173, Antios’s investigational proprietary active site polymerase inhibitor nucleotide (ASPIN), VBR and tenofovir disoproxil fumarate, an NrtI. This multi-center, double-blinded, placebo-controlled study will evaluate the safety, PK and antiviral activity of this all-oral triple combination. We expect to initiate this study, which will enroll ten treatment-naïve or off-treatment HBeAg negative or positive patients in a 12-week treatment study, in the first half of 2022. The study plan initially included a site in Ukraine, but we will no longer be conducting the study there due to the instability resulting from Russia’s recent invasion of Ukraine. We expect these changes to our study plan to result in a delayed data readout.</w:t>
      </w:r>
    </w:p>
    <w:p>
      <w:pPr>
        <w:spacing w:after="0" w:line="15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Both our first and second triple combination studies have experienced enrollment delays due to the ongoing COVID-19 pandemic. The pandemic has impacted patients and study sites through patient screening delays, travel restrictions and hesitancy to travel to study sites. The pandemic has also impacted our vendors, as our central laboratories have been unable to meet their contractual obligations, and our vendors have experienced staffing constraints and supply chain challenges as they seek to obtain lab kits, reagents and other items necessary to enroll patients in our studies. As a result, we were unable to fully enroll our first and second triple combination studies in 2021 as initially planned; however, based on enrollment to date, we do not believe these delays will impact interim data readouts for these studies, which remains on schedule in 2022.</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Beyond Core Inhibitors</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to the development and advancement of our core inhibitor portfolio and our current and future multi-drug combination studies, our research and development team is working on discovering and developing cccDNA disruptors and small molecules targeting two novel undisclosed HBV targets, which we expect to announce in the first half of 2022, to complement our HBV cure strategy.</w:t>
      </w:r>
    </w:p>
    <w:p>
      <w:pPr>
        <w:spacing w:after="0" w:line="1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November 2020, we entered into an exclusive, two-year collaboration and option agreement with Door Pharmaceuticals, LLC (Door Pharma) focused on the development of a novel class of HBV inhibitors. Door Pharma’s discovery platform targets functions of core protein distinct from viral assembly and have the potential to interfere with viral nucleic acid including intra-nuclear cccDNA, providing a strong complement to our current portfolio. Together with Door Pharma, we are working on identifying cccDNA disruptors, which will be aimed at inhibiting different intra-nuclear steps in the viral replication cycle that complement the activity of our core inhibitors.</w:t>
      </w:r>
    </w:p>
    <w:p>
      <w:pPr>
        <w:spacing w:after="0" w:line="14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Under the terms of the agreement, Door Pharma will build upon its previous efforts to lead and conduct new discovery research, which we will fund. In return for an up-front payment and success-based milestones and royalties, we will be granted an exclusive option to license compounds arising from the collaboration and will be responsible for the continued development and commercialization of optioned compounds.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Additional Antiviral Opportunities</w:t>
      </w:r>
    </w:p>
    <w:p>
      <w:pPr>
        <w:spacing w:after="0" w:line="19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addition to our work toward developing finite and curative therapies for patients with chronic HBV infection, we have expanded our research and development organizations’ reach by pursuing exploratory research on novel compounds targeting other viruses. Our expanded focus leverages the depth and breadth of virology expertise of our research and development organization to diversify our pipeline into areas of high unmet medical need.</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We expect to disclose more information regarding these discovery programs on additional viral targets in mid-2022.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Operations</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currently have corporate and administrative offices and research laboratory space in South San Francisco, California as well as registrational offices in China.</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Since our inception, we have had no revenue from product sales and have funded our operations principally through debt financings prior to our initial public offering in 2010 and through equity financings and collaborations since then. Our operations to date have been primarily limited to organizing and staffing our company, licensing our product candidates, discovering and developing our product candidates, maintaining and improving our patent portfolio and raising capital.</w:t>
      </w:r>
    </w:p>
    <w:p>
      <w:pPr>
        <w:spacing w:after="0" w:line="14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have generated significant losses to date, and we expect to continue to generate losses as we develop our product candidates. As of December 31, 2021, we had an accumulated deficit of $631.4 million. Because we do not generate revenue from any of our product candidates, our losses will continue as we further develop and seek regulatory approval for, and commercialize, our product candidates. As a result, our operating losses are likely to be substantial over the next several years as we continue the development of our product candidates and thereafter if none are approved or successfully launched. We are unable to predict the extent of any future losses or when we will become profitable, if at all.</w:t>
      </w:r>
    </w:p>
    <w:p>
      <w:pPr>
        <w:spacing w:after="0" w:line="14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mid-March 2020, as a result of the COVID-19 pandemic, six San Francisco Bay Area counties announced a shelter-in-place order, restricting all residents to their homes, with few exceptions. Within a week, California issued a statewide stay-at-home order. As a biotechnology company, we were exempt from such orders. On June 15, 2021, California reopened its economy, and all applicable local orders were also lifted on June 15, 2021. In addition, we have taken the additional step of requiring that all of our employees be fully vaccinated against COVID-19.</w:t>
      </w:r>
    </w:p>
    <w:p>
      <w:pPr>
        <w:spacing w:after="0" w:line="13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There has not been any significant interruption to date of essential activities at our offices, including work in our laboratories with proper protections and procedures in place. While we have experienced some shipping delays or shortages of personal protective equipment (PPE) that are important to maintaining normal workflows in our laboratories, we have been able to continue our critical research activities through schedule shifts, use of PPE on-hand and reallocation of certain resources that allow our employees to practice “social distancing” and comply with applicable laws. Substantially all of our U.S.-based non-research employees have been working from their homes since mid-March 2020. Early in the pandemic, our current and future planned clinical trials and preclinical studies were largely unaffected, but as the pandemic has continued, we have experienced enrollment delays in our current clinical studies, particularly our two ongoing multi-drug combination studies. We continually work with our contract research organizations (CROs) and other vendors to ensure, to the extent possible, that services are provided in a timely manner while also identifying alternative vendors and strategies to utilize in the event that COVID- or third party-related delays threaten our ability to meet our timelines. We cannot currently predict the specific extent, duration or full impact that the COVID-19 pandemic will have on our ongoing and planned research efforts, clinical studies and other business operations. We continue to monitor the situation regularly for additional potential delays, or modifications to our ongoing and planned studies and, if circumstances warrant, we may adjust our budget and operating plan.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8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Research and development expenses consist primarily of costs incurred for our research activities, including our drug discovery efforts, target validation, lead optimization and the development of our product candidates, which include:</w:t>
      </w:r>
    </w:p>
    <w:p>
      <w:pPr>
        <w:spacing w:after="0" w:line="130" w:lineRule="exact"/>
        <w:rPr>
          <w:sz w:val="20"/>
          <w:szCs w:val="20"/>
          <w:color w:val="auto"/>
        </w:rPr>
      </w:pPr>
    </w:p>
    <w:p>
      <w:pPr>
        <w:ind w:left="880" w:hanging="440"/>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employee-related expenses including salaries, benefits, and stock-based compensation expense;</w:t>
      </w:r>
    </w:p>
    <w:p>
      <w:pPr>
        <w:spacing w:after="0" w:line="184" w:lineRule="exact"/>
        <w:rPr>
          <w:rFonts w:ascii="Arial" w:cs="Arial" w:eastAsia="Arial" w:hAnsi="Arial"/>
          <w:sz w:val="18"/>
          <w:szCs w:val="18"/>
          <w:color w:val="auto"/>
        </w:rPr>
      </w:pPr>
    </w:p>
    <w:p>
      <w:pPr>
        <w:ind w:left="880" w:right="20" w:hanging="440"/>
        <w:spacing w:after="0" w:line="277"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expenses incurred under agreements with third parties, including CROs that conduct research and development, nonclinical and clinical activities on our behalf and the cost of consultants, and contract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43" w:name="page44"/>
    <w:bookmarkEnd w:id="43"/>
    <w:p>
      <w:pPr>
        <w:ind w:left="880"/>
        <w:spacing w:after="0"/>
        <w:rPr>
          <w:sz w:val="20"/>
          <w:szCs w:val="20"/>
          <w:color w:val="auto"/>
        </w:rPr>
      </w:pPr>
      <w:r>
        <w:rPr>
          <w:rFonts w:ascii="Arial" w:cs="Arial" w:eastAsia="Arial" w:hAnsi="Arial"/>
          <w:sz w:val="18"/>
          <w:szCs w:val="18"/>
          <w:color w:val="auto"/>
        </w:rPr>
        <w:t>manufacturing organizations (CMOs) that manufacture all of our drug substance and the drug product used in our HBV program;</w:t>
      </w:r>
    </w:p>
    <w:p>
      <w:pPr>
        <w:spacing w:after="0" w:line="185" w:lineRule="exact"/>
        <w:rPr>
          <w:sz w:val="20"/>
          <w:szCs w:val="20"/>
          <w:color w:val="auto"/>
        </w:rPr>
      </w:pPr>
    </w:p>
    <w:p>
      <w:pPr>
        <w:ind w:left="880" w:hanging="440"/>
        <w:spacing w:after="0" w:line="277" w:lineRule="auto"/>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 of lab supplies and acquiring, developing, and manufacturing nonclinical and, in the case of our Microbiome program, early-stage clinical study materials;</w:t>
      </w:r>
    </w:p>
    <w:p>
      <w:pPr>
        <w:spacing w:after="0" w:line="129" w:lineRule="exact"/>
        <w:rPr>
          <w:rFonts w:ascii="Arial" w:cs="Arial" w:eastAsia="Arial" w:hAnsi="Arial"/>
          <w:sz w:val="18"/>
          <w:szCs w:val="18"/>
          <w:color w:val="auto"/>
        </w:rPr>
      </w:pPr>
    </w:p>
    <w:p>
      <w:pPr>
        <w:ind w:left="880" w:hanging="440"/>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fees related to our license agreements; and</w:t>
      </w:r>
    </w:p>
    <w:p>
      <w:pPr>
        <w:spacing w:after="0" w:line="184"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facilities, depreciation, and other expenses, which include direct and allocated expenses for rent and maintenance of facilities, insurance, and other operating costs.</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Research and development costs are expensed as incurred. Nonrefundable advance payments for goods or services to be received in the future for use in research and development activities are deferred and capitalized. The capitalized amounts are expensed as the related goods are delivered or the services are rendered.</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use our employee and infrastructure resources across multiple research and development programs, and we allocate internal employee-related and infrastructure costs, as well as certain third-party costs, to each of our programs based on the personnel resources allocated to such program. Our research and development expenses, by major program, are outlined in the table below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0" w:type="dxa"/>
            <w:vAlign w:val="bottom"/>
            <w:tcBorders>
              <w:bottom w:val="single" w:sz="8" w:color="auto"/>
            </w:tcBorders>
            <w:gridSpan w:val="6"/>
          </w:tcPr>
          <w:p>
            <w:pPr>
              <w:jc w:val="right"/>
              <w:ind w:right="610"/>
              <w:spacing w:after="0"/>
              <w:rPr>
                <w:sz w:val="20"/>
                <w:szCs w:val="20"/>
                <w:color w:val="auto"/>
              </w:rPr>
            </w:pPr>
            <w:r>
              <w:rPr>
                <w:rFonts w:ascii="Arial" w:cs="Arial" w:eastAsia="Arial" w:hAnsi="Arial"/>
                <w:sz w:val="18"/>
                <w:szCs w:val="18"/>
                <w:b w:val="1"/>
                <w:bCs w:val="1"/>
                <w:color w:val="auto"/>
              </w:rPr>
              <w:t>Year Ended December 31,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40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2021</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400" w:type="dxa"/>
            <w:vAlign w:val="bottom"/>
            <w:tcBorders>
              <w:top w:val="single" w:sz="8" w:color="CCECFF"/>
            </w:tcBorders>
            <w:shd w:val="clear" w:color="auto" w:fill="CCECFF"/>
          </w:tcPr>
          <w:p>
            <w:pPr>
              <w:spacing w:after="0"/>
              <w:rPr>
                <w:sz w:val="20"/>
                <w:szCs w:val="20"/>
                <w:color w:val="auto"/>
              </w:rPr>
            </w:pPr>
            <w:r>
              <w:rPr>
                <w:rFonts w:ascii="Arial" w:cs="Arial" w:eastAsia="Arial" w:hAnsi="Arial"/>
                <w:sz w:val="18"/>
                <w:szCs w:val="18"/>
                <w:color w:val="auto"/>
              </w:rPr>
              <w:t>HBV</w:t>
            </w:r>
          </w:p>
        </w:tc>
        <w:tc>
          <w:tcPr>
            <w:tcW w:w="16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ind w:right="79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72,616</w:t>
            </w: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71,957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400" w:type="dxa"/>
            <w:vAlign w:val="bottom"/>
          </w:tcPr>
          <w:p>
            <w:pPr>
              <w:spacing w:after="0"/>
              <w:rPr>
                <w:sz w:val="20"/>
                <w:szCs w:val="20"/>
                <w:color w:val="auto"/>
              </w:rPr>
            </w:pPr>
            <w:r>
              <w:rPr>
                <w:rFonts w:ascii="Arial" w:cs="Arial" w:eastAsia="Arial" w:hAnsi="Arial"/>
                <w:sz w:val="18"/>
                <w:szCs w:val="18"/>
                <w:color w:val="auto"/>
              </w:rPr>
              <w:t>Microbiome</w:t>
            </w: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(4,092)</w:t>
            </w:r>
          </w:p>
        </w:tc>
        <w:tc>
          <w:tcPr>
            <w:tcW w:w="260" w:type="dxa"/>
            <w:vAlign w:val="bottom"/>
          </w:tcPr>
          <w:p>
            <w:pPr>
              <w:jc w:val="right"/>
              <w:spacing w:after="0"/>
              <w:rPr>
                <w:sz w:val="20"/>
                <w:szCs w:val="20"/>
                <w:color w:val="auto"/>
              </w:rPr>
            </w:pPr>
            <w:r>
              <w:rPr>
                <w:rFonts w:ascii="Arial" w:cs="Arial" w:eastAsia="Arial" w:hAnsi="Arial"/>
                <w:sz w:val="15"/>
                <w:szCs w:val="15"/>
                <w:color w:val="auto"/>
              </w:rPr>
              <w:t>(1)</w:t>
            </w: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34,866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400" w:type="dxa"/>
            <w:vAlign w:val="bottom"/>
            <w:vMerge w:val="restart"/>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400" w:type="dxa"/>
            <w:vAlign w:val="bottom"/>
            <w:vMerge w:val="continue"/>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80" w:type="dxa"/>
            <w:vAlign w:val="bottom"/>
            <w:shd w:val="clear" w:color="auto" w:fill="CFF0FC"/>
          </w:tcPr>
          <w:p>
            <w:pPr>
              <w:jc w:val="right"/>
              <w:ind w:right="79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68,524</w:t>
            </w:r>
          </w:p>
        </w:tc>
        <w:tc>
          <w:tcPr>
            <w:tcW w:w="100" w:type="dxa"/>
            <w:vAlign w:val="bottom"/>
            <w:shd w:val="clear" w:color="auto" w:fill="CFF0FC"/>
          </w:tcPr>
          <w:p>
            <w:pPr>
              <w:spacing w:after="0"/>
              <w:rPr>
                <w:sz w:val="20"/>
                <w:szCs w:val="20"/>
                <w:color w:val="auto"/>
              </w:rPr>
            </w:pPr>
          </w:p>
        </w:tc>
        <w:tc>
          <w:tcPr>
            <w:tcW w:w="580" w:type="dxa"/>
            <w:vAlign w:val="bottom"/>
            <w:gridSpan w:val="2"/>
            <w:shd w:val="clear" w:color="auto" w:fill="CFF0FC"/>
          </w:tcPr>
          <w:p>
            <w:pPr>
              <w:jc w:val="right"/>
              <w:ind w:right="167"/>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106,823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4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ind w:left="440" w:hanging="432"/>
        <w:spacing w:after="0" w:line="263" w:lineRule="auto"/>
        <w:tabs>
          <w:tab w:leader="none" w:pos="440" w:val="left"/>
        </w:tabs>
        <w:numPr>
          <w:ilvl w:val="0"/>
          <w:numId w:val="26"/>
        </w:numPr>
        <w:rPr>
          <w:rFonts w:ascii="Arial" w:cs="Arial" w:eastAsia="Arial" w:hAnsi="Arial"/>
          <w:sz w:val="15"/>
          <w:szCs w:val="15"/>
          <w:color w:val="auto"/>
        </w:rPr>
      </w:pPr>
      <w:r>
        <w:rPr>
          <w:rFonts w:ascii="Arial" w:cs="Arial" w:eastAsia="Arial" w:hAnsi="Arial"/>
          <w:sz w:val="18"/>
          <w:szCs w:val="18"/>
          <w:color w:val="auto"/>
        </w:rPr>
        <w:t xml:space="preserve">Expenses presented for Microbiome for the year ended December 31, 2021 include a gain of $3.0 million on the sale of assets under the Asset Purchase Agreement (Microbiome Purchase Agreement) and </w:t>
      </w:r>
      <w:r>
        <w:rPr>
          <w:rFonts w:ascii="Arial" w:cs="Arial" w:eastAsia="Arial" w:hAnsi="Arial"/>
          <w:sz w:val="18"/>
          <w:szCs w:val="18"/>
          <w:color w:val="242424"/>
        </w:rPr>
        <w:t>the reversal of $2.7 million of previously recognized stock-based compensation expense</w:t>
      </w:r>
      <w:r>
        <w:rPr>
          <w:rFonts w:ascii="Arial" w:cs="Arial" w:eastAsia="Arial" w:hAnsi="Arial"/>
          <w:sz w:val="18"/>
          <w:szCs w:val="18"/>
          <w:color w:val="auto"/>
        </w:rPr>
        <w:t xml:space="preserve"> </w:t>
      </w:r>
      <w:r>
        <w:rPr>
          <w:rFonts w:ascii="Arial" w:cs="Arial" w:eastAsia="Arial" w:hAnsi="Arial"/>
          <w:sz w:val="18"/>
          <w:szCs w:val="18"/>
          <w:color w:val="242424"/>
        </w:rPr>
        <w:t>related to forfeited awards of terminated employees due to the wind-down of the Microbiome program</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4805680</wp:posOffset>
            </wp:positionH>
            <wp:positionV relativeFrom="paragraph">
              <wp:posOffset>-431165</wp:posOffset>
            </wp:positionV>
            <wp:extent cx="21513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spacing w:after="0" w:line="1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successful discovery and development of our product candidates is highly uncertain. As such, at this time, we cannot reasonably estimate, or know the nature, timing and estimated costs, of the efforts that will be necessary to complete the remainder of their development. We are also unable to predict when, if ever, material net cash inflows will commence from our product candidates. This is due to the numerous risks and uncertainties associated with developing medicines, including the uncertainty of:</w:t>
      </w:r>
    </w:p>
    <w:p>
      <w:pPr>
        <w:spacing w:after="0" w:line="146" w:lineRule="exact"/>
        <w:rPr>
          <w:sz w:val="20"/>
          <w:szCs w:val="20"/>
          <w:color w:val="auto"/>
        </w:rPr>
      </w:pPr>
    </w:p>
    <w:p>
      <w:pPr>
        <w:ind w:left="880" w:hanging="440"/>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timing, progress and success of our clinical trials and research discovery team in identifying new product candidates;</w:t>
      </w:r>
    </w:p>
    <w:p>
      <w:pPr>
        <w:spacing w:after="0" w:line="184"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establishing an appropriate safety profile with IND-enabling toxicology studies sufficient to advance additional product candidates into clinical development;</w:t>
      </w:r>
    </w:p>
    <w:p>
      <w:pPr>
        <w:spacing w:after="0" w:line="129" w:lineRule="exact"/>
        <w:rPr>
          <w:rFonts w:ascii="Arial" w:cs="Arial" w:eastAsia="Arial" w:hAnsi="Arial"/>
          <w:sz w:val="18"/>
          <w:szCs w:val="18"/>
          <w:color w:val="auto"/>
        </w:rPr>
      </w:pPr>
    </w:p>
    <w:p>
      <w:pPr>
        <w:ind w:left="880" w:hanging="440"/>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successful enrollment in, and completion of, clinical studies;</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making arrangements with third-party manufacturers; and</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and regulatory exclusivity for our product candidates.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change in the outcome of any of these variables or variables discussed in “Item 1A. Risk Factors” with respect to the development of any of our product candidates would significantly change the costs and timing associated with the development of that product candidate.</w:t>
      </w:r>
    </w:p>
    <w:p>
      <w:pPr>
        <w:spacing w:after="0" w:line="14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studies. However, we do not believe that it is possible at this time to accurately project total program-specific expenses through commercialization. There are numerous factors associated with the successful commercialization of any of our product candidates, including future trial design and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44" w:name="page45"/>
    <w:bookmarkEnd w:id="44"/>
    <w:p>
      <w:pPr>
        <w:jc w:val="both"/>
        <w:spacing w:after="0" w:line="277" w:lineRule="auto"/>
        <w:rPr>
          <w:sz w:val="20"/>
          <w:szCs w:val="20"/>
          <w:color w:val="auto"/>
        </w:rPr>
      </w:pPr>
      <w:r>
        <w:rPr>
          <w:rFonts w:ascii="Arial" w:cs="Arial" w:eastAsia="Arial" w:hAnsi="Arial"/>
          <w:sz w:val="18"/>
          <w:szCs w:val="18"/>
          <w:color w:val="auto"/>
        </w:rPr>
        <w:t>various regulatory requirements, many of which cannot be determined with accuracy at this time based on our stage of development. Additionally, future commercial and regulatory factors beyond our control will impact our clinical development programs and plans.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8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General and administrative expenses consist primarily of salaries and other related costs, including stock-based compensation, for personnel in executive, finance, accounting, business development, legal and human resources functions. Other significant costs include facility costs not otherwise included in research and development expenses, insurance costs, legal fees relating to patents and corporate matters and fees for accounting and consulting services.</w:t>
      </w:r>
    </w:p>
    <w:p>
      <w:pPr>
        <w:spacing w:after="0" w:line="10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anticipate that our general and administrative expenses will increase in the future to support continued research and development activities, potential commercialization of our product candidates and costs of operating as a public company. These increases will likely include increased costs related to the hiring of additional personnel and fees to outside consultants, lawyers and accountants, among other expenses. Additionally, we anticipate increased costs associated with being a public company, including expenses related to services associated with maintaining compliance with exchange listing and U.S. Securities and Exchange Commission (SEC) requirements, insurance, and investor relations costs.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goodwill and indefinite-lived intangible asset</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Goodwill and our indefinite-lived intangible asset are reviewed for impairment at least annually in the fourth quarter and more frequently if events or other changes in circumstances indicate the carrying amount of the assets may not be recoverable. Impairment of goodwill and an indefinite-lived intangible assets is determined to exist when the fair value is less than the carrying value of the asset being tested. In the fourth quarter of 2021, we concluded both goodwill and our indefinite-lived intangible asset were fully impaired resulting in the full write-off of these balances to the statement of operations and comprehensive loss.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consists of interest earned on our cash and cash equivalents and available-for-sale securities.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8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management’s discussion and analysis of our financial condition and results of operations is based on our consolidated financial statements, which we have prepared in accordance with accounting principles generally accepted in the United States. The preparation of these consolidated financial statements requires us to make estimates and assumptions that affect the reported amounts of assets and liabilities and the disclosure of contingent assets and liabilities at the date of the financial statements, as well as the reported amounts of revenues and expenses during the reporting periods. Note 2 to the Consolidated Financial Statements describes the significant accounting policies and methods used in the preparation of our consolidated financial statements. We evaluate our estimates and judgments, including those described in greater detail below, on an ongoing 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Indefinite-Lived Intangible Asset</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Goodwill and our indefinite-lived intangible asset are reviewed for impairment at least annually in the fourth quarter and more frequently if events or other changes in circumstances indicate the carrying amount of the assets may not be recoverable.</w:t>
      </w:r>
    </w:p>
    <w:p>
      <w:pPr>
        <w:spacing w:after="0" w:line="13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Goodwill</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one operating segment and reporting unit. Accordingly, our review of goodwill impairment indicators is performed at the entity-wide level. In performing each annual impairment assessment and any interim impairment assessment, we determine if we should qualitatively assess whether it is more likely than not the fair value of goodwill is less than its carrying amount (the qualitative impairment test). Some of the factors considered in the assessment include general macroeconomic conditions, conditions specific to the industry and market, cost factors, the overall financial performance and whether there have been sustained declines in our share price. If we conclude it is more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45" w:name="page46"/>
    <w:bookmarkEnd w:id="45"/>
    <w:p>
      <w:pPr>
        <w:jc w:val="both"/>
        <w:ind w:right="20"/>
        <w:spacing w:after="0" w:line="277" w:lineRule="auto"/>
        <w:rPr>
          <w:sz w:val="20"/>
          <w:szCs w:val="20"/>
          <w:color w:val="auto"/>
        </w:rPr>
      </w:pPr>
      <w:r>
        <w:rPr>
          <w:rFonts w:ascii="Arial" w:cs="Arial" w:eastAsia="Arial" w:hAnsi="Arial"/>
          <w:sz w:val="18"/>
          <w:szCs w:val="18"/>
          <w:color w:val="auto"/>
        </w:rPr>
        <w:t>likely than not that the fair value of the reporting unit is less than its carrying amount, or elect not to use the qualitative impairment test, a quantitative impairment test is performed.</w:t>
      </w:r>
    </w:p>
    <w:p>
      <w:pPr>
        <w:spacing w:after="0" w:line="14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use our market capitalization as an indicator of fair value. We believe that since our reporting unit is publicly traded, the ability of a controlling stockholder to benefit from synergies and other intangible assets which arise from control might cause the fair value of our reporting unit as a whole to exceed our market capitalization. However, we believe the fair value measurement need not be based solely on the quoted market price of an individual share of our common stock, but also can consider the impact of a control premium in measuring the fair value of its reporting unit. The control premium utilized is based on control premiums observed in recent acquisitions of entities similar to us which were made on a non-minority basis. Should our market capitalization be less than our total stockholders’ equity as of our annual test date or as of any interim impairment testing date, we also consider market comparables, recent trends in our stock price over a reasonable period and, if appropriate, use an income approach (discounted cash flow) to determine whether the fair value of our reporting unit is greater than our carrying amount. When we use an income approach, we establish a fair value by estimating the present value of our projected future cash flows, adjusted for probabilities of technical success, expected to be generated from our business. The discount rate applied to the projected future cash flows to arrive at the present value is intended to reflect all risks of ownership and the associated risks of realizing the stream of projected future cash flows. Our discounted cash flow methodology considers projections of financial performance for a period of several years combined with an estimated residual value.</w:t>
      </w:r>
    </w:p>
    <w:p>
      <w:pPr>
        <w:spacing w:after="0" w:line="13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elected to perform a quantitative impairment assessment of goodwill for our single reporting unit in the fourth quarter of 2021 due to a sustained decline in our market capitalization, an increase in negative economic outlook for biotech markets and a fourth quarter unfavorable clinical trial result for a competitor’s curative combination therapy for HBV infection. We estimated and reconciled the fair value of our reporting unit using both a market approach, utilizing our market capitalization adjusted for an estimated control premium, and the income approach, discounting future cash flows based on management’s expectations of timelines to complete clinical trials, regulatory and commercial probabilities of technical success as well as future earnings forecast. Before completing our goodwill impairment test, we first tested our indefinite-lived intangible asset then our remaining long-lived assets for impairment. We concluded our indefinite-lived intangible asset was fully impaired and included that impairment within the net carrying value of our reporting unit for purposes of our goodwill impairment test. No impairment was identified for our long-lived assets. We concluded the fair value of our single reporting unit was less than its carrying value and therefore recognized an impairment charge of $12.6 million to write off the entire balance of our goodwill. This was primarily due to an increase in discount rates from the standpoint of a market participant and their views on how such aforementioned events increase the risks associated with the Company. The fair value measurements were primarily based on Level 3 inputs. The calculation of the impairment charge includes substantial fact-based determinations and estimates including discount rates, future revenues, profitability, cash flows, probabilities of technical success, and fair values of assets and liabilities, and any changes to these assumptions could result in changes to the fair value of our single reporting unit. The goodwill impairment charge is reflected in impairment of goodwill and indefinite-lived intangible asset in the consolidated statements of operations and comprehensive loss.</w:t>
      </w:r>
    </w:p>
    <w:p>
      <w:pPr>
        <w:spacing w:after="0" w:line="14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Indefinite-Lived Intangible Asset</w:t>
      </w:r>
    </w:p>
    <w:p>
      <w:pPr>
        <w:spacing w:after="0" w:line="19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indefinite-lived intangible asset consist of in-process research and development (IPR&amp;D) associated with small molecule core inhibitors that directly target and allosterically inhibit core protein functions associated with HBV that were acquired with the acquisition of Assembly Pharmaceuticals, Inc. in 2014. IPR&amp;D represents the fair value assigned to incomplete research projects we acquired through a business combination which, at the time of acquisition, had not reached technological feasibility, regardless of whether they had alternative use. The primary basis for determining the technological feasibility or completion of these projects is obtaining regulatory approval to market the underlying products in an applicable geographic region. We classify in-process research and development acquired in a business combination as an indefinite-lived intangible asset until the completion or abandonment of the associated research and development efforts. Upon completion of the associated research and development efforts, we perform a final test for impairment and will determine the useful life of the technology and begin amortizing the assets to reflect their use over their remaining lives. Upon permanent abandonment, we would write off the remaining carrying amount of the associated IPR&amp;D intangible asset.</w:t>
      </w:r>
    </w:p>
    <w:p>
      <w:pPr>
        <w:spacing w:after="0" w:line="12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performing each annual impairment assessment and any interim impairment assessment, we determine if we should qualitatively assess whether it is more likely than not the fair value of our IPR&amp;D asset is less than its carrying amount (the qualitative impairment test). If we conclude that is the case, or elect not to use qualitative impairment test, we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46" w:name="page47"/>
    <w:bookmarkEnd w:id="46"/>
    <w:p>
      <w:pPr>
        <w:jc w:val="both"/>
        <w:spacing w:after="0" w:line="277" w:lineRule="auto"/>
        <w:rPr>
          <w:sz w:val="20"/>
          <w:szCs w:val="20"/>
          <w:color w:val="auto"/>
        </w:rPr>
      </w:pPr>
      <w:r>
        <w:rPr>
          <w:rFonts w:ascii="Arial" w:cs="Arial" w:eastAsia="Arial" w:hAnsi="Arial"/>
          <w:sz w:val="18"/>
          <w:szCs w:val="18"/>
          <w:color w:val="auto"/>
        </w:rPr>
        <w:t>would proceed with quantitatively determining the fair value of the IPR&amp;D asset and comparing its fair value to its carrying value to determine the amount of impairment, if any (the quantitative impairment test).</w:t>
      </w:r>
    </w:p>
    <w:p>
      <w:pPr>
        <w:spacing w:after="0" w:line="14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performing the qualitative impairment test, we consider the results of the most recent quantitative impairment test and identify the most relevant drivers of the fair value for the IPR&amp;D asset. The most relevant drivers of fair value we have identified are consistent with the assumptions used in the quantitative estimate of the IPR&amp;D asset discussed below. Using these drivers, we identify events and circumstances that may have an effect on the fair value of the IPR&amp;D asset since the last time the IPR&amp;D’s fair value was quantitatively determined. We then weigh these factors to determine and conclude if it is more likely than not the IPR&amp;D asset is impaired. If it is more likely than not the IPR&amp;D asset is impaired, we proceed with quantitatively determining the fair value of the IPR&amp;D asset.</w:t>
      </w:r>
    </w:p>
    <w:p>
      <w:pPr>
        <w:spacing w:after="0" w:line="15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use the income approach to determine the fair value of our IPR&amp;D asset. This approach calculates fair value by estimating the after-tax, probability of technical success adjusted, cash flows attributable to an in-process project over its useful life and then discounting these after-tax cash flows back to a present value. This estimate includes significant assumptions regarding the estimates market participants would make in evaluating the IPR&amp;D asset, including the probability of successfully completing clinical trials and obtaining regulatory approval to market the IPR&amp;D asset, the timing of and the expected costs to complete IPR&amp;D projects, future net cash flows from potential drug sales, which are based on estimates of the sales price of the drug, the number of patients who will be diagnosed and treated and our competitive position in the marketplace, and appropriate discount and income tax rates. The fair value of our IPR&amp;D asset could vary based on the significant assumptions described. Any impairment to be recorded is calculated as the difference between the fair value of the IPR&amp;D asset as of the date of the assessment with the carrying value of the IPR&amp;D asset on our consolidated balance sheet.</w:t>
      </w:r>
    </w:p>
    <w:p>
      <w:pPr>
        <w:spacing w:after="0" w:line="1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During the fourth quarter of 2021 and prior to the goodwill impairment test, we also completed a quantitative impairment test for our IPR&amp;D asset associated with the Assembly Pharmaceuticals, Inc. acquisition. We utilized the discounted cash flow model of the income approach and determined the carrying value of our IPR&amp;D asset was fully impaired resulting in an impairment charge of $29.0 million. This was primarily driven by a higher discount rate applied to future cash flows based on a market participant’s view of increased risk associated with a negative economic outlook for biotech markets and a fourth quarter unfavorable clinical trial result for a competitor’s curative combination therapy for HBV infection. The fair value measurements were primarily based on Level 3 inputs. Some of the more significant assumptions inherent in the development of the model included the estimated annual cash flows, particularly net revenues, the appropriate discount rate to select in order to measure the risk inherent in the future cash flows, cost to complete the IPR&amp;D project as well as other factors. The impairment charge recorded is reflected in impairment of goodwill and indefinite-lived intangible asset in the consolidated statements of operations and comprehensive loss.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 and Accruals</w:t>
      </w:r>
    </w:p>
    <w:p>
      <w:pPr>
        <w:spacing w:after="0" w:line="18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Research and development costs include personnel-related costs, outside contracted services including clinical study costs, facilities costs, fees paid to consultants, milestone payments prior to FDA approval, license fees prior to FDA approval, professional services, travel costs, dues and subscriptions, depreciation and materials used in clinical trials as well as research and development and costs incurred under our collaboration agreements.</w:t>
      </w:r>
    </w:p>
    <w:p>
      <w:pPr>
        <w:spacing w:after="0" w:line="10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part of the process of preparing our consolidated financial statements, we are required to estimate certain research and development expenses. This process involves reviewing quotations and contracts, reviewing the terms of our license agreements, communicating with our vendors and applicable personnel to identify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Payments made prior to the receipt of goods or services to be used in research and development are capitalized until the goods or services are received. Such payments are evaluated for current or long-term classification based on when they will be realized or consumed. Examples of estimated amortized or accrued research and development expenses include fees to:</w:t>
      </w:r>
    </w:p>
    <w:p>
      <w:pPr>
        <w:spacing w:after="0" w:line="139" w:lineRule="exact"/>
        <w:rPr>
          <w:sz w:val="20"/>
          <w:szCs w:val="20"/>
          <w:color w:val="auto"/>
        </w:rPr>
      </w:pPr>
    </w:p>
    <w:p>
      <w:pPr>
        <w:ind w:left="880" w:hanging="440"/>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CROs and other service providers in connection with clinical studies;</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CMOs in connection with the production of clinical trial materials; and</w:t>
      </w:r>
    </w:p>
    <w:p>
      <w:pPr>
        <w:spacing w:after="0" w:line="184" w:lineRule="exact"/>
        <w:rPr>
          <w:rFonts w:ascii="Arial" w:cs="Arial" w:eastAsia="Arial" w:hAnsi="Arial"/>
          <w:sz w:val="18"/>
          <w:szCs w:val="18"/>
          <w:color w:val="auto"/>
        </w:rPr>
      </w:pPr>
    </w:p>
    <w:p>
      <w:pPr>
        <w:ind w:left="880" w:hanging="440"/>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vendors in connection with preclinical development activities.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47" w:name="page48"/>
    <w:bookmarkEnd w:id="47"/>
    <w:p>
      <w:pPr>
        <w:jc w:val="both"/>
        <w:spacing w:after="0" w:line="290" w:lineRule="auto"/>
        <w:rPr>
          <w:sz w:val="20"/>
          <w:szCs w:val="20"/>
          <w:color w:val="auto"/>
        </w:rPr>
      </w:pPr>
      <w:r>
        <w:rPr>
          <w:rFonts w:ascii="Arial" w:cs="Arial" w:eastAsia="Arial" w:hAnsi="Arial"/>
          <w:sz w:val="16"/>
          <w:szCs w:val="16"/>
          <w:color w:val="auto"/>
        </w:rPr>
        <w:t>We base our expenses related to clinical studies on our estimates of the services received and efforts expended pursuant to contracts with multiple research institutions and contract research organizations that conduct and manage clinical studies on our behalf. The financial terms of these agreements are subject to negotiation, vary from contract to contract and may result in uneven payment flows and expense recognition. Payments under some of these contracts depend on factors such as the successful enrollment of patients and the completion of clinical trial milestones. In either amortizing or accruing service fees, we estimate the time period over which services will be performed and the level of effort to be expended in each period. If the actual timing of the performance of services or the level of effort varies from our estimate, we adjust the related prepayment or accrual accordingly. Our understanding of the status and timing of services performed relative to the actual status and timing of services performed may vary and may result in our reporting changes in estimates in any particular period. Adjustments to prior period estimates have not been material for the years ended December 31, 2021 and 2020.</w:t>
      </w:r>
    </w:p>
    <w:p>
      <w:pPr>
        <w:spacing w:after="0" w:line="13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have and may continue to enter into license agreements to access and utilize certain technology. In each case, we evaluate if the license agreement results in the acquisition of an asset or a business. To date, none of our license agreements have been considered to be acquisitions of businesses. For asset acquisitions, the upfront payments to acquire such licenses, as well as any future milestone payments, are immediately recognized as research and development expense when paid, provided there is no alternative future use of the rights in other research and development projects. These license agreements may also include contingent consideration in the form of cash payments to be made for future milestone events. We assess whether such contingent consideration meets the definition of a derivative and to date we have determined that such contingent consideration are not derivatives.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9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At December 31, 2021, we had an accumulated deficit of $631.4 million primarily as a result of research and development expenses and general and administrative expenses. While we may in the future generate revenue from a variety of sources, including license fees, milestone payments, research and development payments in connection with strategic partnerships and/or product sales, our product candidates are in the clinical stage of development or in varying stages of nonclinical development and may never be successfully developed or commercialized. Accordingly, we expect to continue to incur substantial losses from operations for the foreseeable future and there can be no assurance that we will ever generate significant revenues.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2021 and 2020</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Collaboration Revenue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period-over-period changes in our collaboration revenue (in thousands, except for percentages):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80" w:type="dxa"/>
            <w:vAlign w:val="bottom"/>
          </w:tcPr>
          <w:p>
            <w:pPr>
              <w:spacing w:after="0"/>
              <w:rPr>
                <w:sz w:val="14"/>
                <w:szCs w:val="14"/>
                <w:color w:val="auto"/>
              </w:rPr>
            </w:pPr>
          </w:p>
        </w:tc>
        <w:tc>
          <w:tcPr>
            <w:tcW w:w="2580" w:type="dxa"/>
            <w:vAlign w:val="bottom"/>
            <w:tcBorders>
              <w:bottom w:val="single" w:sz="8" w:color="auto"/>
            </w:tcBorders>
            <w:gridSpan w:val="4"/>
          </w:tcPr>
          <w:p>
            <w:pPr>
              <w:jc w:val="right"/>
              <w:ind w:right="139"/>
              <w:spacing w:after="0"/>
              <w:rPr>
                <w:sz w:val="20"/>
                <w:szCs w:val="20"/>
                <w:color w:val="auto"/>
              </w:rPr>
            </w:pPr>
            <w:r>
              <w:rPr>
                <w:rFonts w:ascii="Arial" w:cs="Arial" w:eastAsia="Arial" w:hAnsi="Arial"/>
                <w:sz w:val="14"/>
                <w:szCs w:val="14"/>
                <w:b w:val="1"/>
                <w:bCs w:val="1"/>
                <w:color w:val="auto"/>
              </w:rPr>
              <w:t>Year Ended December 31,</w:t>
            </w:r>
          </w:p>
        </w:tc>
        <w:tc>
          <w:tcPr>
            <w:tcW w:w="5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 Change</w:t>
            </w:r>
          </w:p>
        </w:tc>
        <w:tc>
          <w:tcPr>
            <w:tcW w:w="15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 Change</w:t>
            </w:r>
          </w:p>
        </w:tc>
      </w:tr>
      <w:tr>
        <w:trPr>
          <w:trHeight w:val="155"/>
        </w:trPr>
        <w:tc>
          <w:tcPr>
            <w:tcW w:w="4780" w:type="dxa"/>
            <w:vAlign w:val="bottom"/>
            <w:tcBorders>
              <w:bottom w:val="single" w:sz="8" w:color="CCECFF"/>
            </w:tcBorders>
          </w:tcPr>
          <w:p>
            <w:pPr>
              <w:spacing w:after="0"/>
              <w:rPr>
                <w:sz w:val="13"/>
                <w:szCs w:val="13"/>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3"/>
                <w:szCs w:val="13"/>
                <w:color w:val="auto"/>
              </w:rPr>
            </w:pPr>
          </w:p>
        </w:tc>
        <w:tc>
          <w:tcPr>
            <w:tcW w:w="260" w:type="dxa"/>
            <w:vAlign w:val="bottom"/>
            <w:tcBorders>
              <w:bottom w:val="single" w:sz="8" w:color="CCECFF"/>
            </w:tcBorders>
          </w:tcPr>
          <w:p>
            <w:pPr>
              <w:spacing w:after="0"/>
              <w:rPr>
                <w:sz w:val="13"/>
                <w:szCs w:val="13"/>
                <w:color w:val="auto"/>
              </w:rPr>
            </w:pP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3"/>
                <w:szCs w:val="13"/>
                <w:color w:val="auto"/>
              </w:rPr>
            </w:pPr>
          </w:p>
        </w:tc>
        <w:tc>
          <w:tcPr>
            <w:tcW w:w="260" w:type="dxa"/>
            <w:vAlign w:val="bottom"/>
            <w:tcBorders>
              <w:bottom w:val="single" w:sz="8" w:color="CCEC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right="102"/>
              <w:spacing w:after="0" w:line="155" w:lineRule="exact"/>
              <w:rPr>
                <w:sz w:val="20"/>
                <w:szCs w:val="20"/>
                <w:color w:val="auto"/>
              </w:rPr>
            </w:pPr>
            <w:r>
              <w:rPr>
                <w:rFonts w:ascii="Arial" w:cs="Arial" w:eastAsia="Arial" w:hAnsi="Arial"/>
                <w:sz w:val="14"/>
                <w:szCs w:val="14"/>
                <w:b w:val="1"/>
                <w:bCs w:val="1"/>
                <w:color w:val="auto"/>
                <w:w w:val="89"/>
              </w:rPr>
              <w:t>2021 vs. 2020</w:t>
            </w:r>
          </w:p>
        </w:tc>
        <w:tc>
          <w:tcPr>
            <w:tcW w:w="260" w:type="dxa"/>
            <w:vAlign w:val="bottom"/>
            <w:tcBorders>
              <w:bottom w:val="single" w:sz="8" w:color="CCECFF"/>
            </w:tcBorders>
          </w:tcPr>
          <w:p>
            <w:pPr>
              <w:spacing w:after="0"/>
              <w:rPr>
                <w:sz w:val="13"/>
                <w:szCs w:val="13"/>
                <w:color w:val="auto"/>
              </w:rPr>
            </w:pPr>
          </w:p>
        </w:tc>
        <w:tc>
          <w:tcPr>
            <w:tcW w:w="130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89"/>
              </w:rPr>
              <w:t>2021 vs. 2020</w:t>
            </w:r>
          </w:p>
        </w:tc>
        <w:tc>
          <w:tcPr>
            <w:tcW w:w="220" w:type="dxa"/>
            <w:vAlign w:val="bottom"/>
            <w:tcBorders>
              <w:bottom w:val="single" w:sz="8" w:color="CCECFF"/>
            </w:tcBorders>
          </w:tcPr>
          <w:p>
            <w:pPr>
              <w:spacing w:after="0"/>
              <w:rPr>
                <w:sz w:val="13"/>
                <w:szCs w:val="13"/>
                <w:color w:val="auto"/>
              </w:rPr>
            </w:pPr>
          </w:p>
        </w:tc>
      </w:tr>
      <w:tr>
        <w:trPr>
          <w:trHeight w:val="223"/>
        </w:trPr>
        <w:tc>
          <w:tcPr>
            <w:tcW w:w="4780" w:type="dxa"/>
            <w:vAlign w:val="bottom"/>
            <w:shd w:val="clear" w:color="auto" w:fill="CCECFF"/>
          </w:tcPr>
          <w:p>
            <w:pPr>
              <w:spacing w:after="0"/>
              <w:rPr>
                <w:sz w:val="20"/>
                <w:szCs w:val="20"/>
                <w:color w:val="auto"/>
              </w:rPr>
            </w:pPr>
            <w:r>
              <w:rPr>
                <w:rFonts w:ascii="Arial" w:cs="Arial" w:eastAsia="Arial" w:hAnsi="Arial"/>
                <w:sz w:val="18"/>
                <w:szCs w:val="18"/>
                <w:color w:val="auto"/>
              </w:rPr>
              <w:t>Collaboration revenue</w:t>
            </w:r>
          </w:p>
        </w:tc>
        <w:tc>
          <w:tcPr>
            <w:tcW w:w="920" w:type="dxa"/>
            <w:vAlign w:val="bottom"/>
            <w:shd w:val="clear" w:color="auto" w:fill="CCECFF"/>
          </w:tcPr>
          <w:p>
            <w:pPr>
              <w:jc w:val="right"/>
              <w:ind w:right="742"/>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6,254</w:t>
            </w:r>
          </w:p>
        </w:tc>
        <w:tc>
          <w:tcPr>
            <w:tcW w:w="260" w:type="dxa"/>
            <w:vAlign w:val="bottom"/>
            <w:shd w:val="clear" w:color="auto" w:fill="CCECFF"/>
          </w:tcPr>
          <w:p>
            <w:pPr>
              <w:spacing w:after="0"/>
              <w:rPr>
                <w:sz w:val="19"/>
                <w:szCs w:val="19"/>
                <w:color w:val="auto"/>
              </w:rPr>
            </w:pPr>
          </w:p>
        </w:tc>
        <w:tc>
          <w:tcPr>
            <w:tcW w:w="900" w:type="dxa"/>
            <w:vAlign w:val="bottom"/>
            <w:shd w:val="clear" w:color="auto" w:fill="CCECFF"/>
          </w:tcPr>
          <w:p>
            <w:pPr>
              <w:jc w:val="right"/>
              <w:ind w:right="719"/>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CFF"/>
          </w:tcPr>
          <w:p>
            <w:pPr>
              <w:jc w:val="right"/>
              <w:spacing w:after="0"/>
              <w:rPr>
                <w:sz w:val="20"/>
                <w:szCs w:val="20"/>
                <w:color w:val="auto"/>
              </w:rPr>
            </w:pPr>
            <w:r>
              <w:rPr>
                <w:rFonts w:ascii="Arial" w:cs="Arial" w:eastAsia="Arial" w:hAnsi="Arial"/>
                <w:sz w:val="18"/>
                <w:szCs w:val="18"/>
                <w:color w:val="auto"/>
                <w:w w:val="94"/>
              </w:rPr>
              <w:t>79,105</w:t>
            </w:r>
          </w:p>
        </w:tc>
        <w:tc>
          <w:tcPr>
            <w:tcW w:w="260" w:type="dxa"/>
            <w:vAlign w:val="bottom"/>
            <w:shd w:val="clear" w:color="auto" w:fill="CCECFF"/>
          </w:tcPr>
          <w:p>
            <w:pPr>
              <w:spacing w:after="0"/>
              <w:rPr>
                <w:sz w:val="19"/>
                <w:szCs w:val="19"/>
                <w:color w:val="auto"/>
              </w:rPr>
            </w:pPr>
          </w:p>
        </w:tc>
        <w:tc>
          <w:tcPr>
            <w:tcW w:w="160" w:type="dxa"/>
            <w:vAlign w:val="bottom"/>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(72,851)</w:t>
            </w:r>
          </w:p>
        </w:tc>
        <w:tc>
          <w:tcPr>
            <w:tcW w:w="260" w:type="dxa"/>
            <w:vAlign w:val="bottom"/>
            <w:shd w:val="clear" w:color="auto" w:fill="CCECFF"/>
          </w:tcPr>
          <w:p>
            <w:pPr>
              <w:spacing w:after="0"/>
              <w:rPr>
                <w:sz w:val="19"/>
                <w:szCs w:val="19"/>
                <w:color w:val="auto"/>
              </w:rPr>
            </w:pPr>
          </w:p>
        </w:tc>
        <w:tc>
          <w:tcPr>
            <w:tcW w:w="1520" w:type="dxa"/>
            <w:vAlign w:val="bottom"/>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(92%)</w:t>
            </w:r>
          </w:p>
        </w:tc>
      </w:tr>
    </w:tbl>
    <w:p>
      <w:pPr>
        <w:spacing w:after="0" w:line="16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Collaboration revenue for the year ended December 31, 2021 consists of the recognition of deferred revenue allocated to 2158 under the BeiGene Agreement upon discontinuing development of 2158. Collaboration revenue for the year ended December 31, 2020 consists of $31.0 million recognized for the transfer of the VBR License upon entering into the BeiGene Agreement and the remaining deferred revenue balance of $37.0 million and reimbursements incurred under the Allergan Agreement, for which AbbVie Inc. (formerly Allergan) gave written notice of termination in June 2020 following its acquisition of Allergan.</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Research and Development Expense</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period-over-period changes in our research and development expenses (in thousands, except for percentages):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40" w:type="dxa"/>
            <w:vAlign w:val="bottom"/>
            <w:vMerge w:val="restart"/>
          </w:tcPr>
          <w:p>
            <w:pPr>
              <w:spacing w:after="0"/>
              <w:rPr>
                <w:sz w:val="20"/>
                <w:szCs w:val="20"/>
                <w:color w:val="auto"/>
              </w:rPr>
            </w:pPr>
            <w:r>
              <w:rPr>
                <w:rFonts w:ascii="Arial" w:cs="Arial" w:eastAsia="Arial" w:hAnsi="Arial"/>
                <w:sz w:val="18"/>
                <w:szCs w:val="18"/>
                <w:b w:val="1"/>
                <w:bCs w:val="1"/>
                <w:color w:val="auto"/>
              </w:rPr>
              <w:t>Program/Description</w:t>
            </w:r>
          </w:p>
        </w:tc>
        <w:tc>
          <w:tcPr>
            <w:tcW w:w="220" w:type="dxa"/>
            <w:vAlign w:val="bottom"/>
            <w:vMerge w:val="restart"/>
          </w:tcPr>
          <w:p>
            <w:pPr>
              <w:spacing w:after="0"/>
              <w:rPr>
                <w:sz w:val="14"/>
                <w:szCs w:val="14"/>
                <w:color w:val="auto"/>
              </w:rPr>
            </w:pPr>
          </w:p>
        </w:tc>
        <w:tc>
          <w:tcPr>
            <w:tcW w:w="320" w:type="dxa"/>
            <w:vAlign w:val="bottom"/>
          </w:tcPr>
          <w:p>
            <w:pPr>
              <w:spacing w:after="0"/>
              <w:rPr>
                <w:sz w:val="14"/>
                <w:szCs w:val="14"/>
                <w:color w:val="auto"/>
              </w:rPr>
            </w:pPr>
          </w:p>
        </w:tc>
        <w:tc>
          <w:tcPr>
            <w:tcW w:w="3080" w:type="dxa"/>
            <w:vAlign w:val="bottom"/>
            <w:gridSpan w:val="6"/>
          </w:tcPr>
          <w:p>
            <w:pPr>
              <w:ind w:left="440"/>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Pr>
          <w:p>
            <w:pPr>
              <w:spacing w:after="0"/>
              <w:rPr>
                <w:sz w:val="14"/>
                <w:szCs w:val="14"/>
                <w:color w:val="auto"/>
              </w:rPr>
            </w:pPr>
          </w:p>
        </w:tc>
        <w:tc>
          <w:tcPr>
            <w:tcW w:w="14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 Change</w:t>
            </w:r>
          </w:p>
        </w:tc>
        <w:tc>
          <w:tcPr>
            <w:tcW w:w="15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223"/>
        </w:trPr>
        <w:tc>
          <w:tcPr>
            <w:tcW w:w="454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CCECFF"/>
            </w:tcBorders>
            <w:vMerge w:val="continue"/>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CCECFF"/>
            </w:tcBorders>
          </w:tcPr>
          <w:p>
            <w:pPr>
              <w:spacing w:after="0"/>
              <w:rPr>
                <w:sz w:val="19"/>
                <w:szCs w:val="19"/>
                <w:color w:val="auto"/>
              </w:rPr>
            </w:pPr>
          </w:p>
        </w:tc>
        <w:tc>
          <w:tcPr>
            <w:tcW w:w="140" w:type="dxa"/>
            <w:vAlign w:val="bottom"/>
            <w:tcBorders>
              <w:top w:val="single" w:sz="8" w:color="auto"/>
              <w:bottom w:val="single" w:sz="8" w:color="CCEC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CEC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w w:val="96"/>
              </w:rPr>
              <w:t>2021 vs. 2020</w:t>
            </w:r>
          </w:p>
        </w:tc>
        <w:tc>
          <w:tcPr>
            <w:tcW w:w="260" w:type="dxa"/>
            <w:vAlign w:val="bottom"/>
            <w:tcBorders>
              <w:bottom w:val="single" w:sz="8" w:color="CCECFF"/>
            </w:tcBorders>
          </w:tcPr>
          <w:p>
            <w:pPr>
              <w:spacing w:after="0"/>
              <w:rPr>
                <w:sz w:val="19"/>
                <w:szCs w:val="19"/>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 vs. 2020</w:t>
            </w:r>
          </w:p>
        </w:tc>
        <w:tc>
          <w:tcPr>
            <w:tcW w:w="220" w:type="dxa"/>
            <w:vAlign w:val="bottom"/>
            <w:tcBorders>
              <w:bottom w:val="single" w:sz="8" w:color="CCEC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40" w:type="dxa"/>
            <w:vAlign w:val="bottom"/>
            <w:shd w:val="clear" w:color="auto" w:fill="CCECFF"/>
          </w:tcPr>
          <w:p>
            <w:pPr>
              <w:spacing w:after="0"/>
              <w:rPr>
                <w:sz w:val="20"/>
                <w:szCs w:val="20"/>
                <w:color w:val="auto"/>
              </w:rPr>
            </w:pPr>
            <w:r>
              <w:rPr>
                <w:rFonts w:ascii="Arial" w:cs="Arial" w:eastAsia="Arial" w:hAnsi="Arial"/>
                <w:sz w:val="18"/>
                <w:szCs w:val="18"/>
                <w:color w:val="auto"/>
              </w:rPr>
              <w:t>HBV program</w:t>
            </w:r>
          </w:p>
        </w:tc>
        <w:tc>
          <w:tcPr>
            <w:tcW w:w="220" w:type="dxa"/>
            <w:vAlign w:val="bottom"/>
            <w:shd w:val="clear" w:color="auto" w:fill="CCECFF"/>
          </w:tcPr>
          <w:p>
            <w:pPr>
              <w:spacing w:after="0"/>
              <w:rPr>
                <w:sz w:val="19"/>
                <w:szCs w:val="19"/>
                <w:color w:val="auto"/>
              </w:rPr>
            </w:pPr>
          </w:p>
        </w:tc>
        <w:tc>
          <w:tcPr>
            <w:tcW w:w="320" w:type="dxa"/>
            <w:vAlign w:val="bottom"/>
            <w:shd w:val="clear" w:color="auto" w:fill="CCEC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72,616</w:t>
            </w:r>
          </w:p>
        </w:tc>
        <w:tc>
          <w:tcPr>
            <w:tcW w:w="180" w:type="dxa"/>
            <w:vAlign w:val="bottom"/>
            <w:shd w:val="clear" w:color="auto" w:fill="CCECFF"/>
          </w:tcPr>
          <w:p>
            <w:pPr>
              <w:spacing w:after="0"/>
              <w:rPr>
                <w:sz w:val="19"/>
                <w:szCs w:val="19"/>
                <w:color w:val="auto"/>
              </w:rPr>
            </w:pPr>
          </w:p>
        </w:tc>
        <w:tc>
          <w:tcPr>
            <w:tcW w:w="140" w:type="dxa"/>
            <w:vAlign w:val="bottom"/>
            <w:shd w:val="clear" w:color="auto" w:fill="CCECFF"/>
          </w:tcPr>
          <w:p>
            <w:pPr>
              <w:spacing w:after="0"/>
              <w:rPr>
                <w:sz w:val="19"/>
                <w:szCs w:val="19"/>
                <w:color w:val="auto"/>
              </w:rPr>
            </w:pPr>
          </w:p>
        </w:tc>
        <w:tc>
          <w:tcPr>
            <w:tcW w:w="320" w:type="dxa"/>
            <w:vAlign w:val="bottom"/>
            <w:shd w:val="clear" w:color="auto" w:fill="CCECFF"/>
          </w:tcPr>
          <w:p>
            <w:pPr>
              <w:jc w:val="right"/>
              <w:ind w:right="16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71,957</w:t>
            </w:r>
          </w:p>
        </w:tc>
        <w:tc>
          <w:tcPr>
            <w:tcW w:w="260" w:type="dxa"/>
            <w:vAlign w:val="bottom"/>
            <w:shd w:val="clear" w:color="auto" w:fill="CCECFF"/>
          </w:tcPr>
          <w:p>
            <w:pPr>
              <w:spacing w:after="0"/>
              <w:rPr>
                <w:sz w:val="19"/>
                <w:szCs w:val="19"/>
                <w:color w:val="auto"/>
              </w:rPr>
            </w:pPr>
          </w:p>
        </w:tc>
        <w:tc>
          <w:tcPr>
            <w:tcW w:w="160" w:type="dxa"/>
            <w:vAlign w:val="bottom"/>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659</w:t>
            </w:r>
          </w:p>
        </w:tc>
        <w:tc>
          <w:tcPr>
            <w:tcW w:w="260" w:type="dxa"/>
            <w:vAlign w:val="bottom"/>
            <w:shd w:val="clear" w:color="auto" w:fill="CCECFF"/>
          </w:tcPr>
          <w:p>
            <w:pPr>
              <w:spacing w:after="0"/>
              <w:rPr>
                <w:sz w:val="19"/>
                <w:szCs w:val="19"/>
                <w:color w:val="auto"/>
              </w:rPr>
            </w:pPr>
          </w:p>
        </w:tc>
        <w:tc>
          <w:tcPr>
            <w:tcW w:w="1520" w:type="dxa"/>
            <w:vAlign w:val="bottom"/>
            <w:gridSpan w:val="2"/>
            <w:shd w:val="clear" w:color="auto" w:fill="CCECFF"/>
          </w:tcPr>
          <w:p>
            <w:pPr>
              <w:jc w:val="right"/>
              <w:ind w:right="8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4760" w:type="dxa"/>
            <w:vAlign w:val="bottom"/>
            <w:gridSpan w:val="2"/>
          </w:tcPr>
          <w:p>
            <w:pPr>
              <w:spacing w:after="0"/>
              <w:rPr>
                <w:sz w:val="20"/>
                <w:szCs w:val="20"/>
                <w:color w:val="auto"/>
              </w:rPr>
            </w:pPr>
            <w:r>
              <w:rPr>
                <w:rFonts w:ascii="Arial" w:cs="Arial" w:eastAsia="Arial" w:hAnsi="Arial"/>
                <w:sz w:val="18"/>
                <w:szCs w:val="18"/>
                <w:color w:val="auto"/>
              </w:rPr>
              <w:t>Microbiome program</w:t>
            </w:r>
          </w:p>
        </w:tc>
        <w:tc>
          <w:tcPr>
            <w:tcW w:w="32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(4,092)</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34,866</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(38,958)</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23"/>
        </w:trPr>
        <w:tc>
          <w:tcPr>
            <w:tcW w:w="4760" w:type="dxa"/>
            <w:vAlign w:val="bottom"/>
            <w:tcBorders>
              <w:top w:val="single" w:sz="8" w:color="CCECFF"/>
              <w:bottom w:val="single" w:sz="8" w:color="CCECFF"/>
            </w:tcBorders>
            <w:gridSpan w:val="2"/>
            <w:shd w:val="clear" w:color="auto" w:fill="CCECFF"/>
          </w:tcPr>
          <w:p>
            <w:pPr>
              <w:spacing w:after="0"/>
              <w:rPr>
                <w:sz w:val="20"/>
                <w:szCs w:val="20"/>
                <w:color w:val="auto"/>
              </w:rPr>
            </w:pPr>
            <w:r>
              <w:rPr>
                <w:rFonts w:ascii="Arial" w:cs="Arial" w:eastAsia="Arial" w:hAnsi="Arial"/>
                <w:sz w:val="18"/>
                <w:szCs w:val="18"/>
                <w:color w:val="auto"/>
              </w:rPr>
              <w:t>Total research and development expenses</w:t>
            </w:r>
          </w:p>
        </w:tc>
        <w:tc>
          <w:tcPr>
            <w:tcW w:w="320" w:type="dxa"/>
            <w:vAlign w:val="bottom"/>
            <w:tcBorders>
              <w:top w:val="single" w:sz="8" w:color="auto"/>
              <w:bottom w:val="single" w:sz="8" w:color="auto"/>
            </w:tcBorders>
            <w:shd w:val="clear" w:color="auto" w:fill="CCEC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68,524</w:t>
            </w:r>
          </w:p>
        </w:tc>
        <w:tc>
          <w:tcPr>
            <w:tcW w:w="180" w:type="dxa"/>
            <w:vAlign w:val="bottom"/>
            <w:tcBorders>
              <w:top w:val="single" w:sz="8" w:color="CCECFF"/>
              <w:bottom w:val="single" w:sz="8" w:color="CCECFF"/>
            </w:tcBorders>
            <w:shd w:val="clear" w:color="auto" w:fill="CCECFF"/>
          </w:tcPr>
          <w:p>
            <w:pPr>
              <w:spacing w:after="0"/>
              <w:rPr>
                <w:sz w:val="19"/>
                <w:szCs w:val="19"/>
                <w:color w:val="auto"/>
              </w:rPr>
            </w:pPr>
          </w:p>
        </w:tc>
        <w:tc>
          <w:tcPr>
            <w:tcW w:w="140" w:type="dxa"/>
            <w:vAlign w:val="bottom"/>
            <w:tcBorders>
              <w:top w:val="single" w:sz="8" w:color="CCECFF"/>
              <w:bottom w:val="single" w:sz="8" w:color="CCECFF"/>
            </w:tcBorders>
            <w:shd w:val="clear" w:color="auto" w:fill="CCECFF"/>
          </w:tcPr>
          <w:p>
            <w:pPr>
              <w:spacing w:after="0"/>
              <w:rPr>
                <w:sz w:val="19"/>
                <w:szCs w:val="19"/>
                <w:color w:val="auto"/>
              </w:rPr>
            </w:pPr>
          </w:p>
        </w:tc>
        <w:tc>
          <w:tcPr>
            <w:tcW w:w="320" w:type="dxa"/>
            <w:vAlign w:val="bottom"/>
            <w:tcBorders>
              <w:top w:val="single" w:sz="8" w:color="auto"/>
              <w:bottom w:val="single" w:sz="8" w:color="auto"/>
            </w:tcBorders>
            <w:shd w:val="clear" w:color="auto" w:fill="CCECFF"/>
          </w:tcPr>
          <w:p>
            <w:pPr>
              <w:jc w:val="right"/>
              <w:ind w:right="16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106,823</w:t>
            </w:r>
          </w:p>
        </w:tc>
        <w:tc>
          <w:tcPr>
            <w:tcW w:w="260" w:type="dxa"/>
            <w:vAlign w:val="bottom"/>
            <w:tcBorders>
              <w:top w:val="single" w:sz="8" w:color="CCECFF"/>
              <w:bottom w:val="single" w:sz="8" w:color="CCECFF"/>
            </w:tcBorders>
            <w:shd w:val="clear" w:color="auto" w:fill="CCECFF"/>
          </w:tcPr>
          <w:p>
            <w:pPr>
              <w:spacing w:after="0"/>
              <w:rPr>
                <w:sz w:val="19"/>
                <w:szCs w:val="19"/>
                <w:color w:val="auto"/>
              </w:rPr>
            </w:pPr>
          </w:p>
        </w:tc>
        <w:tc>
          <w:tcPr>
            <w:tcW w:w="1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(38,299)</w:t>
            </w:r>
          </w:p>
        </w:tc>
        <w:tc>
          <w:tcPr>
            <w:tcW w:w="260" w:type="dxa"/>
            <w:vAlign w:val="bottom"/>
            <w:tcBorders>
              <w:top w:val="single" w:sz="8" w:color="CCECFF"/>
              <w:bottom w:val="single" w:sz="8" w:color="CCECFF"/>
            </w:tcBorders>
            <w:shd w:val="clear" w:color="auto" w:fill="CCECFF"/>
          </w:tcPr>
          <w:p>
            <w:pPr>
              <w:spacing w:after="0"/>
              <w:rPr>
                <w:sz w:val="19"/>
                <w:szCs w:val="19"/>
                <w:color w:val="auto"/>
              </w:rPr>
            </w:pPr>
          </w:p>
        </w:tc>
        <w:tc>
          <w:tcPr>
            <w:tcW w:w="1520" w:type="dxa"/>
            <w:vAlign w:val="bottom"/>
            <w:tcBorders>
              <w:top w:val="single" w:sz="8" w:color="CCECFF"/>
              <w:bottom w:val="single" w:sz="8" w:color="CCECFF"/>
            </w:tcBorders>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ind w:left="460"/>
              <w:spacing w:after="0"/>
              <w:rPr>
                <w:sz w:val="20"/>
                <w:szCs w:val="20"/>
                <w:color w:val="auto"/>
              </w:rPr>
            </w:pPr>
            <w:r>
              <w:rPr>
                <w:rFonts w:ascii="Arial" w:cs="Arial" w:eastAsia="Arial" w:hAnsi="Arial"/>
                <w:sz w:val="18"/>
                <w:szCs w:val="18"/>
                <w:color w:val="auto"/>
              </w:rPr>
              <w:t>45</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48" w:name="page49"/>
    <w:bookmarkEnd w:id="48"/>
    <w:p>
      <w:pPr>
        <w:jc w:val="both"/>
        <w:ind w:right="40"/>
        <w:spacing w:after="0" w:line="290" w:lineRule="auto"/>
        <w:rPr>
          <w:sz w:val="20"/>
          <w:szCs w:val="20"/>
          <w:color w:val="auto"/>
        </w:rPr>
      </w:pPr>
      <w:r>
        <w:rPr>
          <w:rFonts w:ascii="Arial" w:cs="Arial" w:eastAsia="Arial" w:hAnsi="Arial"/>
          <w:sz w:val="16"/>
          <w:szCs w:val="16"/>
          <w:color w:val="auto"/>
        </w:rPr>
        <w:t>Research and development expenses were $68.5 million for the year ended December 31, 2021 compared to $106.8 million for the year ended December 31, 2020. The $38.3 million decrease in research and development expenses was primarily related to the wind-down of the Microbiome program and includes a $3.0 million gain on the sale of Microbiome assets. The decrease was partially offset by an increase of $0.7 million in research and development expenses related to the HBV program, which were primarily due to increases in clinical activities, chemistry and manufacturing control activities to support clinical development of our compounds and increased salary and benefits due to our hiring of additional employees. Research and development expenses include stock-based compensation expenses of $0.5 million and $11.4 million for the years ended December 31, 2021 and 2020, respectively. The decrease in stock-based compensation expense is primarily due to a decrease in the grant date fair value of stock option awards and reversals of $4.8 million of previously recognized stock-based compensation expense related to awards forfeited by terminated employees.</w:t>
      </w:r>
    </w:p>
    <w:p>
      <w:pPr>
        <w:spacing w:after="0" w:line="12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General and Administrative Expense</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period-over-period change in our general and administrative expenses (in thousands, except for percentages):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80" w:type="dxa"/>
            <w:vAlign w:val="bottom"/>
          </w:tcPr>
          <w:p>
            <w:pPr>
              <w:spacing w:after="0"/>
              <w:rPr>
                <w:sz w:val="14"/>
                <w:szCs w:val="14"/>
                <w:color w:val="auto"/>
              </w:rPr>
            </w:pPr>
          </w:p>
        </w:tc>
        <w:tc>
          <w:tcPr>
            <w:tcW w:w="2580" w:type="dxa"/>
            <w:vAlign w:val="bottom"/>
            <w:tcBorders>
              <w:bottom w:val="single" w:sz="8" w:color="auto"/>
            </w:tcBorders>
            <w:gridSpan w:val="4"/>
          </w:tcPr>
          <w:p>
            <w:pPr>
              <w:jc w:val="right"/>
              <w:ind w:right="139"/>
              <w:spacing w:after="0"/>
              <w:rPr>
                <w:sz w:val="20"/>
                <w:szCs w:val="20"/>
                <w:color w:val="auto"/>
              </w:rPr>
            </w:pPr>
            <w:r>
              <w:rPr>
                <w:rFonts w:ascii="Arial" w:cs="Arial" w:eastAsia="Arial" w:hAnsi="Arial"/>
                <w:sz w:val="14"/>
                <w:szCs w:val="14"/>
                <w:b w:val="1"/>
                <w:bCs w:val="1"/>
                <w:color w:val="auto"/>
              </w:rPr>
              <w:t>Year Ended December 31,</w:t>
            </w:r>
          </w:p>
        </w:tc>
        <w:tc>
          <w:tcPr>
            <w:tcW w:w="5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 Change</w:t>
            </w:r>
          </w:p>
        </w:tc>
        <w:tc>
          <w:tcPr>
            <w:tcW w:w="15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 Change</w:t>
            </w:r>
          </w:p>
        </w:tc>
      </w:tr>
      <w:tr>
        <w:trPr>
          <w:trHeight w:val="156"/>
        </w:trPr>
        <w:tc>
          <w:tcPr>
            <w:tcW w:w="4780" w:type="dxa"/>
            <w:vAlign w:val="bottom"/>
            <w:tcBorders>
              <w:bottom w:val="single" w:sz="8" w:color="CCECFF"/>
            </w:tcBorders>
          </w:tcPr>
          <w:p>
            <w:pPr>
              <w:spacing w:after="0"/>
              <w:rPr>
                <w:sz w:val="13"/>
                <w:szCs w:val="13"/>
                <w:color w:val="auto"/>
              </w:rPr>
            </w:pPr>
          </w:p>
        </w:tc>
        <w:tc>
          <w:tcPr>
            <w:tcW w:w="8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3"/>
                <w:szCs w:val="13"/>
                <w:color w:val="auto"/>
              </w:rPr>
            </w:pPr>
          </w:p>
        </w:tc>
        <w:tc>
          <w:tcPr>
            <w:tcW w:w="260" w:type="dxa"/>
            <w:vAlign w:val="bottom"/>
            <w:tcBorders>
              <w:bottom w:val="single" w:sz="8" w:color="CCECFF"/>
            </w:tcBorders>
          </w:tcPr>
          <w:p>
            <w:pPr>
              <w:spacing w:after="0"/>
              <w:rPr>
                <w:sz w:val="13"/>
                <w:szCs w:val="13"/>
                <w:color w:val="auto"/>
              </w:rPr>
            </w:pP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3"/>
                <w:szCs w:val="13"/>
                <w:color w:val="auto"/>
              </w:rPr>
            </w:pPr>
          </w:p>
        </w:tc>
        <w:tc>
          <w:tcPr>
            <w:tcW w:w="260" w:type="dxa"/>
            <w:vAlign w:val="bottom"/>
            <w:tcBorders>
              <w:bottom w:val="single" w:sz="8" w:color="CCEC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right="102"/>
              <w:spacing w:after="0" w:line="155" w:lineRule="exact"/>
              <w:rPr>
                <w:sz w:val="20"/>
                <w:szCs w:val="20"/>
                <w:color w:val="auto"/>
              </w:rPr>
            </w:pPr>
            <w:r>
              <w:rPr>
                <w:rFonts w:ascii="Arial" w:cs="Arial" w:eastAsia="Arial" w:hAnsi="Arial"/>
                <w:sz w:val="14"/>
                <w:szCs w:val="14"/>
                <w:b w:val="1"/>
                <w:bCs w:val="1"/>
                <w:color w:val="auto"/>
                <w:w w:val="89"/>
              </w:rPr>
              <w:t>2021 vs. 2020</w:t>
            </w:r>
          </w:p>
        </w:tc>
        <w:tc>
          <w:tcPr>
            <w:tcW w:w="260" w:type="dxa"/>
            <w:vAlign w:val="bottom"/>
            <w:tcBorders>
              <w:bottom w:val="single" w:sz="8" w:color="CCECFF"/>
            </w:tcBorders>
          </w:tcPr>
          <w:p>
            <w:pPr>
              <w:spacing w:after="0"/>
              <w:rPr>
                <w:sz w:val="13"/>
                <w:szCs w:val="13"/>
                <w:color w:val="auto"/>
              </w:rPr>
            </w:pPr>
          </w:p>
        </w:tc>
        <w:tc>
          <w:tcPr>
            <w:tcW w:w="130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89"/>
              </w:rPr>
              <w:t>2021 vs. 2020</w:t>
            </w:r>
          </w:p>
        </w:tc>
        <w:tc>
          <w:tcPr>
            <w:tcW w:w="220" w:type="dxa"/>
            <w:vAlign w:val="bottom"/>
            <w:tcBorders>
              <w:bottom w:val="single" w:sz="8" w:color="CCECFF"/>
            </w:tcBorders>
          </w:tcPr>
          <w:p>
            <w:pPr>
              <w:spacing w:after="0"/>
              <w:rPr>
                <w:sz w:val="13"/>
                <w:szCs w:val="13"/>
                <w:color w:val="auto"/>
              </w:rPr>
            </w:pPr>
          </w:p>
        </w:tc>
      </w:tr>
      <w:tr>
        <w:trPr>
          <w:trHeight w:val="223"/>
        </w:trPr>
        <w:tc>
          <w:tcPr>
            <w:tcW w:w="4780" w:type="dxa"/>
            <w:vAlign w:val="bottom"/>
            <w:shd w:val="clear" w:color="auto" w:fill="CCECFF"/>
          </w:tcPr>
          <w:p>
            <w:pPr>
              <w:spacing w:after="0"/>
              <w:rPr>
                <w:sz w:val="20"/>
                <w:szCs w:val="20"/>
                <w:color w:val="auto"/>
              </w:rPr>
            </w:pPr>
            <w:r>
              <w:rPr>
                <w:rFonts w:ascii="Arial" w:cs="Arial" w:eastAsia="Arial" w:hAnsi="Arial"/>
                <w:sz w:val="18"/>
                <w:szCs w:val="18"/>
                <w:color w:val="auto"/>
              </w:rPr>
              <w:t>General and administrative expenses</w:t>
            </w:r>
          </w:p>
        </w:tc>
        <w:tc>
          <w:tcPr>
            <w:tcW w:w="880" w:type="dxa"/>
            <w:vAlign w:val="bottom"/>
            <w:shd w:val="clear" w:color="auto" w:fill="CCECFF"/>
          </w:tcPr>
          <w:p>
            <w:pPr>
              <w:jc w:val="right"/>
              <w:ind w:right="702"/>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CFF"/>
          </w:tcPr>
          <w:p>
            <w:pPr>
              <w:jc w:val="right"/>
              <w:spacing w:after="0"/>
              <w:rPr>
                <w:sz w:val="20"/>
                <w:szCs w:val="20"/>
                <w:color w:val="auto"/>
              </w:rPr>
            </w:pPr>
            <w:r>
              <w:rPr>
                <w:rFonts w:ascii="Arial" w:cs="Arial" w:eastAsia="Arial" w:hAnsi="Arial"/>
                <w:sz w:val="18"/>
                <w:szCs w:val="18"/>
                <w:color w:val="auto"/>
                <w:w w:val="94"/>
              </w:rPr>
              <w:t>28,780</w:t>
            </w:r>
          </w:p>
        </w:tc>
        <w:tc>
          <w:tcPr>
            <w:tcW w:w="260" w:type="dxa"/>
            <w:vAlign w:val="bottom"/>
            <w:shd w:val="clear" w:color="auto" w:fill="CCECFF"/>
          </w:tcPr>
          <w:p>
            <w:pPr>
              <w:spacing w:after="0"/>
              <w:rPr>
                <w:sz w:val="19"/>
                <w:szCs w:val="19"/>
                <w:color w:val="auto"/>
              </w:rPr>
            </w:pPr>
          </w:p>
        </w:tc>
        <w:tc>
          <w:tcPr>
            <w:tcW w:w="900" w:type="dxa"/>
            <w:vAlign w:val="bottom"/>
            <w:shd w:val="clear" w:color="auto" w:fill="CCECFF"/>
          </w:tcPr>
          <w:p>
            <w:pPr>
              <w:jc w:val="right"/>
              <w:ind w:right="719"/>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CFF"/>
          </w:tcPr>
          <w:p>
            <w:pPr>
              <w:jc w:val="right"/>
              <w:spacing w:after="0"/>
              <w:rPr>
                <w:sz w:val="20"/>
                <w:szCs w:val="20"/>
                <w:color w:val="auto"/>
              </w:rPr>
            </w:pPr>
            <w:r>
              <w:rPr>
                <w:rFonts w:ascii="Arial" w:cs="Arial" w:eastAsia="Arial" w:hAnsi="Arial"/>
                <w:sz w:val="18"/>
                <w:szCs w:val="18"/>
                <w:color w:val="auto"/>
                <w:w w:val="94"/>
              </w:rPr>
              <w:t>37,058</w:t>
            </w:r>
          </w:p>
        </w:tc>
        <w:tc>
          <w:tcPr>
            <w:tcW w:w="260" w:type="dxa"/>
            <w:vAlign w:val="bottom"/>
            <w:shd w:val="clear" w:color="auto" w:fill="CCECFF"/>
          </w:tcPr>
          <w:p>
            <w:pPr>
              <w:spacing w:after="0"/>
              <w:rPr>
                <w:sz w:val="19"/>
                <w:szCs w:val="19"/>
                <w:color w:val="auto"/>
              </w:rPr>
            </w:pPr>
          </w:p>
        </w:tc>
        <w:tc>
          <w:tcPr>
            <w:tcW w:w="160" w:type="dxa"/>
            <w:vAlign w:val="bottom"/>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(8,278)</w:t>
            </w:r>
          </w:p>
        </w:tc>
        <w:tc>
          <w:tcPr>
            <w:tcW w:w="260" w:type="dxa"/>
            <w:vAlign w:val="bottom"/>
            <w:shd w:val="clear" w:color="auto" w:fill="CCECFF"/>
          </w:tcPr>
          <w:p>
            <w:pPr>
              <w:spacing w:after="0"/>
              <w:rPr>
                <w:sz w:val="19"/>
                <w:szCs w:val="19"/>
                <w:color w:val="auto"/>
              </w:rPr>
            </w:pPr>
          </w:p>
        </w:tc>
        <w:tc>
          <w:tcPr>
            <w:tcW w:w="1520" w:type="dxa"/>
            <w:vAlign w:val="bottom"/>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(22%)</w:t>
            </w:r>
          </w:p>
        </w:tc>
      </w:tr>
    </w:tbl>
    <w:p>
      <w:pPr>
        <w:spacing w:after="0" w:line="188" w:lineRule="exact"/>
        <w:rPr>
          <w:sz w:val="20"/>
          <w:szCs w:val="20"/>
          <w:color w:val="auto"/>
        </w:rPr>
      </w:pPr>
    </w:p>
    <w:p>
      <w:pPr>
        <w:jc w:val="both"/>
        <w:ind w:right="40"/>
        <w:spacing w:after="0" w:line="270" w:lineRule="auto"/>
        <w:rPr>
          <w:sz w:val="20"/>
          <w:szCs w:val="20"/>
          <w:color w:val="auto"/>
        </w:rPr>
      </w:pPr>
      <w:r>
        <w:rPr>
          <w:rFonts w:ascii="Arial" w:cs="Arial" w:eastAsia="Arial" w:hAnsi="Arial"/>
          <w:sz w:val="17"/>
          <w:szCs w:val="17"/>
          <w:color w:val="auto"/>
        </w:rPr>
        <w:t>General and administrative expenses were $28.8 million for the year ended December 31, 2021, compared to $37.1 million for the year ended December 31, 2020. General and administrative expenses include stock-based compensation expense of $4.7 million and $10.5 million for the years ended December 31, 2021 and 2020, respectively. The decrease in stock-based compensation expense of $5.8 million was due to a decrease in the grant date fair value of recent stock option awards and a reversal of $2.1 million of previously recognized stock-based compensation expense during the year ended December 31, 2021 related to awards forfeited by terminated employees. Additionally, during the year ended December 31, 2020, we recognized $0.7 million as a cumulative catch-up adjustment of stock-based compensation expense for RSUs with performance-based vesting conditions granted to an executive officer for which the underlying performance condition was deemed probable. We also experienced a decrease of $2.6 million in professional fees during the year ended December 31, 2021 compared to the same period in 2020 due to the amortized incremental contract costs associated with entering into the BeiGene Agreement in 2020.</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Impairment of Goodwill and Indefinite-Lived Intangible Asset</w:t>
      </w:r>
    </w:p>
    <w:p>
      <w:pPr>
        <w:spacing w:after="0" w:line="198"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The following table summarizes the period-over-period change in our impairment of goodwill and indefinite-lived intangible asset (in thousands, except for percentages):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780" w:type="dxa"/>
            <w:vAlign w:val="bottom"/>
            <w:tcBorders>
              <w:bottom w:val="single" w:sz="8" w:color="auto"/>
            </w:tcBorders>
            <w:gridSpan w:val="4"/>
          </w:tcPr>
          <w:p>
            <w:pPr>
              <w:jc w:val="right"/>
              <w:ind w:right="319"/>
              <w:spacing w:after="0"/>
              <w:rPr>
                <w:sz w:val="20"/>
                <w:szCs w:val="20"/>
                <w:color w:val="auto"/>
              </w:rPr>
            </w:pPr>
            <w:r>
              <w:rPr>
                <w:rFonts w:ascii="Arial" w:cs="Arial" w:eastAsia="Arial" w:hAnsi="Arial"/>
                <w:sz w:val="14"/>
                <w:szCs w:val="14"/>
                <w:b w:val="1"/>
                <w:bCs w:val="1"/>
                <w:color w:val="auto"/>
              </w:rPr>
              <w:t>Year Ended December 31,</w:t>
            </w:r>
          </w:p>
        </w:tc>
        <w:tc>
          <w:tcPr>
            <w:tcW w:w="4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 Change</w:t>
            </w:r>
          </w:p>
        </w:tc>
        <w:tc>
          <w:tcPr>
            <w:tcW w:w="15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 Change</w:t>
            </w:r>
          </w:p>
        </w:tc>
      </w:tr>
      <w:tr>
        <w:trPr>
          <w:trHeight w:val="156"/>
        </w:trPr>
        <w:tc>
          <w:tcPr>
            <w:tcW w:w="4580" w:type="dxa"/>
            <w:vAlign w:val="bottom"/>
            <w:tcBorders>
              <w:bottom w:val="single" w:sz="8" w:color="CCECFF"/>
            </w:tcBorders>
          </w:tcPr>
          <w:p>
            <w:pPr>
              <w:spacing w:after="0"/>
              <w:rPr>
                <w:sz w:val="13"/>
                <w:szCs w:val="13"/>
                <w:color w:val="auto"/>
              </w:rPr>
            </w:pPr>
          </w:p>
        </w:tc>
        <w:tc>
          <w:tcPr>
            <w:tcW w:w="220" w:type="dxa"/>
            <w:vAlign w:val="bottom"/>
            <w:tcBorders>
              <w:bottom w:val="single" w:sz="8" w:color="CCECFF"/>
            </w:tcBorders>
          </w:tcPr>
          <w:p>
            <w:pPr>
              <w:spacing w:after="0"/>
              <w:rPr>
                <w:sz w:val="13"/>
                <w:szCs w:val="13"/>
                <w:color w:val="auto"/>
              </w:rPr>
            </w:pPr>
          </w:p>
        </w:tc>
        <w:tc>
          <w:tcPr>
            <w:tcW w:w="8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3"/>
                <w:szCs w:val="13"/>
                <w:color w:val="auto"/>
              </w:rPr>
            </w:pPr>
          </w:p>
        </w:tc>
        <w:tc>
          <w:tcPr>
            <w:tcW w:w="300" w:type="dxa"/>
            <w:vAlign w:val="bottom"/>
            <w:tcBorders>
              <w:bottom w:val="single" w:sz="8" w:color="CCECFF"/>
            </w:tcBorders>
          </w:tcPr>
          <w:p>
            <w:pPr>
              <w:spacing w:after="0"/>
              <w:rPr>
                <w:sz w:val="13"/>
                <w:szCs w:val="13"/>
                <w:color w:val="auto"/>
              </w:rPr>
            </w:pPr>
          </w:p>
        </w:tc>
        <w:tc>
          <w:tcPr>
            <w:tcW w:w="1060" w:type="dxa"/>
            <w:vAlign w:val="bottom"/>
            <w:tcBorders>
              <w:bottom w:val="single" w:sz="8" w:color="auto"/>
            </w:tcBorders>
          </w:tcPr>
          <w:p>
            <w:pPr>
              <w:jc w:val="right"/>
              <w:ind w:right="119"/>
              <w:spacing w:after="0" w:line="155" w:lineRule="exact"/>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3"/>
                <w:szCs w:val="13"/>
                <w:color w:val="auto"/>
              </w:rPr>
            </w:pPr>
          </w:p>
        </w:tc>
        <w:tc>
          <w:tcPr>
            <w:tcW w:w="240" w:type="dxa"/>
            <w:vAlign w:val="bottom"/>
            <w:tcBorders>
              <w:bottom w:val="single" w:sz="8" w:color="CCEC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center"/>
              <w:ind w:right="102"/>
              <w:spacing w:after="0" w:line="155" w:lineRule="exact"/>
              <w:rPr>
                <w:sz w:val="20"/>
                <w:szCs w:val="20"/>
                <w:color w:val="auto"/>
              </w:rPr>
            </w:pPr>
            <w:r>
              <w:rPr>
                <w:rFonts w:ascii="Arial" w:cs="Arial" w:eastAsia="Arial" w:hAnsi="Arial"/>
                <w:sz w:val="14"/>
                <w:szCs w:val="14"/>
                <w:b w:val="1"/>
                <w:bCs w:val="1"/>
                <w:color w:val="auto"/>
                <w:w w:val="91"/>
              </w:rPr>
              <w:t>2021 vs. 2020</w:t>
            </w:r>
          </w:p>
        </w:tc>
        <w:tc>
          <w:tcPr>
            <w:tcW w:w="260" w:type="dxa"/>
            <w:vAlign w:val="bottom"/>
            <w:tcBorders>
              <w:bottom w:val="single" w:sz="8" w:color="CCECFF"/>
            </w:tcBorders>
          </w:tcPr>
          <w:p>
            <w:pPr>
              <w:spacing w:after="0"/>
              <w:rPr>
                <w:sz w:val="13"/>
                <w:szCs w:val="13"/>
                <w:color w:val="auto"/>
              </w:rPr>
            </w:pPr>
          </w:p>
        </w:tc>
        <w:tc>
          <w:tcPr>
            <w:tcW w:w="132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1"/>
              </w:rPr>
              <w:t>2021 vs. 2020</w:t>
            </w:r>
          </w:p>
        </w:tc>
        <w:tc>
          <w:tcPr>
            <w:tcW w:w="180" w:type="dxa"/>
            <w:vAlign w:val="bottom"/>
            <w:tcBorders>
              <w:bottom w:val="single" w:sz="8" w:color="CCECFF"/>
            </w:tcBorders>
          </w:tcPr>
          <w:p>
            <w:pPr>
              <w:spacing w:after="0"/>
              <w:rPr>
                <w:sz w:val="13"/>
                <w:szCs w:val="13"/>
                <w:color w:val="auto"/>
              </w:rPr>
            </w:pPr>
          </w:p>
        </w:tc>
      </w:tr>
      <w:tr>
        <w:trPr>
          <w:trHeight w:val="223"/>
        </w:trPr>
        <w:tc>
          <w:tcPr>
            <w:tcW w:w="4580" w:type="dxa"/>
            <w:vAlign w:val="bottom"/>
            <w:shd w:val="clear" w:color="auto" w:fill="CCECFF"/>
          </w:tcPr>
          <w:p>
            <w:pPr>
              <w:spacing w:after="0"/>
              <w:rPr>
                <w:sz w:val="20"/>
                <w:szCs w:val="20"/>
                <w:color w:val="auto"/>
              </w:rPr>
            </w:pPr>
            <w:r>
              <w:rPr>
                <w:rFonts w:ascii="Arial" w:cs="Arial" w:eastAsia="Arial" w:hAnsi="Arial"/>
                <w:sz w:val="18"/>
                <w:szCs w:val="18"/>
                <w:color w:val="auto"/>
                <w:w w:val="98"/>
              </w:rPr>
              <w:t>Impairment of goodwill and indefinite-lived intangible asset</w:t>
            </w:r>
          </w:p>
        </w:tc>
        <w:tc>
          <w:tcPr>
            <w:tcW w:w="220" w:type="dxa"/>
            <w:vAlign w:val="bottom"/>
            <w:shd w:val="clear" w:color="auto" w:fill="CCECFF"/>
          </w:tcPr>
          <w:p>
            <w:pPr>
              <w:spacing w:after="0"/>
              <w:rPr>
                <w:sz w:val="19"/>
                <w:szCs w:val="19"/>
                <w:color w:val="auto"/>
              </w:rPr>
            </w:pPr>
          </w:p>
        </w:tc>
        <w:tc>
          <w:tcPr>
            <w:tcW w:w="880" w:type="dxa"/>
            <w:vAlign w:val="bottom"/>
            <w:shd w:val="clear" w:color="auto" w:fill="CCECFF"/>
          </w:tcPr>
          <w:p>
            <w:pPr>
              <w:jc w:val="right"/>
              <w:ind w:right="702"/>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CFF"/>
          </w:tcPr>
          <w:p>
            <w:pPr>
              <w:jc w:val="right"/>
              <w:spacing w:after="0"/>
              <w:rPr>
                <w:sz w:val="20"/>
                <w:szCs w:val="20"/>
                <w:color w:val="auto"/>
              </w:rPr>
            </w:pPr>
            <w:r>
              <w:rPr>
                <w:rFonts w:ascii="Arial" w:cs="Arial" w:eastAsia="Arial" w:hAnsi="Arial"/>
                <w:sz w:val="18"/>
                <w:szCs w:val="18"/>
                <w:color w:val="auto"/>
                <w:w w:val="90"/>
              </w:rPr>
              <w:t>41,638</w:t>
            </w:r>
          </w:p>
        </w:tc>
        <w:tc>
          <w:tcPr>
            <w:tcW w:w="300" w:type="dxa"/>
            <w:vAlign w:val="bottom"/>
            <w:shd w:val="clear" w:color="auto" w:fill="CCECFF"/>
          </w:tcPr>
          <w:p>
            <w:pPr>
              <w:spacing w:after="0"/>
              <w:rPr>
                <w:sz w:val="19"/>
                <w:szCs w:val="19"/>
                <w:color w:val="auto"/>
              </w:rPr>
            </w:pPr>
          </w:p>
        </w:tc>
        <w:tc>
          <w:tcPr>
            <w:tcW w:w="1060" w:type="dxa"/>
            <w:vAlign w:val="bottom"/>
            <w:shd w:val="clear" w:color="auto" w:fill="CCECFF"/>
          </w:tcPr>
          <w:p>
            <w:pPr>
              <w:jc w:val="right"/>
              <w:ind w:right="879"/>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CFF"/>
          </w:tcPr>
          <w:p>
            <w:pPr>
              <w:ind w:left="20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CFF"/>
          </w:tcPr>
          <w:p>
            <w:pPr>
              <w:spacing w:after="0"/>
              <w:rPr>
                <w:sz w:val="19"/>
                <w:szCs w:val="19"/>
                <w:color w:val="auto"/>
              </w:rPr>
            </w:pPr>
          </w:p>
        </w:tc>
        <w:tc>
          <w:tcPr>
            <w:tcW w:w="180" w:type="dxa"/>
            <w:vAlign w:val="bottom"/>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41,638</w:t>
            </w:r>
          </w:p>
        </w:tc>
        <w:tc>
          <w:tcPr>
            <w:tcW w:w="260" w:type="dxa"/>
            <w:vAlign w:val="bottom"/>
            <w:shd w:val="clear" w:color="auto" w:fill="CCECFF"/>
          </w:tcPr>
          <w:p>
            <w:pPr>
              <w:spacing w:after="0"/>
              <w:rPr>
                <w:sz w:val="19"/>
                <w:szCs w:val="19"/>
                <w:color w:val="auto"/>
              </w:rPr>
            </w:pPr>
          </w:p>
        </w:tc>
        <w:tc>
          <w:tcPr>
            <w:tcW w:w="150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100%</w:t>
            </w:r>
          </w:p>
        </w:tc>
      </w:tr>
    </w:tbl>
    <w:p>
      <w:pPr>
        <w:spacing w:after="0" w:line="161"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In the fourth quarter of 2021, we concluded our goodwill and IPR&amp;D asset were impaired due to a sustained decline in our stock price as well as industry and market factors which caused an increase in the estimated discount rate applied to future cash flows. This resulted in the entire write-off of our goodwill and IPR&amp;D asset of $12.6 million and $29.0 million, respectively.</w:t>
      </w:r>
    </w:p>
    <w:p>
      <w:pPr>
        <w:spacing w:after="0" w:line="14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Interest and Other Income, Net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period-over-period changes in our interest and other income, net (in thousands, except for percentages):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20" w:type="dxa"/>
            <w:vAlign w:val="bottom"/>
          </w:tcPr>
          <w:p>
            <w:pPr>
              <w:spacing w:after="0"/>
              <w:rPr>
                <w:sz w:val="14"/>
                <w:szCs w:val="14"/>
                <w:color w:val="auto"/>
              </w:rPr>
            </w:pPr>
          </w:p>
        </w:tc>
        <w:tc>
          <w:tcPr>
            <w:tcW w:w="2620" w:type="dxa"/>
            <w:vAlign w:val="bottom"/>
            <w:tcBorders>
              <w:bottom w:val="single" w:sz="8" w:color="auto"/>
            </w:tcBorders>
            <w:gridSpan w:val="4"/>
          </w:tcPr>
          <w:p>
            <w:pPr>
              <w:jc w:val="right"/>
              <w:ind w:right="199"/>
              <w:spacing w:after="0"/>
              <w:rPr>
                <w:sz w:val="20"/>
                <w:szCs w:val="20"/>
                <w:color w:val="auto"/>
              </w:rPr>
            </w:pPr>
            <w:r>
              <w:rPr>
                <w:rFonts w:ascii="Arial" w:cs="Arial" w:eastAsia="Arial" w:hAnsi="Arial"/>
                <w:sz w:val="14"/>
                <w:szCs w:val="14"/>
                <w:b w:val="1"/>
                <w:bCs w:val="1"/>
                <w:color w:val="auto"/>
              </w:rPr>
              <w:t>Year Ended December 31,</w:t>
            </w:r>
          </w:p>
        </w:tc>
        <w:tc>
          <w:tcPr>
            <w:tcW w:w="5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 Change</w:t>
            </w:r>
          </w:p>
        </w:tc>
        <w:tc>
          <w:tcPr>
            <w:tcW w:w="15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 Change</w:t>
            </w:r>
          </w:p>
        </w:tc>
      </w:tr>
      <w:tr>
        <w:trPr>
          <w:trHeight w:val="155"/>
        </w:trPr>
        <w:tc>
          <w:tcPr>
            <w:tcW w:w="4820" w:type="dxa"/>
            <w:vAlign w:val="bottom"/>
            <w:tcBorders>
              <w:bottom w:val="single" w:sz="8" w:color="CCECFF"/>
            </w:tcBorders>
          </w:tcPr>
          <w:p>
            <w:pPr>
              <w:spacing w:after="0"/>
              <w:rPr>
                <w:sz w:val="13"/>
                <w:szCs w:val="13"/>
                <w:color w:val="auto"/>
              </w:rPr>
            </w:pPr>
          </w:p>
        </w:tc>
        <w:tc>
          <w:tcPr>
            <w:tcW w:w="98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3"/>
                <w:szCs w:val="13"/>
                <w:color w:val="auto"/>
              </w:rPr>
            </w:pPr>
          </w:p>
        </w:tc>
        <w:tc>
          <w:tcPr>
            <w:tcW w:w="240" w:type="dxa"/>
            <w:vAlign w:val="bottom"/>
            <w:tcBorders>
              <w:bottom w:val="single" w:sz="8" w:color="CCECFF"/>
            </w:tcBorders>
          </w:tcPr>
          <w:p>
            <w:pPr>
              <w:spacing w:after="0"/>
              <w:rPr>
                <w:sz w:val="13"/>
                <w:szCs w:val="13"/>
                <w:color w:val="auto"/>
              </w:rPr>
            </w:pPr>
          </w:p>
        </w:tc>
        <w:tc>
          <w:tcPr>
            <w:tcW w:w="960" w:type="dxa"/>
            <w:vAlign w:val="bottom"/>
            <w:tcBorders>
              <w:bottom w:val="single" w:sz="8" w:color="auto"/>
            </w:tcBorders>
          </w:tcPr>
          <w:p>
            <w:pPr>
              <w:jc w:val="right"/>
              <w:ind w:right="19"/>
              <w:spacing w:after="0" w:line="155" w:lineRule="exact"/>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3"/>
                <w:szCs w:val="13"/>
                <w:color w:val="auto"/>
              </w:rPr>
            </w:pPr>
          </w:p>
        </w:tc>
        <w:tc>
          <w:tcPr>
            <w:tcW w:w="240" w:type="dxa"/>
            <w:vAlign w:val="bottom"/>
            <w:tcBorders>
              <w:bottom w:val="single" w:sz="8" w:color="CCEC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center"/>
              <w:ind w:right="102"/>
              <w:spacing w:after="0" w:line="155" w:lineRule="exact"/>
              <w:rPr>
                <w:sz w:val="20"/>
                <w:szCs w:val="20"/>
                <w:color w:val="auto"/>
              </w:rPr>
            </w:pPr>
            <w:r>
              <w:rPr>
                <w:rFonts w:ascii="Arial" w:cs="Arial" w:eastAsia="Arial" w:hAnsi="Arial"/>
                <w:sz w:val="14"/>
                <w:szCs w:val="14"/>
                <w:b w:val="1"/>
                <w:bCs w:val="1"/>
                <w:color w:val="auto"/>
                <w:w w:val="91"/>
              </w:rPr>
              <w:t>2021 vs. 2020</w:t>
            </w:r>
          </w:p>
        </w:tc>
        <w:tc>
          <w:tcPr>
            <w:tcW w:w="260" w:type="dxa"/>
            <w:vAlign w:val="bottom"/>
            <w:tcBorders>
              <w:bottom w:val="single" w:sz="8" w:color="CCECFF"/>
            </w:tcBorders>
          </w:tcPr>
          <w:p>
            <w:pPr>
              <w:spacing w:after="0"/>
              <w:rPr>
                <w:sz w:val="13"/>
                <w:szCs w:val="13"/>
                <w:color w:val="auto"/>
              </w:rPr>
            </w:pPr>
          </w:p>
        </w:tc>
        <w:tc>
          <w:tcPr>
            <w:tcW w:w="132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1"/>
              </w:rPr>
              <w:t>2021 vs. 2020</w:t>
            </w:r>
          </w:p>
        </w:tc>
        <w:tc>
          <w:tcPr>
            <w:tcW w:w="180" w:type="dxa"/>
            <w:vAlign w:val="bottom"/>
            <w:tcBorders>
              <w:bottom w:val="single" w:sz="8" w:color="CCECFF"/>
            </w:tcBorders>
          </w:tcPr>
          <w:p>
            <w:pPr>
              <w:spacing w:after="0"/>
              <w:rPr>
                <w:sz w:val="13"/>
                <w:szCs w:val="13"/>
                <w:color w:val="auto"/>
              </w:rPr>
            </w:pPr>
          </w:p>
        </w:tc>
      </w:tr>
      <w:tr>
        <w:trPr>
          <w:trHeight w:val="223"/>
        </w:trPr>
        <w:tc>
          <w:tcPr>
            <w:tcW w:w="4820" w:type="dxa"/>
            <w:vAlign w:val="bottom"/>
            <w:shd w:val="clear" w:color="auto" w:fill="CCECFF"/>
          </w:tcPr>
          <w:p>
            <w:pPr>
              <w:spacing w:after="0"/>
              <w:rPr>
                <w:sz w:val="20"/>
                <w:szCs w:val="20"/>
                <w:color w:val="auto"/>
              </w:rPr>
            </w:pPr>
            <w:r>
              <w:rPr>
                <w:rFonts w:ascii="Arial" w:cs="Arial" w:eastAsia="Arial" w:hAnsi="Arial"/>
                <w:sz w:val="18"/>
                <w:szCs w:val="18"/>
                <w:color w:val="auto"/>
              </w:rPr>
              <w:t>Interest and other income, net</w:t>
            </w:r>
          </w:p>
        </w:tc>
        <w:tc>
          <w:tcPr>
            <w:tcW w:w="980" w:type="dxa"/>
            <w:vAlign w:val="bottom"/>
            <w:shd w:val="clear" w:color="auto" w:fill="CCECFF"/>
          </w:tcPr>
          <w:p>
            <w:pPr>
              <w:jc w:val="right"/>
              <w:ind w:right="828"/>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302</w:t>
            </w:r>
          </w:p>
        </w:tc>
        <w:tc>
          <w:tcPr>
            <w:tcW w:w="240" w:type="dxa"/>
            <w:vAlign w:val="bottom"/>
            <w:shd w:val="clear" w:color="auto" w:fill="CCECFF"/>
          </w:tcPr>
          <w:p>
            <w:pPr>
              <w:spacing w:after="0"/>
              <w:rPr>
                <w:sz w:val="19"/>
                <w:szCs w:val="19"/>
                <w:color w:val="auto"/>
              </w:rPr>
            </w:pPr>
          </w:p>
        </w:tc>
        <w:tc>
          <w:tcPr>
            <w:tcW w:w="960" w:type="dxa"/>
            <w:vAlign w:val="bottom"/>
            <w:shd w:val="clear" w:color="auto" w:fill="CCECFF"/>
          </w:tcPr>
          <w:p>
            <w:pPr>
              <w:jc w:val="right"/>
              <w:ind w:right="779"/>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2,624</w:t>
            </w:r>
          </w:p>
        </w:tc>
        <w:tc>
          <w:tcPr>
            <w:tcW w:w="240" w:type="dxa"/>
            <w:vAlign w:val="bottom"/>
            <w:shd w:val="clear" w:color="auto" w:fill="CCECFF"/>
          </w:tcPr>
          <w:p>
            <w:pPr>
              <w:spacing w:after="0"/>
              <w:rPr>
                <w:sz w:val="19"/>
                <w:szCs w:val="19"/>
                <w:color w:val="auto"/>
              </w:rPr>
            </w:pPr>
          </w:p>
        </w:tc>
        <w:tc>
          <w:tcPr>
            <w:tcW w:w="180" w:type="dxa"/>
            <w:vAlign w:val="bottom"/>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(2,322)</w:t>
            </w:r>
          </w:p>
        </w:tc>
        <w:tc>
          <w:tcPr>
            <w:tcW w:w="260" w:type="dxa"/>
            <w:vAlign w:val="bottom"/>
            <w:shd w:val="clear" w:color="auto" w:fill="CCECFF"/>
          </w:tcPr>
          <w:p>
            <w:pPr>
              <w:spacing w:after="0"/>
              <w:rPr>
                <w:sz w:val="19"/>
                <w:szCs w:val="19"/>
                <w:color w:val="auto"/>
              </w:rPr>
            </w:pPr>
          </w:p>
        </w:tc>
        <w:tc>
          <w:tcPr>
            <w:tcW w:w="150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-88%</w:t>
            </w:r>
          </w:p>
        </w:tc>
      </w:tr>
    </w:tbl>
    <w:p>
      <w:pPr>
        <w:spacing w:after="0" w:line="161"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Interest and other income, net was $0.3 million for the year ended December 31, 2021, compared to $2.6 million for the year ended December 31, 2020. The decrease was primarily due to less interest income earned on marketable</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584" w:right="299" w:bottom="1440" w:gutter="0" w:footer="0" w:header="0"/>
        </w:sectPr>
      </w:pPr>
    </w:p>
    <w:bookmarkStart w:id="49" w:name="page50"/>
    <w:bookmarkEnd w:id="49"/>
    <w:p>
      <w:pPr>
        <w:spacing w:after="0"/>
        <w:rPr>
          <w:sz w:val="20"/>
          <w:szCs w:val="20"/>
          <w:color w:val="auto"/>
        </w:rPr>
      </w:pPr>
      <w:r>
        <w:rPr>
          <w:rFonts w:ascii="Arial" w:cs="Arial" w:eastAsia="Arial" w:hAnsi="Arial"/>
          <w:sz w:val="16"/>
          <w:szCs w:val="16"/>
          <w:color w:val="auto"/>
        </w:rPr>
        <w:t>securities, corporate bonds and money market funds caused by lower yields and a decrease in the total amount invested in marketable securities in 2021.</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Income Tax Benefit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period-over-period changes in our income tax benefit (in thousands, except for percentages):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80" w:type="dxa"/>
            <w:vAlign w:val="bottom"/>
          </w:tcPr>
          <w:p>
            <w:pPr>
              <w:spacing w:after="0"/>
              <w:rPr>
                <w:sz w:val="14"/>
                <w:szCs w:val="14"/>
                <w:color w:val="auto"/>
              </w:rPr>
            </w:pPr>
          </w:p>
        </w:tc>
        <w:tc>
          <w:tcPr>
            <w:tcW w:w="2760" w:type="dxa"/>
            <w:vAlign w:val="bottom"/>
            <w:tcBorders>
              <w:bottom w:val="single" w:sz="8" w:color="auto"/>
            </w:tcBorders>
            <w:gridSpan w:val="4"/>
          </w:tcPr>
          <w:p>
            <w:pPr>
              <w:jc w:val="right"/>
              <w:ind w:right="299"/>
              <w:spacing w:after="0"/>
              <w:rPr>
                <w:sz w:val="20"/>
                <w:szCs w:val="20"/>
                <w:color w:val="auto"/>
              </w:rPr>
            </w:pPr>
            <w:r>
              <w:rPr>
                <w:rFonts w:ascii="Arial" w:cs="Arial" w:eastAsia="Arial" w:hAnsi="Arial"/>
                <w:sz w:val="14"/>
                <w:szCs w:val="14"/>
                <w:b w:val="1"/>
                <w:bCs w:val="1"/>
                <w:color w:val="auto"/>
              </w:rPr>
              <w:t>Year Ended December 31,</w:t>
            </w:r>
          </w:p>
        </w:tc>
        <w:tc>
          <w:tcPr>
            <w:tcW w:w="4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 Change</w:t>
            </w:r>
          </w:p>
        </w:tc>
        <w:tc>
          <w:tcPr>
            <w:tcW w:w="15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 Change</w:t>
            </w:r>
          </w:p>
        </w:tc>
      </w:tr>
      <w:tr>
        <w:trPr>
          <w:trHeight w:val="155"/>
        </w:trPr>
        <w:tc>
          <w:tcPr>
            <w:tcW w:w="4780" w:type="dxa"/>
            <w:vAlign w:val="bottom"/>
            <w:tcBorders>
              <w:bottom w:val="single" w:sz="8" w:color="CCECFF"/>
            </w:tcBorders>
          </w:tcPr>
          <w:p>
            <w:pPr>
              <w:spacing w:after="0"/>
              <w:rPr>
                <w:sz w:val="13"/>
                <w:szCs w:val="13"/>
                <w:color w:val="auto"/>
              </w:rPr>
            </w:pPr>
          </w:p>
        </w:tc>
        <w:tc>
          <w:tcPr>
            <w:tcW w:w="920" w:type="dxa"/>
            <w:vAlign w:val="bottom"/>
            <w:tcBorders>
              <w:bottom w:val="single" w:sz="8" w:color="auto"/>
            </w:tcBorders>
          </w:tcPr>
          <w:p>
            <w:pPr>
              <w:jc w:val="right"/>
              <w:ind w:right="2"/>
              <w:spacing w:after="0" w:line="155" w:lineRule="exact"/>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3"/>
                <w:szCs w:val="13"/>
                <w:color w:val="auto"/>
              </w:rPr>
            </w:pPr>
          </w:p>
        </w:tc>
        <w:tc>
          <w:tcPr>
            <w:tcW w:w="300" w:type="dxa"/>
            <w:vAlign w:val="bottom"/>
            <w:tcBorders>
              <w:bottom w:val="single" w:sz="8" w:color="CCECFF"/>
            </w:tcBorders>
          </w:tcPr>
          <w:p>
            <w:pPr>
              <w:spacing w:after="0"/>
              <w:rPr>
                <w:sz w:val="13"/>
                <w:szCs w:val="13"/>
                <w:color w:val="auto"/>
              </w:rPr>
            </w:pPr>
          </w:p>
        </w:tc>
        <w:tc>
          <w:tcPr>
            <w:tcW w:w="1040" w:type="dxa"/>
            <w:vAlign w:val="bottom"/>
            <w:tcBorders>
              <w:bottom w:val="single" w:sz="8" w:color="auto"/>
            </w:tcBorders>
          </w:tcPr>
          <w:p>
            <w:pPr>
              <w:jc w:val="right"/>
              <w:ind w:right="99"/>
              <w:spacing w:after="0" w:line="155" w:lineRule="exact"/>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3"/>
                <w:szCs w:val="13"/>
                <w:color w:val="auto"/>
              </w:rPr>
            </w:pPr>
          </w:p>
        </w:tc>
        <w:tc>
          <w:tcPr>
            <w:tcW w:w="240" w:type="dxa"/>
            <w:vAlign w:val="bottom"/>
            <w:tcBorders>
              <w:bottom w:val="single" w:sz="8" w:color="CCEC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center"/>
              <w:ind w:right="102"/>
              <w:spacing w:after="0" w:line="155" w:lineRule="exact"/>
              <w:rPr>
                <w:sz w:val="20"/>
                <w:szCs w:val="20"/>
                <w:color w:val="auto"/>
              </w:rPr>
            </w:pPr>
            <w:r>
              <w:rPr>
                <w:rFonts w:ascii="Arial" w:cs="Arial" w:eastAsia="Arial" w:hAnsi="Arial"/>
                <w:sz w:val="14"/>
                <w:szCs w:val="14"/>
                <w:b w:val="1"/>
                <w:bCs w:val="1"/>
                <w:color w:val="auto"/>
                <w:w w:val="91"/>
              </w:rPr>
              <w:t>2021 vs. 2020</w:t>
            </w:r>
          </w:p>
        </w:tc>
        <w:tc>
          <w:tcPr>
            <w:tcW w:w="260" w:type="dxa"/>
            <w:vAlign w:val="bottom"/>
            <w:tcBorders>
              <w:bottom w:val="single" w:sz="8" w:color="CCECFF"/>
            </w:tcBorders>
          </w:tcPr>
          <w:p>
            <w:pPr>
              <w:spacing w:after="0"/>
              <w:rPr>
                <w:sz w:val="13"/>
                <w:szCs w:val="13"/>
                <w:color w:val="auto"/>
              </w:rPr>
            </w:pPr>
          </w:p>
        </w:tc>
        <w:tc>
          <w:tcPr>
            <w:tcW w:w="132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1"/>
              </w:rPr>
              <w:t>2021 vs. 2020</w:t>
            </w:r>
          </w:p>
        </w:tc>
        <w:tc>
          <w:tcPr>
            <w:tcW w:w="180" w:type="dxa"/>
            <w:vAlign w:val="bottom"/>
            <w:tcBorders>
              <w:bottom w:val="single" w:sz="8" w:color="CCECFF"/>
            </w:tcBorders>
          </w:tcPr>
          <w:p>
            <w:pPr>
              <w:spacing w:after="0"/>
              <w:rPr>
                <w:sz w:val="13"/>
                <w:szCs w:val="13"/>
                <w:color w:val="auto"/>
              </w:rPr>
            </w:pPr>
          </w:p>
        </w:tc>
      </w:tr>
      <w:tr>
        <w:trPr>
          <w:trHeight w:val="223"/>
        </w:trPr>
        <w:tc>
          <w:tcPr>
            <w:tcW w:w="4780" w:type="dxa"/>
            <w:vAlign w:val="bottom"/>
            <w:shd w:val="clear" w:color="auto" w:fill="CCECFF"/>
          </w:tcPr>
          <w:p>
            <w:pPr>
              <w:spacing w:after="0"/>
              <w:rPr>
                <w:sz w:val="20"/>
                <w:szCs w:val="20"/>
                <w:color w:val="auto"/>
              </w:rPr>
            </w:pPr>
            <w:r>
              <w:rPr>
                <w:rFonts w:ascii="Arial" w:cs="Arial" w:eastAsia="Arial" w:hAnsi="Arial"/>
                <w:sz w:val="18"/>
                <w:szCs w:val="18"/>
                <w:color w:val="auto"/>
              </w:rPr>
              <w:t>Income tax benefit</w:t>
            </w:r>
          </w:p>
        </w:tc>
        <w:tc>
          <w:tcPr>
            <w:tcW w:w="920" w:type="dxa"/>
            <w:vAlign w:val="bottom"/>
            <w:shd w:val="clear" w:color="auto" w:fill="CCECFF"/>
          </w:tcPr>
          <w:p>
            <w:pPr>
              <w:jc w:val="right"/>
              <w:ind w:right="742"/>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2,531</w:t>
            </w:r>
          </w:p>
        </w:tc>
        <w:tc>
          <w:tcPr>
            <w:tcW w:w="300" w:type="dxa"/>
            <w:vAlign w:val="bottom"/>
            <w:shd w:val="clear" w:color="auto" w:fill="CCECFF"/>
          </w:tcPr>
          <w:p>
            <w:pPr>
              <w:spacing w:after="0"/>
              <w:rPr>
                <w:sz w:val="19"/>
                <w:szCs w:val="19"/>
                <w:color w:val="auto"/>
              </w:rPr>
            </w:pPr>
          </w:p>
        </w:tc>
        <w:tc>
          <w:tcPr>
            <w:tcW w:w="1040" w:type="dxa"/>
            <w:vAlign w:val="bottom"/>
            <w:shd w:val="clear" w:color="auto" w:fill="CCECFF"/>
          </w:tcPr>
          <w:p>
            <w:pPr>
              <w:jc w:val="right"/>
              <w:ind w:right="859"/>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CFF"/>
          </w:tcPr>
          <w:p>
            <w:pPr>
              <w:ind w:left="20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CFF"/>
          </w:tcPr>
          <w:p>
            <w:pPr>
              <w:spacing w:after="0"/>
              <w:rPr>
                <w:sz w:val="19"/>
                <w:szCs w:val="19"/>
                <w:color w:val="auto"/>
              </w:rPr>
            </w:pPr>
          </w:p>
        </w:tc>
        <w:tc>
          <w:tcPr>
            <w:tcW w:w="180" w:type="dxa"/>
            <w:vAlign w:val="bottom"/>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2,531</w:t>
            </w:r>
          </w:p>
        </w:tc>
        <w:tc>
          <w:tcPr>
            <w:tcW w:w="260" w:type="dxa"/>
            <w:vAlign w:val="bottom"/>
            <w:shd w:val="clear" w:color="auto" w:fill="CCECFF"/>
          </w:tcPr>
          <w:p>
            <w:pPr>
              <w:spacing w:after="0"/>
              <w:rPr>
                <w:sz w:val="19"/>
                <w:szCs w:val="19"/>
                <w:color w:val="auto"/>
              </w:rPr>
            </w:pPr>
          </w:p>
        </w:tc>
        <w:tc>
          <w:tcPr>
            <w:tcW w:w="150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100%</w:t>
            </w:r>
          </w:p>
        </w:tc>
      </w:tr>
    </w:tbl>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year ended December 31, 2021, we recognized an income tax benefit of $2.5 million due to the reversal of deferred tax liabilities associated with our in-process research and development which was fully impaired in 2021.</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result of our significant research and development expenditures and the lack of any FDA-approved products to generate product sales revenue, we have not been profitable and have generated operating losses since we were incorporated in October 2005. We have funded our operations through December 31, 2021 principally with debt prior to our initial public offering, and thereafter with equity financing, raising an aggregate of $604.6 million in net proceeds from public offerings and private placements from inception to December 31, 2021.</w:t>
      </w:r>
    </w:p>
    <w:p>
      <w:pPr>
        <w:spacing w:after="0" w:line="16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December 2019, we sold to various investors an aggregate of 6,287,878 shares of common stock at a public offering price of $16.50 per share, which included the exercise in full by the underwriters of their option to purchase 1,136,363 shares of common stock, and pre-funded warrants to purchase 2,424,242 shares of common stock at a public offering price of $16.499. We received aggregate net proceeds of $134.7 million from the offering and the option exercise, after deducting underwriting discounts and commissions and offering expenses payable.</w:t>
      </w:r>
    </w:p>
    <w:p>
      <w:pPr>
        <w:spacing w:after="0" w:line="13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December 2020, we sold an aggregate of 892,840 shares of common stock through “at-the-market” offerings (2020 ATM), resulting in net proceeds of $5.5 million.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In 2021, we sold an aggregate of 11,234,207 shares of common stock through the 2020 ATM, resulting in net proceeds of $52.8 million.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Funding Requirements</w:t>
      </w:r>
    </w:p>
    <w:p>
      <w:pPr>
        <w:spacing w:after="0" w:line="18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expect our expenses related to HBV program to increase in 2022 and to generally increase over time in connection with our ongoing activities, particularly as we continue the research, development and clinical studies of our product candidates and pursue our intellectual property strategy. Accordingly, we will need to obtain substantial additional funding in connection with our continuing operations. If we are unable to raise capital when needed or on attractive terms, we could be forced to delay, reduce or eliminate our research and development programs or future commercialization efforts.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monitor our cash needs and the status of the capital markets on a continuous basis. From time to time, we opportunistically raise capital and have done so numerous times since our initial public offering by issuing equity securities, most recently in November 2021. We expect to continue to raise capital when and as needed and at the time and in the manner most advantageous to us.</w:t>
      </w:r>
    </w:p>
    <w:p>
      <w:pPr>
        <w:spacing w:after="0" w:line="15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expect our existing cash, cash equivalents and marketable securities will enable us to fund our operating expenses and capital expenditure requirements for at least the next twelve months. Our contractual obligations include operating lease obligations totaling $6.5 million as of December 31, 2021, of which $3.6 million are short-term. We are subject to paying milestone, royalty and other contingent fees associated with certain collaboration and license agreements upon the successful achievement of development and regulatory milestones of our core inhibitor product candidates. We also enter into contracts in the normal course of business with CROs for clinical trials and CMO’s for clinical supply manufacturing and with vendors for preclinical research studies and other services and products for operating purposes, which generally provide for termination within 30 days of notice. Since our inception, we have not engaged in any off-balance sheet arrangements as defined in Item 303(a)(4) of Regulation S-K.</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198" w:lineRule="exact"/>
        <w:rPr>
          <w:sz w:val="20"/>
          <w:szCs w:val="20"/>
          <w:color w:val="auto"/>
        </w:rPr>
      </w:pPr>
    </w:p>
    <w:p>
      <w:pPr>
        <w:ind w:left="880" w:hanging="440"/>
        <w:spacing w:after="0" w:line="277" w:lineRule="auto"/>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scope, progress, results and costs of our ongoing drug discovery, nonclinical development, laboratory testing and clinical studies of our product candidates and any additional clinical studies we may conduct in the future;</w:t>
      </w:r>
    </w:p>
    <w:p>
      <w:pPr>
        <w:spacing w:after="0" w:line="129" w:lineRule="exact"/>
        <w:rPr>
          <w:rFonts w:ascii="Arial" w:cs="Arial" w:eastAsia="Arial" w:hAnsi="Arial"/>
          <w:sz w:val="18"/>
          <w:szCs w:val="18"/>
          <w:color w:val="auto"/>
        </w:rPr>
      </w:pPr>
    </w:p>
    <w:p>
      <w:pPr>
        <w:ind w:left="880" w:hanging="440"/>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extent to which we further acquire or in-license other product candidates and technologies;</w:t>
      </w:r>
    </w:p>
    <w:p>
      <w:pPr>
        <w:spacing w:after="0" w:line="184"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manufacture, and to contract with third parties to manufacture, adequate supplies of our product candidates for our clinical studies and any eventual commercialization;</w:t>
      </w:r>
    </w:p>
    <w:p>
      <w:pPr>
        <w:spacing w:after="0" w:line="129" w:lineRule="exact"/>
        <w:rPr>
          <w:rFonts w:ascii="Arial" w:cs="Arial" w:eastAsia="Arial" w:hAnsi="Arial"/>
          <w:sz w:val="18"/>
          <w:szCs w:val="18"/>
          <w:color w:val="auto"/>
        </w:rPr>
      </w:pPr>
    </w:p>
    <w:p>
      <w:pPr>
        <w:ind w:left="880" w:hanging="440"/>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184"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in the United States and abroad, maintaining and enforcing our intellectual property rights and defending intellectual property-related claims; and</w:t>
      </w:r>
    </w:p>
    <w:p>
      <w:pPr>
        <w:spacing w:after="0" w:line="129" w:lineRule="exact"/>
        <w:rPr>
          <w:rFonts w:ascii="Arial" w:cs="Arial" w:eastAsia="Arial" w:hAnsi="Arial"/>
          <w:sz w:val="18"/>
          <w:szCs w:val="18"/>
          <w:color w:val="auto"/>
        </w:rPr>
      </w:pPr>
    </w:p>
    <w:p>
      <w:pPr>
        <w:ind w:left="880" w:hanging="440"/>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establish and maintain collaborations on favorable terms, if at all.</w:t>
      </w:r>
    </w:p>
    <w:p>
      <w:pPr>
        <w:spacing w:after="0" w:line="18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Identifying potential product candidates and conducting nonclinical testing and clinical studies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medicines that we do not expect to be commercially available for years, if at all. Accordingly, we will need to continue to rely on additional financings to achieve our business objectives. Adequate additional financings may not be available to us on acceptable terms, or at all.</w:t>
      </w:r>
    </w:p>
    <w:p>
      <w:pPr>
        <w:spacing w:after="0" w:line="13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Until such time, if ever, as we can generate substantial product revenues, we expect to finance our cash needs through a combination of equity offerings, debt financings, collaborations, strategic alliances and licensing arrangements. We do not have any committed external source of funds. To the extent that we raise additional capital through the sale of equity or convertible debt securities, the ownership interest of our stockholders will be diluted, and the terms of these securities may include liquidation or other preferences that adversely affect the rights of our common stockholders. Debt financing, if available, may involve agreements that include covenants limiting or restricting our ability to take specific actions, such as incurring additional debt, making capital expenditures or declaring dividends.</w:t>
      </w:r>
    </w:p>
    <w:p>
      <w:pPr>
        <w:spacing w:after="0" w:line="1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we raise funds through additional collaborations, strategic alliances or licensing arrangements with third parties, we may have to relinquish valuable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cash flows for the periods presented was as follows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8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282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b w:val="1"/>
                <w:bCs w:val="1"/>
                <w:color w:val="auto"/>
              </w:rPr>
              <w:t>Year Ended December 31,</w:t>
            </w:r>
          </w:p>
        </w:tc>
        <w:tc>
          <w:tcPr>
            <w:tcW w:w="5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780" w:type="dxa"/>
            <w:vAlign w:val="bottom"/>
            <w:tcBorders>
              <w:bottom w:val="single" w:sz="8" w:color="CFF0FC"/>
            </w:tcBorders>
          </w:tcPr>
          <w:p>
            <w:pPr>
              <w:spacing w:after="0"/>
              <w:rPr>
                <w:sz w:val="19"/>
                <w:szCs w:val="19"/>
                <w:color w:val="auto"/>
              </w:rPr>
            </w:pPr>
          </w:p>
        </w:tc>
        <w:tc>
          <w:tcPr>
            <w:tcW w:w="294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80" w:type="dxa"/>
            <w:vAlign w:val="bottom"/>
            <w:tcBorders>
              <w:bottom w:val="single" w:sz="8" w:color="auto"/>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8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Operating activities</w:t>
            </w:r>
          </w:p>
        </w:tc>
        <w:tc>
          <w:tcPr>
            <w:tcW w:w="29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79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3"/>
              </w:rPr>
              <w:t>(93,396)</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79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3"/>
              </w:rPr>
              <w:t>(62,957)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Investing activities</w:t>
            </w:r>
          </w:p>
        </w:tc>
        <w:tc>
          <w:tcPr>
            <w:tcW w:w="29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26,515</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68,070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Financing activities</w:t>
            </w:r>
          </w:p>
        </w:tc>
        <w:tc>
          <w:tcPr>
            <w:tcW w:w="294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53,064</w:t>
            </w:r>
          </w:p>
        </w:tc>
        <w:tc>
          <w:tcPr>
            <w:tcW w:w="28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7,599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Pr>
          <w:p>
            <w:pPr>
              <w:ind w:left="260"/>
              <w:spacing w:after="0"/>
              <w:rPr>
                <w:sz w:val="20"/>
                <w:szCs w:val="20"/>
                <w:color w:val="auto"/>
              </w:rPr>
            </w:pPr>
            <w:r>
              <w:rPr>
                <w:rFonts w:ascii="Arial" w:cs="Arial" w:eastAsia="Arial" w:hAnsi="Arial"/>
                <w:sz w:val="18"/>
                <w:szCs w:val="18"/>
                <w:color w:val="auto"/>
              </w:rPr>
              <w:t>Net (decrease) increase in cash and cash equivalents</w:t>
            </w:r>
          </w:p>
        </w:tc>
        <w:tc>
          <w:tcPr>
            <w:tcW w:w="2940" w:type="dxa"/>
            <w:vAlign w:val="bottom"/>
          </w:tcPr>
          <w:p>
            <w:pPr>
              <w:spacing w:after="0"/>
              <w:rPr>
                <w:sz w:val="19"/>
                <w:szCs w:val="19"/>
                <w:color w:val="auto"/>
              </w:rPr>
            </w:pPr>
          </w:p>
        </w:tc>
        <w:tc>
          <w:tcPr>
            <w:tcW w:w="98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(13,817)</w:t>
            </w:r>
          </w:p>
        </w:tc>
        <w:tc>
          <w:tcPr>
            <w:tcW w:w="280" w:type="dxa"/>
            <w:vAlign w:val="bottom"/>
          </w:tcPr>
          <w:p>
            <w:pPr>
              <w:spacing w:after="0"/>
              <w:rPr>
                <w:sz w:val="19"/>
                <w:szCs w:val="19"/>
                <w:color w:val="auto"/>
              </w:rPr>
            </w:pPr>
          </w:p>
        </w:tc>
        <w:tc>
          <w:tcPr>
            <w:tcW w:w="98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12,712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2940" w:type="dxa"/>
            <w:vAlign w:val="bottom"/>
            <w:vMerge w:val="restart"/>
          </w:tcPr>
          <w:p>
            <w:pPr>
              <w:jc w:val="right"/>
              <w:ind w:right="1910"/>
              <w:spacing w:after="0"/>
              <w:rPr>
                <w:sz w:val="20"/>
                <w:szCs w:val="20"/>
                <w:color w:val="auto"/>
              </w:rPr>
            </w:pPr>
            <w:r>
              <w:rPr>
                <w:rFonts w:ascii="Arial" w:cs="Arial" w:eastAsia="Arial" w:hAnsi="Arial"/>
                <w:sz w:val="18"/>
                <w:szCs w:val="18"/>
                <w:color w:val="auto"/>
              </w:rPr>
              <w:t>48</w:t>
            </w: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4780" w:type="dxa"/>
            <w:vAlign w:val="bottom"/>
          </w:tcPr>
          <w:p>
            <w:pPr>
              <w:spacing w:after="0"/>
              <w:rPr>
                <w:sz w:val="24"/>
                <w:szCs w:val="24"/>
                <w:color w:val="auto"/>
              </w:rPr>
            </w:pPr>
          </w:p>
        </w:tc>
        <w:tc>
          <w:tcPr>
            <w:tcW w:w="294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80" w:type="dxa"/>
            <w:vAlign w:val="bottom"/>
            <w:tcBorders>
              <w:bottom w:val="single" w:sz="8" w:color="9A9A9A"/>
            </w:tcBorders>
          </w:tcPr>
          <w:p>
            <w:pPr>
              <w:spacing w:after="0"/>
              <w:rPr>
                <w:sz w:val="10"/>
                <w:szCs w:val="10"/>
                <w:color w:val="auto"/>
              </w:rPr>
            </w:pPr>
          </w:p>
        </w:tc>
        <w:tc>
          <w:tcPr>
            <w:tcW w:w="29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51" w:name="page52"/>
    <w:bookmarkEnd w:id="51"/>
    <w:p>
      <w:pPr>
        <w:ind w:left="440"/>
        <w:spacing w:after="0"/>
        <w:rPr>
          <w:sz w:val="20"/>
          <w:szCs w:val="20"/>
          <w:color w:val="auto"/>
        </w:rPr>
      </w:pPr>
      <w:r>
        <w:rPr>
          <w:rFonts w:ascii="Arial" w:cs="Arial" w:eastAsia="Arial" w:hAnsi="Arial"/>
          <w:sz w:val="18"/>
          <w:szCs w:val="18"/>
          <w:i w:val="1"/>
          <w:iCs w:val="1"/>
          <w:color w:val="auto"/>
        </w:rPr>
        <w:t>Net Cash Used in Operating Activities</w:t>
      </w:r>
    </w:p>
    <w:p>
      <w:pPr>
        <w:spacing w:after="0" w:line="18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Net cash used in operating activities was $93.4 million for the year ended December 31, 2021. This was primarily due to our net loss of $129.9 million, partially offset by the $41.6 million we recognized for the impairment of our goodwill and indefinite-lived intangible asset.</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used in operating activities was $63.0 million for the year ended December 31, 2020. This was primarily due to $62.2 million of net loss and a $28.1 million decrease in deferred revenue from recognition of deferred revenue under the Allergan Agreement, partially offset by an increase in deferred revenue under the BeiGene Agreement. These were offset by non-cash adjustments of $21.9 million of stock-based compensation and $5.2 million of amortization of operating lease right-of-use assets.</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Net Cash Provided by Investing Activities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provided by investing activities for the year ended December 31, 2021 was $26.5 million. This was primarily due to proceeds of $27.3 million from sales and maturities of marketable securities, net of purchases, and proceeds of $1.5 million from the sale of Microbiome assets. This was partially offset by our purchase of leased equipment for $3.1 million that we then sold for $0.9 million in connection with the wind-down of the Microbiome program.</w:t>
      </w:r>
    </w:p>
    <w:p>
      <w:pPr>
        <w:spacing w:after="0" w:line="16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cash provided by investing activities for the year ended December 31, 2020 was $68.1 million. This was due to proceeds of $70.3 million from sales and maturities of marketable securities, net of purchases, used to fund our operations, offset by $1.8 million from the purchase of in-process research and development.</w:t>
      </w:r>
    </w:p>
    <w:p>
      <w:pPr>
        <w:spacing w:after="0" w:line="14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Net Cash Provided by Financing Activities</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cash provided by financing activities for the year ended December 31, 2021 was $53.1 million resulting from the net proceeds of $52.8 million from the sale of 11,234,207 shares of our common stock under the 2020 ATM and $0.3 million from the issuance of 88,820 shares of common stock under the Assembly Biosciences Amended and Restated 2018 Employee Stock Purchase Plan (2018 ESPP).</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cash provided by financing activities for the year ended December 31, 2020 was $7.6 million resulting from the net proceeds of $5.5 million from the sale of 892,840 shares of our common stock under the 2020 ATM, $1.5 million from the exercise of stock options to purchase 175,579 shares of common stock and $0.7 million from the issuance of 86,812 shares of common stock under our 2018 ESPP.</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98" w:lineRule="exact"/>
        <w:rPr>
          <w:sz w:val="20"/>
          <w:szCs w:val="20"/>
          <w:color w:val="auto"/>
        </w:rPr>
      </w:pPr>
    </w:p>
    <w:p>
      <w:pPr>
        <w:ind w:left="880" w:hanging="440"/>
        <w:spacing w:after="0"/>
        <w:tabs>
          <w:tab w:leader="none" w:pos="88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Statements</w:t>
      </w:r>
    </w:p>
    <w:p>
      <w:pPr>
        <w:spacing w:after="0" w:line="188" w:lineRule="exact"/>
        <w:rPr>
          <w:rFonts w:ascii="Arial" w:cs="Arial" w:eastAsia="Arial" w:hAnsi="Arial"/>
          <w:sz w:val="18"/>
          <w:szCs w:val="18"/>
          <w:b w:val="1"/>
          <w:bCs w:val="1"/>
          <w:color w:val="auto"/>
        </w:rPr>
      </w:pPr>
    </w:p>
    <w:p>
      <w:pPr>
        <w:ind w:left="88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financial statements required to be filed pursuant to this Item 8 are appended to this report. An index of those financial statements is found on page F-1.</w:t>
      </w:r>
    </w:p>
    <w:p>
      <w:pPr>
        <w:spacing w:after="0" w:line="125" w:lineRule="exact"/>
        <w:rPr>
          <w:rFonts w:ascii="Arial" w:cs="Arial" w:eastAsia="Arial" w:hAnsi="Arial"/>
          <w:sz w:val="18"/>
          <w:szCs w:val="18"/>
          <w:b w:val="1"/>
          <w:bCs w:val="1"/>
          <w:color w:val="auto"/>
        </w:rPr>
      </w:pPr>
    </w:p>
    <w:p>
      <w:pPr>
        <w:ind w:left="880" w:hanging="440"/>
        <w:spacing w:after="0"/>
        <w:tabs>
          <w:tab w:leader="none" w:pos="88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Supplementary Data</w:t>
      </w:r>
    </w:p>
    <w:p>
      <w:pPr>
        <w:spacing w:after="0" w:line="200" w:lineRule="exact"/>
        <w:rPr>
          <w:sz w:val="20"/>
          <w:szCs w:val="20"/>
          <w:color w:val="auto"/>
        </w:rPr>
      </w:pPr>
    </w:p>
    <w:p>
      <w:pPr>
        <w:spacing w:after="0" w:line="21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0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maintain a system of disclosure controls and procedures, as defined in Rule 13a-15(e) promulgated under the Securities and Exchange Act of 1934, as amended (the Exchange Act), that is designed to provide reasonable assurance that information, which is required to be disclosed in our reports filed pursuant to the Exchange Act, is accumulated and communicated to management in a timely manner. At the end of fiscal year ending December 31, 2021, we carried out an evaluation, under the supervision, and with the participation of, our management, including our Chief Executive Officer and our Chief Financial Officer, of the effectiveness of the design and operation of our disclosure controls and procedures pursuant to Exchange Act Rule 13a-15(b). Based upon that evaluation, our Chief Executive Officer and Chief Financial Officer concluded that our disclosure controls and procedures for the fiscal year ending as of December 31, 2021 were effective at reasonable assurance levels.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8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such term is defined in Exchange Act Rule 13a-15(f). Our internal control over financial reporting is designed to provide reasonable assurance to our management and Board of Directors regarding the preparation and fair presentation of published financial statements. A control system, no matter how well designed and operated, can only provide reasonable, not absolute, assurance that the objectives of the control system are met. Because of these inherent limitations, management does not expect that our internal controls over financial reporting will prevent all error and all fraud. Under the supervision and with the participation of our management, including our Chief Executive Officer and our Chief Financial Officer, we conducted an evaluation of the effectiveness of our internal control over financial reporting based on the framework in Internal Control-Integrated Framework issued in 2013 by the Committee of Sponsoring Organizations of the Treadway Commission. Based on our evaluation under the framework in Internal Control-Integrated Framework, our management concluded that our internal control over financial reporting was effective as of December 31, 2021.</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changes in our internal control over financial reporting in the fourth quarter of 2021 that materially affected, or are reasonably likely to materially affect, our internal control over financial reporting.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PART III</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Except as set forth below, the information required by this item will be contained in our definitive proxy statement to be filed with the SEC in connection with the Annual Meeting of Stockholders (Proxy Statement) within 120 days after the conclusion of our fiscal year ended December 31, 2021 and is incorporated in this Annual Report on Form 10-K by reference.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Board has adopted a Code of Ethics for our principal executive officer and all senior financial officers and a Code of Conduct applicable to all of our employees and our directors. Both Codes are available under the “Investors—Corporate Governance” section of our website at www.assemblybio.com. If we make any substantive amendments to, or grant any waivers from, the Code of Ethics for our principal executive officer, principal financial officer, principal accounting officer, controller or persons performing similar functions, or any officer or director, we will disclose the nature of such amendment or waiver on our website or in a Current Report on Form 8-K.</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required by this item will be contained in the Proxy Statement and is incorporated into this Annual Report on Form 10-K by reference.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0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Except for the table regarding equity compensation plans, which is included in Part II, Item 5 of this Annual Report on Form 10-K, the information required by this item will be contained in the Proxy Statement and is incorporated into this Annual Report on Form 10-K by reference.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Party Transactions, and Director Independence</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required by this item will be contained in the Proxy Statement and is incorporated into this Annual Report on Form 10-K by reference.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required by this item will be contained in the Proxy Statement and is incorporated into this Annual Report on Form 10-K by reference.</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i w:val="1"/>
          <w:iCs w:val="1"/>
          <w:color w:val="auto"/>
        </w:rPr>
        <w:t>Exhibits.</w:t>
      </w:r>
      <w:r>
        <w:rPr>
          <w:rFonts w:ascii="Arial" w:cs="Arial" w:eastAsia="Arial" w:hAnsi="Arial"/>
          <w:sz w:val="18"/>
          <w:szCs w:val="18"/>
          <w:color w:val="auto"/>
        </w:rPr>
        <w:t xml:space="preserve">  The following exhibits are filed as part of this registration statement: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tcPr>
          <w:p>
            <w:pPr>
              <w:ind w:left="260"/>
              <w:spacing w:after="0"/>
              <w:rPr>
                <w:sz w:val="20"/>
                <w:szCs w:val="20"/>
                <w:color w:val="auto"/>
              </w:rPr>
            </w:pPr>
            <w:r>
              <w:rPr>
                <w:rFonts w:ascii="Arial" w:cs="Arial" w:eastAsia="Arial" w:hAnsi="Arial"/>
                <w:sz w:val="14"/>
                <w:szCs w:val="14"/>
                <w:b w:val="1"/>
                <w:bCs w:val="1"/>
                <w:color w:val="auto"/>
              </w:rPr>
              <w:t>Exhibit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20" w:type="dxa"/>
            <w:vAlign w:val="bottom"/>
            <w:gridSpan w:val="28"/>
            <w:vMerge w:val="restart"/>
          </w:tcPr>
          <w:p>
            <w:pPr>
              <w:ind w:left="60"/>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71"/>
        </w:trPr>
        <w:tc>
          <w:tcPr>
            <w:tcW w:w="98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Number</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620" w:type="dxa"/>
            <w:vAlign w:val="bottom"/>
            <w:tcBorders>
              <w:bottom w:val="single" w:sz="8" w:color="auto"/>
            </w:tcBorders>
            <w:gridSpan w:val="28"/>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80" w:type="dxa"/>
            <w:vAlign w:val="bottom"/>
          </w:tcPr>
          <w:p>
            <w:pPr>
              <w:ind w:left="100"/>
              <w:spacing w:after="0" w:line="169" w:lineRule="exact"/>
              <w:rPr>
                <w:sz w:val="20"/>
                <w:szCs w:val="20"/>
                <w:color w:val="auto"/>
              </w:rPr>
            </w:pPr>
            <w:r>
              <w:rPr>
                <w:rFonts w:ascii="Arial" w:cs="Arial" w:eastAsia="Arial" w:hAnsi="Arial"/>
                <w:sz w:val="18"/>
                <w:szCs w:val="18"/>
                <w:color w:val="auto"/>
              </w:rPr>
              <w:t>3.1</w:t>
            </w:r>
          </w:p>
        </w:tc>
        <w:tc>
          <w:tcPr>
            <w:tcW w:w="6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5160" w:type="dxa"/>
            <w:vAlign w:val="bottom"/>
            <w:tcBorders>
              <w:bottom w:val="single" w:sz="8" w:color="0000EE"/>
            </w:tcBorders>
            <w:gridSpan w:val="26"/>
          </w:tcPr>
          <w:p>
            <w:pPr>
              <w:spacing w:after="0" w:line="169" w:lineRule="exact"/>
              <w:rPr>
                <w:rFonts w:ascii="Arial" w:cs="Arial" w:eastAsia="Arial" w:hAnsi="Arial"/>
                <w:sz w:val="18"/>
                <w:szCs w:val="18"/>
                <w:color w:val="0000EE"/>
                <w:w w:val="90"/>
              </w:rPr>
            </w:pPr>
            <w:hyperlink r:id="rId69">
              <w:r>
                <w:rPr>
                  <w:rFonts w:ascii="Arial" w:cs="Arial" w:eastAsia="Arial" w:hAnsi="Arial"/>
                  <w:sz w:val="18"/>
                  <w:szCs w:val="18"/>
                  <w:color w:val="0000EE"/>
                  <w:w w:val="90"/>
                </w:rPr>
                <w:t>Fifth Amended and Restated Certificate of Incorporation dated June 11,</w:t>
              </w:r>
            </w:hyperlink>
          </w:p>
        </w:tc>
        <w:tc>
          <w:tcPr>
            <w:tcW w:w="420" w:type="dxa"/>
            <w:vAlign w:val="bottom"/>
            <w:gridSpan w:val="10"/>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Borders>
              <w:bottom w:val="single" w:sz="8" w:color="0000EE"/>
            </w:tcBorders>
            <w:gridSpan w:val="5"/>
          </w:tcPr>
          <w:p>
            <w:pPr>
              <w:spacing w:after="0" w:line="196" w:lineRule="exact"/>
              <w:rPr>
                <w:rFonts w:ascii="Arial" w:cs="Arial" w:eastAsia="Arial" w:hAnsi="Arial"/>
                <w:sz w:val="18"/>
                <w:szCs w:val="18"/>
                <w:color w:val="0000EE"/>
                <w:w w:val="93"/>
              </w:rPr>
            </w:pPr>
            <w:hyperlink r:id="rId69">
              <w:r>
                <w:rPr>
                  <w:rFonts w:ascii="Arial" w:cs="Arial" w:eastAsia="Arial" w:hAnsi="Arial"/>
                  <w:sz w:val="18"/>
                  <w:szCs w:val="18"/>
                  <w:color w:val="0000EE"/>
                  <w:w w:val="93"/>
                </w:rPr>
                <w:t>2020.</w:t>
              </w:r>
            </w:hyperlink>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ind w:left="100"/>
              <w:spacing w:after="0" w:line="196" w:lineRule="exact"/>
              <w:rPr>
                <w:sz w:val="20"/>
                <w:szCs w:val="20"/>
                <w:color w:val="auto"/>
              </w:rPr>
            </w:pPr>
            <w:r>
              <w:rPr>
                <w:rFonts w:ascii="Arial" w:cs="Arial" w:eastAsia="Arial" w:hAnsi="Arial"/>
                <w:sz w:val="18"/>
                <w:szCs w:val="18"/>
                <w:color w:val="auto"/>
              </w:rPr>
              <w:t>3.2</w:t>
            </w:r>
          </w:p>
        </w:tc>
        <w:tc>
          <w:tcPr>
            <w:tcW w:w="60" w:type="dxa"/>
            <w:vAlign w:val="bottom"/>
          </w:tcPr>
          <w:p>
            <w:pPr>
              <w:spacing w:after="0"/>
              <w:rPr>
                <w:sz w:val="17"/>
                <w:szCs w:val="17"/>
                <w:color w:val="auto"/>
              </w:rPr>
            </w:pPr>
          </w:p>
        </w:tc>
        <w:tc>
          <w:tcPr>
            <w:tcW w:w="5080" w:type="dxa"/>
            <w:vAlign w:val="bottom"/>
            <w:tcBorders>
              <w:bottom w:val="single" w:sz="8" w:color="0000EE"/>
            </w:tcBorders>
            <w:gridSpan w:val="24"/>
          </w:tcPr>
          <w:p>
            <w:pPr>
              <w:spacing w:after="0" w:line="196" w:lineRule="exact"/>
              <w:rPr>
                <w:rFonts w:ascii="Arial" w:cs="Arial" w:eastAsia="Arial" w:hAnsi="Arial"/>
                <w:sz w:val="18"/>
                <w:szCs w:val="18"/>
                <w:color w:val="0000EE"/>
                <w:w w:val="88"/>
              </w:rPr>
            </w:pPr>
            <w:hyperlink r:id="rId70">
              <w:r>
                <w:rPr>
                  <w:rFonts w:ascii="Arial" w:cs="Arial" w:eastAsia="Arial" w:hAnsi="Arial"/>
                  <w:sz w:val="18"/>
                  <w:szCs w:val="18"/>
                  <w:color w:val="0000EE"/>
                  <w:w w:val="88"/>
                </w:rPr>
                <w:t>Amended and Restated Bylaws as amended through January 22, 2021.</w:t>
              </w:r>
            </w:hyperlink>
          </w:p>
        </w:tc>
        <w:tc>
          <w:tcPr>
            <w:tcW w:w="52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ind w:left="100"/>
              <w:spacing w:after="0" w:line="196" w:lineRule="exact"/>
              <w:rPr>
                <w:sz w:val="20"/>
                <w:szCs w:val="20"/>
                <w:color w:val="auto"/>
              </w:rPr>
            </w:pPr>
            <w:r>
              <w:rPr>
                <w:rFonts w:ascii="Arial" w:cs="Arial" w:eastAsia="Arial" w:hAnsi="Arial"/>
                <w:sz w:val="18"/>
                <w:szCs w:val="18"/>
                <w:color w:val="auto"/>
              </w:rPr>
              <w:t>4.1</w:t>
            </w:r>
          </w:p>
        </w:tc>
        <w:tc>
          <w:tcPr>
            <w:tcW w:w="60" w:type="dxa"/>
            <w:vAlign w:val="bottom"/>
          </w:tcPr>
          <w:p>
            <w:pPr>
              <w:spacing w:after="0"/>
              <w:rPr>
                <w:sz w:val="17"/>
                <w:szCs w:val="17"/>
                <w:color w:val="auto"/>
              </w:rPr>
            </w:pPr>
          </w:p>
        </w:tc>
        <w:tc>
          <w:tcPr>
            <w:tcW w:w="294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71">
              <w:r>
                <w:rPr>
                  <w:rFonts w:ascii="Arial" w:cs="Arial" w:eastAsia="Arial" w:hAnsi="Arial"/>
                  <w:sz w:val="18"/>
                  <w:szCs w:val="18"/>
                  <w:color w:val="0000EE"/>
                  <w:w w:val="91"/>
                </w:rPr>
                <w:t>Specimen of Common Stock Certificate.</w:t>
              </w:r>
            </w:hyperlink>
          </w:p>
        </w:tc>
        <w:tc>
          <w:tcPr>
            <w:tcW w:w="2660" w:type="dxa"/>
            <w:vAlign w:val="bottom"/>
            <w:gridSpan w:val="2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ind w:left="100"/>
              <w:spacing w:after="0" w:line="196" w:lineRule="exact"/>
              <w:rPr>
                <w:sz w:val="20"/>
                <w:szCs w:val="20"/>
                <w:color w:val="auto"/>
              </w:rPr>
            </w:pPr>
            <w:r>
              <w:rPr>
                <w:rFonts w:ascii="Arial" w:cs="Arial" w:eastAsia="Arial" w:hAnsi="Arial"/>
                <w:sz w:val="18"/>
                <w:szCs w:val="18"/>
                <w:color w:val="auto"/>
              </w:rPr>
              <w:t>4.2</w:t>
            </w:r>
          </w:p>
        </w:tc>
        <w:tc>
          <w:tcPr>
            <w:tcW w:w="60" w:type="dxa"/>
            <w:vAlign w:val="bottom"/>
          </w:tcPr>
          <w:p>
            <w:pPr>
              <w:spacing w:after="0"/>
              <w:rPr>
                <w:sz w:val="17"/>
                <w:szCs w:val="17"/>
                <w:color w:val="auto"/>
              </w:rPr>
            </w:pPr>
          </w:p>
        </w:tc>
        <w:tc>
          <w:tcPr>
            <w:tcW w:w="5600" w:type="dxa"/>
            <w:vAlign w:val="bottom"/>
            <w:gridSpan w:val="37"/>
          </w:tcPr>
          <w:p>
            <w:pPr>
              <w:spacing w:after="0" w:line="196" w:lineRule="exact"/>
              <w:rPr>
                <w:rFonts w:ascii="Arial" w:cs="Arial" w:eastAsia="Arial" w:hAnsi="Arial"/>
                <w:sz w:val="18"/>
                <w:szCs w:val="18"/>
                <w:color w:val="0000EE"/>
              </w:rPr>
            </w:pPr>
            <w:hyperlink w:anchor="page95">
              <w:r>
                <w:rPr>
                  <w:rFonts w:ascii="Arial" w:cs="Arial" w:eastAsia="Arial" w:hAnsi="Arial"/>
                  <w:sz w:val="18"/>
                  <w:szCs w:val="18"/>
                  <w:color w:val="0000EE"/>
                </w:rPr>
                <w:t>Description of Securities.</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80" w:type="dxa"/>
            <w:vAlign w:val="bottom"/>
          </w:tcPr>
          <w:p>
            <w:pPr>
              <w:spacing w:after="0"/>
              <w:rPr>
                <w:sz w:val="20"/>
                <w:szCs w:val="20"/>
                <w:color w:val="auto"/>
              </w:rPr>
            </w:pPr>
            <w:r>
              <w:rPr>
                <w:rFonts w:ascii="Arial" w:cs="Arial" w:eastAsia="Arial" w:hAnsi="Arial"/>
                <w:sz w:val="18"/>
                <w:szCs w:val="18"/>
                <w:color w:val="auto"/>
              </w:rPr>
              <w:t>10.1</w:t>
            </w:r>
          </w:p>
        </w:tc>
        <w:tc>
          <w:tcPr>
            <w:tcW w:w="60" w:type="dxa"/>
            <w:vAlign w:val="bottom"/>
          </w:tcPr>
          <w:p>
            <w:pPr>
              <w:spacing w:after="0"/>
              <w:rPr>
                <w:sz w:val="18"/>
                <w:szCs w:val="18"/>
                <w:color w:val="auto"/>
              </w:rPr>
            </w:pPr>
          </w:p>
        </w:tc>
        <w:tc>
          <w:tcPr>
            <w:tcW w:w="5600" w:type="dxa"/>
            <w:vAlign w:val="bottom"/>
            <w:gridSpan w:val="37"/>
          </w:tcPr>
          <w:p>
            <w:pPr>
              <w:spacing w:after="0"/>
              <w:rPr>
                <w:rFonts w:ascii="Arial" w:cs="Arial" w:eastAsia="Arial" w:hAnsi="Arial"/>
                <w:sz w:val="18"/>
                <w:szCs w:val="18"/>
                <w:color w:val="0000EE"/>
                <w:w w:val="89"/>
              </w:rPr>
            </w:pPr>
            <w:hyperlink r:id="rId72">
              <w:r>
                <w:rPr>
                  <w:rFonts w:ascii="Arial" w:cs="Arial" w:eastAsia="Arial" w:hAnsi="Arial"/>
                  <w:sz w:val="18"/>
                  <w:szCs w:val="18"/>
                  <w:color w:val="0000EE"/>
                  <w:w w:val="89"/>
                </w:rPr>
                <w:t>Sub-Sublease, dated as of July 18, 2018, between Prothena Biosciences, Inc.,</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0" w:type="dxa"/>
            <w:vAlign w:val="bottom"/>
            <w:tcBorders>
              <w:top w:val="single" w:sz="8" w:color="0000EE"/>
              <w:bottom w:val="single" w:sz="8" w:color="0000EE"/>
            </w:tcBorders>
            <w:gridSpan w:val="28"/>
          </w:tcPr>
          <w:p>
            <w:pPr>
              <w:spacing w:after="0" w:line="196" w:lineRule="exact"/>
              <w:rPr>
                <w:rFonts w:ascii="Arial" w:cs="Arial" w:eastAsia="Arial" w:hAnsi="Arial"/>
                <w:sz w:val="18"/>
                <w:szCs w:val="18"/>
                <w:color w:val="0000EE"/>
                <w:w w:val="89"/>
              </w:rPr>
            </w:pPr>
            <w:hyperlink r:id="rId72">
              <w:r>
                <w:rPr>
                  <w:rFonts w:ascii="Arial" w:cs="Arial" w:eastAsia="Arial" w:hAnsi="Arial"/>
                  <w:sz w:val="18"/>
                  <w:szCs w:val="18"/>
                  <w:color w:val="0000EE"/>
                  <w:w w:val="89"/>
                </w:rPr>
                <w:t>as Sub-Sublandlord, and Assembly Biosciences, Inc., as Sub-Subtenant.</w:t>
              </w:r>
            </w:hyperlink>
          </w:p>
        </w:tc>
        <w:tc>
          <w:tcPr>
            <w:tcW w:w="360" w:type="dxa"/>
            <w:vAlign w:val="bottom"/>
            <w:tcBorders>
              <w:top w:val="single" w:sz="8" w:color="0000EE"/>
            </w:tcBorders>
            <w:gridSpan w:val="8"/>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10.2*</w:t>
            </w:r>
          </w:p>
        </w:tc>
        <w:tc>
          <w:tcPr>
            <w:tcW w:w="60" w:type="dxa"/>
            <w:vAlign w:val="bottom"/>
          </w:tcPr>
          <w:p>
            <w:pPr>
              <w:spacing w:after="0"/>
              <w:rPr>
                <w:sz w:val="17"/>
                <w:szCs w:val="17"/>
                <w:color w:val="auto"/>
              </w:rPr>
            </w:pPr>
          </w:p>
        </w:tc>
        <w:tc>
          <w:tcPr>
            <w:tcW w:w="5500" w:type="dxa"/>
            <w:vAlign w:val="bottom"/>
            <w:tcBorders>
              <w:bottom w:val="single" w:sz="8" w:color="0000EE"/>
            </w:tcBorders>
            <w:gridSpan w:val="35"/>
          </w:tcPr>
          <w:p>
            <w:pPr>
              <w:spacing w:after="0" w:line="196" w:lineRule="exact"/>
              <w:rPr>
                <w:rFonts w:ascii="Arial" w:cs="Arial" w:eastAsia="Arial" w:hAnsi="Arial"/>
                <w:sz w:val="18"/>
                <w:szCs w:val="18"/>
                <w:color w:val="0000EE"/>
                <w:w w:val="89"/>
              </w:rPr>
            </w:pPr>
            <w:hyperlink r:id="rId73">
              <w:r>
                <w:rPr>
                  <w:rFonts w:ascii="Arial" w:cs="Arial" w:eastAsia="Arial" w:hAnsi="Arial"/>
                  <w:sz w:val="18"/>
                  <w:szCs w:val="18"/>
                  <w:color w:val="0000EE"/>
                  <w:w w:val="89"/>
                </w:rPr>
                <w:t>Exclusive License Agreement dated September 3, 2013 by and between The</w:t>
              </w:r>
            </w:hyperlink>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40" w:type="dxa"/>
            <w:vAlign w:val="bottom"/>
            <w:tcBorders>
              <w:bottom w:val="single" w:sz="8" w:color="0000EE"/>
            </w:tcBorders>
            <w:gridSpan w:val="29"/>
          </w:tcPr>
          <w:p>
            <w:pPr>
              <w:spacing w:after="0" w:line="196" w:lineRule="exact"/>
              <w:rPr>
                <w:rFonts w:ascii="Arial" w:cs="Arial" w:eastAsia="Arial" w:hAnsi="Arial"/>
                <w:sz w:val="18"/>
                <w:szCs w:val="18"/>
                <w:color w:val="0000EE"/>
                <w:w w:val="90"/>
              </w:rPr>
            </w:pPr>
            <w:hyperlink r:id="rId73">
              <w:r>
                <w:rPr>
                  <w:rFonts w:ascii="Arial" w:cs="Arial" w:eastAsia="Arial" w:hAnsi="Arial"/>
                  <w:sz w:val="18"/>
                  <w:szCs w:val="18"/>
                  <w:color w:val="0000EE"/>
                  <w:w w:val="90"/>
                </w:rPr>
                <w:t>Indiana University Research and Technology Corporation and Assembly</w:t>
              </w:r>
            </w:hyperlink>
          </w:p>
        </w:tc>
        <w:tc>
          <w:tcPr>
            <w:tcW w:w="36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6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r:id="rId73">
              <w:r>
                <w:rPr>
                  <w:rFonts w:ascii="Arial" w:cs="Arial" w:eastAsia="Arial" w:hAnsi="Arial"/>
                  <w:sz w:val="18"/>
                  <w:szCs w:val="18"/>
                  <w:color w:val="0000EE"/>
                  <w:w w:val="89"/>
                </w:rPr>
                <w:t>Pharmaceuticals, Inc.</w:t>
              </w:r>
            </w:hyperlink>
          </w:p>
        </w:tc>
        <w:tc>
          <w:tcPr>
            <w:tcW w:w="4040" w:type="dxa"/>
            <w:vAlign w:val="bottom"/>
            <w:gridSpan w:val="3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10.3†</w:t>
            </w:r>
          </w:p>
        </w:tc>
        <w:tc>
          <w:tcPr>
            <w:tcW w:w="60" w:type="dxa"/>
            <w:vAlign w:val="bottom"/>
          </w:tcPr>
          <w:p>
            <w:pPr>
              <w:spacing w:after="0"/>
              <w:rPr>
                <w:sz w:val="17"/>
                <w:szCs w:val="17"/>
                <w:color w:val="auto"/>
              </w:rPr>
            </w:pPr>
          </w:p>
        </w:tc>
        <w:tc>
          <w:tcPr>
            <w:tcW w:w="5600" w:type="dxa"/>
            <w:vAlign w:val="bottom"/>
            <w:gridSpan w:val="37"/>
          </w:tcPr>
          <w:p>
            <w:pPr>
              <w:spacing w:after="0" w:line="196" w:lineRule="exact"/>
              <w:rPr>
                <w:rFonts w:ascii="Arial" w:cs="Arial" w:eastAsia="Arial" w:hAnsi="Arial"/>
                <w:sz w:val="18"/>
                <w:szCs w:val="18"/>
                <w:color w:val="0000EE"/>
              </w:rPr>
            </w:pPr>
            <w:hyperlink r:id="rId74">
              <w:r>
                <w:rPr>
                  <w:rFonts w:ascii="Arial" w:cs="Arial" w:eastAsia="Arial" w:hAnsi="Arial"/>
                  <w:sz w:val="18"/>
                  <w:szCs w:val="18"/>
                  <w:color w:val="0000EE"/>
                </w:rPr>
                <w:t>Amendment No. 1 to Exclusive License Agreement, by and between</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44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0" w:type="dxa"/>
            <w:vAlign w:val="bottom"/>
            <w:gridSpan w:val="37"/>
          </w:tcPr>
          <w:p>
            <w:pPr>
              <w:spacing w:after="0" w:line="196" w:lineRule="exact"/>
              <w:rPr>
                <w:rFonts w:ascii="Arial" w:cs="Arial" w:eastAsia="Arial" w:hAnsi="Arial"/>
                <w:sz w:val="18"/>
                <w:szCs w:val="18"/>
                <w:color w:val="0000EE"/>
              </w:rPr>
            </w:pPr>
            <w:hyperlink r:id="rId74">
              <w:r>
                <w:rPr>
                  <w:rFonts w:ascii="Arial" w:cs="Arial" w:eastAsia="Arial" w:hAnsi="Arial"/>
                  <w:sz w:val="18"/>
                  <w:szCs w:val="18"/>
                  <w:color w:val="0000EE"/>
                </w:rPr>
                <w:t>Assembly Biosciences, Inc. and the Indiana University Research and</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4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1"/>
              </w:rPr>
            </w:pPr>
            <w:hyperlink r:id="rId74">
              <w:r>
                <w:rPr>
                  <w:rFonts w:ascii="Arial" w:cs="Arial" w:eastAsia="Arial" w:hAnsi="Arial"/>
                  <w:sz w:val="18"/>
                  <w:szCs w:val="18"/>
                  <w:color w:val="0000EE"/>
                  <w:w w:val="91"/>
                </w:rPr>
                <w:t>Technology Corporation.</w:t>
              </w:r>
            </w:hyperlink>
          </w:p>
        </w:tc>
        <w:tc>
          <w:tcPr>
            <w:tcW w:w="3120" w:type="dxa"/>
            <w:vAlign w:val="bottom"/>
            <w:tcBorders>
              <w:top w:val="single" w:sz="8" w:color="0000EE"/>
            </w:tcBorders>
            <w:gridSpan w:val="13"/>
          </w:tcPr>
          <w:p>
            <w:pPr>
              <w:spacing w:after="0"/>
              <w:rPr>
                <w:sz w:val="17"/>
                <w:szCs w:val="17"/>
                <w:color w:val="auto"/>
              </w:rPr>
            </w:pPr>
          </w:p>
        </w:tc>
        <w:tc>
          <w:tcPr>
            <w:tcW w:w="64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10.4†</w:t>
            </w:r>
          </w:p>
        </w:tc>
        <w:tc>
          <w:tcPr>
            <w:tcW w:w="60" w:type="dxa"/>
            <w:vAlign w:val="bottom"/>
          </w:tcPr>
          <w:p>
            <w:pPr>
              <w:spacing w:after="0"/>
              <w:rPr>
                <w:sz w:val="17"/>
                <w:szCs w:val="17"/>
                <w:color w:val="auto"/>
              </w:rPr>
            </w:pPr>
          </w:p>
        </w:tc>
        <w:tc>
          <w:tcPr>
            <w:tcW w:w="5600" w:type="dxa"/>
            <w:vAlign w:val="bottom"/>
            <w:gridSpan w:val="37"/>
          </w:tcPr>
          <w:p>
            <w:pPr>
              <w:spacing w:after="0" w:line="196" w:lineRule="exact"/>
              <w:rPr>
                <w:rFonts w:ascii="Arial" w:cs="Arial" w:eastAsia="Arial" w:hAnsi="Arial"/>
                <w:sz w:val="18"/>
                <w:szCs w:val="18"/>
                <w:color w:val="0000EE"/>
              </w:rPr>
            </w:pPr>
            <w:hyperlink r:id="rId75">
              <w:r>
                <w:rPr>
                  <w:rFonts w:ascii="Arial" w:cs="Arial" w:eastAsia="Arial" w:hAnsi="Arial"/>
                  <w:sz w:val="18"/>
                  <w:szCs w:val="18"/>
                  <w:color w:val="0000EE"/>
                </w:rPr>
                <w:t>Amendment No. 2 to Exclusive License Agreement, by and between</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0" w:type="dxa"/>
            <w:vAlign w:val="bottom"/>
            <w:gridSpan w:val="37"/>
          </w:tcPr>
          <w:p>
            <w:pPr>
              <w:spacing w:after="0" w:line="196" w:lineRule="exact"/>
              <w:rPr>
                <w:rFonts w:ascii="Arial" w:cs="Arial" w:eastAsia="Arial" w:hAnsi="Arial"/>
                <w:sz w:val="18"/>
                <w:szCs w:val="18"/>
                <w:color w:val="0000EE"/>
              </w:rPr>
            </w:pPr>
            <w:hyperlink r:id="rId75">
              <w:r>
                <w:rPr>
                  <w:rFonts w:ascii="Arial" w:cs="Arial" w:eastAsia="Arial" w:hAnsi="Arial"/>
                  <w:sz w:val="18"/>
                  <w:szCs w:val="18"/>
                  <w:color w:val="0000EE"/>
                </w:rPr>
                <w:t>Assembly Biosciences, Inc. and the Indiana University Research and</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4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1"/>
              </w:rPr>
            </w:pPr>
            <w:hyperlink r:id="rId75">
              <w:r>
                <w:rPr>
                  <w:rFonts w:ascii="Arial" w:cs="Arial" w:eastAsia="Arial" w:hAnsi="Arial"/>
                  <w:sz w:val="18"/>
                  <w:szCs w:val="18"/>
                  <w:color w:val="0000EE"/>
                  <w:w w:val="91"/>
                </w:rPr>
                <w:t>Technology Corporation.</w:t>
              </w:r>
            </w:hyperlink>
          </w:p>
        </w:tc>
        <w:tc>
          <w:tcPr>
            <w:tcW w:w="3120" w:type="dxa"/>
            <w:vAlign w:val="bottom"/>
            <w:tcBorders>
              <w:top w:val="single" w:sz="8" w:color="0000EE"/>
            </w:tcBorders>
            <w:gridSpan w:val="13"/>
          </w:tcPr>
          <w:p>
            <w:pPr>
              <w:spacing w:after="0"/>
              <w:rPr>
                <w:sz w:val="17"/>
                <w:szCs w:val="17"/>
                <w:color w:val="auto"/>
              </w:rPr>
            </w:pPr>
          </w:p>
        </w:tc>
        <w:tc>
          <w:tcPr>
            <w:tcW w:w="64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10.5†‡</w:t>
            </w:r>
          </w:p>
        </w:tc>
        <w:tc>
          <w:tcPr>
            <w:tcW w:w="60" w:type="dxa"/>
            <w:vAlign w:val="bottom"/>
          </w:tcPr>
          <w:p>
            <w:pPr>
              <w:spacing w:after="0"/>
              <w:rPr>
                <w:sz w:val="17"/>
                <w:szCs w:val="17"/>
                <w:color w:val="auto"/>
              </w:rPr>
            </w:pPr>
          </w:p>
        </w:tc>
        <w:tc>
          <w:tcPr>
            <w:tcW w:w="5600" w:type="dxa"/>
            <w:vAlign w:val="bottom"/>
            <w:gridSpan w:val="37"/>
          </w:tcPr>
          <w:p>
            <w:pPr>
              <w:spacing w:after="0" w:line="196" w:lineRule="exact"/>
              <w:rPr>
                <w:rFonts w:ascii="Arial" w:cs="Arial" w:eastAsia="Arial" w:hAnsi="Arial"/>
                <w:sz w:val="18"/>
                <w:szCs w:val="18"/>
                <w:color w:val="0000EE"/>
              </w:rPr>
            </w:pPr>
            <w:hyperlink r:id="rId76">
              <w:r>
                <w:rPr>
                  <w:rFonts w:ascii="Arial" w:cs="Arial" w:eastAsia="Arial" w:hAnsi="Arial"/>
                  <w:sz w:val="18"/>
                  <w:szCs w:val="18"/>
                  <w:color w:val="0000EE"/>
                </w:rPr>
                <w:t>Collaboration Agreement, dated as of July 17, 2020, by and between</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94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r:id="rId76">
              <w:r>
                <w:rPr>
                  <w:rFonts w:ascii="Arial" w:cs="Arial" w:eastAsia="Arial" w:hAnsi="Arial"/>
                  <w:sz w:val="18"/>
                  <w:szCs w:val="18"/>
                  <w:color w:val="0000EE"/>
                </w:rPr>
                <w:t>Assembly Biosciences, Inc. and BeiGene, Ltd.</w:t>
              </w:r>
            </w:hyperlink>
          </w:p>
        </w:tc>
        <w:tc>
          <w:tcPr>
            <w:tcW w:w="66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10.6#</w:t>
            </w:r>
          </w:p>
        </w:tc>
        <w:tc>
          <w:tcPr>
            <w:tcW w:w="60" w:type="dxa"/>
            <w:vAlign w:val="bottom"/>
          </w:tcPr>
          <w:p>
            <w:pPr>
              <w:spacing w:after="0"/>
              <w:rPr>
                <w:sz w:val="17"/>
                <w:szCs w:val="17"/>
                <w:color w:val="auto"/>
              </w:rPr>
            </w:pPr>
          </w:p>
        </w:tc>
        <w:tc>
          <w:tcPr>
            <w:tcW w:w="5600" w:type="dxa"/>
            <w:vAlign w:val="bottom"/>
            <w:gridSpan w:val="37"/>
          </w:tcPr>
          <w:p>
            <w:pPr>
              <w:spacing w:after="0" w:line="196" w:lineRule="exact"/>
              <w:rPr>
                <w:rFonts w:ascii="Arial" w:cs="Arial" w:eastAsia="Arial" w:hAnsi="Arial"/>
                <w:sz w:val="18"/>
                <w:szCs w:val="18"/>
                <w:color w:val="0000EE"/>
              </w:rPr>
            </w:pPr>
            <w:hyperlink r:id="rId77">
              <w:r>
                <w:rPr>
                  <w:rFonts w:ascii="Arial" w:cs="Arial" w:eastAsia="Arial" w:hAnsi="Arial"/>
                  <w:sz w:val="18"/>
                  <w:szCs w:val="18"/>
                  <w:color w:val="0000EE"/>
                </w:rPr>
                <w:t>Employment Agreement, dated August 6, 2019, between Assembly</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8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2"/>
              </w:rPr>
            </w:pPr>
            <w:hyperlink r:id="rId77">
              <w:r>
                <w:rPr>
                  <w:rFonts w:ascii="Arial" w:cs="Arial" w:eastAsia="Arial" w:hAnsi="Arial"/>
                  <w:sz w:val="18"/>
                  <w:szCs w:val="18"/>
                  <w:color w:val="0000EE"/>
                  <w:w w:val="92"/>
                </w:rPr>
                <w:t>Biosciences, Inc. and John G. McHutchison, A.O., M.D.</w:t>
              </w:r>
            </w:hyperlink>
          </w:p>
        </w:tc>
        <w:tc>
          <w:tcPr>
            <w:tcW w:w="780" w:type="dxa"/>
            <w:vAlign w:val="bottom"/>
            <w:tcBorders>
              <w:top w:val="single" w:sz="8" w:color="0000EE"/>
            </w:tcBorders>
            <w:gridSpan w:val="5"/>
          </w:tcPr>
          <w:p>
            <w:pPr>
              <w:spacing w:after="0"/>
              <w:rPr>
                <w:sz w:val="17"/>
                <w:szCs w:val="17"/>
                <w:color w:val="auto"/>
              </w:rPr>
            </w:pPr>
          </w:p>
        </w:tc>
        <w:tc>
          <w:tcPr>
            <w:tcW w:w="74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10.7#</w:t>
            </w:r>
          </w:p>
        </w:tc>
        <w:tc>
          <w:tcPr>
            <w:tcW w:w="60" w:type="dxa"/>
            <w:vAlign w:val="bottom"/>
          </w:tcPr>
          <w:p>
            <w:pPr>
              <w:spacing w:after="0"/>
              <w:rPr>
                <w:sz w:val="17"/>
                <w:szCs w:val="17"/>
                <w:color w:val="auto"/>
              </w:rPr>
            </w:pPr>
          </w:p>
        </w:tc>
        <w:tc>
          <w:tcPr>
            <w:tcW w:w="5040" w:type="dxa"/>
            <w:vAlign w:val="bottom"/>
            <w:tcBorders>
              <w:bottom w:val="single" w:sz="8" w:color="0000EE"/>
            </w:tcBorders>
            <w:gridSpan w:val="23"/>
          </w:tcPr>
          <w:p>
            <w:pPr>
              <w:spacing w:after="0" w:line="196" w:lineRule="exact"/>
              <w:rPr>
                <w:rFonts w:ascii="Arial" w:cs="Arial" w:eastAsia="Arial" w:hAnsi="Arial"/>
                <w:sz w:val="18"/>
                <w:szCs w:val="18"/>
                <w:color w:val="0000EE"/>
                <w:w w:val="89"/>
              </w:rPr>
            </w:pPr>
            <w:hyperlink r:id="rId78">
              <w:r>
                <w:rPr>
                  <w:rFonts w:ascii="Arial" w:cs="Arial" w:eastAsia="Arial" w:hAnsi="Arial"/>
                  <w:sz w:val="18"/>
                  <w:szCs w:val="18"/>
                  <w:color w:val="0000EE"/>
                  <w:w w:val="89"/>
                </w:rPr>
                <w:t>Amended and Restated Employment Agreement, dated July 30, 2021,</w:t>
              </w:r>
            </w:hyperlink>
          </w:p>
        </w:tc>
        <w:tc>
          <w:tcPr>
            <w:tcW w:w="56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30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r:id="rId78">
              <w:r>
                <w:rPr>
                  <w:rFonts w:ascii="Arial" w:cs="Arial" w:eastAsia="Arial" w:hAnsi="Arial"/>
                  <w:sz w:val="18"/>
                  <w:szCs w:val="18"/>
                  <w:color w:val="0000EE"/>
                  <w:w w:val="89"/>
                </w:rPr>
                <w:t>between Assembly Biosciences, Inc. and Jason A. Okazaki.</w:t>
              </w:r>
            </w:hyperlink>
          </w:p>
        </w:tc>
        <w:tc>
          <w:tcPr>
            <w:tcW w:w="130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10.8#</w:t>
            </w:r>
          </w:p>
        </w:tc>
        <w:tc>
          <w:tcPr>
            <w:tcW w:w="60" w:type="dxa"/>
            <w:vAlign w:val="bottom"/>
          </w:tcPr>
          <w:p>
            <w:pPr>
              <w:spacing w:after="0"/>
              <w:rPr>
                <w:sz w:val="17"/>
                <w:szCs w:val="17"/>
                <w:color w:val="auto"/>
              </w:rPr>
            </w:pPr>
          </w:p>
        </w:tc>
        <w:tc>
          <w:tcPr>
            <w:tcW w:w="474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r:id="rId79">
              <w:r>
                <w:rPr>
                  <w:rFonts w:ascii="Arial" w:cs="Arial" w:eastAsia="Arial" w:hAnsi="Arial"/>
                  <w:sz w:val="18"/>
                  <w:szCs w:val="18"/>
                  <w:color w:val="0000EE"/>
                  <w:w w:val="90"/>
                </w:rPr>
                <w:t>Employment Agreement, dated July 30, 2021, between Assembly</w:t>
              </w:r>
            </w:hyperlink>
          </w:p>
        </w:tc>
        <w:tc>
          <w:tcPr>
            <w:tcW w:w="86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0" w:type="dxa"/>
            <w:vAlign w:val="bottom"/>
            <w:gridSpan w:val="37"/>
          </w:tcPr>
          <w:p>
            <w:pPr>
              <w:spacing w:after="0" w:line="196" w:lineRule="exact"/>
              <w:rPr>
                <w:rFonts w:ascii="Arial" w:cs="Arial" w:eastAsia="Arial" w:hAnsi="Arial"/>
                <w:sz w:val="18"/>
                <w:szCs w:val="18"/>
                <w:color w:val="0000EE"/>
              </w:rPr>
            </w:pPr>
            <w:hyperlink r:id="rId79">
              <w:r>
                <w:rPr>
                  <w:rFonts w:ascii="Arial" w:cs="Arial" w:eastAsia="Arial" w:hAnsi="Arial"/>
                  <w:sz w:val="18"/>
                  <w:szCs w:val="18"/>
                  <w:color w:val="0000EE"/>
                </w:rPr>
                <w:t>Biosciences, Inc. and Michael P. Samar.</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10.9#</w:t>
            </w:r>
          </w:p>
        </w:tc>
        <w:tc>
          <w:tcPr>
            <w:tcW w:w="60" w:type="dxa"/>
            <w:vAlign w:val="bottom"/>
          </w:tcPr>
          <w:p>
            <w:pPr>
              <w:spacing w:after="0"/>
              <w:rPr>
                <w:sz w:val="17"/>
                <w:szCs w:val="17"/>
                <w:color w:val="auto"/>
              </w:rPr>
            </w:pPr>
          </w:p>
        </w:tc>
        <w:tc>
          <w:tcPr>
            <w:tcW w:w="5020" w:type="dxa"/>
            <w:vAlign w:val="bottom"/>
            <w:tcBorders>
              <w:bottom w:val="single" w:sz="8" w:color="0000EE"/>
            </w:tcBorders>
            <w:gridSpan w:val="22"/>
          </w:tcPr>
          <w:p>
            <w:pPr>
              <w:spacing w:after="0" w:line="196" w:lineRule="exact"/>
              <w:rPr>
                <w:rFonts w:ascii="Arial" w:cs="Arial" w:eastAsia="Arial" w:hAnsi="Arial"/>
                <w:sz w:val="18"/>
                <w:szCs w:val="18"/>
                <w:color w:val="0000EE"/>
                <w:w w:val="90"/>
              </w:rPr>
            </w:pPr>
            <w:hyperlink r:id="rId80">
              <w:r>
                <w:rPr>
                  <w:rFonts w:ascii="Arial" w:cs="Arial" w:eastAsia="Arial" w:hAnsi="Arial"/>
                  <w:sz w:val="18"/>
                  <w:szCs w:val="18"/>
                  <w:color w:val="0000EE"/>
                  <w:w w:val="90"/>
                </w:rPr>
                <w:t>Employment Agreement, dated October 22, 2019, between Assembly</w:t>
              </w:r>
            </w:hyperlink>
          </w:p>
        </w:tc>
        <w:tc>
          <w:tcPr>
            <w:tcW w:w="58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2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r:id="rId80">
              <w:r>
                <w:rPr>
                  <w:rFonts w:ascii="Arial" w:cs="Arial" w:eastAsia="Arial" w:hAnsi="Arial"/>
                  <w:sz w:val="18"/>
                  <w:szCs w:val="18"/>
                  <w:color w:val="0000EE"/>
                  <w:w w:val="91"/>
                </w:rPr>
                <w:t>Biosciences, Inc. and Luisa M. Stamm, M.D., Ph.D. effective as of</w:t>
              </w:r>
            </w:hyperlink>
          </w:p>
        </w:tc>
        <w:tc>
          <w:tcPr>
            <w:tcW w:w="78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r:id="rId80">
              <w:r>
                <w:rPr>
                  <w:rFonts w:ascii="Arial" w:cs="Arial" w:eastAsia="Arial" w:hAnsi="Arial"/>
                  <w:sz w:val="18"/>
                  <w:szCs w:val="18"/>
                  <w:color w:val="0000EE"/>
                  <w:w w:val="90"/>
                </w:rPr>
                <w:t>November 6, 2019.</w:t>
              </w:r>
            </w:hyperlink>
          </w:p>
        </w:tc>
        <w:tc>
          <w:tcPr>
            <w:tcW w:w="4200" w:type="dxa"/>
            <w:vAlign w:val="bottom"/>
            <w:gridSpan w:val="3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10.10#</w:t>
            </w:r>
          </w:p>
        </w:tc>
        <w:tc>
          <w:tcPr>
            <w:tcW w:w="60" w:type="dxa"/>
            <w:vAlign w:val="bottom"/>
          </w:tcPr>
          <w:p>
            <w:pPr>
              <w:spacing w:after="0"/>
              <w:rPr>
                <w:sz w:val="17"/>
                <w:szCs w:val="17"/>
                <w:color w:val="auto"/>
              </w:rPr>
            </w:pPr>
          </w:p>
        </w:tc>
        <w:tc>
          <w:tcPr>
            <w:tcW w:w="5240" w:type="dxa"/>
            <w:vAlign w:val="bottom"/>
            <w:tcBorders>
              <w:bottom w:val="single" w:sz="8" w:color="0000EE"/>
            </w:tcBorders>
            <w:gridSpan w:val="29"/>
          </w:tcPr>
          <w:p>
            <w:pPr>
              <w:spacing w:after="0" w:line="196" w:lineRule="exact"/>
              <w:rPr>
                <w:rFonts w:ascii="Arial" w:cs="Arial" w:eastAsia="Arial" w:hAnsi="Arial"/>
                <w:sz w:val="18"/>
                <w:szCs w:val="18"/>
                <w:color w:val="0000EE"/>
                <w:w w:val="90"/>
              </w:rPr>
            </w:pPr>
            <w:hyperlink r:id="rId81">
              <w:r>
                <w:rPr>
                  <w:rFonts w:ascii="Arial" w:cs="Arial" w:eastAsia="Arial" w:hAnsi="Arial"/>
                  <w:sz w:val="18"/>
                  <w:szCs w:val="18"/>
                  <w:color w:val="0000EE"/>
                  <w:w w:val="90"/>
                </w:rPr>
                <w:t>Amendment No. 1 to Employment Agreement, dated February 26, 2020,</w:t>
              </w:r>
            </w:hyperlink>
          </w:p>
        </w:tc>
        <w:tc>
          <w:tcPr>
            <w:tcW w:w="36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0" w:type="dxa"/>
            <w:vAlign w:val="bottom"/>
            <w:gridSpan w:val="37"/>
          </w:tcPr>
          <w:p>
            <w:pPr>
              <w:spacing w:after="0" w:line="196" w:lineRule="exact"/>
              <w:rPr>
                <w:rFonts w:ascii="Arial" w:cs="Arial" w:eastAsia="Arial" w:hAnsi="Arial"/>
                <w:sz w:val="18"/>
                <w:szCs w:val="18"/>
                <w:color w:val="0000EE"/>
                <w:w w:val="98"/>
              </w:rPr>
            </w:pPr>
            <w:hyperlink r:id="rId81">
              <w:r>
                <w:rPr>
                  <w:rFonts w:ascii="Arial" w:cs="Arial" w:eastAsia="Arial" w:hAnsi="Arial"/>
                  <w:sz w:val="18"/>
                  <w:szCs w:val="18"/>
                  <w:color w:val="0000EE"/>
                  <w:w w:val="98"/>
                </w:rPr>
                <w:t>between Assembly Biosciences, Inc. and Luisa M. Stamm, M.D., Ph.D.</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10.11#</w:t>
            </w:r>
          </w:p>
        </w:tc>
        <w:tc>
          <w:tcPr>
            <w:tcW w:w="60" w:type="dxa"/>
            <w:vAlign w:val="bottom"/>
          </w:tcPr>
          <w:p>
            <w:pPr>
              <w:spacing w:after="0"/>
              <w:rPr>
                <w:sz w:val="17"/>
                <w:szCs w:val="17"/>
                <w:color w:val="auto"/>
              </w:rPr>
            </w:pPr>
          </w:p>
        </w:tc>
        <w:tc>
          <w:tcPr>
            <w:tcW w:w="468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90"/>
              </w:rPr>
            </w:pPr>
            <w:hyperlink r:id="rId82">
              <w:r>
                <w:rPr>
                  <w:rFonts w:ascii="Arial" w:cs="Arial" w:eastAsia="Arial" w:hAnsi="Arial"/>
                  <w:sz w:val="18"/>
                  <w:szCs w:val="18"/>
                  <w:color w:val="0000EE"/>
                  <w:w w:val="90"/>
                </w:rPr>
                <w:t>Employment Agreement, dated May 1, 2020, between Assembly</w:t>
              </w:r>
            </w:hyperlink>
          </w:p>
        </w:tc>
        <w:tc>
          <w:tcPr>
            <w:tcW w:w="480" w:type="dxa"/>
            <w:vAlign w:val="bottom"/>
            <w:tcBorders>
              <w:top w:val="single" w:sz="8" w:color="0000EE"/>
            </w:tcBorders>
            <w:gridSpan w:val="10"/>
          </w:tcPr>
          <w:p>
            <w:pPr>
              <w:spacing w:after="0"/>
              <w:rPr>
                <w:sz w:val="17"/>
                <w:szCs w:val="17"/>
                <w:color w:val="auto"/>
              </w:rPr>
            </w:pPr>
          </w:p>
        </w:tc>
        <w:tc>
          <w:tcPr>
            <w:tcW w:w="44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80" w:type="dxa"/>
            <w:vAlign w:val="bottom"/>
            <w:tcBorders>
              <w:bottom w:val="single" w:sz="8" w:color="0000EE"/>
            </w:tcBorders>
            <w:gridSpan w:val="34"/>
          </w:tcPr>
          <w:p>
            <w:pPr>
              <w:spacing w:after="0" w:line="196" w:lineRule="exact"/>
              <w:rPr>
                <w:rFonts w:ascii="Arial" w:cs="Arial" w:eastAsia="Arial" w:hAnsi="Arial"/>
                <w:sz w:val="18"/>
                <w:szCs w:val="18"/>
                <w:color w:val="0000EE"/>
                <w:w w:val="92"/>
              </w:rPr>
            </w:pPr>
            <w:hyperlink r:id="rId82">
              <w:r>
                <w:rPr>
                  <w:rFonts w:ascii="Arial" w:cs="Arial" w:eastAsia="Arial" w:hAnsi="Arial"/>
                  <w:sz w:val="18"/>
                  <w:szCs w:val="18"/>
                  <w:color w:val="0000EE"/>
                  <w:w w:val="92"/>
                </w:rPr>
                <w:t>Biosciences, Inc. and William E. Delaney IV, Ph.D., effective as of May 27,</w:t>
              </w:r>
            </w:hyperlink>
          </w:p>
        </w:tc>
        <w:tc>
          <w:tcPr>
            <w:tcW w:w="1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r:id="rId82">
              <w:r>
                <w:rPr>
                  <w:rFonts w:ascii="Arial" w:cs="Arial" w:eastAsia="Arial" w:hAnsi="Arial"/>
                  <w:sz w:val="18"/>
                  <w:szCs w:val="18"/>
                  <w:color w:val="0000EE"/>
                  <w:w w:val="88"/>
                </w:rPr>
                <w:t>2020.</w:t>
              </w:r>
            </w:hyperlink>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10.12#</w:t>
            </w:r>
          </w:p>
        </w:tc>
        <w:tc>
          <w:tcPr>
            <w:tcW w:w="60" w:type="dxa"/>
            <w:vAlign w:val="bottom"/>
          </w:tcPr>
          <w:p>
            <w:pPr>
              <w:spacing w:after="0"/>
              <w:rPr>
                <w:sz w:val="17"/>
                <w:szCs w:val="17"/>
                <w:color w:val="auto"/>
              </w:rPr>
            </w:pPr>
          </w:p>
        </w:tc>
        <w:tc>
          <w:tcPr>
            <w:tcW w:w="5600" w:type="dxa"/>
            <w:vAlign w:val="bottom"/>
            <w:gridSpan w:val="37"/>
          </w:tcPr>
          <w:p>
            <w:pPr>
              <w:spacing w:after="0" w:line="196" w:lineRule="exact"/>
              <w:rPr>
                <w:rFonts w:ascii="Arial" w:cs="Arial" w:eastAsia="Arial" w:hAnsi="Arial"/>
                <w:sz w:val="18"/>
                <w:szCs w:val="18"/>
                <w:color w:val="0000EE"/>
              </w:rPr>
            </w:pPr>
            <w:hyperlink r:id="rId83">
              <w:r>
                <w:rPr>
                  <w:rFonts w:ascii="Arial" w:cs="Arial" w:eastAsia="Arial" w:hAnsi="Arial"/>
                  <w:sz w:val="18"/>
                  <w:szCs w:val="18"/>
                  <w:color w:val="0000EE"/>
                </w:rPr>
                <w:t>2010 Equity Incentive Plan</w:t>
              </w:r>
            </w:hyperlink>
            <w:r>
              <w:rPr>
                <w:rFonts w:ascii="Arial" w:cs="Arial" w:eastAsia="Arial" w:hAnsi="Arial"/>
                <w:sz w:val="18"/>
                <w:szCs w:val="18"/>
                <w:u w:val="single" w:color="auto"/>
                <w:color w:val="000000"/>
              </w:rPr>
              <w:t>.</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80" w:type="dxa"/>
            <w:vAlign w:val="bottom"/>
            <w:gridSpan w:val="6"/>
            <w:shd w:val="clear" w:color="auto" w:fill="0000EE"/>
          </w:tcPr>
          <w:p>
            <w:pPr>
              <w:spacing w:after="0" w:line="20" w:lineRule="exact"/>
              <w:rPr>
                <w:sz w:val="1"/>
                <w:szCs w:val="1"/>
                <w:color w:val="auto"/>
              </w:rPr>
            </w:pPr>
          </w:p>
        </w:tc>
        <w:tc>
          <w:tcPr>
            <w:tcW w:w="1680" w:type="dxa"/>
            <w:vAlign w:val="bottom"/>
            <w:gridSpan w:val="4"/>
          </w:tcPr>
          <w:p>
            <w:pPr>
              <w:spacing w:after="0" w:line="20" w:lineRule="exact"/>
              <w:rPr>
                <w:sz w:val="1"/>
                <w:szCs w:val="1"/>
                <w:color w:val="auto"/>
              </w:rPr>
            </w:pPr>
          </w:p>
        </w:tc>
        <w:tc>
          <w:tcPr>
            <w:tcW w:w="1460" w:type="dxa"/>
            <w:vAlign w:val="bottom"/>
            <w:gridSpan w:val="12"/>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10.13#</w:t>
            </w:r>
          </w:p>
        </w:tc>
        <w:tc>
          <w:tcPr>
            <w:tcW w:w="60" w:type="dxa"/>
            <w:vAlign w:val="bottom"/>
          </w:tcPr>
          <w:p>
            <w:pPr>
              <w:spacing w:after="0"/>
              <w:rPr>
                <w:sz w:val="17"/>
                <w:szCs w:val="17"/>
                <w:color w:val="auto"/>
              </w:rPr>
            </w:pPr>
          </w:p>
        </w:tc>
        <w:tc>
          <w:tcPr>
            <w:tcW w:w="5600" w:type="dxa"/>
            <w:vAlign w:val="bottom"/>
            <w:gridSpan w:val="37"/>
          </w:tcPr>
          <w:p>
            <w:pPr>
              <w:spacing w:after="0" w:line="196" w:lineRule="exact"/>
              <w:rPr>
                <w:rFonts w:ascii="Arial" w:cs="Arial" w:eastAsia="Arial" w:hAnsi="Arial"/>
                <w:sz w:val="18"/>
                <w:szCs w:val="18"/>
                <w:color w:val="0000EE"/>
                <w:w w:val="95"/>
              </w:rPr>
            </w:pPr>
            <w:hyperlink r:id="rId84">
              <w:r>
                <w:rPr>
                  <w:rFonts w:ascii="Arial" w:cs="Arial" w:eastAsia="Arial" w:hAnsi="Arial"/>
                  <w:sz w:val="18"/>
                  <w:szCs w:val="18"/>
                  <w:color w:val="0000EE"/>
                  <w:w w:val="95"/>
                </w:rPr>
                <w:t>Assembly Biosciences, Inc. Amended and Restated 2014 Stock Incentive</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2"/>
              </w:rPr>
            </w:pPr>
            <w:hyperlink r:id="rId84">
              <w:r>
                <w:rPr>
                  <w:rFonts w:ascii="Arial" w:cs="Arial" w:eastAsia="Arial" w:hAnsi="Arial"/>
                  <w:sz w:val="18"/>
                  <w:szCs w:val="18"/>
                  <w:color w:val="0000EE"/>
                  <w:w w:val="92"/>
                </w:rPr>
                <w:t>Plan.</w:t>
              </w:r>
            </w:hyperlink>
          </w:p>
        </w:tc>
        <w:tc>
          <w:tcPr>
            <w:tcW w:w="4880" w:type="dxa"/>
            <w:vAlign w:val="bottom"/>
            <w:tcBorders>
              <w:top w:val="single" w:sz="8" w:color="0000EE"/>
            </w:tcBorders>
            <w:gridSpan w:val="27"/>
          </w:tcPr>
          <w:p>
            <w:pPr>
              <w:spacing w:after="0"/>
              <w:rPr>
                <w:sz w:val="17"/>
                <w:szCs w:val="17"/>
                <w:color w:val="auto"/>
              </w:rPr>
            </w:pPr>
          </w:p>
        </w:tc>
        <w:tc>
          <w:tcPr>
            <w:tcW w:w="32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10.14#</w:t>
            </w:r>
          </w:p>
        </w:tc>
        <w:tc>
          <w:tcPr>
            <w:tcW w:w="60" w:type="dxa"/>
            <w:vAlign w:val="bottom"/>
          </w:tcPr>
          <w:p>
            <w:pPr>
              <w:spacing w:after="0"/>
              <w:rPr>
                <w:sz w:val="17"/>
                <w:szCs w:val="17"/>
                <w:color w:val="auto"/>
              </w:rPr>
            </w:pPr>
          </w:p>
        </w:tc>
        <w:tc>
          <w:tcPr>
            <w:tcW w:w="5600" w:type="dxa"/>
            <w:vAlign w:val="bottom"/>
            <w:gridSpan w:val="37"/>
          </w:tcPr>
          <w:p>
            <w:pPr>
              <w:spacing w:after="0" w:line="196" w:lineRule="exact"/>
              <w:rPr>
                <w:rFonts w:ascii="Arial" w:cs="Arial" w:eastAsia="Arial" w:hAnsi="Arial"/>
                <w:sz w:val="18"/>
                <w:szCs w:val="18"/>
                <w:color w:val="0000EE"/>
                <w:w w:val="93"/>
              </w:rPr>
            </w:pPr>
            <w:hyperlink r:id="rId85">
              <w:r>
                <w:rPr>
                  <w:rFonts w:ascii="Arial" w:cs="Arial" w:eastAsia="Arial" w:hAnsi="Arial"/>
                  <w:sz w:val="18"/>
                  <w:szCs w:val="18"/>
                  <w:color w:val="0000EE"/>
                  <w:w w:val="93"/>
                </w:rPr>
                <w:t>Omnibus Amendment to Assembly Biosciences, Inc. Stock Incentive Plans.</w:t>
              </w:r>
            </w:hyperlink>
          </w:p>
        </w:tc>
        <w:tc>
          <w:tcPr>
            <w:tcW w:w="0" w:type="dxa"/>
            <w:vAlign w:val="bottom"/>
          </w:tcPr>
          <w:p>
            <w:pPr>
              <w:spacing w:after="0"/>
              <w:rPr>
                <w:sz w:val="1"/>
                <w:szCs w:val="1"/>
                <w:color w:val="auto"/>
              </w:rPr>
            </w:pPr>
          </w:p>
        </w:tc>
      </w:tr>
      <w:tr>
        <w:trPr>
          <w:trHeight w:val="210"/>
        </w:trPr>
        <w:tc>
          <w:tcPr>
            <w:tcW w:w="980" w:type="dxa"/>
            <w:vAlign w:val="bottom"/>
          </w:tcPr>
          <w:p>
            <w:pPr>
              <w:spacing w:after="0"/>
              <w:rPr>
                <w:sz w:val="20"/>
                <w:szCs w:val="20"/>
                <w:color w:val="auto"/>
              </w:rPr>
            </w:pPr>
            <w:r>
              <w:rPr>
                <w:rFonts w:ascii="Arial" w:cs="Arial" w:eastAsia="Arial" w:hAnsi="Arial"/>
                <w:sz w:val="18"/>
                <w:szCs w:val="18"/>
                <w:color w:val="auto"/>
              </w:rPr>
              <w:t>10.15#</w:t>
            </w:r>
          </w:p>
        </w:tc>
        <w:tc>
          <w:tcPr>
            <w:tcW w:w="60" w:type="dxa"/>
            <w:vAlign w:val="bottom"/>
          </w:tcPr>
          <w:p>
            <w:pPr>
              <w:spacing w:after="0"/>
              <w:rPr>
                <w:sz w:val="18"/>
                <w:szCs w:val="18"/>
                <w:color w:val="auto"/>
              </w:rPr>
            </w:pPr>
          </w:p>
        </w:tc>
        <w:tc>
          <w:tcPr>
            <w:tcW w:w="5460" w:type="dxa"/>
            <w:vAlign w:val="bottom"/>
            <w:tcBorders>
              <w:top w:val="single" w:sz="8" w:color="0000EE"/>
            </w:tcBorders>
            <w:gridSpan w:val="33"/>
          </w:tcPr>
          <w:p>
            <w:pPr>
              <w:spacing w:after="0"/>
              <w:rPr>
                <w:rFonts w:ascii="Arial" w:cs="Arial" w:eastAsia="Arial" w:hAnsi="Arial"/>
                <w:sz w:val="18"/>
                <w:szCs w:val="18"/>
                <w:color w:val="0000EE"/>
                <w:w w:val="93"/>
              </w:rPr>
            </w:pPr>
            <w:hyperlink r:id="rId86">
              <w:r>
                <w:rPr>
                  <w:rFonts w:ascii="Arial" w:cs="Arial" w:eastAsia="Arial" w:hAnsi="Arial"/>
                  <w:sz w:val="18"/>
                  <w:szCs w:val="18"/>
                  <w:color w:val="0000EE"/>
                  <w:w w:val="93"/>
                </w:rPr>
                <w:t>Form of Notice of Stock Option Grant and Stock Option Agreement under</w:t>
              </w:r>
            </w:hyperlink>
          </w:p>
        </w:tc>
        <w:tc>
          <w:tcPr>
            <w:tcW w:w="140" w:type="dxa"/>
            <w:vAlign w:val="bottom"/>
            <w:gridSpan w:val="4"/>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360" w:type="dxa"/>
            <w:vAlign w:val="bottom"/>
            <w:tcBorders>
              <w:top w:val="single" w:sz="8" w:color="0000EE"/>
            </w:tcBorders>
            <w:gridSpan w:val="32"/>
          </w:tcPr>
          <w:p>
            <w:pPr>
              <w:spacing w:after="0" w:line="196" w:lineRule="exact"/>
              <w:rPr>
                <w:rFonts w:ascii="Arial" w:cs="Arial" w:eastAsia="Arial" w:hAnsi="Arial"/>
                <w:sz w:val="18"/>
                <w:szCs w:val="18"/>
                <w:color w:val="0000EE"/>
              </w:rPr>
            </w:pPr>
            <w:hyperlink r:id="rId86">
              <w:r>
                <w:rPr>
                  <w:rFonts w:ascii="Arial" w:cs="Arial" w:eastAsia="Arial" w:hAnsi="Arial"/>
                  <w:sz w:val="18"/>
                  <w:szCs w:val="18"/>
                  <w:color w:val="0000EE"/>
                </w:rPr>
                <w:t>Amended and Restated 2014 Stock Incentive Plan.</w:t>
              </w:r>
            </w:hyperlink>
          </w:p>
        </w:tc>
        <w:tc>
          <w:tcPr>
            <w:tcW w:w="2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3280" w:type="dxa"/>
            <w:vAlign w:val="bottom"/>
            <w:gridSpan w:val="11"/>
            <w:shd w:val="clear" w:color="auto" w:fill="0000EE"/>
          </w:tcPr>
          <w:p>
            <w:pPr>
              <w:spacing w:after="0" w:line="20" w:lineRule="exact"/>
              <w:rPr>
                <w:sz w:val="1"/>
                <w:szCs w:val="1"/>
                <w:color w:val="auto"/>
              </w:rPr>
            </w:pPr>
          </w:p>
        </w:tc>
        <w:tc>
          <w:tcPr>
            <w:tcW w:w="1460" w:type="dxa"/>
            <w:vAlign w:val="bottom"/>
            <w:gridSpan w:val="12"/>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10.16#</w:t>
            </w:r>
          </w:p>
        </w:tc>
        <w:tc>
          <w:tcPr>
            <w:tcW w:w="60" w:type="dxa"/>
            <w:vAlign w:val="bottom"/>
          </w:tcPr>
          <w:p>
            <w:pPr>
              <w:spacing w:after="0"/>
              <w:rPr>
                <w:sz w:val="17"/>
                <w:szCs w:val="17"/>
                <w:color w:val="auto"/>
              </w:rPr>
            </w:pPr>
          </w:p>
        </w:tc>
        <w:tc>
          <w:tcPr>
            <w:tcW w:w="5600" w:type="dxa"/>
            <w:vAlign w:val="bottom"/>
            <w:gridSpan w:val="37"/>
          </w:tcPr>
          <w:p>
            <w:pPr>
              <w:spacing w:after="0" w:line="196" w:lineRule="exact"/>
              <w:rPr>
                <w:rFonts w:ascii="Arial" w:cs="Arial" w:eastAsia="Arial" w:hAnsi="Arial"/>
                <w:sz w:val="18"/>
                <w:szCs w:val="18"/>
                <w:color w:val="0000EE"/>
              </w:rPr>
            </w:pPr>
            <w:hyperlink r:id="rId87">
              <w:r>
                <w:rPr>
                  <w:rFonts w:ascii="Arial" w:cs="Arial" w:eastAsia="Arial" w:hAnsi="Arial"/>
                  <w:sz w:val="18"/>
                  <w:szCs w:val="18"/>
                  <w:color w:val="0000EE"/>
                </w:rPr>
                <w:t>Form of Restricted Stock Unit Award Notice and Restricted Stock Unit</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740" w:type="dxa"/>
            <w:vAlign w:val="bottom"/>
            <w:gridSpan w:val="23"/>
            <w:shd w:val="clear" w:color="auto" w:fill="0000EE"/>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340" w:type="dxa"/>
            <w:vAlign w:val="bottom"/>
            <w:tcBorders>
              <w:bottom w:val="single" w:sz="8" w:color="0000EE"/>
            </w:tcBorders>
            <w:gridSpan w:val="31"/>
          </w:tcPr>
          <w:p>
            <w:pPr>
              <w:spacing w:after="0" w:line="196" w:lineRule="exact"/>
              <w:rPr>
                <w:rFonts w:ascii="Arial" w:cs="Arial" w:eastAsia="Arial" w:hAnsi="Arial"/>
                <w:sz w:val="18"/>
                <w:szCs w:val="18"/>
                <w:color w:val="0000EE"/>
                <w:w w:val="89"/>
              </w:rPr>
            </w:pPr>
            <w:hyperlink r:id="rId87">
              <w:r>
                <w:rPr>
                  <w:rFonts w:ascii="Arial" w:cs="Arial" w:eastAsia="Arial" w:hAnsi="Arial"/>
                  <w:sz w:val="18"/>
                  <w:szCs w:val="18"/>
                  <w:color w:val="0000EE"/>
                  <w:w w:val="89"/>
                </w:rPr>
                <w:t>Award Agreement under the Amended and Restated 2014 Stock Incentive</w:t>
              </w:r>
            </w:hyperlink>
          </w:p>
        </w:tc>
        <w:tc>
          <w:tcPr>
            <w:tcW w:w="2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0" w:type="dxa"/>
            <w:vAlign w:val="bottom"/>
            <w:gridSpan w:val="37"/>
          </w:tcPr>
          <w:p>
            <w:pPr>
              <w:spacing w:after="0" w:line="196" w:lineRule="exact"/>
              <w:rPr>
                <w:rFonts w:ascii="Arial" w:cs="Arial" w:eastAsia="Arial" w:hAnsi="Arial"/>
                <w:sz w:val="18"/>
                <w:szCs w:val="18"/>
                <w:color w:val="0000EE"/>
              </w:rPr>
            </w:pPr>
            <w:hyperlink r:id="rId87">
              <w:r>
                <w:rPr>
                  <w:rFonts w:ascii="Arial" w:cs="Arial" w:eastAsia="Arial" w:hAnsi="Arial"/>
                  <w:sz w:val="18"/>
                  <w:szCs w:val="18"/>
                  <w:color w:val="0000EE"/>
                </w:rPr>
                <w:t>Plan.</w:t>
              </w:r>
            </w:hyperlink>
          </w:p>
        </w:tc>
        <w:tc>
          <w:tcPr>
            <w:tcW w:w="0" w:type="dxa"/>
            <w:vAlign w:val="bottom"/>
          </w:tcPr>
          <w:p>
            <w:pPr>
              <w:spacing w:after="0"/>
              <w:rPr>
                <w:sz w:val="1"/>
                <w:szCs w:val="1"/>
                <w:color w:val="auto"/>
              </w:rPr>
            </w:pPr>
          </w:p>
        </w:tc>
      </w:tr>
      <w:tr>
        <w:trPr>
          <w:trHeight w:val="453"/>
        </w:trPr>
        <w:tc>
          <w:tcPr>
            <w:tcW w:w="980" w:type="dxa"/>
            <w:vAlign w:val="bottom"/>
          </w:tcPr>
          <w:p>
            <w:pPr>
              <w:spacing w:after="0"/>
              <w:rPr>
                <w:sz w:val="24"/>
                <w:szCs w:val="24"/>
                <w:color w:val="auto"/>
              </w:rPr>
            </w:pPr>
          </w:p>
        </w:tc>
        <w:tc>
          <w:tcPr>
            <w:tcW w:w="80" w:type="dxa"/>
            <w:vAlign w:val="bottom"/>
            <w:gridSpan w:val="2"/>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4300" w:type="dxa"/>
            <w:vAlign w:val="bottom"/>
            <w:gridSpan w:val="14"/>
          </w:tcPr>
          <w:p>
            <w:pPr>
              <w:jc w:val="right"/>
              <w:spacing w:after="0"/>
              <w:rPr>
                <w:sz w:val="20"/>
                <w:szCs w:val="20"/>
                <w:color w:val="auto"/>
              </w:rPr>
            </w:pPr>
            <w:r>
              <w:rPr>
                <w:rFonts w:ascii="Arial" w:cs="Arial" w:eastAsia="Arial" w:hAnsi="Arial"/>
                <w:sz w:val="18"/>
                <w:szCs w:val="18"/>
                <w:color w:val="auto"/>
              </w:rPr>
              <w:t>52</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3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Registrant’s</w:t>
            </w:r>
          </w:p>
        </w:tc>
        <w:tc>
          <w:tcPr>
            <w:tcW w:w="118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Dated</w:t>
            </w:r>
          </w:p>
        </w:tc>
        <w:tc>
          <w:tcPr>
            <w:tcW w:w="10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8"/>
              </w:rPr>
              <w:t>Exhibit</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7"/>
              </w:rPr>
              <w:t>Filed</w:t>
            </w:r>
          </w:p>
        </w:tc>
        <w:tc>
          <w:tcPr>
            <w:tcW w:w="0" w:type="dxa"/>
            <w:vAlign w:val="bottom"/>
          </w:tcPr>
          <w:p>
            <w:pPr>
              <w:spacing w:after="0"/>
              <w:rPr>
                <w:sz w:val="1"/>
                <w:szCs w:val="1"/>
                <w:color w:val="auto"/>
              </w:rPr>
            </w:pPr>
          </w:p>
        </w:tc>
      </w:tr>
      <w:tr>
        <w:trPr>
          <w:trHeight w:val="171"/>
        </w:trPr>
        <w:tc>
          <w:tcPr>
            <w:tcW w:w="13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Form</w:t>
            </w:r>
          </w:p>
        </w:tc>
        <w:tc>
          <w:tcPr>
            <w:tcW w:w="1180" w:type="dxa"/>
            <w:vAlign w:val="bottom"/>
            <w:gridSpan w:val="2"/>
            <w:vMerge w:val="continue"/>
          </w:tcPr>
          <w:p>
            <w:pPr>
              <w:spacing w:after="0"/>
              <w:rPr>
                <w:sz w:val="14"/>
                <w:szCs w:val="14"/>
                <w:color w:val="auto"/>
              </w:rPr>
            </w:pPr>
          </w:p>
        </w:tc>
        <w:tc>
          <w:tcPr>
            <w:tcW w:w="10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7"/>
              </w:rPr>
              <w:t>No.</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224"/>
        </w:trPr>
        <w:tc>
          <w:tcPr>
            <w:tcW w:w="12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8-K</w:t>
            </w:r>
          </w:p>
        </w:tc>
        <w:tc>
          <w:tcPr>
            <w:tcW w:w="60" w:type="dxa"/>
            <w:vAlign w:val="bottom"/>
          </w:tcPr>
          <w:p>
            <w:pPr>
              <w:spacing w:after="0"/>
              <w:rPr>
                <w:sz w:val="19"/>
                <w:szCs w:val="19"/>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06/01/2018</w:t>
            </w:r>
          </w:p>
        </w:tc>
        <w:tc>
          <w:tcPr>
            <w:tcW w:w="60" w:type="dxa"/>
            <w:vAlign w:val="bottom"/>
          </w:tcPr>
          <w:p>
            <w:pPr>
              <w:spacing w:after="0"/>
              <w:rPr>
                <w:sz w:val="19"/>
                <w:szCs w:val="19"/>
                <w:color w:val="auto"/>
              </w:rPr>
            </w:pPr>
          </w:p>
        </w:tc>
        <w:tc>
          <w:tcPr>
            <w:tcW w:w="9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3.1</w:t>
            </w:r>
          </w:p>
        </w:tc>
        <w:tc>
          <w:tcPr>
            <w:tcW w:w="6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03"/>
        </w:trPr>
        <w:tc>
          <w:tcPr>
            <w:tcW w:w="130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8-K</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01/27/2021</w:t>
            </w:r>
          </w:p>
        </w:tc>
        <w:tc>
          <w:tcPr>
            <w:tcW w:w="6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300" w:type="dxa"/>
            <w:vAlign w:val="bottom"/>
            <w:gridSpan w:val="2"/>
          </w:tcPr>
          <w:p>
            <w:pPr>
              <w:jc w:val="center"/>
              <w:ind w:right="60"/>
              <w:spacing w:after="0"/>
              <w:rPr>
                <w:sz w:val="20"/>
                <w:szCs w:val="20"/>
                <w:color w:val="auto"/>
              </w:rPr>
            </w:pPr>
            <w:r>
              <w:rPr>
                <w:rFonts w:ascii="Arial" w:cs="Arial" w:eastAsia="Arial" w:hAnsi="Arial"/>
                <w:sz w:val="18"/>
                <w:szCs w:val="18"/>
                <w:color w:val="auto"/>
                <w:w w:val="85"/>
              </w:rPr>
              <w:t>S-3</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12/30/2015</w:t>
            </w:r>
          </w:p>
        </w:tc>
        <w:tc>
          <w:tcPr>
            <w:tcW w:w="6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60" w:type="dxa"/>
            <w:vAlign w:val="bottom"/>
          </w:tcPr>
          <w:p>
            <w:pPr>
              <w:spacing w:after="0"/>
              <w:rPr>
                <w:sz w:val="20"/>
                <w:szCs w:val="20"/>
                <w:color w:val="auto"/>
              </w:rPr>
            </w:pPr>
          </w:p>
        </w:tc>
        <w:tc>
          <w:tcPr>
            <w:tcW w:w="1000" w:type="dxa"/>
            <w:vAlign w:val="bottom"/>
            <w:vMerge w:val="restart"/>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1300" w:type="dxa"/>
            <w:vAlign w:val="bottom"/>
            <w:gridSpan w:val="2"/>
            <w:vMerge w:val="restart"/>
          </w:tcPr>
          <w:p>
            <w:pPr>
              <w:jc w:val="center"/>
              <w:ind w:right="60"/>
              <w:spacing w:after="0"/>
              <w:rPr>
                <w:sz w:val="20"/>
                <w:szCs w:val="20"/>
                <w:color w:val="auto"/>
              </w:rPr>
            </w:pPr>
            <w:r>
              <w:rPr>
                <w:rFonts w:ascii="Arial" w:cs="Arial" w:eastAsia="Arial" w:hAnsi="Arial"/>
                <w:sz w:val="18"/>
                <w:szCs w:val="18"/>
                <w:color w:val="auto"/>
                <w:w w:val="89"/>
              </w:rPr>
              <w:t>10-Q</w:t>
            </w:r>
          </w:p>
        </w:tc>
        <w:tc>
          <w:tcPr>
            <w:tcW w:w="1120" w:type="dxa"/>
            <w:vAlign w:val="bottom"/>
            <w:vMerge w:val="restart"/>
          </w:tcPr>
          <w:p>
            <w:pPr>
              <w:jc w:val="center"/>
              <w:spacing w:after="0"/>
              <w:rPr>
                <w:sz w:val="20"/>
                <w:szCs w:val="20"/>
                <w:color w:val="auto"/>
              </w:rPr>
            </w:pPr>
            <w:r>
              <w:rPr>
                <w:rFonts w:ascii="Arial" w:cs="Arial" w:eastAsia="Arial" w:hAnsi="Arial"/>
                <w:sz w:val="18"/>
                <w:szCs w:val="18"/>
                <w:color w:val="auto"/>
                <w:w w:val="88"/>
              </w:rPr>
              <w:t>11/08/2018</w:t>
            </w:r>
          </w:p>
        </w:tc>
        <w:tc>
          <w:tcPr>
            <w:tcW w:w="60" w:type="dxa"/>
            <w:vAlign w:val="bottom"/>
          </w:tcPr>
          <w:p>
            <w:pPr>
              <w:spacing w:after="0"/>
              <w:rPr>
                <w:sz w:val="18"/>
                <w:szCs w:val="18"/>
                <w:color w:val="auto"/>
              </w:rPr>
            </w:pPr>
          </w:p>
        </w:tc>
        <w:tc>
          <w:tcPr>
            <w:tcW w:w="980" w:type="dxa"/>
            <w:vAlign w:val="bottom"/>
            <w:vMerge w:val="restart"/>
          </w:tcPr>
          <w:p>
            <w:pPr>
              <w:jc w:val="center"/>
              <w:spacing w:after="0"/>
              <w:rPr>
                <w:sz w:val="20"/>
                <w:szCs w:val="20"/>
                <w:color w:val="auto"/>
              </w:rPr>
            </w:pPr>
            <w:r>
              <w:rPr>
                <w:rFonts w:ascii="Arial" w:cs="Arial" w:eastAsia="Arial" w:hAnsi="Arial"/>
                <w:sz w:val="18"/>
                <w:szCs w:val="18"/>
                <w:color w:val="auto"/>
                <w:w w:val="85"/>
              </w:rPr>
              <w:t>10.1</w:t>
            </w:r>
          </w:p>
        </w:tc>
        <w:tc>
          <w:tcPr>
            <w:tcW w:w="6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300" w:type="dxa"/>
            <w:vAlign w:val="bottom"/>
            <w:gridSpan w:val="2"/>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1300" w:type="dxa"/>
            <w:vAlign w:val="bottom"/>
            <w:gridSpan w:val="2"/>
          </w:tcPr>
          <w:p>
            <w:pPr>
              <w:jc w:val="center"/>
              <w:ind w:right="60"/>
              <w:spacing w:after="0"/>
              <w:rPr>
                <w:sz w:val="20"/>
                <w:szCs w:val="20"/>
                <w:color w:val="auto"/>
              </w:rPr>
            </w:pPr>
            <w:r>
              <w:rPr>
                <w:rFonts w:ascii="Arial" w:cs="Arial" w:eastAsia="Arial" w:hAnsi="Arial"/>
                <w:sz w:val="18"/>
                <w:szCs w:val="18"/>
                <w:color w:val="auto"/>
                <w:w w:val="89"/>
              </w:rPr>
              <w:t>10-Q</w:t>
            </w: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11/17/2014</w:t>
            </w:r>
          </w:p>
        </w:tc>
        <w:tc>
          <w:tcPr>
            <w:tcW w:w="6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10.29</w:t>
            </w: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1300" w:type="dxa"/>
            <w:vAlign w:val="bottom"/>
            <w:gridSpan w:val="2"/>
          </w:tcPr>
          <w:p>
            <w:pPr>
              <w:jc w:val="center"/>
              <w:ind w:right="60"/>
              <w:spacing w:after="0"/>
              <w:rPr>
                <w:sz w:val="20"/>
                <w:szCs w:val="20"/>
                <w:color w:val="auto"/>
              </w:rPr>
            </w:pPr>
            <w:r>
              <w:rPr>
                <w:rFonts w:ascii="Arial" w:cs="Arial" w:eastAsia="Arial" w:hAnsi="Arial"/>
                <w:sz w:val="18"/>
                <w:szCs w:val="18"/>
                <w:color w:val="auto"/>
                <w:w w:val="89"/>
              </w:rPr>
              <w:t>10-Q</w:t>
            </w: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11/05/2020</w:t>
            </w:r>
          </w:p>
        </w:tc>
        <w:tc>
          <w:tcPr>
            <w:tcW w:w="6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1300" w:type="dxa"/>
            <w:vAlign w:val="bottom"/>
            <w:gridSpan w:val="2"/>
          </w:tcPr>
          <w:p>
            <w:pPr>
              <w:jc w:val="center"/>
              <w:ind w:right="60"/>
              <w:spacing w:after="0"/>
              <w:rPr>
                <w:sz w:val="20"/>
                <w:szCs w:val="20"/>
                <w:color w:val="auto"/>
              </w:rPr>
            </w:pPr>
            <w:r>
              <w:rPr>
                <w:rFonts w:ascii="Arial" w:cs="Arial" w:eastAsia="Arial" w:hAnsi="Arial"/>
                <w:sz w:val="18"/>
                <w:szCs w:val="18"/>
                <w:color w:val="auto"/>
                <w:w w:val="89"/>
              </w:rPr>
              <w:t>10-Q</w:t>
            </w: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11/05/2020</w:t>
            </w:r>
          </w:p>
        </w:tc>
        <w:tc>
          <w:tcPr>
            <w:tcW w:w="6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5"/>
              </w:rPr>
              <w:t>10.2</w:t>
            </w: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1300" w:type="dxa"/>
            <w:vAlign w:val="bottom"/>
            <w:gridSpan w:val="2"/>
          </w:tcPr>
          <w:p>
            <w:pPr>
              <w:jc w:val="center"/>
              <w:ind w:right="60"/>
              <w:spacing w:after="0"/>
              <w:rPr>
                <w:sz w:val="20"/>
                <w:szCs w:val="20"/>
                <w:color w:val="auto"/>
              </w:rPr>
            </w:pPr>
            <w:r>
              <w:rPr>
                <w:rFonts w:ascii="Arial" w:cs="Arial" w:eastAsia="Arial" w:hAnsi="Arial"/>
                <w:sz w:val="18"/>
                <w:szCs w:val="18"/>
                <w:color w:val="auto"/>
                <w:w w:val="89"/>
              </w:rPr>
              <w:t>10-Q</w:t>
            </w: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11/05/2020</w:t>
            </w:r>
          </w:p>
        </w:tc>
        <w:tc>
          <w:tcPr>
            <w:tcW w:w="6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5"/>
              </w:rPr>
              <w:t>10.3</w:t>
            </w: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300" w:type="dxa"/>
            <w:vAlign w:val="bottom"/>
            <w:gridSpan w:val="2"/>
          </w:tcPr>
          <w:p>
            <w:pPr>
              <w:jc w:val="center"/>
              <w:ind w:right="60"/>
              <w:spacing w:after="0"/>
              <w:rPr>
                <w:sz w:val="20"/>
                <w:szCs w:val="20"/>
                <w:color w:val="auto"/>
              </w:rPr>
            </w:pPr>
            <w:r>
              <w:rPr>
                <w:rFonts w:ascii="Arial" w:cs="Arial" w:eastAsia="Arial" w:hAnsi="Arial"/>
                <w:sz w:val="18"/>
                <w:szCs w:val="18"/>
                <w:color w:val="auto"/>
                <w:w w:val="89"/>
              </w:rPr>
              <w:t>10-Q</w:t>
            </w: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11/07/2019</w:t>
            </w:r>
          </w:p>
        </w:tc>
        <w:tc>
          <w:tcPr>
            <w:tcW w:w="6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300" w:type="dxa"/>
            <w:vAlign w:val="bottom"/>
            <w:gridSpan w:val="2"/>
          </w:tcPr>
          <w:p>
            <w:pPr>
              <w:jc w:val="center"/>
              <w:ind w:right="60"/>
              <w:spacing w:after="0"/>
              <w:rPr>
                <w:sz w:val="20"/>
                <w:szCs w:val="20"/>
                <w:color w:val="auto"/>
              </w:rPr>
            </w:pPr>
            <w:r>
              <w:rPr>
                <w:rFonts w:ascii="Arial" w:cs="Arial" w:eastAsia="Arial" w:hAnsi="Arial"/>
                <w:sz w:val="18"/>
                <w:szCs w:val="18"/>
                <w:color w:val="auto"/>
                <w:w w:val="89"/>
              </w:rPr>
              <w:t>10-Q</w:t>
            </w: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11/04/2021</w:t>
            </w:r>
          </w:p>
        </w:tc>
        <w:tc>
          <w:tcPr>
            <w:tcW w:w="6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300" w:type="dxa"/>
            <w:vAlign w:val="bottom"/>
            <w:gridSpan w:val="2"/>
          </w:tcPr>
          <w:p>
            <w:pPr>
              <w:jc w:val="center"/>
              <w:ind w:right="60"/>
              <w:spacing w:after="0"/>
              <w:rPr>
                <w:sz w:val="20"/>
                <w:szCs w:val="20"/>
                <w:color w:val="auto"/>
              </w:rPr>
            </w:pPr>
            <w:r>
              <w:rPr>
                <w:rFonts w:ascii="Arial" w:cs="Arial" w:eastAsia="Arial" w:hAnsi="Arial"/>
                <w:sz w:val="18"/>
                <w:szCs w:val="18"/>
                <w:color w:val="auto"/>
                <w:w w:val="89"/>
              </w:rPr>
              <w:t>10-Q</w:t>
            </w: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11/04/2021</w:t>
            </w:r>
          </w:p>
        </w:tc>
        <w:tc>
          <w:tcPr>
            <w:tcW w:w="6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5"/>
              </w:rPr>
              <w:t>10.2</w:t>
            </w: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300" w:type="dxa"/>
            <w:vAlign w:val="bottom"/>
            <w:gridSpan w:val="2"/>
          </w:tcPr>
          <w:p>
            <w:pPr>
              <w:jc w:val="center"/>
              <w:ind w:right="60"/>
              <w:spacing w:after="0"/>
              <w:rPr>
                <w:sz w:val="20"/>
                <w:szCs w:val="20"/>
                <w:color w:val="auto"/>
              </w:rPr>
            </w:pPr>
            <w:r>
              <w:rPr>
                <w:rFonts w:ascii="Arial" w:cs="Arial" w:eastAsia="Arial" w:hAnsi="Arial"/>
                <w:sz w:val="18"/>
                <w:szCs w:val="18"/>
                <w:color w:val="auto"/>
                <w:w w:val="94"/>
              </w:rPr>
              <w:t>10-K</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03/04/2020</w:t>
            </w:r>
          </w:p>
        </w:tc>
        <w:tc>
          <w:tcPr>
            <w:tcW w:w="6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5"/>
              </w:rPr>
              <w:t>10.7</w:t>
            </w: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1300" w:type="dxa"/>
            <w:vAlign w:val="bottom"/>
            <w:gridSpan w:val="2"/>
          </w:tcPr>
          <w:p>
            <w:pPr>
              <w:jc w:val="center"/>
              <w:ind w:right="60"/>
              <w:spacing w:after="0"/>
              <w:rPr>
                <w:sz w:val="20"/>
                <w:szCs w:val="20"/>
                <w:color w:val="auto"/>
              </w:rPr>
            </w:pPr>
            <w:r>
              <w:rPr>
                <w:rFonts w:ascii="Arial" w:cs="Arial" w:eastAsia="Arial" w:hAnsi="Arial"/>
                <w:sz w:val="18"/>
                <w:szCs w:val="18"/>
                <w:color w:val="auto"/>
                <w:w w:val="89"/>
              </w:rPr>
              <w:t>10-Q</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05/08/2020</w:t>
            </w:r>
          </w:p>
        </w:tc>
        <w:tc>
          <w:tcPr>
            <w:tcW w:w="6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5"/>
              </w:rPr>
              <w:t>10.7</w:t>
            </w: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300" w:type="dxa"/>
            <w:vAlign w:val="bottom"/>
            <w:gridSpan w:val="2"/>
          </w:tcPr>
          <w:p>
            <w:pPr>
              <w:jc w:val="center"/>
              <w:ind w:right="60"/>
              <w:spacing w:after="0"/>
              <w:rPr>
                <w:sz w:val="20"/>
                <w:szCs w:val="20"/>
                <w:color w:val="auto"/>
              </w:rPr>
            </w:pPr>
            <w:r>
              <w:rPr>
                <w:rFonts w:ascii="Arial" w:cs="Arial" w:eastAsia="Arial" w:hAnsi="Arial"/>
                <w:sz w:val="18"/>
                <w:szCs w:val="18"/>
                <w:color w:val="auto"/>
                <w:w w:val="94"/>
              </w:rPr>
              <w:t>10-K</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02/25/2021</w:t>
            </w:r>
          </w:p>
        </w:tc>
        <w:tc>
          <w:tcPr>
            <w:tcW w:w="6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10.12</w:t>
            </w: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4"/>
        </w:trPr>
        <w:tc>
          <w:tcPr>
            <w:tcW w:w="1300" w:type="dxa"/>
            <w:vAlign w:val="bottom"/>
            <w:gridSpan w:val="2"/>
          </w:tcPr>
          <w:p>
            <w:pPr>
              <w:jc w:val="center"/>
              <w:ind w:right="60"/>
              <w:spacing w:after="0"/>
              <w:rPr>
                <w:sz w:val="20"/>
                <w:szCs w:val="20"/>
                <w:color w:val="auto"/>
              </w:rPr>
            </w:pPr>
            <w:r>
              <w:rPr>
                <w:rFonts w:ascii="Arial" w:cs="Arial" w:eastAsia="Arial" w:hAnsi="Arial"/>
                <w:sz w:val="18"/>
                <w:szCs w:val="18"/>
                <w:color w:val="auto"/>
                <w:w w:val="97"/>
              </w:rPr>
              <w:t>S-1/A</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10/4/2010</w:t>
            </w:r>
          </w:p>
        </w:tc>
        <w:tc>
          <w:tcPr>
            <w:tcW w:w="6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10.14</w:t>
            </w: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30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8-K</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6/6/2016</w:t>
            </w:r>
          </w:p>
        </w:tc>
        <w:tc>
          <w:tcPr>
            <w:tcW w:w="6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1300" w:type="dxa"/>
            <w:vAlign w:val="bottom"/>
            <w:gridSpan w:val="2"/>
          </w:tcPr>
          <w:p>
            <w:pPr>
              <w:jc w:val="center"/>
              <w:ind w:right="60"/>
              <w:spacing w:after="0"/>
              <w:rPr>
                <w:sz w:val="20"/>
                <w:szCs w:val="20"/>
                <w:color w:val="auto"/>
              </w:rPr>
            </w:pPr>
            <w:r>
              <w:rPr>
                <w:rFonts w:ascii="Arial" w:cs="Arial" w:eastAsia="Arial" w:hAnsi="Arial"/>
                <w:sz w:val="18"/>
                <w:szCs w:val="18"/>
                <w:color w:val="auto"/>
                <w:w w:val="89"/>
              </w:rPr>
              <w:t>10-Q</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05/08/2020</w:t>
            </w:r>
          </w:p>
        </w:tc>
        <w:tc>
          <w:tcPr>
            <w:tcW w:w="6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5"/>
              </w:rPr>
              <w:t>10.2</w:t>
            </w: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300" w:type="dxa"/>
            <w:vAlign w:val="bottom"/>
            <w:gridSpan w:val="2"/>
          </w:tcPr>
          <w:p>
            <w:pPr>
              <w:jc w:val="center"/>
              <w:ind w:right="60"/>
              <w:spacing w:after="0"/>
              <w:rPr>
                <w:sz w:val="20"/>
                <w:szCs w:val="20"/>
                <w:color w:val="auto"/>
              </w:rPr>
            </w:pPr>
            <w:r>
              <w:rPr>
                <w:rFonts w:ascii="Arial" w:cs="Arial" w:eastAsia="Arial" w:hAnsi="Arial"/>
                <w:sz w:val="18"/>
                <w:szCs w:val="18"/>
                <w:color w:val="auto"/>
                <w:w w:val="85"/>
              </w:rPr>
              <w:t>S-8</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9/17/2014</w:t>
            </w:r>
          </w:p>
        </w:tc>
        <w:tc>
          <w:tcPr>
            <w:tcW w:w="6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10.28</w:t>
            </w: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300" w:type="dxa"/>
            <w:vAlign w:val="bottom"/>
            <w:gridSpan w:val="2"/>
          </w:tcPr>
          <w:p>
            <w:pPr>
              <w:jc w:val="center"/>
              <w:ind w:right="60"/>
              <w:spacing w:after="0"/>
              <w:rPr>
                <w:sz w:val="20"/>
                <w:szCs w:val="20"/>
                <w:color w:val="auto"/>
              </w:rPr>
            </w:pPr>
            <w:r>
              <w:rPr>
                <w:rFonts w:ascii="Arial" w:cs="Arial" w:eastAsia="Arial" w:hAnsi="Arial"/>
                <w:sz w:val="18"/>
                <w:szCs w:val="18"/>
                <w:color w:val="auto"/>
                <w:w w:val="89"/>
              </w:rPr>
              <w:t>10-Q</w:t>
            </w: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11/01/2017</w:t>
            </w:r>
          </w:p>
        </w:tc>
        <w:tc>
          <w:tcPr>
            <w:tcW w:w="6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2">
            <w:col w:w="6640" w:space="80"/>
            <w:col w:w="4520"/>
          </w:cols>
          <w:pgMar w:left="320" w:top="351" w:right="339" w:bottom="1440" w:gutter="0" w:footer="0" w:header="0"/>
        </w:sectPr>
      </w:pPr>
    </w:p>
    <w:bookmarkStart w:id="55" w:name="page56"/>
    <w:bookmarkEnd w:id="5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tcPr>
          <w:p>
            <w:pPr>
              <w:ind w:left="260"/>
              <w:spacing w:after="0"/>
              <w:rPr>
                <w:sz w:val="20"/>
                <w:szCs w:val="20"/>
                <w:color w:val="auto"/>
              </w:rPr>
            </w:pPr>
            <w:r>
              <w:rPr>
                <w:rFonts w:ascii="Arial" w:cs="Arial" w:eastAsia="Arial" w:hAnsi="Arial"/>
                <w:sz w:val="14"/>
                <w:szCs w:val="14"/>
                <w:b w:val="1"/>
                <w:bCs w:val="1"/>
                <w:color w:val="auto"/>
              </w:rPr>
              <w:t>Exhibit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60" w:type="dxa"/>
            <w:vAlign w:val="bottom"/>
            <w:gridSpan w:val="26"/>
            <w:vMerge w:val="restart"/>
          </w:tcPr>
          <w:p>
            <w:pPr>
              <w:ind w:left="700"/>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71"/>
        </w:trPr>
        <w:tc>
          <w:tcPr>
            <w:tcW w:w="98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Number</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260" w:type="dxa"/>
            <w:vAlign w:val="bottom"/>
            <w:tcBorders>
              <w:bottom w:val="single" w:sz="8" w:color="auto"/>
            </w:tcBorders>
            <w:gridSpan w:val="2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80" w:type="dxa"/>
            <w:vAlign w:val="bottom"/>
          </w:tcPr>
          <w:p>
            <w:pPr>
              <w:spacing w:after="0" w:line="169" w:lineRule="exact"/>
              <w:rPr>
                <w:sz w:val="20"/>
                <w:szCs w:val="20"/>
                <w:color w:val="auto"/>
              </w:rPr>
            </w:pPr>
            <w:r>
              <w:rPr>
                <w:rFonts w:ascii="Arial" w:cs="Arial" w:eastAsia="Arial" w:hAnsi="Arial"/>
                <w:sz w:val="18"/>
                <w:szCs w:val="18"/>
                <w:color w:val="auto"/>
              </w:rPr>
              <w:t>10.17#</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580" w:type="dxa"/>
            <w:vAlign w:val="bottom"/>
            <w:gridSpan w:val="28"/>
          </w:tcPr>
          <w:p>
            <w:pPr>
              <w:spacing w:after="0" w:line="169" w:lineRule="exact"/>
              <w:rPr>
                <w:rFonts w:ascii="Arial" w:cs="Arial" w:eastAsia="Arial" w:hAnsi="Arial"/>
                <w:sz w:val="18"/>
                <w:szCs w:val="18"/>
                <w:color w:val="0000EE"/>
              </w:rPr>
            </w:pPr>
            <w:hyperlink r:id="rId89">
              <w:r>
                <w:rPr>
                  <w:rFonts w:ascii="Arial" w:cs="Arial" w:eastAsia="Arial" w:hAnsi="Arial"/>
                  <w:sz w:val="18"/>
                  <w:szCs w:val="18"/>
                  <w:color w:val="0000EE"/>
                </w:rPr>
                <w:t>Assembly Biosciences, Inc. 2017 Inducement Award Plan.</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10.18#</w:t>
            </w:r>
          </w:p>
        </w:tc>
        <w:tc>
          <w:tcPr>
            <w:tcW w:w="60" w:type="dxa"/>
            <w:vAlign w:val="bottom"/>
          </w:tcPr>
          <w:p>
            <w:pPr>
              <w:spacing w:after="0"/>
              <w:rPr>
                <w:sz w:val="17"/>
                <w:szCs w:val="17"/>
                <w:color w:val="auto"/>
              </w:rPr>
            </w:pPr>
          </w:p>
        </w:tc>
        <w:tc>
          <w:tcPr>
            <w:tcW w:w="5400" w:type="dxa"/>
            <w:vAlign w:val="bottom"/>
            <w:tcBorders>
              <w:bottom w:val="single" w:sz="8" w:color="0000EE"/>
            </w:tcBorders>
            <w:gridSpan w:val="23"/>
          </w:tcPr>
          <w:p>
            <w:pPr>
              <w:spacing w:after="0" w:line="196" w:lineRule="exact"/>
              <w:rPr>
                <w:rFonts w:ascii="Arial" w:cs="Arial" w:eastAsia="Arial" w:hAnsi="Arial"/>
                <w:sz w:val="18"/>
                <w:szCs w:val="18"/>
                <w:color w:val="0000EE"/>
                <w:w w:val="92"/>
              </w:rPr>
            </w:pPr>
            <w:hyperlink r:id="rId90">
              <w:r>
                <w:rPr>
                  <w:rFonts w:ascii="Arial" w:cs="Arial" w:eastAsia="Arial" w:hAnsi="Arial"/>
                  <w:sz w:val="18"/>
                  <w:szCs w:val="18"/>
                  <w:color w:val="0000EE"/>
                  <w:w w:val="92"/>
                </w:rPr>
                <w:t>Form of Notice of Stock Option Grant and Stock Option Agreement under</w:t>
              </w:r>
            </w:hyperlink>
          </w:p>
        </w:tc>
        <w:tc>
          <w:tcPr>
            <w:tcW w:w="20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6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r:id="rId90">
              <w:r>
                <w:rPr>
                  <w:rFonts w:ascii="Arial" w:cs="Arial" w:eastAsia="Arial" w:hAnsi="Arial"/>
                  <w:sz w:val="18"/>
                  <w:szCs w:val="18"/>
                  <w:color w:val="0000EE"/>
                  <w:w w:val="89"/>
                </w:rPr>
                <w:t>the 2017 Inducement Award Plan.</w:t>
              </w:r>
            </w:hyperlink>
          </w:p>
        </w:tc>
        <w:tc>
          <w:tcPr>
            <w:tcW w:w="3140" w:type="dxa"/>
            <w:vAlign w:val="bottom"/>
            <w:gridSpan w:val="2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10.19#</w:t>
            </w:r>
          </w:p>
        </w:tc>
        <w:tc>
          <w:tcPr>
            <w:tcW w:w="60" w:type="dxa"/>
            <w:vAlign w:val="bottom"/>
          </w:tcPr>
          <w:p>
            <w:pPr>
              <w:spacing w:after="0"/>
              <w:rPr>
                <w:sz w:val="17"/>
                <w:szCs w:val="17"/>
                <w:color w:val="auto"/>
              </w:rPr>
            </w:pPr>
          </w:p>
        </w:tc>
        <w:tc>
          <w:tcPr>
            <w:tcW w:w="5600" w:type="dxa"/>
            <w:vAlign w:val="bottom"/>
            <w:gridSpan w:val="29"/>
          </w:tcPr>
          <w:p>
            <w:pPr>
              <w:spacing w:after="0" w:line="196" w:lineRule="exact"/>
              <w:rPr>
                <w:rFonts w:ascii="Arial" w:cs="Arial" w:eastAsia="Arial" w:hAnsi="Arial"/>
                <w:sz w:val="18"/>
                <w:szCs w:val="18"/>
                <w:color w:val="0000EE"/>
              </w:rPr>
            </w:pPr>
            <w:hyperlink r:id="rId91">
              <w:r>
                <w:rPr>
                  <w:rFonts w:ascii="Arial" w:cs="Arial" w:eastAsia="Arial" w:hAnsi="Arial"/>
                  <w:sz w:val="18"/>
                  <w:szCs w:val="18"/>
                  <w:color w:val="0000EE"/>
                </w:rPr>
                <w:t>Form of Restricted Stock Unit Award Notice and Restricted Stock Unit</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8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0"/>
              </w:rPr>
            </w:pPr>
            <w:hyperlink r:id="rId91">
              <w:r>
                <w:rPr>
                  <w:rFonts w:ascii="Arial" w:cs="Arial" w:eastAsia="Arial" w:hAnsi="Arial"/>
                  <w:sz w:val="18"/>
                  <w:szCs w:val="18"/>
                  <w:color w:val="0000EE"/>
                  <w:w w:val="90"/>
                </w:rPr>
                <w:t>Award Agreement under the 2017 Inducement Award Plan.</w:t>
              </w:r>
            </w:hyperlink>
          </w:p>
        </w:tc>
        <w:tc>
          <w:tcPr>
            <w:tcW w:w="840" w:type="dxa"/>
            <w:vAlign w:val="bottom"/>
            <w:tcBorders>
              <w:top w:val="single" w:sz="8" w:color="0000EE"/>
            </w:tcBorders>
            <w:gridSpan w:val="4"/>
          </w:tcPr>
          <w:p>
            <w:pPr>
              <w:spacing w:after="0"/>
              <w:rPr>
                <w:sz w:val="17"/>
                <w:szCs w:val="17"/>
                <w:color w:val="auto"/>
              </w:rPr>
            </w:pPr>
          </w:p>
        </w:tc>
        <w:tc>
          <w:tcPr>
            <w:tcW w:w="48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10.20#</w:t>
            </w:r>
          </w:p>
        </w:tc>
        <w:tc>
          <w:tcPr>
            <w:tcW w:w="60" w:type="dxa"/>
            <w:vAlign w:val="bottom"/>
          </w:tcPr>
          <w:p>
            <w:pPr>
              <w:spacing w:after="0"/>
              <w:rPr>
                <w:sz w:val="17"/>
                <w:szCs w:val="17"/>
                <w:color w:val="auto"/>
              </w:rPr>
            </w:pPr>
          </w:p>
        </w:tc>
        <w:tc>
          <w:tcPr>
            <w:tcW w:w="5600" w:type="dxa"/>
            <w:vAlign w:val="bottom"/>
            <w:gridSpan w:val="29"/>
          </w:tcPr>
          <w:p>
            <w:pPr>
              <w:spacing w:after="0" w:line="196" w:lineRule="exact"/>
              <w:rPr>
                <w:rFonts w:ascii="Arial" w:cs="Arial" w:eastAsia="Arial" w:hAnsi="Arial"/>
                <w:sz w:val="18"/>
                <w:szCs w:val="18"/>
                <w:color w:val="0000EE"/>
              </w:rPr>
            </w:pPr>
            <w:hyperlink r:id="rId92">
              <w:r>
                <w:rPr>
                  <w:rFonts w:ascii="Arial" w:cs="Arial" w:eastAsia="Arial" w:hAnsi="Arial"/>
                  <w:sz w:val="18"/>
                  <w:szCs w:val="18"/>
                  <w:color w:val="0000EE"/>
                </w:rPr>
                <w:t>Assembly Biosciences, Inc. 2018 Stock Incentive Plan.</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10.21#</w:t>
            </w:r>
          </w:p>
        </w:tc>
        <w:tc>
          <w:tcPr>
            <w:tcW w:w="60" w:type="dxa"/>
            <w:vAlign w:val="bottom"/>
          </w:tcPr>
          <w:p>
            <w:pPr>
              <w:spacing w:after="0"/>
              <w:rPr>
                <w:sz w:val="17"/>
                <w:szCs w:val="17"/>
                <w:color w:val="auto"/>
              </w:rPr>
            </w:pPr>
          </w:p>
        </w:tc>
        <w:tc>
          <w:tcPr>
            <w:tcW w:w="5600" w:type="dxa"/>
            <w:vAlign w:val="bottom"/>
            <w:gridSpan w:val="29"/>
          </w:tcPr>
          <w:p>
            <w:pPr>
              <w:spacing w:after="0" w:line="196" w:lineRule="exact"/>
              <w:rPr>
                <w:rFonts w:ascii="Arial" w:cs="Arial" w:eastAsia="Arial" w:hAnsi="Arial"/>
                <w:sz w:val="18"/>
                <w:szCs w:val="18"/>
                <w:color w:val="0000EE"/>
                <w:w w:val="92"/>
              </w:rPr>
            </w:pPr>
            <w:hyperlink r:id="rId93">
              <w:r>
                <w:rPr>
                  <w:rFonts w:ascii="Arial" w:cs="Arial" w:eastAsia="Arial" w:hAnsi="Arial"/>
                  <w:sz w:val="18"/>
                  <w:szCs w:val="18"/>
                  <w:color w:val="0000EE"/>
                  <w:w w:val="92"/>
                </w:rPr>
                <w:t>Amendment No. 1 to Assembly Biosciences, Inc. 2018 Stock Incentive Plan</w:t>
              </w:r>
            </w:hyperlink>
            <w:r>
              <w:rPr>
                <w:rFonts w:ascii="Arial" w:cs="Arial" w:eastAsia="Arial" w:hAnsi="Arial"/>
                <w:sz w:val="18"/>
                <w:szCs w:val="18"/>
                <w:u w:val="single" w:color="auto"/>
                <w:color w:val="000000"/>
                <w:w w:val="92"/>
              </w:rPr>
              <w:t>.</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80" w:type="dxa"/>
            <w:vAlign w:val="bottom"/>
          </w:tcPr>
          <w:p>
            <w:pPr>
              <w:spacing w:after="0"/>
              <w:rPr>
                <w:sz w:val="20"/>
                <w:szCs w:val="20"/>
                <w:color w:val="auto"/>
              </w:rPr>
            </w:pPr>
            <w:r>
              <w:rPr>
                <w:rFonts w:ascii="Arial" w:cs="Arial" w:eastAsia="Arial" w:hAnsi="Arial"/>
                <w:sz w:val="18"/>
                <w:szCs w:val="18"/>
                <w:color w:val="auto"/>
              </w:rPr>
              <w:t>10.22#</w:t>
            </w:r>
          </w:p>
        </w:tc>
        <w:tc>
          <w:tcPr>
            <w:tcW w:w="60" w:type="dxa"/>
            <w:vAlign w:val="bottom"/>
          </w:tcPr>
          <w:p>
            <w:pPr>
              <w:spacing w:after="0"/>
              <w:rPr>
                <w:sz w:val="18"/>
                <w:szCs w:val="18"/>
                <w:color w:val="auto"/>
              </w:rPr>
            </w:pPr>
          </w:p>
        </w:tc>
        <w:tc>
          <w:tcPr>
            <w:tcW w:w="5560" w:type="dxa"/>
            <w:vAlign w:val="bottom"/>
            <w:tcBorders>
              <w:bottom w:val="single" w:sz="8" w:color="0000EE"/>
            </w:tcBorders>
            <w:gridSpan w:val="27"/>
          </w:tcPr>
          <w:p>
            <w:pPr>
              <w:spacing w:after="0"/>
              <w:rPr>
                <w:rFonts w:ascii="Arial" w:cs="Arial" w:eastAsia="Arial" w:hAnsi="Arial"/>
                <w:sz w:val="18"/>
                <w:szCs w:val="18"/>
                <w:color w:val="0000EE"/>
                <w:w w:val="91"/>
              </w:rPr>
            </w:pPr>
            <w:hyperlink r:id="rId94">
              <w:r>
                <w:rPr>
                  <w:rFonts w:ascii="Arial" w:cs="Arial" w:eastAsia="Arial" w:hAnsi="Arial"/>
                  <w:sz w:val="18"/>
                  <w:szCs w:val="18"/>
                  <w:color w:val="0000EE"/>
                  <w:w w:val="91"/>
                </w:rPr>
                <w:t>Amendment No. 3 to Assembly Biosciences, Inc. 2018 Stock Incentive Plan.</w:t>
              </w:r>
            </w:hyperlink>
          </w:p>
        </w:tc>
        <w:tc>
          <w:tcPr>
            <w:tcW w:w="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80" w:type="dxa"/>
            <w:vAlign w:val="bottom"/>
          </w:tcPr>
          <w:p>
            <w:pPr>
              <w:spacing w:after="0"/>
              <w:rPr>
                <w:sz w:val="20"/>
                <w:szCs w:val="20"/>
                <w:color w:val="auto"/>
              </w:rPr>
            </w:pPr>
            <w:r>
              <w:rPr>
                <w:rFonts w:ascii="Arial" w:cs="Arial" w:eastAsia="Arial" w:hAnsi="Arial"/>
                <w:sz w:val="18"/>
                <w:szCs w:val="18"/>
                <w:color w:val="auto"/>
              </w:rPr>
              <w:t>10.23#</w:t>
            </w:r>
          </w:p>
        </w:tc>
        <w:tc>
          <w:tcPr>
            <w:tcW w:w="60" w:type="dxa"/>
            <w:vAlign w:val="bottom"/>
          </w:tcPr>
          <w:p>
            <w:pPr>
              <w:spacing w:after="0"/>
              <w:rPr>
                <w:sz w:val="18"/>
                <w:szCs w:val="18"/>
                <w:color w:val="auto"/>
              </w:rPr>
            </w:pPr>
          </w:p>
        </w:tc>
        <w:tc>
          <w:tcPr>
            <w:tcW w:w="5600" w:type="dxa"/>
            <w:vAlign w:val="bottom"/>
            <w:gridSpan w:val="29"/>
          </w:tcPr>
          <w:p>
            <w:pPr>
              <w:spacing w:after="0"/>
              <w:rPr>
                <w:rFonts w:ascii="Arial" w:cs="Arial" w:eastAsia="Arial" w:hAnsi="Arial"/>
                <w:sz w:val="18"/>
                <w:szCs w:val="18"/>
                <w:color w:val="0000EE"/>
                <w:w w:val="92"/>
              </w:rPr>
            </w:pPr>
            <w:hyperlink r:id="rId95">
              <w:r>
                <w:rPr>
                  <w:rFonts w:ascii="Arial" w:cs="Arial" w:eastAsia="Arial" w:hAnsi="Arial"/>
                  <w:sz w:val="18"/>
                  <w:szCs w:val="18"/>
                  <w:color w:val="0000EE"/>
                  <w:w w:val="92"/>
                </w:rPr>
                <w:t>Amendment No. 4 to Assembly Biosciences, Inc. 2018 Stock Incentive Plan.</w:t>
              </w:r>
            </w:hyperlink>
          </w:p>
        </w:tc>
        <w:tc>
          <w:tcPr>
            <w:tcW w:w="0" w:type="dxa"/>
            <w:vAlign w:val="bottom"/>
          </w:tcPr>
          <w:p>
            <w:pPr>
              <w:spacing w:after="0"/>
              <w:rPr>
                <w:sz w:val="1"/>
                <w:szCs w:val="1"/>
                <w:color w:val="auto"/>
              </w:rPr>
            </w:pPr>
          </w:p>
        </w:tc>
      </w:tr>
      <w:tr>
        <w:trPr>
          <w:trHeight w:val="210"/>
        </w:trPr>
        <w:tc>
          <w:tcPr>
            <w:tcW w:w="980" w:type="dxa"/>
            <w:vAlign w:val="bottom"/>
          </w:tcPr>
          <w:p>
            <w:pPr>
              <w:spacing w:after="0"/>
              <w:rPr>
                <w:sz w:val="20"/>
                <w:szCs w:val="20"/>
                <w:color w:val="auto"/>
              </w:rPr>
            </w:pPr>
            <w:r>
              <w:rPr>
                <w:rFonts w:ascii="Arial" w:cs="Arial" w:eastAsia="Arial" w:hAnsi="Arial"/>
                <w:sz w:val="18"/>
                <w:szCs w:val="18"/>
                <w:color w:val="auto"/>
              </w:rPr>
              <w:t>10.24#</w:t>
            </w:r>
          </w:p>
        </w:tc>
        <w:tc>
          <w:tcPr>
            <w:tcW w:w="60" w:type="dxa"/>
            <w:vAlign w:val="bottom"/>
          </w:tcPr>
          <w:p>
            <w:pPr>
              <w:spacing w:after="0"/>
              <w:rPr>
                <w:sz w:val="18"/>
                <w:szCs w:val="18"/>
                <w:color w:val="auto"/>
              </w:rPr>
            </w:pPr>
          </w:p>
        </w:tc>
        <w:tc>
          <w:tcPr>
            <w:tcW w:w="5400" w:type="dxa"/>
            <w:vAlign w:val="bottom"/>
            <w:tcBorders>
              <w:top w:val="single" w:sz="8" w:color="0000EE"/>
              <w:bottom w:val="single" w:sz="8" w:color="0000EE"/>
            </w:tcBorders>
            <w:gridSpan w:val="23"/>
          </w:tcPr>
          <w:p>
            <w:pPr>
              <w:spacing w:after="0"/>
              <w:rPr>
                <w:rFonts w:ascii="Arial" w:cs="Arial" w:eastAsia="Arial" w:hAnsi="Arial"/>
                <w:sz w:val="18"/>
                <w:szCs w:val="18"/>
                <w:color w:val="0000EE"/>
                <w:w w:val="92"/>
              </w:rPr>
            </w:pPr>
            <w:hyperlink r:id="rId96">
              <w:r>
                <w:rPr>
                  <w:rFonts w:ascii="Arial" w:cs="Arial" w:eastAsia="Arial" w:hAnsi="Arial"/>
                  <w:sz w:val="18"/>
                  <w:szCs w:val="18"/>
                  <w:color w:val="0000EE"/>
                  <w:w w:val="92"/>
                </w:rPr>
                <w:t>Form of Notice of Stock Option Grant and Stock Option Agreement under</w:t>
              </w:r>
            </w:hyperlink>
          </w:p>
        </w:tc>
        <w:tc>
          <w:tcPr>
            <w:tcW w:w="140" w:type="dxa"/>
            <w:vAlign w:val="bottom"/>
            <w:tcBorders>
              <w:top w:val="single" w:sz="8" w:color="0000EE"/>
            </w:tcBorders>
            <w:gridSpan w:val="3"/>
          </w:tcPr>
          <w:p>
            <w:pPr>
              <w:spacing w:after="0"/>
              <w:rPr>
                <w:sz w:val="18"/>
                <w:szCs w:val="18"/>
                <w:color w:val="auto"/>
              </w:rPr>
            </w:pPr>
          </w:p>
        </w:tc>
        <w:tc>
          <w:tcPr>
            <w:tcW w:w="6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2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r:id="rId96">
              <w:r>
                <w:rPr>
                  <w:rFonts w:ascii="Arial" w:cs="Arial" w:eastAsia="Arial" w:hAnsi="Arial"/>
                  <w:sz w:val="18"/>
                  <w:szCs w:val="18"/>
                  <w:color w:val="0000EE"/>
                  <w:w w:val="90"/>
                </w:rPr>
                <w:t>the 2018 Stock Incentive Plan.</w:t>
              </w:r>
            </w:hyperlink>
          </w:p>
        </w:tc>
        <w:tc>
          <w:tcPr>
            <w:tcW w:w="338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10.25#</w:t>
            </w:r>
          </w:p>
        </w:tc>
        <w:tc>
          <w:tcPr>
            <w:tcW w:w="60" w:type="dxa"/>
            <w:vAlign w:val="bottom"/>
          </w:tcPr>
          <w:p>
            <w:pPr>
              <w:spacing w:after="0"/>
              <w:rPr>
                <w:sz w:val="17"/>
                <w:szCs w:val="17"/>
                <w:color w:val="auto"/>
              </w:rPr>
            </w:pPr>
          </w:p>
        </w:tc>
        <w:tc>
          <w:tcPr>
            <w:tcW w:w="5600" w:type="dxa"/>
            <w:vAlign w:val="bottom"/>
            <w:gridSpan w:val="29"/>
          </w:tcPr>
          <w:p>
            <w:pPr>
              <w:spacing w:after="0" w:line="196" w:lineRule="exact"/>
              <w:rPr>
                <w:rFonts w:ascii="Arial" w:cs="Arial" w:eastAsia="Arial" w:hAnsi="Arial"/>
                <w:sz w:val="18"/>
                <w:szCs w:val="18"/>
                <w:color w:val="0000EE"/>
              </w:rPr>
            </w:pPr>
            <w:hyperlink r:id="rId97">
              <w:r>
                <w:rPr>
                  <w:rFonts w:ascii="Arial" w:cs="Arial" w:eastAsia="Arial" w:hAnsi="Arial"/>
                  <w:sz w:val="18"/>
                  <w:szCs w:val="18"/>
                  <w:color w:val="0000EE"/>
                </w:rPr>
                <w:t>Form of Restricted Stock Unit Award Notice and Restricted Stock Unit</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12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97">
              <w:r>
                <w:rPr>
                  <w:rFonts w:ascii="Arial" w:cs="Arial" w:eastAsia="Arial" w:hAnsi="Arial"/>
                  <w:sz w:val="18"/>
                  <w:szCs w:val="18"/>
                  <w:color w:val="0000EE"/>
                </w:rPr>
                <w:t>Award Agreement under the 2018 Stock Incentive Plan.</w:t>
              </w:r>
            </w:hyperlink>
          </w:p>
        </w:tc>
        <w:tc>
          <w:tcPr>
            <w:tcW w:w="48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10.26#</w:t>
            </w:r>
          </w:p>
        </w:tc>
        <w:tc>
          <w:tcPr>
            <w:tcW w:w="60" w:type="dxa"/>
            <w:vAlign w:val="bottom"/>
          </w:tcPr>
          <w:p>
            <w:pPr>
              <w:spacing w:after="0"/>
              <w:rPr>
                <w:sz w:val="17"/>
                <w:szCs w:val="17"/>
                <w:color w:val="auto"/>
              </w:rPr>
            </w:pPr>
          </w:p>
        </w:tc>
        <w:tc>
          <w:tcPr>
            <w:tcW w:w="5520" w:type="dxa"/>
            <w:vAlign w:val="bottom"/>
            <w:tcBorders>
              <w:bottom w:val="single" w:sz="8" w:color="0000EE"/>
            </w:tcBorders>
            <w:gridSpan w:val="25"/>
          </w:tcPr>
          <w:p>
            <w:pPr>
              <w:spacing w:after="0" w:line="196" w:lineRule="exact"/>
              <w:rPr>
                <w:rFonts w:ascii="Arial" w:cs="Arial" w:eastAsia="Arial" w:hAnsi="Arial"/>
                <w:sz w:val="18"/>
                <w:szCs w:val="18"/>
                <w:color w:val="0000EE"/>
                <w:w w:val="92"/>
              </w:rPr>
            </w:pPr>
            <w:hyperlink r:id="rId98">
              <w:r>
                <w:rPr>
                  <w:rFonts w:ascii="Arial" w:cs="Arial" w:eastAsia="Arial" w:hAnsi="Arial"/>
                  <w:sz w:val="18"/>
                  <w:szCs w:val="18"/>
                  <w:color w:val="0000EE"/>
                  <w:w w:val="92"/>
                </w:rPr>
                <w:t>Form of Stock Appreciation Right Award Agreement for Non-U.S. Grantees</w:t>
              </w:r>
            </w:hyperlink>
          </w:p>
        </w:tc>
        <w:tc>
          <w:tcPr>
            <w:tcW w:w="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70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r:id="rId98">
              <w:r>
                <w:rPr>
                  <w:rFonts w:ascii="Arial" w:cs="Arial" w:eastAsia="Arial" w:hAnsi="Arial"/>
                  <w:sz w:val="18"/>
                  <w:szCs w:val="18"/>
                  <w:color w:val="0000EE"/>
                  <w:w w:val="90"/>
                </w:rPr>
                <w:t>under the Assembly Biosciences, Inc. 2018 Stock Incentive Plan.</w:t>
              </w:r>
            </w:hyperlink>
          </w:p>
        </w:tc>
        <w:tc>
          <w:tcPr>
            <w:tcW w:w="90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10.27#</w:t>
            </w:r>
          </w:p>
        </w:tc>
        <w:tc>
          <w:tcPr>
            <w:tcW w:w="60" w:type="dxa"/>
            <w:vAlign w:val="bottom"/>
          </w:tcPr>
          <w:p>
            <w:pPr>
              <w:spacing w:after="0"/>
              <w:rPr>
                <w:sz w:val="17"/>
                <w:szCs w:val="17"/>
                <w:color w:val="auto"/>
              </w:rPr>
            </w:pPr>
          </w:p>
        </w:tc>
        <w:tc>
          <w:tcPr>
            <w:tcW w:w="5560" w:type="dxa"/>
            <w:vAlign w:val="bottom"/>
            <w:tcBorders>
              <w:bottom w:val="single" w:sz="8" w:color="0000EE"/>
            </w:tcBorders>
            <w:gridSpan w:val="27"/>
          </w:tcPr>
          <w:p>
            <w:pPr>
              <w:spacing w:after="0" w:line="196" w:lineRule="exact"/>
              <w:rPr>
                <w:rFonts w:ascii="Arial" w:cs="Arial" w:eastAsia="Arial" w:hAnsi="Arial"/>
                <w:sz w:val="18"/>
                <w:szCs w:val="18"/>
                <w:color w:val="0000EE"/>
                <w:w w:val="91"/>
              </w:rPr>
            </w:pPr>
            <w:hyperlink w:anchor="page98">
              <w:r>
                <w:rPr>
                  <w:rFonts w:ascii="Arial" w:cs="Arial" w:eastAsia="Arial" w:hAnsi="Arial"/>
                  <w:sz w:val="18"/>
                  <w:szCs w:val="18"/>
                  <w:color w:val="0000EE"/>
                  <w:w w:val="91"/>
                </w:rPr>
                <w:t>Form of Performance-Based Stock Appreciation Right Award Agreement for</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w:anchor="page98">
              <w:r>
                <w:rPr>
                  <w:rFonts w:ascii="Arial" w:cs="Arial" w:eastAsia="Arial" w:hAnsi="Arial"/>
                  <w:sz w:val="18"/>
                  <w:szCs w:val="18"/>
                  <w:color w:val="0000EE"/>
                  <w:w w:val="90"/>
                </w:rPr>
                <w:t>Non-U.S. Grantees under the Assembly Biosciences, Inc. 2018 Stock</w:t>
              </w:r>
            </w:hyperlink>
          </w:p>
        </w:tc>
        <w:tc>
          <w:tcPr>
            <w:tcW w:w="60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0" w:type="dxa"/>
            <w:vAlign w:val="bottom"/>
            <w:gridSpan w:val="29"/>
          </w:tcPr>
          <w:p>
            <w:pPr>
              <w:spacing w:after="0" w:line="196" w:lineRule="exact"/>
              <w:rPr>
                <w:rFonts w:ascii="Arial" w:cs="Arial" w:eastAsia="Arial" w:hAnsi="Arial"/>
                <w:sz w:val="18"/>
                <w:szCs w:val="18"/>
                <w:color w:val="0000EE"/>
              </w:rPr>
            </w:pPr>
            <w:hyperlink w:anchor="page98">
              <w:r>
                <w:rPr>
                  <w:rFonts w:ascii="Arial" w:cs="Arial" w:eastAsia="Arial" w:hAnsi="Arial"/>
                  <w:sz w:val="18"/>
                  <w:szCs w:val="18"/>
                  <w:color w:val="0000EE"/>
                </w:rPr>
                <w:t>Incentive Plan.</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10.28#</w:t>
            </w:r>
          </w:p>
        </w:tc>
        <w:tc>
          <w:tcPr>
            <w:tcW w:w="60" w:type="dxa"/>
            <w:vAlign w:val="bottom"/>
          </w:tcPr>
          <w:p>
            <w:pPr>
              <w:spacing w:after="0"/>
              <w:rPr>
                <w:sz w:val="17"/>
                <w:szCs w:val="17"/>
                <w:color w:val="auto"/>
              </w:rPr>
            </w:pPr>
          </w:p>
        </w:tc>
        <w:tc>
          <w:tcPr>
            <w:tcW w:w="5600" w:type="dxa"/>
            <w:vAlign w:val="bottom"/>
            <w:gridSpan w:val="29"/>
          </w:tcPr>
          <w:p>
            <w:pPr>
              <w:spacing w:after="0" w:line="196" w:lineRule="exact"/>
              <w:rPr>
                <w:rFonts w:ascii="Arial" w:cs="Arial" w:eastAsia="Arial" w:hAnsi="Arial"/>
                <w:sz w:val="18"/>
                <w:szCs w:val="18"/>
                <w:color w:val="0000EE"/>
                <w:w w:val="94"/>
              </w:rPr>
            </w:pPr>
            <w:hyperlink r:id="rId99">
              <w:r>
                <w:rPr>
                  <w:rFonts w:ascii="Arial" w:cs="Arial" w:eastAsia="Arial" w:hAnsi="Arial"/>
                  <w:sz w:val="18"/>
                  <w:szCs w:val="18"/>
                  <w:color w:val="0000EE"/>
                  <w:w w:val="94"/>
                </w:rPr>
                <w:t>Amended and Restated Assembly Biosciences, Inc. 2018 Employee Stock</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34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r:id="rId99">
              <w:r>
                <w:rPr>
                  <w:rFonts w:ascii="Arial" w:cs="Arial" w:eastAsia="Arial" w:hAnsi="Arial"/>
                  <w:sz w:val="18"/>
                  <w:szCs w:val="18"/>
                  <w:color w:val="0000EE"/>
                </w:rPr>
                <w:t>Purchase Plan.</w:t>
              </w:r>
            </w:hyperlink>
          </w:p>
        </w:tc>
        <w:tc>
          <w:tcPr>
            <w:tcW w:w="26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10.29#</w:t>
            </w:r>
          </w:p>
        </w:tc>
        <w:tc>
          <w:tcPr>
            <w:tcW w:w="60" w:type="dxa"/>
            <w:vAlign w:val="bottom"/>
          </w:tcPr>
          <w:p>
            <w:pPr>
              <w:spacing w:after="0"/>
              <w:rPr>
                <w:sz w:val="17"/>
                <w:szCs w:val="17"/>
                <w:color w:val="auto"/>
              </w:rPr>
            </w:pPr>
          </w:p>
        </w:tc>
        <w:tc>
          <w:tcPr>
            <w:tcW w:w="5600" w:type="dxa"/>
            <w:vAlign w:val="bottom"/>
            <w:gridSpan w:val="29"/>
          </w:tcPr>
          <w:p>
            <w:pPr>
              <w:spacing w:after="0" w:line="196" w:lineRule="exact"/>
              <w:rPr>
                <w:rFonts w:ascii="Arial" w:cs="Arial" w:eastAsia="Arial" w:hAnsi="Arial"/>
                <w:sz w:val="18"/>
                <w:szCs w:val="18"/>
                <w:color w:val="0000EE"/>
              </w:rPr>
            </w:pPr>
            <w:hyperlink r:id="rId100">
              <w:r>
                <w:rPr>
                  <w:rFonts w:ascii="Arial" w:cs="Arial" w:eastAsia="Arial" w:hAnsi="Arial"/>
                  <w:sz w:val="18"/>
                  <w:szCs w:val="18"/>
                  <w:color w:val="0000EE"/>
                </w:rPr>
                <w:t>Assembly Biosciences, Inc. 2019 Inducement Award Plan</w:t>
              </w:r>
            </w:hyperlink>
            <w:r>
              <w:rPr>
                <w:rFonts w:ascii="Arial" w:cs="Arial" w:eastAsia="Arial" w:hAnsi="Arial"/>
                <w:sz w:val="18"/>
                <w:szCs w:val="18"/>
                <w:u w:val="single" w:color="auto"/>
                <w:color w:val="000000"/>
              </w:rPr>
              <w:t>.</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10.30#</w:t>
            </w:r>
          </w:p>
        </w:tc>
        <w:tc>
          <w:tcPr>
            <w:tcW w:w="60" w:type="dxa"/>
            <w:vAlign w:val="bottom"/>
          </w:tcPr>
          <w:p>
            <w:pPr>
              <w:spacing w:after="0"/>
              <w:rPr>
                <w:sz w:val="17"/>
                <w:szCs w:val="17"/>
                <w:color w:val="auto"/>
              </w:rPr>
            </w:pPr>
          </w:p>
        </w:tc>
        <w:tc>
          <w:tcPr>
            <w:tcW w:w="5400" w:type="dxa"/>
            <w:vAlign w:val="bottom"/>
            <w:tcBorders>
              <w:bottom w:val="single" w:sz="8" w:color="0000EE"/>
            </w:tcBorders>
            <w:gridSpan w:val="23"/>
          </w:tcPr>
          <w:p>
            <w:pPr>
              <w:spacing w:after="0" w:line="196" w:lineRule="exact"/>
              <w:rPr>
                <w:rFonts w:ascii="Arial" w:cs="Arial" w:eastAsia="Arial" w:hAnsi="Arial"/>
                <w:sz w:val="18"/>
                <w:szCs w:val="18"/>
                <w:color w:val="0000EE"/>
                <w:w w:val="92"/>
              </w:rPr>
            </w:pPr>
            <w:hyperlink r:id="rId101">
              <w:r>
                <w:rPr>
                  <w:rFonts w:ascii="Arial" w:cs="Arial" w:eastAsia="Arial" w:hAnsi="Arial"/>
                  <w:sz w:val="18"/>
                  <w:szCs w:val="18"/>
                  <w:color w:val="0000EE"/>
                  <w:w w:val="92"/>
                </w:rPr>
                <w:t>Form of Notice of Stock Option Grant and Stock Option Agreement under</w:t>
              </w:r>
            </w:hyperlink>
          </w:p>
        </w:tc>
        <w:tc>
          <w:tcPr>
            <w:tcW w:w="20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6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r:id="rId101">
              <w:r>
                <w:rPr>
                  <w:rFonts w:ascii="Arial" w:cs="Arial" w:eastAsia="Arial" w:hAnsi="Arial"/>
                  <w:sz w:val="18"/>
                  <w:szCs w:val="18"/>
                  <w:color w:val="0000EE"/>
                  <w:w w:val="89"/>
                </w:rPr>
                <w:t>the 2019 Inducement Award Plan.</w:t>
              </w:r>
            </w:hyperlink>
          </w:p>
        </w:tc>
        <w:tc>
          <w:tcPr>
            <w:tcW w:w="3140" w:type="dxa"/>
            <w:vAlign w:val="bottom"/>
            <w:gridSpan w:val="2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10.31#</w:t>
            </w:r>
          </w:p>
        </w:tc>
        <w:tc>
          <w:tcPr>
            <w:tcW w:w="60" w:type="dxa"/>
            <w:vAlign w:val="bottom"/>
          </w:tcPr>
          <w:p>
            <w:pPr>
              <w:spacing w:after="0"/>
              <w:rPr>
                <w:sz w:val="17"/>
                <w:szCs w:val="17"/>
                <w:color w:val="auto"/>
              </w:rPr>
            </w:pPr>
          </w:p>
        </w:tc>
        <w:tc>
          <w:tcPr>
            <w:tcW w:w="5600" w:type="dxa"/>
            <w:vAlign w:val="bottom"/>
            <w:gridSpan w:val="29"/>
          </w:tcPr>
          <w:p>
            <w:pPr>
              <w:spacing w:after="0" w:line="196" w:lineRule="exact"/>
              <w:rPr>
                <w:rFonts w:ascii="Arial" w:cs="Arial" w:eastAsia="Arial" w:hAnsi="Arial"/>
                <w:sz w:val="18"/>
                <w:szCs w:val="18"/>
                <w:color w:val="0000EE"/>
              </w:rPr>
            </w:pPr>
            <w:hyperlink r:id="rId102">
              <w:r>
                <w:rPr>
                  <w:rFonts w:ascii="Arial" w:cs="Arial" w:eastAsia="Arial" w:hAnsi="Arial"/>
                  <w:sz w:val="18"/>
                  <w:szCs w:val="18"/>
                  <w:color w:val="0000EE"/>
                </w:rPr>
                <w:t>Assembly Biosciences, Inc. 2020 Inducement Award Plan.</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80" w:type="dxa"/>
            <w:vAlign w:val="bottom"/>
          </w:tcPr>
          <w:p>
            <w:pPr>
              <w:spacing w:after="0"/>
              <w:rPr>
                <w:sz w:val="20"/>
                <w:szCs w:val="20"/>
                <w:color w:val="auto"/>
              </w:rPr>
            </w:pPr>
            <w:r>
              <w:rPr>
                <w:rFonts w:ascii="Arial" w:cs="Arial" w:eastAsia="Arial" w:hAnsi="Arial"/>
                <w:sz w:val="18"/>
                <w:szCs w:val="18"/>
                <w:color w:val="auto"/>
              </w:rPr>
              <w:t>10.32#</w:t>
            </w:r>
          </w:p>
        </w:tc>
        <w:tc>
          <w:tcPr>
            <w:tcW w:w="60" w:type="dxa"/>
            <w:vAlign w:val="bottom"/>
          </w:tcPr>
          <w:p>
            <w:pPr>
              <w:spacing w:after="0"/>
              <w:rPr>
                <w:sz w:val="18"/>
                <w:szCs w:val="18"/>
                <w:color w:val="auto"/>
              </w:rPr>
            </w:pPr>
          </w:p>
        </w:tc>
        <w:tc>
          <w:tcPr>
            <w:tcW w:w="5400" w:type="dxa"/>
            <w:vAlign w:val="bottom"/>
            <w:tcBorders>
              <w:bottom w:val="single" w:sz="8" w:color="0000EE"/>
            </w:tcBorders>
            <w:gridSpan w:val="23"/>
          </w:tcPr>
          <w:p>
            <w:pPr>
              <w:spacing w:after="0"/>
              <w:rPr>
                <w:rFonts w:ascii="Arial" w:cs="Arial" w:eastAsia="Arial" w:hAnsi="Arial"/>
                <w:sz w:val="18"/>
                <w:szCs w:val="18"/>
                <w:color w:val="0000EE"/>
                <w:w w:val="92"/>
              </w:rPr>
            </w:pPr>
            <w:hyperlink r:id="rId103">
              <w:r>
                <w:rPr>
                  <w:rFonts w:ascii="Arial" w:cs="Arial" w:eastAsia="Arial" w:hAnsi="Arial"/>
                  <w:sz w:val="18"/>
                  <w:szCs w:val="18"/>
                  <w:color w:val="0000EE"/>
                  <w:w w:val="92"/>
                </w:rPr>
                <w:t>Form of Notice of Stock Option Grant and Stock Option Agreement under</w:t>
              </w:r>
            </w:hyperlink>
          </w:p>
        </w:tc>
        <w:tc>
          <w:tcPr>
            <w:tcW w:w="200" w:type="dxa"/>
            <w:vAlign w:val="bottom"/>
            <w:gridSpan w:val="6"/>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6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r:id="rId103">
              <w:r>
                <w:rPr>
                  <w:rFonts w:ascii="Arial" w:cs="Arial" w:eastAsia="Arial" w:hAnsi="Arial"/>
                  <w:sz w:val="18"/>
                  <w:szCs w:val="18"/>
                  <w:color w:val="0000EE"/>
                  <w:w w:val="89"/>
                </w:rPr>
                <w:t>the 2020 Inducement Award Plan.</w:t>
              </w:r>
            </w:hyperlink>
          </w:p>
        </w:tc>
        <w:tc>
          <w:tcPr>
            <w:tcW w:w="3140" w:type="dxa"/>
            <w:vAlign w:val="bottom"/>
            <w:gridSpan w:val="2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10.33#</w:t>
            </w:r>
          </w:p>
        </w:tc>
        <w:tc>
          <w:tcPr>
            <w:tcW w:w="60" w:type="dxa"/>
            <w:vAlign w:val="bottom"/>
          </w:tcPr>
          <w:p>
            <w:pPr>
              <w:spacing w:after="0"/>
              <w:rPr>
                <w:sz w:val="17"/>
                <w:szCs w:val="17"/>
                <w:color w:val="auto"/>
              </w:rPr>
            </w:pPr>
          </w:p>
        </w:tc>
        <w:tc>
          <w:tcPr>
            <w:tcW w:w="5600" w:type="dxa"/>
            <w:vAlign w:val="bottom"/>
            <w:gridSpan w:val="29"/>
          </w:tcPr>
          <w:p>
            <w:pPr>
              <w:spacing w:after="0" w:line="196" w:lineRule="exact"/>
              <w:rPr>
                <w:rFonts w:ascii="Arial" w:cs="Arial" w:eastAsia="Arial" w:hAnsi="Arial"/>
                <w:sz w:val="18"/>
                <w:szCs w:val="18"/>
                <w:color w:val="0000EE"/>
              </w:rPr>
            </w:pPr>
            <w:hyperlink r:id="rId104">
              <w:r>
                <w:rPr>
                  <w:rFonts w:ascii="Arial" w:cs="Arial" w:eastAsia="Arial" w:hAnsi="Arial"/>
                  <w:sz w:val="18"/>
                  <w:szCs w:val="18"/>
                  <w:color w:val="0000EE"/>
                </w:rPr>
                <w:t>Form of Restricted Stock Unit Award Notice and Restricted Stock Unit</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8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0"/>
              </w:rPr>
            </w:pPr>
            <w:hyperlink r:id="rId104">
              <w:r>
                <w:rPr>
                  <w:rFonts w:ascii="Arial" w:cs="Arial" w:eastAsia="Arial" w:hAnsi="Arial"/>
                  <w:sz w:val="18"/>
                  <w:szCs w:val="18"/>
                  <w:color w:val="0000EE"/>
                  <w:w w:val="90"/>
                </w:rPr>
                <w:t>Award Agreement under the 2020 Inducement Award Plan.</w:t>
              </w:r>
            </w:hyperlink>
          </w:p>
        </w:tc>
        <w:tc>
          <w:tcPr>
            <w:tcW w:w="840" w:type="dxa"/>
            <w:vAlign w:val="bottom"/>
            <w:tcBorders>
              <w:top w:val="single" w:sz="8" w:color="0000EE"/>
            </w:tcBorders>
            <w:gridSpan w:val="4"/>
          </w:tcPr>
          <w:p>
            <w:pPr>
              <w:spacing w:after="0"/>
              <w:rPr>
                <w:sz w:val="17"/>
                <w:szCs w:val="17"/>
                <w:color w:val="auto"/>
              </w:rPr>
            </w:pPr>
          </w:p>
        </w:tc>
        <w:tc>
          <w:tcPr>
            <w:tcW w:w="48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10.34#</w:t>
            </w:r>
          </w:p>
        </w:tc>
        <w:tc>
          <w:tcPr>
            <w:tcW w:w="60" w:type="dxa"/>
            <w:vAlign w:val="bottom"/>
          </w:tcPr>
          <w:p>
            <w:pPr>
              <w:spacing w:after="0"/>
              <w:rPr>
                <w:sz w:val="17"/>
                <w:szCs w:val="17"/>
                <w:color w:val="auto"/>
              </w:rPr>
            </w:pPr>
          </w:p>
        </w:tc>
        <w:tc>
          <w:tcPr>
            <w:tcW w:w="5600" w:type="dxa"/>
            <w:vAlign w:val="bottom"/>
            <w:gridSpan w:val="29"/>
          </w:tcPr>
          <w:p>
            <w:pPr>
              <w:spacing w:after="0" w:line="196" w:lineRule="exact"/>
              <w:rPr>
                <w:rFonts w:ascii="Arial" w:cs="Arial" w:eastAsia="Arial" w:hAnsi="Arial"/>
                <w:sz w:val="18"/>
                <w:szCs w:val="18"/>
                <w:color w:val="0000EE"/>
              </w:rPr>
            </w:pPr>
            <w:hyperlink r:id="rId105">
              <w:r>
                <w:rPr>
                  <w:rFonts w:ascii="Arial" w:cs="Arial" w:eastAsia="Arial" w:hAnsi="Arial"/>
                  <w:sz w:val="18"/>
                  <w:szCs w:val="18"/>
                  <w:color w:val="0000EE"/>
                </w:rPr>
                <w:t>Assembly Biosciences, Inc. 2021 Corporate Bonus Plan.</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80" w:type="dxa"/>
            <w:vAlign w:val="bottom"/>
          </w:tcPr>
          <w:p>
            <w:pPr>
              <w:spacing w:after="0"/>
              <w:rPr>
                <w:sz w:val="20"/>
                <w:szCs w:val="20"/>
                <w:color w:val="auto"/>
              </w:rPr>
            </w:pPr>
            <w:r>
              <w:rPr>
                <w:rFonts w:ascii="Arial" w:cs="Arial" w:eastAsia="Arial" w:hAnsi="Arial"/>
                <w:sz w:val="18"/>
                <w:szCs w:val="18"/>
                <w:color w:val="auto"/>
              </w:rPr>
              <w:t>10.35</w:t>
            </w:r>
          </w:p>
        </w:tc>
        <w:tc>
          <w:tcPr>
            <w:tcW w:w="60" w:type="dxa"/>
            <w:vAlign w:val="bottom"/>
          </w:tcPr>
          <w:p>
            <w:pPr>
              <w:spacing w:after="0"/>
              <w:rPr>
                <w:sz w:val="18"/>
                <w:szCs w:val="18"/>
                <w:color w:val="auto"/>
              </w:rPr>
            </w:pPr>
          </w:p>
        </w:tc>
        <w:tc>
          <w:tcPr>
            <w:tcW w:w="5380" w:type="dxa"/>
            <w:vAlign w:val="bottom"/>
            <w:tcBorders>
              <w:bottom w:val="single" w:sz="8" w:color="0000EE"/>
            </w:tcBorders>
            <w:gridSpan w:val="22"/>
          </w:tcPr>
          <w:p>
            <w:pPr>
              <w:spacing w:after="0"/>
              <w:rPr>
                <w:rFonts w:ascii="Arial" w:cs="Arial" w:eastAsia="Arial" w:hAnsi="Arial"/>
                <w:sz w:val="18"/>
                <w:szCs w:val="18"/>
                <w:color w:val="0000EE"/>
                <w:w w:val="90"/>
              </w:rPr>
            </w:pPr>
            <w:hyperlink r:id="rId106">
              <w:r>
                <w:rPr>
                  <w:rFonts w:ascii="Arial" w:cs="Arial" w:eastAsia="Arial" w:hAnsi="Arial"/>
                  <w:sz w:val="18"/>
                  <w:szCs w:val="18"/>
                  <w:color w:val="0000EE"/>
                  <w:w w:val="90"/>
                </w:rPr>
                <w:t>Open Market Sale Agreement by and between Assembly Biosciences, Inc.</w:t>
              </w:r>
            </w:hyperlink>
          </w:p>
        </w:tc>
        <w:tc>
          <w:tcPr>
            <w:tcW w:w="220" w:type="dxa"/>
            <w:vAlign w:val="bottom"/>
            <w:gridSpan w:val="7"/>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0" w:type="dxa"/>
            <w:vAlign w:val="bottom"/>
            <w:gridSpan w:val="29"/>
          </w:tcPr>
          <w:p>
            <w:pPr>
              <w:spacing w:after="0" w:line="196" w:lineRule="exact"/>
              <w:rPr>
                <w:rFonts w:ascii="Arial" w:cs="Arial" w:eastAsia="Arial" w:hAnsi="Arial"/>
                <w:sz w:val="18"/>
                <w:szCs w:val="18"/>
                <w:color w:val="0000EE"/>
              </w:rPr>
            </w:pPr>
            <w:hyperlink r:id="rId106">
              <w:r>
                <w:rPr>
                  <w:rFonts w:ascii="Arial" w:cs="Arial" w:eastAsia="Arial" w:hAnsi="Arial"/>
                  <w:sz w:val="18"/>
                  <w:szCs w:val="18"/>
                  <w:color w:val="0000EE"/>
                </w:rPr>
                <w:t>and Jefferies LLC.</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gridSpan w:val="6"/>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21.1</w:t>
            </w:r>
          </w:p>
        </w:tc>
        <w:tc>
          <w:tcPr>
            <w:tcW w:w="60" w:type="dxa"/>
            <w:vAlign w:val="bottom"/>
          </w:tcPr>
          <w:p>
            <w:pPr>
              <w:spacing w:after="0"/>
              <w:rPr>
                <w:sz w:val="17"/>
                <w:szCs w:val="17"/>
                <w:color w:val="auto"/>
              </w:rPr>
            </w:pPr>
          </w:p>
        </w:tc>
        <w:tc>
          <w:tcPr>
            <w:tcW w:w="364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w:anchor="page108">
              <w:r>
                <w:rPr>
                  <w:rFonts w:ascii="Arial" w:cs="Arial" w:eastAsia="Arial" w:hAnsi="Arial"/>
                  <w:sz w:val="18"/>
                  <w:szCs w:val="18"/>
                  <w:color w:val="0000EE"/>
                  <w:w w:val="91"/>
                </w:rPr>
                <w:t>List of Subsidiaries of Assembly Biosciences, Inc.</w:t>
              </w:r>
            </w:hyperlink>
          </w:p>
        </w:tc>
        <w:tc>
          <w:tcPr>
            <w:tcW w:w="196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23.1</w:t>
            </w:r>
          </w:p>
        </w:tc>
        <w:tc>
          <w:tcPr>
            <w:tcW w:w="60" w:type="dxa"/>
            <w:vAlign w:val="bottom"/>
          </w:tcPr>
          <w:p>
            <w:pPr>
              <w:spacing w:after="0"/>
              <w:rPr>
                <w:sz w:val="17"/>
                <w:szCs w:val="17"/>
                <w:color w:val="auto"/>
              </w:rPr>
            </w:pPr>
          </w:p>
        </w:tc>
        <w:tc>
          <w:tcPr>
            <w:tcW w:w="5600" w:type="dxa"/>
            <w:vAlign w:val="bottom"/>
            <w:gridSpan w:val="29"/>
          </w:tcPr>
          <w:p>
            <w:pPr>
              <w:spacing w:after="0" w:line="196" w:lineRule="exact"/>
              <w:rPr>
                <w:rFonts w:ascii="Arial" w:cs="Arial" w:eastAsia="Arial" w:hAnsi="Arial"/>
                <w:sz w:val="18"/>
                <w:szCs w:val="18"/>
                <w:color w:val="0000EE"/>
              </w:rPr>
            </w:pPr>
            <w:hyperlink w:anchor="page109">
              <w:r>
                <w:rPr>
                  <w:rFonts w:ascii="Arial" w:cs="Arial" w:eastAsia="Arial" w:hAnsi="Arial"/>
                  <w:sz w:val="18"/>
                  <w:szCs w:val="18"/>
                  <w:color w:val="0000EE"/>
                </w:rPr>
                <w:t>Consent of Independent Registered Public Accounting Firm.</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24.1</w:t>
            </w:r>
          </w:p>
        </w:tc>
        <w:tc>
          <w:tcPr>
            <w:tcW w:w="60" w:type="dxa"/>
            <w:vAlign w:val="bottom"/>
          </w:tcPr>
          <w:p>
            <w:pPr>
              <w:spacing w:after="0"/>
              <w:rPr>
                <w:sz w:val="17"/>
                <w:szCs w:val="17"/>
                <w:color w:val="auto"/>
              </w:rPr>
            </w:pPr>
          </w:p>
        </w:tc>
        <w:tc>
          <w:tcPr>
            <w:tcW w:w="436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Power of Attorney (included on signature page)</w:t>
              </w:r>
            </w:hyperlink>
            <w:r>
              <w:rPr>
                <w:rFonts w:ascii="Arial" w:cs="Arial" w:eastAsia="Arial" w:hAnsi="Arial"/>
                <w:sz w:val="18"/>
                <w:szCs w:val="18"/>
                <w:u w:val="single" w:color="auto"/>
                <w:color w:val="000000"/>
              </w:rPr>
              <w:t>.</w:t>
            </w:r>
          </w:p>
        </w:tc>
        <w:tc>
          <w:tcPr>
            <w:tcW w:w="124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00" w:type="dxa"/>
            <w:vAlign w:val="bottom"/>
            <w:gridSpan w:val="4"/>
            <w:shd w:val="clear" w:color="auto" w:fill="0000EE"/>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186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31.1</w:t>
            </w:r>
          </w:p>
        </w:tc>
        <w:tc>
          <w:tcPr>
            <w:tcW w:w="60" w:type="dxa"/>
            <w:vAlign w:val="bottom"/>
          </w:tcPr>
          <w:p>
            <w:pPr>
              <w:spacing w:after="0"/>
              <w:rPr>
                <w:sz w:val="17"/>
                <w:szCs w:val="17"/>
                <w:color w:val="auto"/>
              </w:rPr>
            </w:pPr>
          </w:p>
        </w:tc>
        <w:tc>
          <w:tcPr>
            <w:tcW w:w="5600" w:type="dxa"/>
            <w:vAlign w:val="bottom"/>
            <w:gridSpan w:val="29"/>
          </w:tcPr>
          <w:p>
            <w:pPr>
              <w:spacing w:after="0" w:line="196" w:lineRule="exact"/>
              <w:rPr>
                <w:rFonts w:ascii="Arial" w:cs="Arial" w:eastAsia="Arial" w:hAnsi="Arial"/>
                <w:sz w:val="18"/>
                <w:szCs w:val="18"/>
                <w:color w:val="0000EE"/>
                <w:w w:val="96"/>
              </w:rPr>
            </w:pPr>
            <w:hyperlink w:anchor="page110">
              <w:r>
                <w:rPr>
                  <w:rFonts w:ascii="Arial" w:cs="Arial" w:eastAsia="Arial" w:hAnsi="Arial"/>
                  <w:sz w:val="18"/>
                  <w:szCs w:val="18"/>
                  <w:color w:val="0000EE"/>
                  <w:w w:val="96"/>
                </w:rPr>
                <w:t>Certification of the Chief Executive Officer Pursuant to Section 302 of the</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36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110">
              <w:r>
                <w:rPr>
                  <w:rFonts w:ascii="Arial" w:cs="Arial" w:eastAsia="Arial" w:hAnsi="Arial"/>
                  <w:sz w:val="18"/>
                  <w:szCs w:val="18"/>
                  <w:color w:val="0000EE"/>
                </w:rPr>
                <w:t>Sarbanes-Oxley Act of 2002.</w:t>
              </w:r>
            </w:hyperlink>
          </w:p>
        </w:tc>
        <w:tc>
          <w:tcPr>
            <w:tcW w:w="24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00" w:type="dxa"/>
            <w:vAlign w:val="bottom"/>
            <w:gridSpan w:val="4"/>
            <w:shd w:val="clear" w:color="auto" w:fill="0000EE"/>
          </w:tcPr>
          <w:p>
            <w:pPr>
              <w:spacing w:after="0" w:line="20" w:lineRule="exact"/>
              <w:rPr>
                <w:sz w:val="1"/>
                <w:szCs w:val="1"/>
                <w:color w:val="auto"/>
              </w:rPr>
            </w:pPr>
          </w:p>
        </w:tc>
        <w:tc>
          <w:tcPr>
            <w:tcW w:w="3200" w:type="dxa"/>
            <w:vAlign w:val="bottom"/>
            <w:gridSpan w:val="1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31.2</w:t>
            </w:r>
          </w:p>
        </w:tc>
        <w:tc>
          <w:tcPr>
            <w:tcW w:w="60" w:type="dxa"/>
            <w:vAlign w:val="bottom"/>
          </w:tcPr>
          <w:p>
            <w:pPr>
              <w:spacing w:after="0"/>
              <w:rPr>
                <w:sz w:val="17"/>
                <w:szCs w:val="17"/>
                <w:color w:val="auto"/>
              </w:rPr>
            </w:pPr>
          </w:p>
        </w:tc>
        <w:tc>
          <w:tcPr>
            <w:tcW w:w="5320" w:type="dxa"/>
            <w:vAlign w:val="bottom"/>
            <w:tcBorders>
              <w:bottom w:val="single" w:sz="8" w:color="0000EE"/>
            </w:tcBorders>
            <w:gridSpan w:val="19"/>
          </w:tcPr>
          <w:p>
            <w:pPr>
              <w:spacing w:after="0" w:line="196" w:lineRule="exact"/>
              <w:rPr>
                <w:rFonts w:ascii="Arial" w:cs="Arial" w:eastAsia="Arial" w:hAnsi="Arial"/>
                <w:sz w:val="18"/>
                <w:szCs w:val="18"/>
                <w:color w:val="0000EE"/>
                <w:w w:val="92"/>
              </w:rPr>
            </w:pPr>
            <w:hyperlink w:anchor="page111">
              <w:r>
                <w:rPr>
                  <w:rFonts w:ascii="Arial" w:cs="Arial" w:eastAsia="Arial" w:hAnsi="Arial"/>
                  <w:sz w:val="18"/>
                  <w:szCs w:val="18"/>
                  <w:color w:val="0000EE"/>
                  <w:w w:val="92"/>
                </w:rPr>
                <w:t>Certification of the Chief Financial Officer Pursuant to Section 302 of the</w:t>
              </w:r>
            </w:hyperlink>
          </w:p>
        </w:tc>
        <w:tc>
          <w:tcPr>
            <w:tcW w:w="28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0" w:type="dxa"/>
            <w:vAlign w:val="bottom"/>
            <w:gridSpan w:val="29"/>
          </w:tcPr>
          <w:p>
            <w:pPr>
              <w:spacing w:after="0" w:line="196" w:lineRule="exact"/>
              <w:rPr>
                <w:rFonts w:ascii="Arial" w:cs="Arial" w:eastAsia="Arial" w:hAnsi="Arial"/>
                <w:sz w:val="18"/>
                <w:szCs w:val="18"/>
                <w:color w:val="0000EE"/>
              </w:rPr>
            </w:pPr>
            <w:hyperlink w:anchor="page111">
              <w:r>
                <w:rPr>
                  <w:rFonts w:ascii="Arial" w:cs="Arial" w:eastAsia="Arial" w:hAnsi="Arial"/>
                  <w:sz w:val="18"/>
                  <w:szCs w:val="18"/>
                  <w:color w:val="0000EE"/>
                </w:rPr>
                <w:t>Sarbanes-Oxley Act of 2002.</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00" w:type="dxa"/>
            <w:vAlign w:val="bottom"/>
            <w:gridSpan w:val="4"/>
            <w:shd w:val="clear" w:color="auto" w:fill="0000EE"/>
          </w:tcPr>
          <w:p>
            <w:pPr>
              <w:spacing w:after="0" w:line="20" w:lineRule="exact"/>
              <w:rPr>
                <w:sz w:val="1"/>
                <w:szCs w:val="1"/>
                <w:color w:val="auto"/>
              </w:rPr>
            </w:pPr>
          </w:p>
        </w:tc>
        <w:tc>
          <w:tcPr>
            <w:tcW w:w="3200" w:type="dxa"/>
            <w:vAlign w:val="bottom"/>
            <w:gridSpan w:val="1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32.1**</w:t>
            </w:r>
          </w:p>
        </w:tc>
        <w:tc>
          <w:tcPr>
            <w:tcW w:w="60" w:type="dxa"/>
            <w:vAlign w:val="bottom"/>
          </w:tcPr>
          <w:p>
            <w:pPr>
              <w:spacing w:after="0"/>
              <w:rPr>
                <w:sz w:val="17"/>
                <w:szCs w:val="17"/>
                <w:color w:val="auto"/>
              </w:rPr>
            </w:pPr>
          </w:p>
        </w:tc>
        <w:tc>
          <w:tcPr>
            <w:tcW w:w="5600" w:type="dxa"/>
            <w:vAlign w:val="bottom"/>
            <w:gridSpan w:val="29"/>
          </w:tcPr>
          <w:p>
            <w:pPr>
              <w:spacing w:after="0" w:line="196" w:lineRule="exact"/>
              <w:rPr>
                <w:rFonts w:ascii="Arial" w:cs="Arial" w:eastAsia="Arial" w:hAnsi="Arial"/>
                <w:sz w:val="18"/>
                <w:szCs w:val="18"/>
                <w:color w:val="0000EE"/>
                <w:w w:val="96"/>
              </w:rPr>
            </w:pPr>
            <w:hyperlink w:anchor="page112">
              <w:r>
                <w:rPr>
                  <w:rFonts w:ascii="Arial" w:cs="Arial" w:eastAsia="Arial" w:hAnsi="Arial"/>
                  <w:sz w:val="18"/>
                  <w:szCs w:val="18"/>
                  <w:color w:val="0000EE"/>
                  <w:w w:val="96"/>
                </w:rPr>
                <w:t>Certification of the Chief Executive Officer Pursuant to 18 U.S.C. Section</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300" w:type="dxa"/>
            <w:vAlign w:val="bottom"/>
            <w:gridSpan w:val="18"/>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4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0" w:type="dxa"/>
            <w:vAlign w:val="bottom"/>
            <w:gridSpan w:val="29"/>
          </w:tcPr>
          <w:p>
            <w:pPr>
              <w:spacing w:after="0" w:line="196" w:lineRule="exact"/>
              <w:rPr>
                <w:rFonts w:ascii="Arial" w:cs="Arial" w:eastAsia="Arial" w:hAnsi="Arial"/>
                <w:sz w:val="18"/>
                <w:szCs w:val="18"/>
                <w:color w:val="0000EE"/>
                <w:w w:val="90"/>
              </w:rPr>
            </w:pPr>
            <w:hyperlink w:anchor="page112">
              <w:r>
                <w:rPr>
                  <w:rFonts w:ascii="Arial" w:cs="Arial" w:eastAsia="Arial" w:hAnsi="Arial"/>
                  <w:sz w:val="18"/>
                  <w:szCs w:val="18"/>
                  <w:color w:val="0000EE"/>
                  <w:w w:val="90"/>
                </w:rPr>
                <w:t>1350 as Adopted Pursuant to Section 906 of the Sarbanes-Oxley Act of 2002.</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32.2**</w:t>
            </w:r>
          </w:p>
        </w:tc>
        <w:tc>
          <w:tcPr>
            <w:tcW w:w="60" w:type="dxa"/>
            <w:vAlign w:val="bottom"/>
          </w:tcPr>
          <w:p>
            <w:pPr>
              <w:spacing w:after="0"/>
              <w:rPr>
                <w:sz w:val="17"/>
                <w:szCs w:val="17"/>
                <w:color w:val="auto"/>
              </w:rPr>
            </w:pPr>
          </w:p>
        </w:tc>
        <w:tc>
          <w:tcPr>
            <w:tcW w:w="5300" w:type="dxa"/>
            <w:vAlign w:val="bottom"/>
            <w:tcBorders>
              <w:top w:val="single" w:sz="8" w:color="0000EE"/>
              <w:bottom w:val="single" w:sz="8" w:color="0000EE"/>
            </w:tcBorders>
            <w:gridSpan w:val="18"/>
          </w:tcPr>
          <w:p>
            <w:pPr>
              <w:spacing w:after="0" w:line="196" w:lineRule="exact"/>
              <w:rPr>
                <w:rFonts w:ascii="Arial" w:cs="Arial" w:eastAsia="Arial" w:hAnsi="Arial"/>
                <w:sz w:val="18"/>
                <w:szCs w:val="18"/>
                <w:color w:val="0000EE"/>
                <w:w w:val="92"/>
              </w:rPr>
            </w:pPr>
            <w:hyperlink w:anchor="page113">
              <w:r>
                <w:rPr>
                  <w:rFonts w:ascii="Arial" w:cs="Arial" w:eastAsia="Arial" w:hAnsi="Arial"/>
                  <w:sz w:val="18"/>
                  <w:szCs w:val="18"/>
                  <w:color w:val="0000EE"/>
                  <w:w w:val="92"/>
                </w:rPr>
                <w:t>Certification of the Chief Financial Officer Pursuant to 18 U.S.C. Section</w:t>
              </w:r>
            </w:hyperlink>
          </w:p>
        </w:tc>
        <w:tc>
          <w:tcPr>
            <w:tcW w:w="280" w:type="dxa"/>
            <w:vAlign w:val="bottom"/>
            <w:tcBorders>
              <w:top w:val="single" w:sz="8" w:color="0000EE"/>
            </w:tcBorders>
            <w:gridSpan w:val="10"/>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0" w:type="dxa"/>
            <w:vAlign w:val="bottom"/>
            <w:gridSpan w:val="29"/>
          </w:tcPr>
          <w:p>
            <w:pPr>
              <w:spacing w:after="0" w:line="196" w:lineRule="exact"/>
              <w:rPr>
                <w:rFonts w:ascii="Arial" w:cs="Arial" w:eastAsia="Arial" w:hAnsi="Arial"/>
                <w:sz w:val="18"/>
                <w:szCs w:val="18"/>
                <w:color w:val="0000EE"/>
                <w:w w:val="90"/>
              </w:rPr>
            </w:pPr>
            <w:hyperlink w:anchor="page113">
              <w:r>
                <w:rPr>
                  <w:rFonts w:ascii="Arial" w:cs="Arial" w:eastAsia="Arial" w:hAnsi="Arial"/>
                  <w:sz w:val="18"/>
                  <w:szCs w:val="18"/>
                  <w:color w:val="0000EE"/>
                  <w:w w:val="90"/>
                </w:rPr>
                <w:t>1350 as Adopted Pursuant to Section 906 of the Sarbanes-Oxley Act of 2002.</w:t>
              </w:r>
            </w:hyperlink>
          </w:p>
        </w:tc>
        <w:tc>
          <w:tcPr>
            <w:tcW w:w="0" w:type="dxa"/>
            <w:vAlign w:val="bottom"/>
          </w:tcPr>
          <w:p>
            <w:pPr>
              <w:spacing w:after="0"/>
              <w:rPr>
                <w:sz w:val="1"/>
                <w:szCs w:val="1"/>
                <w:color w:val="auto"/>
              </w:rPr>
            </w:pPr>
          </w:p>
        </w:tc>
      </w:tr>
      <w:tr>
        <w:trPr>
          <w:trHeight w:val="453"/>
        </w:trPr>
        <w:tc>
          <w:tcPr>
            <w:tcW w:w="980" w:type="dxa"/>
            <w:vAlign w:val="bottom"/>
          </w:tcPr>
          <w:p>
            <w:pPr>
              <w:spacing w:after="0"/>
              <w:rPr>
                <w:sz w:val="24"/>
                <w:szCs w:val="24"/>
                <w:color w:val="auto"/>
              </w:rPr>
            </w:pPr>
          </w:p>
        </w:tc>
        <w:tc>
          <w:tcPr>
            <w:tcW w:w="80" w:type="dxa"/>
            <w:vAlign w:val="bottom"/>
            <w:gridSpan w:val="2"/>
          </w:tcPr>
          <w:p>
            <w:pPr>
              <w:spacing w:after="0"/>
              <w:rPr>
                <w:sz w:val="24"/>
                <w:szCs w:val="24"/>
                <w:color w:val="auto"/>
              </w:rPr>
            </w:pPr>
          </w:p>
        </w:tc>
        <w:tc>
          <w:tcPr>
            <w:tcW w:w="4680" w:type="dxa"/>
            <w:vAlign w:val="bottom"/>
            <w:tcBorders>
              <w:top w:val="single" w:sz="8" w:color="0000EE"/>
            </w:tcBorders>
            <w:gridSpan w:val="14"/>
          </w:tcPr>
          <w:p>
            <w:pPr>
              <w:jc w:val="right"/>
              <w:ind w:right="20"/>
              <w:spacing w:after="0"/>
              <w:rPr>
                <w:sz w:val="20"/>
                <w:szCs w:val="20"/>
                <w:color w:val="auto"/>
              </w:rPr>
            </w:pPr>
            <w:r>
              <w:rPr>
                <w:rFonts w:ascii="Arial" w:cs="Arial" w:eastAsia="Arial" w:hAnsi="Arial"/>
                <w:sz w:val="18"/>
                <w:szCs w:val="18"/>
                <w:color w:val="auto"/>
              </w:rPr>
              <w:t>53</w:t>
            </w:r>
          </w:p>
        </w:tc>
        <w:tc>
          <w:tcPr>
            <w:tcW w:w="3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3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Registrant’s</w:t>
            </w:r>
          </w:p>
        </w:tc>
        <w:tc>
          <w:tcPr>
            <w:tcW w:w="118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Dated</w:t>
            </w:r>
          </w:p>
        </w:tc>
        <w:tc>
          <w:tcPr>
            <w:tcW w:w="10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8"/>
              </w:rPr>
              <w:t>Exhibit</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7"/>
              </w:rPr>
              <w:t>Filed</w:t>
            </w:r>
          </w:p>
        </w:tc>
        <w:tc>
          <w:tcPr>
            <w:tcW w:w="0" w:type="dxa"/>
            <w:vAlign w:val="bottom"/>
          </w:tcPr>
          <w:p>
            <w:pPr>
              <w:spacing w:after="0"/>
              <w:rPr>
                <w:sz w:val="1"/>
                <w:szCs w:val="1"/>
                <w:color w:val="auto"/>
              </w:rPr>
            </w:pPr>
          </w:p>
        </w:tc>
      </w:tr>
      <w:tr>
        <w:trPr>
          <w:trHeight w:val="171"/>
        </w:trPr>
        <w:tc>
          <w:tcPr>
            <w:tcW w:w="13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Form</w:t>
            </w:r>
          </w:p>
        </w:tc>
        <w:tc>
          <w:tcPr>
            <w:tcW w:w="1180" w:type="dxa"/>
            <w:vAlign w:val="bottom"/>
            <w:gridSpan w:val="2"/>
            <w:vMerge w:val="continue"/>
          </w:tcPr>
          <w:p>
            <w:pPr>
              <w:spacing w:after="0"/>
              <w:rPr>
                <w:sz w:val="14"/>
                <w:szCs w:val="14"/>
                <w:color w:val="auto"/>
              </w:rPr>
            </w:pPr>
          </w:p>
        </w:tc>
        <w:tc>
          <w:tcPr>
            <w:tcW w:w="10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7"/>
              </w:rPr>
              <w:t>No.</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195"/>
        </w:trPr>
        <w:tc>
          <w:tcPr>
            <w:tcW w:w="12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10-Q</w:t>
            </w:r>
          </w:p>
        </w:tc>
        <w:tc>
          <w:tcPr>
            <w:tcW w:w="60" w:type="dxa"/>
            <w:vAlign w:val="bottom"/>
          </w:tcPr>
          <w:p>
            <w:pPr>
              <w:spacing w:after="0"/>
              <w:rPr>
                <w:sz w:val="16"/>
                <w:szCs w:val="16"/>
                <w:color w:val="auto"/>
              </w:rPr>
            </w:pPr>
          </w:p>
        </w:tc>
        <w:tc>
          <w:tcPr>
            <w:tcW w:w="11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08/09/2017</w:t>
            </w:r>
          </w:p>
        </w:tc>
        <w:tc>
          <w:tcPr>
            <w:tcW w:w="60" w:type="dxa"/>
            <w:vAlign w:val="bottom"/>
          </w:tcPr>
          <w:p>
            <w:pPr>
              <w:spacing w:after="0"/>
              <w:rPr>
                <w:sz w:val="16"/>
                <w:szCs w:val="16"/>
                <w:color w:val="auto"/>
              </w:rPr>
            </w:pPr>
          </w:p>
        </w:tc>
        <w:tc>
          <w:tcPr>
            <w:tcW w:w="9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5"/>
              </w:rPr>
              <w:t>10.1</w:t>
            </w:r>
          </w:p>
        </w:tc>
        <w:tc>
          <w:tcPr>
            <w:tcW w:w="6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300" w:type="dxa"/>
            <w:vAlign w:val="bottom"/>
            <w:gridSpan w:val="2"/>
          </w:tcPr>
          <w:p>
            <w:pPr>
              <w:jc w:val="center"/>
              <w:ind w:right="60"/>
              <w:spacing w:after="0"/>
              <w:rPr>
                <w:sz w:val="20"/>
                <w:szCs w:val="20"/>
                <w:color w:val="auto"/>
              </w:rPr>
            </w:pPr>
            <w:r>
              <w:rPr>
                <w:rFonts w:ascii="Arial" w:cs="Arial" w:eastAsia="Arial" w:hAnsi="Arial"/>
                <w:sz w:val="18"/>
                <w:szCs w:val="18"/>
                <w:color w:val="auto"/>
                <w:w w:val="89"/>
              </w:rPr>
              <w:t>10-Q</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08/09/2017</w:t>
            </w:r>
          </w:p>
        </w:tc>
        <w:tc>
          <w:tcPr>
            <w:tcW w:w="6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5"/>
              </w:rPr>
              <w:t>10.2</w:t>
            </w: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300" w:type="dxa"/>
            <w:vAlign w:val="bottom"/>
            <w:gridSpan w:val="2"/>
          </w:tcPr>
          <w:p>
            <w:pPr>
              <w:jc w:val="center"/>
              <w:ind w:right="60"/>
              <w:spacing w:after="0"/>
              <w:rPr>
                <w:sz w:val="20"/>
                <w:szCs w:val="20"/>
                <w:color w:val="auto"/>
              </w:rPr>
            </w:pPr>
            <w:r>
              <w:rPr>
                <w:rFonts w:ascii="Arial" w:cs="Arial" w:eastAsia="Arial" w:hAnsi="Arial"/>
                <w:sz w:val="18"/>
                <w:szCs w:val="18"/>
                <w:color w:val="auto"/>
                <w:w w:val="89"/>
              </w:rPr>
              <w:t>10-Q</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08/09/2017</w:t>
            </w:r>
          </w:p>
        </w:tc>
        <w:tc>
          <w:tcPr>
            <w:tcW w:w="6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5"/>
              </w:rPr>
              <w:t>10.3</w:t>
            </w: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30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8-K</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6/1/2018</w:t>
            </w:r>
          </w:p>
        </w:tc>
        <w:tc>
          <w:tcPr>
            <w:tcW w:w="6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30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8-K</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05/21/2019</w:t>
            </w:r>
          </w:p>
        </w:tc>
        <w:tc>
          <w:tcPr>
            <w:tcW w:w="6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5"/>
              </w:rPr>
              <w:t>10.2</w:t>
            </w:r>
          </w:p>
        </w:tc>
        <w:tc>
          <w:tcPr>
            <w:tcW w:w="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30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8-K</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06/16/2020</w:t>
            </w:r>
          </w:p>
        </w:tc>
        <w:tc>
          <w:tcPr>
            <w:tcW w:w="6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0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8-K</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05/25/2021</w:t>
            </w:r>
          </w:p>
        </w:tc>
        <w:tc>
          <w:tcPr>
            <w:tcW w:w="6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0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8-K</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6/1/2018</w:t>
            </w:r>
          </w:p>
        </w:tc>
        <w:tc>
          <w:tcPr>
            <w:tcW w:w="6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5"/>
              </w:rPr>
              <w:t>10.2</w:t>
            </w: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30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8-K</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6/1/2018</w:t>
            </w:r>
          </w:p>
        </w:tc>
        <w:tc>
          <w:tcPr>
            <w:tcW w:w="6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5"/>
              </w:rPr>
              <w:t>10.3</w:t>
            </w: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30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8-K</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10/12/2018</w:t>
            </w:r>
          </w:p>
        </w:tc>
        <w:tc>
          <w:tcPr>
            <w:tcW w:w="6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5"/>
              </w:rPr>
              <w:t>10.4</w:t>
            </w: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648"/>
        </w:trPr>
        <w:tc>
          <w:tcPr>
            <w:tcW w:w="130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8-K</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05/25/2021</w:t>
            </w:r>
          </w:p>
        </w:tc>
        <w:tc>
          <w:tcPr>
            <w:tcW w:w="6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5"/>
              </w:rPr>
              <w:t>10.4</w:t>
            </w: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300" w:type="dxa"/>
            <w:vAlign w:val="bottom"/>
            <w:gridSpan w:val="2"/>
          </w:tcPr>
          <w:p>
            <w:pPr>
              <w:jc w:val="center"/>
              <w:ind w:right="60"/>
              <w:spacing w:after="0"/>
              <w:rPr>
                <w:sz w:val="20"/>
                <w:szCs w:val="20"/>
                <w:color w:val="auto"/>
              </w:rPr>
            </w:pPr>
            <w:r>
              <w:rPr>
                <w:rFonts w:ascii="Arial" w:cs="Arial" w:eastAsia="Arial" w:hAnsi="Arial"/>
                <w:sz w:val="18"/>
                <w:szCs w:val="18"/>
                <w:color w:val="auto"/>
                <w:w w:val="89"/>
              </w:rPr>
              <w:t>10-Q</w:t>
            </w: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11/07/2019</w:t>
            </w:r>
          </w:p>
        </w:tc>
        <w:tc>
          <w:tcPr>
            <w:tcW w:w="6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5"/>
              </w:rPr>
              <w:t>10.4</w:t>
            </w: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300" w:type="dxa"/>
            <w:vAlign w:val="bottom"/>
            <w:gridSpan w:val="2"/>
          </w:tcPr>
          <w:p>
            <w:pPr>
              <w:jc w:val="center"/>
              <w:ind w:right="60"/>
              <w:spacing w:after="0"/>
              <w:rPr>
                <w:sz w:val="20"/>
                <w:szCs w:val="20"/>
                <w:color w:val="auto"/>
              </w:rPr>
            </w:pPr>
            <w:r>
              <w:rPr>
                <w:rFonts w:ascii="Arial" w:cs="Arial" w:eastAsia="Arial" w:hAnsi="Arial"/>
                <w:sz w:val="18"/>
                <w:szCs w:val="18"/>
                <w:color w:val="auto"/>
                <w:w w:val="89"/>
              </w:rPr>
              <w:t>10-Q</w:t>
            </w: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11/07/2019</w:t>
            </w:r>
          </w:p>
        </w:tc>
        <w:tc>
          <w:tcPr>
            <w:tcW w:w="6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5"/>
              </w:rPr>
              <w:t>10.5</w:t>
            </w: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1300" w:type="dxa"/>
            <w:vAlign w:val="bottom"/>
            <w:gridSpan w:val="2"/>
          </w:tcPr>
          <w:p>
            <w:pPr>
              <w:jc w:val="center"/>
              <w:ind w:right="60"/>
              <w:spacing w:after="0"/>
              <w:rPr>
                <w:sz w:val="20"/>
                <w:szCs w:val="20"/>
                <w:color w:val="auto"/>
              </w:rPr>
            </w:pPr>
            <w:r>
              <w:rPr>
                <w:rFonts w:ascii="Arial" w:cs="Arial" w:eastAsia="Arial" w:hAnsi="Arial"/>
                <w:sz w:val="18"/>
                <w:szCs w:val="18"/>
                <w:color w:val="auto"/>
                <w:w w:val="89"/>
              </w:rPr>
              <w:t>10-Q</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05/08/2020</w:t>
            </w:r>
          </w:p>
        </w:tc>
        <w:tc>
          <w:tcPr>
            <w:tcW w:w="6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5"/>
              </w:rPr>
              <w:t>10.3</w:t>
            </w: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300" w:type="dxa"/>
            <w:vAlign w:val="bottom"/>
            <w:gridSpan w:val="2"/>
          </w:tcPr>
          <w:p>
            <w:pPr>
              <w:jc w:val="center"/>
              <w:ind w:right="60"/>
              <w:spacing w:after="0"/>
              <w:rPr>
                <w:sz w:val="20"/>
                <w:szCs w:val="20"/>
                <w:color w:val="auto"/>
              </w:rPr>
            </w:pPr>
            <w:r>
              <w:rPr>
                <w:rFonts w:ascii="Arial" w:cs="Arial" w:eastAsia="Arial" w:hAnsi="Arial"/>
                <w:sz w:val="18"/>
                <w:szCs w:val="18"/>
                <w:color w:val="auto"/>
                <w:w w:val="89"/>
              </w:rPr>
              <w:t>10-Q</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05/08/2020</w:t>
            </w:r>
          </w:p>
        </w:tc>
        <w:tc>
          <w:tcPr>
            <w:tcW w:w="6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5"/>
              </w:rPr>
              <w:t>10.4</w:t>
            </w: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300" w:type="dxa"/>
            <w:vAlign w:val="bottom"/>
            <w:gridSpan w:val="2"/>
          </w:tcPr>
          <w:p>
            <w:pPr>
              <w:jc w:val="center"/>
              <w:ind w:right="60"/>
              <w:spacing w:after="0"/>
              <w:rPr>
                <w:sz w:val="20"/>
                <w:szCs w:val="20"/>
                <w:color w:val="auto"/>
              </w:rPr>
            </w:pPr>
            <w:r>
              <w:rPr>
                <w:rFonts w:ascii="Arial" w:cs="Arial" w:eastAsia="Arial" w:hAnsi="Arial"/>
                <w:sz w:val="18"/>
                <w:szCs w:val="18"/>
                <w:color w:val="auto"/>
                <w:w w:val="89"/>
              </w:rPr>
              <w:t>10-Q</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05/08/2020</w:t>
            </w:r>
          </w:p>
        </w:tc>
        <w:tc>
          <w:tcPr>
            <w:tcW w:w="6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5"/>
              </w:rPr>
              <w:t>10.5</w:t>
            </w: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130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8-K</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02/17/2021</w:t>
            </w:r>
          </w:p>
        </w:tc>
        <w:tc>
          <w:tcPr>
            <w:tcW w:w="6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300" w:type="dxa"/>
            <w:vAlign w:val="bottom"/>
            <w:gridSpan w:val="2"/>
          </w:tcPr>
          <w:p>
            <w:pPr>
              <w:jc w:val="center"/>
              <w:ind w:right="60"/>
              <w:spacing w:after="0"/>
              <w:rPr>
                <w:sz w:val="20"/>
                <w:szCs w:val="20"/>
                <w:color w:val="auto"/>
              </w:rPr>
            </w:pPr>
            <w:r>
              <w:rPr>
                <w:rFonts w:ascii="Arial" w:cs="Arial" w:eastAsia="Arial" w:hAnsi="Arial"/>
                <w:sz w:val="18"/>
                <w:szCs w:val="18"/>
                <w:color w:val="auto"/>
                <w:w w:val="85"/>
              </w:rPr>
              <w:t>S-3</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08/28/2020</w:t>
            </w:r>
          </w:p>
        </w:tc>
        <w:tc>
          <w:tcPr>
            <w:tcW w:w="6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1.2</w:t>
            </w: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X</w:t>
      </w:r>
    </w:p>
    <w:p>
      <w:pPr>
        <w:spacing w:after="0" w:line="23"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X</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X</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X</w:t>
      </w:r>
    </w:p>
    <w:p>
      <w:pPr>
        <w:spacing w:after="0" w:line="211"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X</w:t>
      </w:r>
    </w:p>
    <w:p>
      <w:pPr>
        <w:spacing w:after="0" w:line="225"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X</w:t>
      </w:r>
    </w:p>
    <w:p>
      <w:pPr>
        <w:spacing w:after="0" w:line="225"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X</w:t>
      </w:r>
    </w:p>
    <w:p>
      <w:pPr>
        <w:sectPr>
          <w:pgSz w:w="11900" w:h="16838" w:orient="portrait"/>
          <w:cols w:equalWidth="0" w:num="2">
            <w:col w:w="6640" w:space="80"/>
            <w:col w:w="4520"/>
          </w:cols>
          <w:pgMar w:left="320" w:top="334" w:right="3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161"/>
        </w:trPr>
        <w:tc>
          <w:tcPr>
            <w:tcW w:w="980" w:type="dxa"/>
            <w:vAlign w:val="bottom"/>
          </w:tcPr>
          <w:p>
            <w:pPr>
              <w:ind w:left="260"/>
              <w:spacing w:after="0"/>
              <w:rPr>
                <w:sz w:val="20"/>
                <w:szCs w:val="20"/>
                <w:color w:val="auto"/>
              </w:rPr>
            </w:pPr>
            <w:r>
              <w:rPr>
                <w:rFonts w:ascii="Arial" w:cs="Arial" w:eastAsia="Arial" w:hAnsi="Arial"/>
                <w:sz w:val="14"/>
                <w:szCs w:val="14"/>
                <w:b w:val="1"/>
                <w:bCs w:val="1"/>
                <w:color w:val="auto"/>
              </w:rPr>
              <w:t>Exhibit</w:t>
            </w:r>
          </w:p>
        </w:tc>
        <w:tc>
          <w:tcPr>
            <w:tcW w:w="60" w:type="dxa"/>
            <w:vAlign w:val="bottom"/>
          </w:tcPr>
          <w:p>
            <w:pPr>
              <w:spacing w:after="0"/>
              <w:rPr>
                <w:sz w:val="14"/>
                <w:szCs w:val="14"/>
                <w:color w:val="auto"/>
              </w:rPr>
            </w:pPr>
          </w:p>
        </w:tc>
        <w:tc>
          <w:tcPr>
            <w:tcW w:w="5680" w:type="dxa"/>
            <w:vAlign w:val="bottom"/>
            <w:gridSpan w:val="2"/>
            <w:vMerge w:val="restart"/>
          </w:tcPr>
          <w:p>
            <w:pPr>
              <w:ind w:left="2040"/>
              <w:spacing w:after="0"/>
              <w:rPr>
                <w:sz w:val="20"/>
                <w:szCs w:val="20"/>
                <w:color w:val="auto"/>
              </w:rPr>
            </w:pPr>
            <w:r>
              <w:rPr>
                <w:rFonts w:ascii="Arial" w:cs="Arial" w:eastAsia="Arial" w:hAnsi="Arial"/>
                <w:sz w:val="14"/>
                <w:szCs w:val="14"/>
                <w:b w:val="1"/>
                <w:bCs w:val="1"/>
                <w:color w:val="auto"/>
              </w:rPr>
              <w:t>Description of Document</w:t>
            </w:r>
          </w:p>
        </w:tc>
        <w:tc>
          <w:tcPr>
            <w:tcW w:w="13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Registrant’s</w:t>
            </w:r>
          </w:p>
        </w:tc>
        <w:tc>
          <w:tcPr>
            <w:tcW w:w="118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Dated</w:t>
            </w:r>
          </w:p>
        </w:tc>
        <w:tc>
          <w:tcPr>
            <w:tcW w:w="10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8"/>
              </w:rPr>
              <w:t>Exhibit</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7"/>
              </w:rPr>
              <w:t>Filed</w:t>
            </w:r>
          </w:p>
        </w:tc>
        <w:tc>
          <w:tcPr>
            <w:tcW w:w="0" w:type="dxa"/>
            <w:vAlign w:val="bottom"/>
          </w:tcPr>
          <w:p>
            <w:pPr>
              <w:spacing w:after="0"/>
              <w:rPr>
                <w:sz w:val="1"/>
                <w:szCs w:val="1"/>
                <w:color w:val="auto"/>
              </w:rPr>
            </w:pPr>
          </w:p>
        </w:tc>
      </w:tr>
      <w:tr>
        <w:trPr>
          <w:trHeight w:val="171"/>
        </w:trPr>
        <w:tc>
          <w:tcPr>
            <w:tcW w:w="980" w:type="dxa"/>
            <w:vAlign w:val="bottom"/>
          </w:tcPr>
          <w:p>
            <w:pPr>
              <w:ind w:left="240"/>
              <w:spacing w:after="0"/>
              <w:rPr>
                <w:sz w:val="20"/>
                <w:szCs w:val="20"/>
                <w:color w:val="auto"/>
              </w:rPr>
            </w:pPr>
            <w:r>
              <w:rPr>
                <w:rFonts w:ascii="Arial" w:cs="Arial" w:eastAsia="Arial" w:hAnsi="Arial"/>
                <w:sz w:val="14"/>
                <w:szCs w:val="14"/>
                <w:b w:val="1"/>
                <w:bCs w:val="1"/>
                <w:color w:val="auto"/>
              </w:rPr>
              <w:t>Number</w:t>
            </w:r>
          </w:p>
        </w:tc>
        <w:tc>
          <w:tcPr>
            <w:tcW w:w="60" w:type="dxa"/>
            <w:vAlign w:val="bottom"/>
          </w:tcPr>
          <w:p>
            <w:pPr>
              <w:spacing w:after="0"/>
              <w:rPr>
                <w:sz w:val="14"/>
                <w:szCs w:val="14"/>
                <w:color w:val="auto"/>
              </w:rPr>
            </w:pPr>
          </w:p>
        </w:tc>
        <w:tc>
          <w:tcPr>
            <w:tcW w:w="5680" w:type="dxa"/>
            <w:vAlign w:val="bottom"/>
            <w:gridSpan w:val="2"/>
            <w:vMerge w:val="continue"/>
          </w:tcPr>
          <w:p>
            <w:pPr>
              <w:spacing w:after="0"/>
              <w:rPr>
                <w:sz w:val="14"/>
                <w:szCs w:val="14"/>
                <w:color w:val="auto"/>
              </w:rPr>
            </w:pPr>
          </w:p>
        </w:tc>
        <w:tc>
          <w:tcPr>
            <w:tcW w:w="13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Form</w:t>
            </w:r>
          </w:p>
        </w:tc>
        <w:tc>
          <w:tcPr>
            <w:tcW w:w="1180" w:type="dxa"/>
            <w:vAlign w:val="bottom"/>
            <w:gridSpan w:val="2"/>
            <w:vMerge w:val="continue"/>
          </w:tcPr>
          <w:p>
            <w:pPr>
              <w:spacing w:after="0"/>
              <w:rPr>
                <w:sz w:val="14"/>
                <w:szCs w:val="14"/>
                <w:color w:val="auto"/>
              </w:rPr>
            </w:pPr>
          </w:p>
        </w:tc>
        <w:tc>
          <w:tcPr>
            <w:tcW w:w="10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7"/>
              </w:rPr>
              <w:t>No.</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195"/>
        </w:trPr>
        <w:tc>
          <w:tcPr>
            <w:tcW w:w="9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101.INS</w:t>
            </w:r>
          </w:p>
        </w:tc>
        <w:tc>
          <w:tcPr>
            <w:tcW w:w="60" w:type="dxa"/>
            <w:vAlign w:val="bottom"/>
          </w:tcPr>
          <w:p>
            <w:pPr>
              <w:spacing w:after="0"/>
              <w:rPr>
                <w:sz w:val="16"/>
                <w:szCs w:val="16"/>
                <w:color w:val="auto"/>
              </w:rPr>
            </w:pPr>
          </w:p>
        </w:tc>
        <w:tc>
          <w:tcPr>
            <w:tcW w:w="5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Inline XBRL Instance Document.</w:t>
            </w:r>
          </w:p>
        </w:tc>
        <w:tc>
          <w:tcPr>
            <w:tcW w:w="80" w:type="dxa"/>
            <w:vAlign w:val="bottom"/>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101.SCH</w:t>
            </w:r>
          </w:p>
        </w:tc>
        <w:tc>
          <w:tcPr>
            <w:tcW w:w="5740" w:type="dxa"/>
            <w:vAlign w:val="bottom"/>
            <w:gridSpan w:val="3"/>
          </w:tcPr>
          <w:p>
            <w:pPr>
              <w:ind w:left="60"/>
              <w:spacing w:after="0"/>
              <w:rPr>
                <w:sz w:val="20"/>
                <w:szCs w:val="20"/>
                <w:color w:val="auto"/>
              </w:rPr>
            </w:pPr>
            <w:r>
              <w:rPr>
                <w:rFonts w:ascii="Arial" w:cs="Arial" w:eastAsia="Arial" w:hAnsi="Arial"/>
                <w:sz w:val="18"/>
                <w:szCs w:val="18"/>
                <w:color w:val="auto"/>
              </w:rPr>
              <w:t>Inline XBRL Taxonomy Extension Schema Document.</w:t>
            </w: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101.CAL</w:t>
            </w:r>
          </w:p>
        </w:tc>
        <w:tc>
          <w:tcPr>
            <w:tcW w:w="5740" w:type="dxa"/>
            <w:vAlign w:val="bottom"/>
            <w:gridSpan w:val="3"/>
          </w:tcPr>
          <w:p>
            <w:pPr>
              <w:ind w:left="60"/>
              <w:spacing w:after="0"/>
              <w:rPr>
                <w:sz w:val="20"/>
                <w:szCs w:val="20"/>
                <w:color w:val="auto"/>
              </w:rPr>
            </w:pPr>
            <w:r>
              <w:rPr>
                <w:rFonts w:ascii="Arial" w:cs="Arial" w:eastAsia="Arial" w:hAnsi="Arial"/>
                <w:sz w:val="18"/>
                <w:szCs w:val="18"/>
                <w:color w:val="auto"/>
              </w:rPr>
              <w:t>Inline XBRL Taxonomy Extension Calculation Linkbase Document.</w:t>
            </w: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101.DEF</w:t>
            </w:r>
          </w:p>
        </w:tc>
        <w:tc>
          <w:tcPr>
            <w:tcW w:w="5740" w:type="dxa"/>
            <w:vAlign w:val="bottom"/>
            <w:gridSpan w:val="3"/>
          </w:tcPr>
          <w:p>
            <w:pPr>
              <w:ind w:left="60"/>
              <w:spacing w:after="0"/>
              <w:rPr>
                <w:sz w:val="20"/>
                <w:szCs w:val="20"/>
                <w:color w:val="auto"/>
              </w:rPr>
            </w:pPr>
            <w:r>
              <w:rPr>
                <w:rFonts w:ascii="Arial" w:cs="Arial" w:eastAsia="Arial" w:hAnsi="Arial"/>
                <w:sz w:val="18"/>
                <w:szCs w:val="18"/>
                <w:color w:val="auto"/>
              </w:rPr>
              <w:t>Inline XBRL Taxonomy Extension Definitions Linkbase Document.</w:t>
            </w: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101.LAB</w:t>
            </w:r>
          </w:p>
        </w:tc>
        <w:tc>
          <w:tcPr>
            <w:tcW w:w="5740" w:type="dxa"/>
            <w:vAlign w:val="bottom"/>
            <w:gridSpan w:val="3"/>
          </w:tcPr>
          <w:p>
            <w:pPr>
              <w:ind w:left="60"/>
              <w:spacing w:after="0"/>
              <w:rPr>
                <w:sz w:val="20"/>
                <w:szCs w:val="20"/>
                <w:color w:val="auto"/>
              </w:rPr>
            </w:pPr>
            <w:r>
              <w:rPr>
                <w:rFonts w:ascii="Arial" w:cs="Arial" w:eastAsia="Arial" w:hAnsi="Arial"/>
                <w:sz w:val="18"/>
                <w:szCs w:val="18"/>
                <w:color w:val="auto"/>
              </w:rPr>
              <w:t>Inline XBRL Taxonomy Extension Label Linkbase Document.</w:t>
            </w: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101.PRE</w:t>
            </w:r>
          </w:p>
        </w:tc>
        <w:tc>
          <w:tcPr>
            <w:tcW w:w="5740" w:type="dxa"/>
            <w:vAlign w:val="bottom"/>
            <w:gridSpan w:val="3"/>
          </w:tcPr>
          <w:p>
            <w:pPr>
              <w:ind w:left="60"/>
              <w:spacing w:after="0"/>
              <w:rPr>
                <w:sz w:val="20"/>
                <w:szCs w:val="20"/>
                <w:color w:val="auto"/>
              </w:rPr>
            </w:pPr>
            <w:r>
              <w:rPr>
                <w:rFonts w:ascii="Arial" w:cs="Arial" w:eastAsia="Arial" w:hAnsi="Arial"/>
                <w:sz w:val="18"/>
                <w:szCs w:val="18"/>
                <w:color w:val="auto"/>
              </w:rPr>
              <w:t>Inline XBRL Taxonomy Extension Presentation Linkbase Document.</w:t>
            </w:r>
          </w:p>
        </w:tc>
        <w:tc>
          <w:tcPr>
            <w:tcW w:w="1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1040" w:right="5240" w:hanging="1032"/>
        <w:spacing w:after="0" w:line="260"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195453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08">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138" w:lineRule="exact"/>
        <w:rPr>
          <w:sz w:val="20"/>
          <w:szCs w:val="20"/>
          <w:color w:val="auto"/>
        </w:rPr>
      </w:pPr>
    </w:p>
    <w:p>
      <w:pPr>
        <w:ind w:left="440" w:hanging="432"/>
        <w:spacing w:after="0" w:line="273" w:lineRule="auto"/>
        <w:tabs>
          <w:tab w:leader="none" w:pos="4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Certain information in this exhibit has been omitted and filed separately with the Securities and Exchange Commission pursuant to a confidential treatment request.</w:t>
      </w:r>
    </w:p>
    <w:p>
      <w:pPr>
        <w:spacing w:after="0" w:line="2" w:lineRule="exact"/>
        <w:rPr>
          <w:sz w:val="20"/>
          <w:szCs w:val="20"/>
          <w:color w:val="auto"/>
        </w:rPr>
      </w:pPr>
    </w:p>
    <w:p>
      <w:pPr>
        <w:ind w:left="440" w:hanging="432"/>
        <w:spacing w:after="0"/>
        <w:tabs>
          <w:tab w:leader="none" w:pos="4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schedules to this exhibit have been omitted pursuant to Item 601(a)(5) of Regulation S-K.</w:t>
      </w:r>
    </w:p>
    <w:p>
      <w:pPr>
        <w:spacing w:after="0" w:line="50" w:lineRule="exact"/>
        <w:rPr>
          <w:sz w:val="20"/>
          <w:szCs w:val="20"/>
          <w:color w:val="auto"/>
        </w:rPr>
      </w:pPr>
    </w:p>
    <w:p>
      <w:pPr>
        <w:ind w:left="440" w:hanging="432"/>
        <w:spacing w:after="0"/>
        <w:tabs>
          <w:tab w:leader="none" w:pos="4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Portions of this exhibit have been omitted pursuant to Item 601(b)(10)(iv) of Regulation S-K.</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6"/>
          <w:szCs w:val="16"/>
          <w:color w:val="auto"/>
        </w:rPr>
        <w:t>#</w:t>
      </w:r>
      <w:r>
        <w:rPr>
          <w:rFonts w:ascii="Arial" w:cs="Arial" w:eastAsia="Arial" w:hAnsi="Arial"/>
          <w:sz w:val="15"/>
          <w:szCs w:val="15"/>
          <w:color w:val="auto"/>
        </w:rPr>
        <w:t>Represents management contracts or compensatory plans or arrangements.</w:t>
      </w:r>
    </w:p>
    <w:p>
      <w:pPr>
        <w:spacing w:after="0" w:line="32" w:lineRule="exact"/>
        <w:rPr>
          <w:rFonts w:ascii="Arial" w:cs="Arial" w:eastAsia="Arial" w:hAnsi="Arial"/>
          <w:sz w:val="18"/>
          <w:szCs w:val="18"/>
          <w:color w:val="auto"/>
        </w:rPr>
      </w:pPr>
    </w:p>
    <w:p>
      <w:pPr>
        <w:ind w:left="440" w:hanging="432"/>
        <w:spacing w:after="0" w:line="253" w:lineRule="auto"/>
        <w:rPr>
          <w:rFonts w:ascii="Arial" w:cs="Arial" w:eastAsia="Arial" w:hAnsi="Arial"/>
          <w:sz w:val="18"/>
          <w:szCs w:val="18"/>
          <w:color w:val="auto"/>
        </w:rPr>
      </w:pPr>
      <w:r>
        <w:rPr>
          <w:rFonts w:ascii="Arial" w:cs="Arial" w:eastAsia="Arial" w:hAnsi="Arial"/>
          <w:sz w:val="18"/>
          <w:szCs w:val="18"/>
          <w:color w:val="auto"/>
        </w:rPr>
        <w:t>** The certifications attached as Exhibits 32.1 and 32.2 that accompany this Annual Report on Form 10-K are to be deemed furnished and shall not be deemed “filed” with the SEC and are not to be incorporated by reference into any filing of Assembly Biosciences, Inc. under the Securities Act of 1933, as amended, or the Securities Exchange Act of 1934, as amended, whether made before or after the date of this Annual Report on Form 10-K, irrespective of any general incorporation language contained in such filing.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accordance with Section 13 or 15(d) of the Securities Exchange Act, the Registrant caused this report to be signed on its behalf by the undersigned, thereunto duly authorized.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00" w:type="dxa"/>
            <w:vAlign w:val="bottom"/>
          </w:tcPr>
          <w:p>
            <w:pPr>
              <w:spacing w:after="0"/>
              <w:rPr>
                <w:sz w:val="20"/>
                <w:szCs w:val="20"/>
                <w:color w:val="auto"/>
              </w:rPr>
            </w:pPr>
          </w:p>
        </w:tc>
        <w:tc>
          <w:tcPr>
            <w:tcW w:w="8140" w:type="dxa"/>
            <w:vAlign w:val="bottom"/>
            <w:gridSpan w:val="2"/>
          </w:tcPr>
          <w:p>
            <w:pPr>
              <w:ind w:left="2500"/>
              <w:spacing w:after="0"/>
              <w:rPr>
                <w:sz w:val="20"/>
                <w:szCs w:val="20"/>
                <w:color w:val="auto"/>
              </w:rPr>
            </w:pPr>
            <w:r>
              <w:rPr>
                <w:rFonts w:ascii="Arial" w:cs="Arial" w:eastAsia="Arial" w:hAnsi="Arial"/>
                <w:sz w:val="18"/>
                <w:szCs w:val="18"/>
                <w:b w:val="1"/>
                <w:bCs w:val="1"/>
                <w:color w:val="auto"/>
              </w:rPr>
              <w:t>ASSEMBLY BIOSCIENCES, INC.</w:t>
            </w:r>
          </w:p>
        </w:tc>
      </w:tr>
      <w:tr>
        <w:trPr>
          <w:trHeight w:val="432"/>
        </w:trPr>
        <w:tc>
          <w:tcPr>
            <w:tcW w:w="3100" w:type="dxa"/>
            <w:vAlign w:val="bottom"/>
          </w:tcPr>
          <w:p>
            <w:pPr>
              <w:spacing w:after="0"/>
              <w:rPr>
                <w:sz w:val="20"/>
                <w:szCs w:val="20"/>
                <w:color w:val="auto"/>
              </w:rPr>
            </w:pPr>
            <w:r>
              <w:rPr>
                <w:rFonts w:ascii="Arial" w:cs="Arial" w:eastAsia="Arial" w:hAnsi="Arial"/>
                <w:sz w:val="18"/>
                <w:szCs w:val="18"/>
                <w:color w:val="auto"/>
              </w:rPr>
              <w:t>Date: March 11, 2022</w:t>
            </w:r>
          </w:p>
        </w:tc>
        <w:tc>
          <w:tcPr>
            <w:tcW w:w="8140" w:type="dxa"/>
            <w:vAlign w:val="bottom"/>
            <w:gridSpan w:val="2"/>
          </w:tcPr>
          <w:p>
            <w:pPr>
              <w:ind w:left="2500"/>
              <w:spacing w:after="0"/>
              <w:rPr>
                <w:sz w:val="20"/>
                <w:szCs w:val="20"/>
                <w:color w:val="auto"/>
              </w:rPr>
            </w:pPr>
            <w:r>
              <w:rPr>
                <w:rFonts w:ascii="Arial" w:cs="Arial" w:eastAsia="Arial" w:hAnsi="Arial"/>
                <w:sz w:val="18"/>
                <w:szCs w:val="18"/>
                <w:color w:val="auto"/>
              </w:rPr>
              <w:t>By:   /s/ John G. McHutchison, A.O., M.D.</w:t>
            </w:r>
          </w:p>
        </w:tc>
      </w:tr>
      <w:tr>
        <w:trPr>
          <w:trHeight w:val="20"/>
        </w:trPr>
        <w:tc>
          <w:tcPr>
            <w:tcW w:w="31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5160" w:type="dxa"/>
            <w:vAlign w:val="bottom"/>
            <w:shd w:val="clear" w:color="auto" w:fill="000000"/>
          </w:tcPr>
          <w:p>
            <w:pPr>
              <w:spacing w:after="0" w:line="20" w:lineRule="exact"/>
              <w:rPr>
                <w:sz w:val="1"/>
                <w:szCs w:val="1"/>
                <w:color w:val="auto"/>
              </w:rPr>
            </w:pPr>
          </w:p>
        </w:tc>
      </w:tr>
      <w:tr>
        <w:trPr>
          <w:trHeight w:val="195"/>
        </w:trPr>
        <w:tc>
          <w:tcPr>
            <w:tcW w:w="3100" w:type="dxa"/>
            <w:vAlign w:val="bottom"/>
          </w:tcPr>
          <w:p>
            <w:pPr>
              <w:spacing w:after="0"/>
              <w:rPr>
                <w:sz w:val="16"/>
                <w:szCs w:val="16"/>
                <w:color w:val="auto"/>
              </w:rPr>
            </w:pPr>
          </w:p>
        </w:tc>
        <w:tc>
          <w:tcPr>
            <w:tcW w:w="8140" w:type="dxa"/>
            <w:vAlign w:val="bottom"/>
            <w:gridSpan w:val="2"/>
          </w:tcPr>
          <w:p>
            <w:pPr>
              <w:ind w:left="2500"/>
              <w:spacing w:after="0" w:line="195" w:lineRule="exact"/>
              <w:rPr>
                <w:sz w:val="20"/>
                <w:szCs w:val="20"/>
                <w:color w:val="auto"/>
              </w:rPr>
            </w:pPr>
            <w:r>
              <w:rPr>
                <w:rFonts w:ascii="Arial" w:cs="Arial" w:eastAsia="Arial" w:hAnsi="Arial"/>
                <w:sz w:val="18"/>
                <w:szCs w:val="18"/>
                <w:color w:val="auto"/>
              </w:rPr>
              <w:t>Name:John G. McHutchison, A.O., M.D.</w:t>
            </w:r>
          </w:p>
        </w:tc>
      </w:tr>
      <w:tr>
        <w:trPr>
          <w:trHeight w:val="230"/>
        </w:trPr>
        <w:tc>
          <w:tcPr>
            <w:tcW w:w="3100" w:type="dxa"/>
            <w:vAlign w:val="bottom"/>
          </w:tcPr>
          <w:p>
            <w:pPr>
              <w:spacing w:after="0"/>
              <w:rPr>
                <w:sz w:val="20"/>
                <w:szCs w:val="20"/>
                <w:color w:val="auto"/>
              </w:rPr>
            </w:pPr>
          </w:p>
        </w:tc>
        <w:tc>
          <w:tcPr>
            <w:tcW w:w="8140" w:type="dxa"/>
            <w:vAlign w:val="bottom"/>
            <w:gridSpan w:val="2"/>
          </w:tcPr>
          <w:p>
            <w:pPr>
              <w:ind w:left="2500"/>
              <w:spacing w:after="0"/>
              <w:rPr>
                <w:sz w:val="20"/>
                <w:szCs w:val="20"/>
                <w:color w:val="auto"/>
              </w:rPr>
            </w:pPr>
            <w:r>
              <w:rPr>
                <w:rFonts w:ascii="Arial" w:cs="Arial" w:eastAsia="Arial" w:hAnsi="Arial"/>
                <w:sz w:val="18"/>
                <w:szCs w:val="18"/>
                <w:color w:val="auto"/>
              </w:rPr>
              <w:t>Title: Chief Executive Officer and President</w:t>
            </w:r>
          </w:p>
        </w:tc>
      </w:tr>
      <w:tr>
        <w:trPr>
          <w:trHeight w:val="445"/>
        </w:trPr>
        <w:tc>
          <w:tcPr>
            <w:tcW w:w="3100" w:type="dxa"/>
            <w:vAlign w:val="bottom"/>
          </w:tcPr>
          <w:p>
            <w:pPr>
              <w:spacing w:after="0"/>
              <w:rPr>
                <w:sz w:val="24"/>
                <w:szCs w:val="24"/>
                <w:color w:val="auto"/>
              </w:rPr>
            </w:pPr>
          </w:p>
        </w:tc>
        <w:tc>
          <w:tcPr>
            <w:tcW w:w="8140" w:type="dxa"/>
            <w:vAlign w:val="bottom"/>
            <w:gridSpan w:val="2"/>
          </w:tcPr>
          <w:p>
            <w:pPr>
              <w:ind w:left="1520"/>
              <w:spacing w:after="0"/>
              <w:rPr>
                <w:sz w:val="20"/>
                <w:szCs w:val="20"/>
                <w:color w:val="auto"/>
              </w:rPr>
            </w:pPr>
            <w:r>
              <w:rPr>
                <w:rFonts w:ascii="Arial" w:cs="Arial" w:eastAsia="Arial" w:hAnsi="Arial"/>
                <w:sz w:val="18"/>
                <w:szCs w:val="18"/>
                <w:b w:val="1"/>
                <w:bCs w:val="1"/>
                <w:color w:val="auto"/>
              </w:rPr>
              <w:t>POWER OF ATTORNEY</w:t>
            </w:r>
          </w:p>
        </w:tc>
      </w:tr>
    </w:tbl>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John G. McHutchison, A.O., M.D. and Jason A. Okazaki, jointly and severally, his or her attorneys-in-fact, each with the power of substitution, for him or her in any and all capacities, to sign any amendments to this report, and to file the same, with exhibits thereto and other documents in connection therewith with the Securities and Exchange Commission, hereby ratifying and confirming all that each of said attorneys-in-fact, or his or her substitute or substitutes may do or cause to be done by virtue hereof.</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by the following persons on behalf of the registrant in the capacities and on the dates indicated.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Signature</w:t>
            </w:r>
          </w:p>
        </w:tc>
        <w:tc>
          <w:tcPr>
            <w:tcW w:w="140" w:type="dxa"/>
            <w:vAlign w:val="bottom"/>
          </w:tcPr>
          <w:p>
            <w:pPr>
              <w:spacing w:after="0"/>
              <w:rPr>
                <w:sz w:val="20"/>
                <w:szCs w:val="20"/>
                <w:color w:val="auto"/>
              </w:rPr>
            </w:pPr>
          </w:p>
        </w:tc>
        <w:tc>
          <w:tcPr>
            <w:tcW w:w="5440" w:type="dxa"/>
            <w:vAlign w:val="bottom"/>
            <w:tcBorders>
              <w:bottom w:val="single" w:sz="8" w:color="auto"/>
            </w:tcBorders>
          </w:tcPr>
          <w:p>
            <w:pPr>
              <w:ind w:left="2560"/>
              <w:spacing w:after="0"/>
              <w:rPr>
                <w:sz w:val="20"/>
                <w:szCs w:val="20"/>
                <w:color w:val="auto"/>
              </w:rPr>
            </w:pPr>
            <w:r>
              <w:rPr>
                <w:rFonts w:ascii="Arial" w:cs="Arial" w:eastAsia="Arial" w:hAnsi="Arial"/>
                <w:sz w:val="18"/>
                <w:szCs w:val="18"/>
                <w:b w:val="1"/>
                <w:bCs w:val="1"/>
                <w:color w:val="auto"/>
              </w:rPr>
              <w:t>Title</w:t>
            </w:r>
          </w:p>
        </w:tc>
        <w:tc>
          <w:tcPr>
            <w:tcW w:w="140" w:type="dxa"/>
            <w:vAlign w:val="bottom"/>
          </w:tcPr>
          <w:p>
            <w:pPr>
              <w:spacing w:after="0"/>
              <w:rPr>
                <w:sz w:val="20"/>
                <w:szCs w:val="20"/>
                <w:color w:val="auto"/>
              </w:rPr>
            </w:pPr>
          </w:p>
        </w:tc>
        <w:tc>
          <w:tcPr>
            <w:tcW w:w="1880" w:type="dxa"/>
            <w:vAlign w:val="bottom"/>
            <w:tcBorders>
              <w:bottom w:val="single" w:sz="8" w:color="auto"/>
            </w:tcBorders>
          </w:tcPr>
          <w:p>
            <w:pPr>
              <w:ind w:left="760"/>
              <w:spacing w:after="0"/>
              <w:rPr>
                <w:sz w:val="20"/>
                <w:szCs w:val="20"/>
                <w:color w:val="auto"/>
              </w:rPr>
            </w:pPr>
            <w:r>
              <w:rPr>
                <w:rFonts w:ascii="Arial" w:cs="Arial" w:eastAsia="Arial" w:hAnsi="Arial"/>
                <w:sz w:val="18"/>
                <w:szCs w:val="18"/>
                <w:b w:val="1"/>
                <w:bCs w:val="1"/>
                <w:color w:val="auto"/>
              </w:rPr>
              <w:t>Date</w:t>
            </w:r>
          </w:p>
        </w:tc>
      </w:tr>
      <w:tr>
        <w:trPr>
          <w:trHeight w:val="331"/>
        </w:trPr>
        <w:tc>
          <w:tcPr>
            <w:tcW w:w="3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G. McHutchison, A.O., M.D.</w:t>
            </w:r>
          </w:p>
        </w:tc>
        <w:tc>
          <w:tcPr>
            <w:tcW w:w="140" w:type="dxa"/>
            <w:vAlign w:val="bottom"/>
          </w:tcPr>
          <w:p>
            <w:pPr>
              <w:spacing w:after="0"/>
              <w:rPr>
                <w:sz w:val="24"/>
                <w:szCs w:val="24"/>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Chief Executive Officer, President and Director</w:t>
            </w:r>
          </w:p>
        </w:tc>
        <w:tc>
          <w:tcPr>
            <w:tcW w:w="2020" w:type="dxa"/>
            <w:vAlign w:val="bottom"/>
            <w:gridSpan w:val="2"/>
          </w:tcPr>
          <w:p>
            <w:pPr>
              <w:ind w:left="140"/>
              <w:spacing w:after="0"/>
              <w:rPr>
                <w:sz w:val="20"/>
                <w:szCs w:val="20"/>
                <w:color w:val="auto"/>
              </w:rPr>
            </w:pPr>
            <w:r>
              <w:rPr>
                <w:rFonts w:ascii="Arial" w:cs="Arial" w:eastAsia="Arial" w:hAnsi="Arial"/>
                <w:sz w:val="18"/>
                <w:szCs w:val="18"/>
                <w:color w:val="auto"/>
              </w:rPr>
              <w:t>March 11, 2022</w:t>
            </w:r>
          </w:p>
        </w:tc>
      </w:tr>
      <w:tr>
        <w:trPr>
          <w:trHeight w:val="224"/>
        </w:trPr>
        <w:tc>
          <w:tcPr>
            <w:tcW w:w="3640" w:type="dxa"/>
            <w:vAlign w:val="bottom"/>
          </w:tcPr>
          <w:p>
            <w:pPr>
              <w:spacing w:after="0"/>
              <w:rPr>
                <w:sz w:val="20"/>
                <w:szCs w:val="20"/>
                <w:color w:val="auto"/>
              </w:rPr>
            </w:pPr>
            <w:r>
              <w:rPr>
                <w:rFonts w:ascii="Arial" w:cs="Arial" w:eastAsia="Arial" w:hAnsi="Arial"/>
                <w:sz w:val="18"/>
                <w:szCs w:val="18"/>
                <w:color w:val="auto"/>
              </w:rPr>
              <w:t>John G. McHutchison, A.O., M.D.</w:t>
            </w:r>
          </w:p>
        </w:tc>
        <w:tc>
          <w:tcPr>
            <w:tcW w:w="14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14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323"/>
        </w:trPr>
        <w:tc>
          <w:tcPr>
            <w:tcW w:w="3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P. Samar</w:t>
            </w:r>
          </w:p>
        </w:tc>
        <w:tc>
          <w:tcPr>
            <w:tcW w:w="140" w:type="dxa"/>
            <w:vAlign w:val="bottom"/>
          </w:tcPr>
          <w:p>
            <w:pPr>
              <w:spacing w:after="0"/>
              <w:rPr>
                <w:sz w:val="24"/>
                <w:szCs w:val="24"/>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2020" w:type="dxa"/>
            <w:vAlign w:val="bottom"/>
            <w:gridSpan w:val="2"/>
          </w:tcPr>
          <w:p>
            <w:pPr>
              <w:ind w:left="140"/>
              <w:spacing w:after="0"/>
              <w:rPr>
                <w:sz w:val="20"/>
                <w:szCs w:val="20"/>
                <w:color w:val="auto"/>
              </w:rPr>
            </w:pPr>
            <w:r>
              <w:rPr>
                <w:rFonts w:ascii="Arial" w:cs="Arial" w:eastAsia="Arial" w:hAnsi="Arial"/>
                <w:sz w:val="18"/>
                <w:szCs w:val="18"/>
                <w:color w:val="auto"/>
              </w:rPr>
              <w:t>March 11, 2022</w:t>
            </w:r>
          </w:p>
        </w:tc>
      </w:tr>
      <w:tr>
        <w:trPr>
          <w:trHeight w:val="224"/>
        </w:trPr>
        <w:tc>
          <w:tcPr>
            <w:tcW w:w="3640" w:type="dxa"/>
            <w:vAlign w:val="bottom"/>
          </w:tcPr>
          <w:p>
            <w:pPr>
              <w:spacing w:after="0"/>
              <w:rPr>
                <w:sz w:val="20"/>
                <w:szCs w:val="20"/>
                <w:color w:val="auto"/>
              </w:rPr>
            </w:pPr>
            <w:r>
              <w:rPr>
                <w:rFonts w:ascii="Arial" w:cs="Arial" w:eastAsia="Arial" w:hAnsi="Arial"/>
                <w:sz w:val="18"/>
                <w:szCs w:val="18"/>
                <w:color w:val="auto"/>
              </w:rPr>
              <w:t>Michael P. Samar</w:t>
            </w:r>
          </w:p>
        </w:tc>
        <w:tc>
          <w:tcPr>
            <w:tcW w:w="14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(Principal Financial and Principal Accounting Officer)</w:t>
            </w:r>
          </w:p>
        </w:tc>
        <w:tc>
          <w:tcPr>
            <w:tcW w:w="14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323"/>
        </w:trPr>
        <w:tc>
          <w:tcPr>
            <w:tcW w:w="3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R. Ringo, Jr.</w:t>
            </w:r>
          </w:p>
        </w:tc>
        <w:tc>
          <w:tcPr>
            <w:tcW w:w="140" w:type="dxa"/>
            <w:vAlign w:val="bottom"/>
          </w:tcPr>
          <w:p>
            <w:pPr>
              <w:spacing w:after="0"/>
              <w:rPr>
                <w:sz w:val="24"/>
                <w:szCs w:val="24"/>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Chairman of the Board</w:t>
            </w:r>
          </w:p>
        </w:tc>
        <w:tc>
          <w:tcPr>
            <w:tcW w:w="2020" w:type="dxa"/>
            <w:vAlign w:val="bottom"/>
            <w:gridSpan w:val="2"/>
          </w:tcPr>
          <w:p>
            <w:pPr>
              <w:ind w:left="140"/>
              <w:spacing w:after="0"/>
              <w:rPr>
                <w:sz w:val="20"/>
                <w:szCs w:val="20"/>
                <w:color w:val="auto"/>
              </w:rPr>
            </w:pPr>
            <w:r>
              <w:rPr>
                <w:rFonts w:ascii="Arial" w:cs="Arial" w:eastAsia="Arial" w:hAnsi="Arial"/>
                <w:sz w:val="18"/>
                <w:szCs w:val="18"/>
                <w:color w:val="auto"/>
              </w:rPr>
              <w:t>March 11, 2022</w:t>
            </w:r>
          </w:p>
        </w:tc>
      </w:tr>
      <w:tr>
        <w:trPr>
          <w:trHeight w:val="224"/>
        </w:trPr>
        <w:tc>
          <w:tcPr>
            <w:tcW w:w="3640" w:type="dxa"/>
            <w:vAlign w:val="bottom"/>
          </w:tcPr>
          <w:p>
            <w:pPr>
              <w:spacing w:after="0"/>
              <w:rPr>
                <w:sz w:val="20"/>
                <w:szCs w:val="20"/>
                <w:color w:val="auto"/>
              </w:rPr>
            </w:pPr>
            <w:r>
              <w:rPr>
                <w:rFonts w:ascii="Arial" w:cs="Arial" w:eastAsia="Arial" w:hAnsi="Arial"/>
                <w:sz w:val="18"/>
                <w:szCs w:val="18"/>
                <w:color w:val="auto"/>
              </w:rPr>
              <w:t>William R. Ringo, Jr.</w:t>
            </w:r>
          </w:p>
        </w:tc>
        <w:tc>
          <w:tcPr>
            <w:tcW w:w="14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323"/>
        </w:trPr>
        <w:tc>
          <w:tcPr>
            <w:tcW w:w="3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Anthony E. Altig</w:t>
            </w:r>
          </w:p>
        </w:tc>
        <w:tc>
          <w:tcPr>
            <w:tcW w:w="140" w:type="dxa"/>
            <w:vAlign w:val="bottom"/>
          </w:tcPr>
          <w:p>
            <w:pPr>
              <w:spacing w:after="0"/>
              <w:rPr>
                <w:sz w:val="24"/>
                <w:szCs w:val="24"/>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Director</w:t>
            </w:r>
          </w:p>
        </w:tc>
        <w:tc>
          <w:tcPr>
            <w:tcW w:w="2020" w:type="dxa"/>
            <w:vAlign w:val="bottom"/>
            <w:gridSpan w:val="2"/>
          </w:tcPr>
          <w:p>
            <w:pPr>
              <w:ind w:left="140"/>
              <w:spacing w:after="0"/>
              <w:rPr>
                <w:sz w:val="20"/>
                <w:szCs w:val="20"/>
                <w:color w:val="auto"/>
              </w:rPr>
            </w:pPr>
            <w:r>
              <w:rPr>
                <w:rFonts w:ascii="Arial" w:cs="Arial" w:eastAsia="Arial" w:hAnsi="Arial"/>
                <w:sz w:val="18"/>
                <w:szCs w:val="18"/>
                <w:color w:val="auto"/>
              </w:rPr>
              <w:t>March 11, 2022</w:t>
            </w:r>
          </w:p>
        </w:tc>
      </w:tr>
      <w:tr>
        <w:trPr>
          <w:trHeight w:val="224"/>
        </w:trPr>
        <w:tc>
          <w:tcPr>
            <w:tcW w:w="3640" w:type="dxa"/>
            <w:vAlign w:val="bottom"/>
          </w:tcPr>
          <w:p>
            <w:pPr>
              <w:spacing w:after="0"/>
              <w:rPr>
                <w:sz w:val="20"/>
                <w:szCs w:val="20"/>
                <w:color w:val="auto"/>
              </w:rPr>
            </w:pPr>
            <w:r>
              <w:rPr>
                <w:rFonts w:ascii="Arial" w:cs="Arial" w:eastAsia="Arial" w:hAnsi="Arial"/>
                <w:sz w:val="18"/>
                <w:szCs w:val="18"/>
                <w:color w:val="auto"/>
              </w:rPr>
              <w:t>Anthony E. Altig</w:t>
            </w:r>
          </w:p>
        </w:tc>
        <w:tc>
          <w:tcPr>
            <w:tcW w:w="14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323"/>
        </w:trPr>
        <w:tc>
          <w:tcPr>
            <w:tcW w:w="3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Gina Consylman</w:t>
            </w:r>
          </w:p>
        </w:tc>
        <w:tc>
          <w:tcPr>
            <w:tcW w:w="140" w:type="dxa"/>
            <w:vAlign w:val="bottom"/>
          </w:tcPr>
          <w:p>
            <w:pPr>
              <w:spacing w:after="0"/>
              <w:rPr>
                <w:sz w:val="24"/>
                <w:szCs w:val="24"/>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Director</w:t>
            </w:r>
          </w:p>
        </w:tc>
        <w:tc>
          <w:tcPr>
            <w:tcW w:w="2020" w:type="dxa"/>
            <w:vAlign w:val="bottom"/>
            <w:gridSpan w:val="2"/>
          </w:tcPr>
          <w:p>
            <w:pPr>
              <w:ind w:left="140"/>
              <w:spacing w:after="0"/>
              <w:rPr>
                <w:sz w:val="20"/>
                <w:szCs w:val="20"/>
                <w:color w:val="auto"/>
              </w:rPr>
            </w:pPr>
            <w:r>
              <w:rPr>
                <w:rFonts w:ascii="Arial" w:cs="Arial" w:eastAsia="Arial" w:hAnsi="Arial"/>
                <w:sz w:val="18"/>
                <w:szCs w:val="18"/>
                <w:color w:val="auto"/>
              </w:rPr>
              <w:t>March 11, 2022</w:t>
            </w:r>
          </w:p>
        </w:tc>
      </w:tr>
      <w:tr>
        <w:trPr>
          <w:trHeight w:val="224"/>
        </w:trPr>
        <w:tc>
          <w:tcPr>
            <w:tcW w:w="3640" w:type="dxa"/>
            <w:vAlign w:val="bottom"/>
          </w:tcPr>
          <w:p>
            <w:pPr>
              <w:spacing w:after="0"/>
              <w:rPr>
                <w:sz w:val="20"/>
                <w:szCs w:val="20"/>
                <w:color w:val="auto"/>
              </w:rPr>
            </w:pPr>
            <w:r>
              <w:rPr>
                <w:rFonts w:ascii="Arial" w:cs="Arial" w:eastAsia="Arial" w:hAnsi="Arial"/>
                <w:sz w:val="18"/>
                <w:szCs w:val="18"/>
                <w:color w:val="auto"/>
              </w:rPr>
              <w:t>Gina Consylman</w:t>
            </w:r>
          </w:p>
        </w:tc>
        <w:tc>
          <w:tcPr>
            <w:tcW w:w="14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323"/>
        </w:trPr>
        <w:tc>
          <w:tcPr>
            <w:tcW w:w="3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D. DiMarchi, Ph.D.</w:t>
            </w:r>
          </w:p>
        </w:tc>
        <w:tc>
          <w:tcPr>
            <w:tcW w:w="140" w:type="dxa"/>
            <w:vAlign w:val="bottom"/>
          </w:tcPr>
          <w:p>
            <w:pPr>
              <w:spacing w:after="0"/>
              <w:rPr>
                <w:sz w:val="24"/>
                <w:szCs w:val="24"/>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Director</w:t>
            </w:r>
          </w:p>
        </w:tc>
        <w:tc>
          <w:tcPr>
            <w:tcW w:w="2020" w:type="dxa"/>
            <w:vAlign w:val="bottom"/>
            <w:gridSpan w:val="2"/>
          </w:tcPr>
          <w:p>
            <w:pPr>
              <w:ind w:left="140"/>
              <w:spacing w:after="0"/>
              <w:rPr>
                <w:sz w:val="20"/>
                <w:szCs w:val="20"/>
                <w:color w:val="auto"/>
              </w:rPr>
            </w:pPr>
            <w:r>
              <w:rPr>
                <w:rFonts w:ascii="Arial" w:cs="Arial" w:eastAsia="Arial" w:hAnsi="Arial"/>
                <w:sz w:val="18"/>
                <w:szCs w:val="18"/>
                <w:color w:val="auto"/>
              </w:rPr>
              <w:t>March 11, 2022</w:t>
            </w:r>
          </w:p>
        </w:tc>
      </w:tr>
      <w:tr>
        <w:trPr>
          <w:trHeight w:val="224"/>
        </w:trPr>
        <w:tc>
          <w:tcPr>
            <w:tcW w:w="3640" w:type="dxa"/>
            <w:vAlign w:val="bottom"/>
          </w:tcPr>
          <w:p>
            <w:pPr>
              <w:spacing w:after="0"/>
              <w:rPr>
                <w:sz w:val="20"/>
                <w:szCs w:val="20"/>
                <w:color w:val="auto"/>
              </w:rPr>
            </w:pPr>
            <w:r>
              <w:rPr>
                <w:rFonts w:ascii="Arial" w:cs="Arial" w:eastAsia="Arial" w:hAnsi="Arial"/>
                <w:sz w:val="18"/>
                <w:szCs w:val="18"/>
                <w:color w:val="auto"/>
              </w:rPr>
              <w:t>Richard D. DiMarchi, Ph.D.</w:t>
            </w:r>
          </w:p>
        </w:tc>
        <w:tc>
          <w:tcPr>
            <w:tcW w:w="14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323"/>
        </w:trPr>
        <w:tc>
          <w:tcPr>
            <w:tcW w:w="3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Myron Z. Holubiak</w:t>
            </w:r>
          </w:p>
        </w:tc>
        <w:tc>
          <w:tcPr>
            <w:tcW w:w="140" w:type="dxa"/>
            <w:vAlign w:val="bottom"/>
          </w:tcPr>
          <w:p>
            <w:pPr>
              <w:spacing w:after="0"/>
              <w:rPr>
                <w:sz w:val="24"/>
                <w:szCs w:val="24"/>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Director</w:t>
            </w:r>
          </w:p>
        </w:tc>
        <w:tc>
          <w:tcPr>
            <w:tcW w:w="2020" w:type="dxa"/>
            <w:vAlign w:val="bottom"/>
            <w:gridSpan w:val="2"/>
          </w:tcPr>
          <w:p>
            <w:pPr>
              <w:ind w:left="140"/>
              <w:spacing w:after="0"/>
              <w:rPr>
                <w:sz w:val="20"/>
                <w:szCs w:val="20"/>
                <w:color w:val="auto"/>
              </w:rPr>
            </w:pPr>
            <w:r>
              <w:rPr>
                <w:rFonts w:ascii="Arial" w:cs="Arial" w:eastAsia="Arial" w:hAnsi="Arial"/>
                <w:sz w:val="18"/>
                <w:szCs w:val="18"/>
                <w:color w:val="auto"/>
              </w:rPr>
              <w:t>March 11, 2022</w:t>
            </w:r>
          </w:p>
        </w:tc>
      </w:tr>
      <w:tr>
        <w:trPr>
          <w:trHeight w:val="224"/>
        </w:trPr>
        <w:tc>
          <w:tcPr>
            <w:tcW w:w="3640" w:type="dxa"/>
            <w:vAlign w:val="bottom"/>
          </w:tcPr>
          <w:p>
            <w:pPr>
              <w:spacing w:after="0"/>
              <w:rPr>
                <w:sz w:val="20"/>
                <w:szCs w:val="20"/>
                <w:color w:val="auto"/>
              </w:rPr>
            </w:pPr>
            <w:r>
              <w:rPr>
                <w:rFonts w:ascii="Arial" w:cs="Arial" w:eastAsia="Arial" w:hAnsi="Arial"/>
                <w:sz w:val="18"/>
                <w:szCs w:val="18"/>
                <w:color w:val="auto"/>
              </w:rPr>
              <w:t>Myron Z. Holubiak</w:t>
            </w:r>
          </w:p>
        </w:tc>
        <w:tc>
          <w:tcPr>
            <w:tcW w:w="14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323"/>
        </w:trPr>
        <w:tc>
          <w:tcPr>
            <w:tcW w:w="3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Sir Michael Houghton, Ph.D.</w:t>
            </w:r>
          </w:p>
        </w:tc>
        <w:tc>
          <w:tcPr>
            <w:tcW w:w="140" w:type="dxa"/>
            <w:vAlign w:val="bottom"/>
          </w:tcPr>
          <w:p>
            <w:pPr>
              <w:spacing w:after="0"/>
              <w:rPr>
                <w:sz w:val="24"/>
                <w:szCs w:val="24"/>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Director</w:t>
            </w:r>
          </w:p>
        </w:tc>
        <w:tc>
          <w:tcPr>
            <w:tcW w:w="2020" w:type="dxa"/>
            <w:vAlign w:val="bottom"/>
            <w:gridSpan w:val="2"/>
          </w:tcPr>
          <w:p>
            <w:pPr>
              <w:ind w:left="140"/>
              <w:spacing w:after="0"/>
              <w:rPr>
                <w:sz w:val="20"/>
                <w:szCs w:val="20"/>
                <w:color w:val="auto"/>
              </w:rPr>
            </w:pPr>
            <w:r>
              <w:rPr>
                <w:rFonts w:ascii="Arial" w:cs="Arial" w:eastAsia="Arial" w:hAnsi="Arial"/>
                <w:sz w:val="18"/>
                <w:szCs w:val="18"/>
                <w:color w:val="auto"/>
              </w:rPr>
              <w:t>March 11, 2022</w:t>
            </w:r>
          </w:p>
        </w:tc>
      </w:tr>
      <w:tr>
        <w:trPr>
          <w:trHeight w:val="224"/>
        </w:trPr>
        <w:tc>
          <w:tcPr>
            <w:tcW w:w="3640" w:type="dxa"/>
            <w:vAlign w:val="bottom"/>
          </w:tcPr>
          <w:p>
            <w:pPr>
              <w:spacing w:after="0"/>
              <w:rPr>
                <w:sz w:val="20"/>
                <w:szCs w:val="20"/>
                <w:color w:val="auto"/>
              </w:rPr>
            </w:pPr>
            <w:r>
              <w:rPr>
                <w:rFonts w:ascii="Arial" w:cs="Arial" w:eastAsia="Arial" w:hAnsi="Arial"/>
                <w:sz w:val="18"/>
                <w:szCs w:val="18"/>
                <w:color w:val="auto"/>
              </w:rPr>
              <w:t>Sir Michael Houghton, Ph.D.</w:t>
            </w:r>
          </w:p>
        </w:tc>
        <w:tc>
          <w:tcPr>
            <w:tcW w:w="14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323"/>
        </w:trPr>
        <w:tc>
          <w:tcPr>
            <w:tcW w:w="3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Lisa R. Johnson-Pratt, M.D.</w:t>
            </w:r>
          </w:p>
        </w:tc>
        <w:tc>
          <w:tcPr>
            <w:tcW w:w="140" w:type="dxa"/>
            <w:vAlign w:val="bottom"/>
          </w:tcPr>
          <w:p>
            <w:pPr>
              <w:spacing w:after="0"/>
              <w:rPr>
                <w:sz w:val="24"/>
                <w:szCs w:val="24"/>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Director</w:t>
            </w:r>
          </w:p>
        </w:tc>
        <w:tc>
          <w:tcPr>
            <w:tcW w:w="2020" w:type="dxa"/>
            <w:vAlign w:val="bottom"/>
            <w:gridSpan w:val="2"/>
          </w:tcPr>
          <w:p>
            <w:pPr>
              <w:ind w:left="140"/>
              <w:spacing w:after="0"/>
              <w:rPr>
                <w:sz w:val="20"/>
                <w:szCs w:val="20"/>
                <w:color w:val="auto"/>
              </w:rPr>
            </w:pPr>
            <w:r>
              <w:rPr>
                <w:rFonts w:ascii="Arial" w:cs="Arial" w:eastAsia="Arial" w:hAnsi="Arial"/>
                <w:sz w:val="18"/>
                <w:szCs w:val="18"/>
                <w:color w:val="auto"/>
              </w:rPr>
              <w:t>March 11, 2022</w:t>
            </w:r>
          </w:p>
        </w:tc>
      </w:tr>
      <w:tr>
        <w:trPr>
          <w:trHeight w:val="224"/>
        </w:trPr>
        <w:tc>
          <w:tcPr>
            <w:tcW w:w="3640" w:type="dxa"/>
            <w:vAlign w:val="bottom"/>
          </w:tcPr>
          <w:p>
            <w:pPr>
              <w:spacing w:after="0"/>
              <w:rPr>
                <w:sz w:val="20"/>
                <w:szCs w:val="20"/>
                <w:color w:val="auto"/>
              </w:rPr>
            </w:pPr>
            <w:r>
              <w:rPr>
                <w:rFonts w:ascii="Arial" w:cs="Arial" w:eastAsia="Arial" w:hAnsi="Arial"/>
                <w:sz w:val="18"/>
                <w:szCs w:val="18"/>
                <w:color w:val="auto"/>
              </w:rPr>
              <w:t>Lisa R. Johnson-Pratt, M.D.</w:t>
            </w:r>
          </w:p>
        </w:tc>
        <w:tc>
          <w:tcPr>
            <w:tcW w:w="14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323"/>
        </w:trPr>
        <w:tc>
          <w:tcPr>
            <w:tcW w:w="3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Susan Mahony, Ph.D.</w:t>
            </w:r>
          </w:p>
        </w:tc>
        <w:tc>
          <w:tcPr>
            <w:tcW w:w="140" w:type="dxa"/>
            <w:vAlign w:val="bottom"/>
          </w:tcPr>
          <w:p>
            <w:pPr>
              <w:spacing w:after="0"/>
              <w:rPr>
                <w:sz w:val="24"/>
                <w:szCs w:val="24"/>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Director</w:t>
            </w:r>
          </w:p>
        </w:tc>
        <w:tc>
          <w:tcPr>
            <w:tcW w:w="2020" w:type="dxa"/>
            <w:vAlign w:val="bottom"/>
            <w:gridSpan w:val="2"/>
          </w:tcPr>
          <w:p>
            <w:pPr>
              <w:ind w:left="140"/>
              <w:spacing w:after="0"/>
              <w:rPr>
                <w:sz w:val="20"/>
                <w:szCs w:val="20"/>
                <w:color w:val="auto"/>
              </w:rPr>
            </w:pPr>
            <w:r>
              <w:rPr>
                <w:rFonts w:ascii="Arial" w:cs="Arial" w:eastAsia="Arial" w:hAnsi="Arial"/>
                <w:sz w:val="18"/>
                <w:szCs w:val="18"/>
                <w:color w:val="auto"/>
              </w:rPr>
              <w:t>March 11, 2022</w:t>
            </w:r>
          </w:p>
        </w:tc>
      </w:tr>
      <w:tr>
        <w:trPr>
          <w:trHeight w:val="224"/>
        </w:trPr>
        <w:tc>
          <w:tcPr>
            <w:tcW w:w="3640" w:type="dxa"/>
            <w:vAlign w:val="bottom"/>
          </w:tcPr>
          <w:p>
            <w:pPr>
              <w:spacing w:after="0"/>
              <w:rPr>
                <w:sz w:val="20"/>
                <w:szCs w:val="20"/>
                <w:color w:val="auto"/>
              </w:rPr>
            </w:pPr>
            <w:r>
              <w:rPr>
                <w:rFonts w:ascii="Arial" w:cs="Arial" w:eastAsia="Arial" w:hAnsi="Arial"/>
                <w:sz w:val="18"/>
                <w:szCs w:val="18"/>
                <w:color w:val="auto"/>
              </w:rPr>
              <w:t>Susan Mahony, Ph.D.</w:t>
            </w:r>
          </w:p>
        </w:tc>
        <w:tc>
          <w:tcPr>
            <w:tcW w:w="14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8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STATEMENTS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920" w:type="dxa"/>
            <w:vAlign w:val="bottom"/>
            <w:gridSpan w:val="2"/>
          </w:tcPr>
          <w:p>
            <w:pPr>
              <w:ind w:left="2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23"/>
        </w:trPr>
        <w:tc>
          <w:tcPr>
            <w:tcW w:w="3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0340" w:type="dxa"/>
            <w:vAlign w:val="bottom"/>
            <w:gridSpan w:val="7"/>
            <w:shd w:val="clear" w:color="auto" w:fill="CFF0FC"/>
          </w:tcPr>
          <w:p>
            <w:pPr>
              <w:spacing w:after="0" w:line="176" w:lineRule="exact"/>
              <w:rPr>
                <w:sz w:val="20"/>
                <w:szCs w:val="20"/>
                <w:color w:val="auto"/>
              </w:rPr>
            </w:pPr>
            <w:r>
              <w:rPr>
                <w:rFonts w:ascii="Arial" w:cs="Arial" w:eastAsia="Arial" w:hAnsi="Arial"/>
                <w:sz w:val="18"/>
                <w:szCs w:val="18"/>
                <w:color w:val="0000EE"/>
              </w:rPr>
              <w:t>Report of Independent Registered Public Accounting Firm</w:t>
            </w:r>
          </w:p>
        </w:tc>
        <w:tc>
          <w:tcPr>
            <w:tcW w:w="900" w:type="dxa"/>
            <w:vAlign w:val="bottom"/>
            <w:shd w:val="clear" w:color="auto" w:fill="CFF0FC"/>
          </w:tcPr>
          <w:p>
            <w:pPr>
              <w:ind w:left="660"/>
              <w:spacing w:after="0" w:line="176" w:lineRule="exact"/>
              <w:rPr>
                <w:sz w:val="20"/>
                <w:szCs w:val="20"/>
                <w:color w:val="auto"/>
              </w:rPr>
            </w:pPr>
            <w:r>
              <w:rPr>
                <w:rFonts w:ascii="Arial" w:cs="Arial" w:eastAsia="Arial" w:hAnsi="Arial"/>
                <w:sz w:val="18"/>
                <w:szCs w:val="18"/>
                <w:color w:val="auto"/>
                <w:w w:val="81"/>
              </w:rPr>
              <w:t>F-2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160" w:type="dxa"/>
            <w:vAlign w:val="bottom"/>
            <w:tcBorders>
              <w:top w:val="single" w:sz="8" w:color="0000EE"/>
            </w:tcBorders>
          </w:tcPr>
          <w:p>
            <w:pPr>
              <w:spacing w:after="0"/>
              <w:rPr>
                <w:sz w:val="19"/>
                <w:szCs w:val="19"/>
                <w:color w:val="auto"/>
              </w:rPr>
            </w:pPr>
          </w:p>
        </w:tc>
        <w:tc>
          <w:tcPr>
            <w:tcW w:w="1060" w:type="dxa"/>
            <w:vAlign w:val="bottom"/>
            <w:tcBorders>
              <w:top w:val="single" w:sz="8" w:color="0000EE"/>
            </w:tcBorders>
          </w:tcPr>
          <w:p>
            <w:pPr>
              <w:spacing w:after="0"/>
              <w:rPr>
                <w:sz w:val="19"/>
                <w:szCs w:val="19"/>
                <w:color w:val="auto"/>
              </w:rPr>
            </w:pPr>
          </w:p>
        </w:tc>
        <w:tc>
          <w:tcPr>
            <w:tcW w:w="440" w:type="dxa"/>
            <w:vAlign w:val="bottom"/>
            <w:tcBorders>
              <w:top w:val="single" w:sz="8" w:color="CFF0FC"/>
            </w:tcBorders>
          </w:tcPr>
          <w:p>
            <w:pPr>
              <w:spacing w:after="0"/>
              <w:rPr>
                <w:sz w:val="19"/>
                <w:szCs w:val="19"/>
                <w:color w:val="auto"/>
              </w:rPr>
            </w:pPr>
          </w:p>
        </w:tc>
        <w:tc>
          <w:tcPr>
            <w:tcW w:w="1860" w:type="dxa"/>
            <w:vAlign w:val="bottom"/>
            <w:tcBorders>
              <w:top w:val="single" w:sz="8" w:color="CFF0FC"/>
            </w:tcBorders>
          </w:tcPr>
          <w:p>
            <w:pPr>
              <w:spacing w:after="0"/>
              <w:rPr>
                <w:sz w:val="19"/>
                <w:szCs w:val="19"/>
                <w:color w:val="auto"/>
              </w:rPr>
            </w:pPr>
          </w:p>
        </w:tc>
        <w:tc>
          <w:tcPr>
            <w:tcW w:w="1520" w:type="dxa"/>
            <w:vAlign w:val="bottom"/>
            <w:tcBorders>
              <w:top w:val="single" w:sz="8" w:color="CFF0FC"/>
            </w:tcBorders>
          </w:tcPr>
          <w:p>
            <w:pPr>
              <w:spacing w:after="0"/>
              <w:rPr>
                <w:sz w:val="19"/>
                <w:szCs w:val="19"/>
                <w:color w:val="auto"/>
              </w:rPr>
            </w:pPr>
          </w:p>
        </w:tc>
        <w:tc>
          <w:tcPr>
            <w:tcW w:w="280" w:type="dxa"/>
            <w:vAlign w:val="bottom"/>
            <w:tcBorders>
              <w:top w:val="single" w:sz="8" w:color="CFF0FC"/>
            </w:tcBorders>
          </w:tcPr>
          <w:p>
            <w:pPr>
              <w:spacing w:after="0"/>
              <w:rPr>
                <w:sz w:val="19"/>
                <w:szCs w:val="19"/>
                <w:color w:val="auto"/>
              </w:rPr>
            </w:pPr>
          </w:p>
        </w:tc>
        <w:tc>
          <w:tcPr>
            <w:tcW w:w="2020" w:type="dxa"/>
            <w:vAlign w:val="bottom"/>
            <w:tcBorders>
              <w:top w:val="single" w:sz="8" w:color="CFF0FC"/>
            </w:tcBorders>
          </w:tcPr>
          <w:p>
            <w:pPr>
              <w:spacing w:after="0"/>
              <w:rPr>
                <w:sz w:val="19"/>
                <w:szCs w:val="19"/>
                <w:color w:val="auto"/>
              </w:rPr>
            </w:pPr>
          </w:p>
        </w:tc>
        <w:tc>
          <w:tcPr>
            <w:tcW w:w="900" w:type="dxa"/>
            <w:vAlign w:val="bottom"/>
            <w:tcBorders>
              <w:top w:val="single" w:sz="8" w:color="CFF0FC"/>
            </w:tcBorders>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0340" w:type="dxa"/>
            <w:vAlign w:val="bottom"/>
            <w:gridSpan w:val="7"/>
            <w:shd w:val="clear" w:color="auto" w:fill="CFF0FC"/>
          </w:tcPr>
          <w:p>
            <w:pPr>
              <w:spacing w:after="0" w:line="176" w:lineRule="exact"/>
              <w:rPr>
                <w:rFonts w:ascii="Arial" w:cs="Arial" w:eastAsia="Arial" w:hAnsi="Arial"/>
                <w:sz w:val="18"/>
                <w:szCs w:val="18"/>
                <w:color w:val="0000EE"/>
              </w:rPr>
            </w:pPr>
            <w:hyperlink w:anchor="page63">
              <w:r>
                <w:rPr>
                  <w:rFonts w:ascii="Arial" w:cs="Arial" w:eastAsia="Arial" w:hAnsi="Arial"/>
                  <w:sz w:val="18"/>
                  <w:szCs w:val="18"/>
                  <w:color w:val="0000EE"/>
                </w:rPr>
                <w:t>Consolidated Balance Sheets as of December 31, 2021 and 2020</w:t>
              </w:r>
            </w:hyperlink>
          </w:p>
        </w:tc>
        <w:tc>
          <w:tcPr>
            <w:tcW w:w="900" w:type="dxa"/>
            <w:vAlign w:val="bottom"/>
            <w:shd w:val="clear" w:color="auto" w:fill="CFF0FC"/>
          </w:tcPr>
          <w:p>
            <w:pPr>
              <w:ind w:left="660"/>
              <w:spacing w:after="0" w:line="176" w:lineRule="exact"/>
              <w:rPr>
                <w:sz w:val="20"/>
                <w:szCs w:val="20"/>
                <w:color w:val="auto"/>
              </w:rPr>
            </w:pPr>
            <w:r>
              <w:rPr>
                <w:rFonts w:ascii="Arial" w:cs="Arial" w:eastAsia="Arial" w:hAnsi="Arial"/>
                <w:sz w:val="18"/>
                <w:szCs w:val="18"/>
                <w:color w:val="auto"/>
                <w:w w:val="81"/>
              </w:rPr>
              <w:t>F-5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60" w:type="dxa"/>
            <w:vAlign w:val="bottom"/>
            <w:tcBorders>
              <w:top w:val="single" w:sz="8" w:color="0000EE"/>
            </w:tcBorders>
          </w:tcPr>
          <w:p>
            <w:pPr>
              <w:spacing w:after="0"/>
              <w:rPr>
                <w:sz w:val="19"/>
                <w:szCs w:val="19"/>
                <w:color w:val="auto"/>
              </w:rPr>
            </w:pPr>
          </w:p>
        </w:tc>
        <w:tc>
          <w:tcPr>
            <w:tcW w:w="106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1860" w:type="dxa"/>
            <w:vAlign w:val="bottom"/>
            <w:tcBorders>
              <w:top w:val="single" w:sz="8" w:color="CFF0FC"/>
            </w:tcBorders>
          </w:tcPr>
          <w:p>
            <w:pPr>
              <w:spacing w:after="0"/>
              <w:rPr>
                <w:sz w:val="19"/>
                <w:szCs w:val="19"/>
                <w:color w:val="auto"/>
              </w:rPr>
            </w:pPr>
          </w:p>
        </w:tc>
        <w:tc>
          <w:tcPr>
            <w:tcW w:w="1520" w:type="dxa"/>
            <w:vAlign w:val="bottom"/>
            <w:tcBorders>
              <w:top w:val="single" w:sz="8" w:color="CFF0FC"/>
            </w:tcBorders>
          </w:tcPr>
          <w:p>
            <w:pPr>
              <w:spacing w:after="0"/>
              <w:rPr>
                <w:sz w:val="19"/>
                <w:szCs w:val="19"/>
                <w:color w:val="auto"/>
              </w:rPr>
            </w:pPr>
          </w:p>
        </w:tc>
        <w:tc>
          <w:tcPr>
            <w:tcW w:w="280" w:type="dxa"/>
            <w:vAlign w:val="bottom"/>
            <w:tcBorders>
              <w:top w:val="single" w:sz="8" w:color="CFF0FC"/>
            </w:tcBorders>
          </w:tcPr>
          <w:p>
            <w:pPr>
              <w:spacing w:after="0"/>
              <w:rPr>
                <w:sz w:val="19"/>
                <w:szCs w:val="19"/>
                <w:color w:val="auto"/>
              </w:rPr>
            </w:pPr>
          </w:p>
        </w:tc>
        <w:tc>
          <w:tcPr>
            <w:tcW w:w="2020" w:type="dxa"/>
            <w:vAlign w:val="bottom"/>
            <w:tcBorders>
              <w:top w:val="single" w:sz="8" w:color="CFF0FC"/>
            </w:tcBorders>
          </w:tcPr>
          <w:p>
            <w:pPr>
              <w:spacing w:after="0"/>
              <w:rPr>
                <w:sz w:val="19"/>
                <w:szCs w:val="19"/>
                <w:color w:val="auto"/>
              </w:rPr>
            </w:pPr>
          </w:p>
        </w:tc>
        <w:tc>
          <w:tcPr>
            <w:tcW w:w="900" w:type="dxa"/>
            <w:vAlign w:val="bottom"/>
            <w:tcBorders>
              <w:top w:val="single" w:sz="8" w:color="CFF0FC"/>
            </w:tcBorders>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0340" w:type="dxa"/>
            <w:vAlign w:val="bottom"/>
            <w:gridSpan w:val="7"/>
            <w:shd w:val="clear" w:color="auto" w:fill="CFF0FC"/>
          </w:tcPr>
          <w:p>
            <w:pPr>
              <w:spacing w:after="0" w:line="176" w:lineRule="exact"/>
              <w:rPr>
                <w:rFonts w:ascii="Arial" w:cs="Arial" w:eastAsia="Arial" w:hAnsi="Arial"/>
                <w:sz w:val="18"/>
                <w:szCs w:val="18"/>
                <w:color w:val="0000EE"/>
              </w:rPr>
            </w:pPr>
            <w:hyperlink w:anchor="page64">
              <w:r>
                <w:rPr>
                  <w:rFonts w:ascii="Arial" w:cs="Arial" w:eastAsia="Arial" w:hAnsi="Arial"/>
                  <w:sz w:val="18"/>
                  <w:szCs w:val="18"/>
                  <w:color w:val="0000EE"/>
                </w:rPr>
                <w:t>Consolidated Statements of Operations and Comprehensive Loss for the Years Ended December 31, 2021 and 2020</w:t>
              </w:r>
            </w:hyperlink>
          </w:p>
        </w:tc>
        <w:tc>
          <w:tcPr>
            <w:tcW w:w="900" w:type="dxa"/>
            <w:vAlign w:val="bottom"/>
            <w:shd w:val="clear" w:color="auto" w:fill="CFF0FC"/>
          </w:tcPr>
          <w:p>
            <w:pPr>
              <w:ind w:left="660"/>
              <w:spacing w:after="0" w:line="176" w:lineRule="exact"/>
              <w:rPr>
                <w:sz w:val="20"/>
                <w:szCs w:val="20"/>
                <w:color w:val="auto"/>
              </w:rPr>
            </w:pPr>
            <w:r>
              <w:rPr>
                <w:rFonts w:ascii="Arial" w:cs="Arial" w:eastAsia="Arial" w:hAnsi="Arial"/>
                <w:sz w:val="18"/>
                <w:szCs w:val="18"/>
                <w:color w:val="auto"/>
                <w:w w:val="81"/>
              </w:rPr>
              <w:t>F-6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160" w:type="dxa"/>
            <w:vAlign w:val="bottom"/>
            <w:tcBorders>
              <w:top w:val="single" w:sz="8" w:color="0000EE"/>
            </w:tcBorders>
          </w:tcPr>
          <w:p>
            <w:pPr>
              <w:spacing w:after="0"/>
              <w:rPr>
                <w:sz w:val="19"/>
                <w:szCs w:val="19"/>
                <w:color w:val="auto"/>
              </w:rPr>
            </w:pPr>
          </w:p>
        </w:tc>
        <w:tc>
          <w:tcPr>
            <w:tcW w:w="106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1860" w:type="dxa"/>
            <w:vAlign w:val="bottom"/>
            <w:tcBorders>
              <w:top w:val="single" w:sz="8" w:color="0000EE"/>
            </w:tcBorders>
          </w:tcPr>
          <w:p>
            <w:pPr>
              <w:spacing w:after="0"/>
              <w:rPr>
                <w:sz w:val="19"/>
                <w:szCs w:val="19"/>
                <w:color w:val="auto"/>
              </w:rPr>
            </w:pPr>
          </w:p>
        </w:tc>
        <w:tc>
          <w:tcPr>
            <w:tcW w:w="1520" w:type="dxa"/>
            <w:vAlign w:val="bottom"/>
            <w:tcBorders>
              <w:top w:val="single" w:sz="8" w:color="0000EE"/>
            </w:tcBorders>
          </w:tcPr>
          <w:p>
            <w:pPr>
              <w:spacing w:after="0"/>
              <w:rPr>
                <w:sz w:val="19"/>
                <w:szCs w:val="19"/>
                <w:color w:val="auto"/>
              </w:rPr>
            </w:pPr>
          </w:p>
        </w:tc>
        <w:tc>
          <w:tcPr>
            <w:tcW w:w="280" w:type="dxa"/>
            <w:vAlign w:val="bottom"/>
            <w:tcBorders>
              <w:top w:val="single" w:sz="8" w:color="0000EE"/>
            </w:tcBorders>
          </w:tcPr>
          <w:p>
            <w:pPr>
              <w:spacing w:after="0"/>
              <w:rPr>
                <w:sz w:val="19"/>
                <w:szCs w:val="19"/>
                <w:color w:val="auto"/>
              </w:rPr>
            </w:pPr>
          </w:p>
        </w:tc>
        <w:tc>
          <w:tcPr>
            <w:tcW w:w="2020" w:type="dxa"/>
            <w:vAlign w:val="bottom"/>
            <w:tcBorders>
              <w:top w:val="single" w:sz="8" w:color="CFF0FC"/>
            </w:tcBorders>
          </w:tcPr>
          <w:p>
            <w:pPr>
              <w:spacing w:after="0"/>
              <w:rPr>
                <w:sz w:val="19"/>
                <w:szCs w:val="19"/>
                <w:color w:val="auto"/>
              </w:rPr>
            </w:pPr>
          </w:p>
        </w:tc>
        <w:tc>
          <w:tcPr>
            <w:tcW w:w="900" w:type="dxa"/>
            <w:vAlign w:val="bottom"/>
            <w:tcBorders>
              <w:top w:val="single" w:sz="8" w:color="CFF0FC"/>
            </w:tcBorders>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0340" w:type="dxa"/>
            <w:vAlign w:val="bottom"/>
            <w:gridSpan w:val="7"/>
            <w:shd w:val="clear" w:color="auto" w:fill="CFF0FC"/>
          </w:tcPr>
          <w:p>
            <w:pPr>
              <w:spacing w:after="0" w:line="176" w:lineRule="exact"/>
              <w:rPr>
                <w:rFonts w:ascii="Arial" w:cs="Arial" w:eastAsia="Arial" w:hAnsi="Arial"/>
                <w:sz w:val="18"/>
                <w:szCs w:val="18"/>
                <w:color w:val="0000EE"/>
              </w:rPr>
            </w:pPr>
            <w:hyperlink w:anchor="page65">
              <w:r>
                <w:rPr>
                  <w:rFonts w:ascii="Arial" w:cs="Arial" w:eastAsia="Arial" w:hAnsi="Arial"/>
                  <w:sz w:val="18"/>
                  <w:szCs w:val="18"/>
                  <w:color w:val="0000EE"/>
                </w:rPr>
                <w:t>Consolidated Statements of Changes in Stockholders’ Equity for the Years Ended December 31, 2021 and 2020</w:t>
              </w:r>
            </w:hyperlink>
          </w:p>
        </w:tc>
        <w:tc>
          <w:tcPr>
            <w:tcW w:w="900" w:type="dxa"/>
            <w:vAlign w:val="bottom"/>
            <w:shd w:val="clear" w:color="auto" w:fill="CFF0FC"/>
          </w:tcPr>
          <w:p>
            <w:pPr>
              <w:ind w:left="660"/>
              <w:spacing w:after="0" w:line="176" w:lineRule="exact"/>
              <w:rPr>
                <w:sz w:val="20"/>
                <w:szCs w:val="20"/>
                <w:color w:val="auto"/>
              </w:rPr>
            </w:pPr>
            <w:r>
              <w:rPr>
                <w:rFonts w:ascii="Arial" w:cs="Arial" w:eastAsia="Arial" w:hAnsi="Arial"/>
                <w:sz w:val="18"/>
                <w:szCs w:val="18"/>
                <w:color w:val="auto"/>
                <w:w w:val="81"/>
              </w:rPr>
              <w:t>F-7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60" w:type="dxa"/>
            <w:vAlign w:val="bottom"/>
            <w:tcBorders>
              <w:top w:val="single" w:sz="8" w:color="0000EE"/>
            </w:tcBorders>
          </w:tcPr>
          <w:p>
            <w:pPr>
              <w:spacing w:after="0"/>
              <w:rPr>
                <w:sz w:val="19"/>
                <w:szCs w:val="19"/>
                <w:color w:val="auto"/>
              </w:rPr>
            </w:pPr>
          </w:p>
        </w:tc>
        <w:tc>
          <w:tcPr>
            <w:tcW w:w="106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1860" w:type="dxa"/>
            <w:vAlign w:val="bottom"/>
            <w:tcBorders>
              <w:top w:val="single" w:sz="8" w:color="0000EE"/>
            </w:tcBorders>
          </w:tcPr>
          <w:p>
            <w:pPr>
              <w:spacing w:after="0"/>
              <w:rPr>
                <w:sz w:val="19"/>
                <w:szCs w:val="19"/>
                <w:color w:val="auto"/>
              </w:rPr>
            </w:pPr>
          </w:p>
        </w:tc>
        <w:tc>
          <w:tcPr>
            <w:tcW w:w="1520" w:type="dxa"/>
            <w:vAlign w:val="bottom"/>
            <w:tcBorders>
              <w:top w:val="single" w:sz="8" w:color="0000EE"/>
            </w:tcBorders>
          </w:tcPr>
          <w:p>
            <w:pPr>
              <w:spacing w:after="0"/>
              <w:rPr>
                <w:sz w:val="19"/>
                <w:szCs w:val="19"/>
                <w:color w:val="auto"/>
              </w:rPr>
            </w:pPr>
          </w:p>
        </w:tc>
        <w:tc>
          <w:tcPr>
            <w:tcW w:w="280" w:type="dxa"/>
            <w:vAlign w:val="bottom"/>
            <w:tcBorders>
              <w:top w:val="single" w:sz="8" w:color="CFF0FC"/>
            </w:tcBorders>
          </w:tcPr>
          <w:p>
            <w:pPr>
              <w:spacing w:after="0"/>
              <w:rPr>
                <w:sz w:val="19"/>
                <w:szCs w:val="19"/>
                <w:color w:val="auto"/>
              </w:rPr>
            </w:pPr>
          </w:p>
        </w:tc>
        <w:tc>
          <w:tcPr>
            <w:tcW w:w="2020" w:type="dxa"/>
            <w:vAlign w:val="bottom"/>
            <w:tcBorders>
              <w:top w:val="single" w:sz="8" w:color="CFF0FC"/>
            </w:tcBorders>
          </w:tcPr>
          <w:p>
            <w:pPr>
              <w:spacing w:after="0"/>
              <w:rPr>
                <w:sz w:val="19"/>
                <w:szCs w:val="19"/>
                <w:color w:val="auto"/>
              </w:rPr>
            </w:pPr>
          </w:p>
        </w:tc>
        <w:tc>
          <w:tcPr>
            <w:tcW w:w="900" w:type="dxa"/>
            <w:vAlign w:val="bottom"/>
            <w:tcBorders>
              <w:top w:val="single" w:sz="8" w:color="CFF0FC"/>
            </w:tcBorders>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0340" w:type="dxa"/>
            <w:vAlign w:val="bottom"/>
            <w:gridSpan w:val="7"/>
            <w:shd w:val="clear" w:color="auto" w:fill="CFF0FC"/>
          </w:tcPr>
          <w:p>
            <w:pPr>
              <w:spacing w:after="0" w:line="176" w:lineRule="exact"/>
              <w:rPr>
                <w:rFonts w:ascii="Arial" w:cs="Arial" w:eastAsia="Arial" w:hAnsi="Arial"/>
                <w:sz w:val="18"/>
                <w:szCs w:val="18"/>
                <w:color w:val="0000EE"/>
              </w:rPr>
            </w:pPr>
            <w:hyperlink w:anchor="page66">
              <w:r>
                <w:rPr>
                  <w:rFonts w:ascii="Arial" w:cs="Arial" w:eastAsia="Arial" w:hAnsi="Arial"/>
                  <w:sz w:val="18"/>
                  <w:szCs w:val="18"/>
                  <w:color w:val="0000EE"/>
                </w:rPr>
                <w:t>Consolidated Statements of Cash Flows for the Years Ended December 31, 2021 and 2020</w:t>
              </w:r>
            </w:hyperlink>
          </w:p>
        </w:tc>
        <w:tc>
          <w:tcPr>
            <w:tcW w:w="900" w:type="dxa"/>
            <w:vAlign w:val="bottom"/>
            <w:shd w:val="clear" w:color="auto" w:fill="CFF0FC"/>
          </w:tcPr>
          <w:p>
            <w:pPr>
              <w:ind w:left="660"/>
              <w:spacing w:after="0" w:line="176" w:lineRule="exact"/>
              <w:rPr>
                <w:sz w:val="20"/>
                <w:szCs w:val="20"/>
                <w:color w:val="auto"/>
              </w:rPr>
            </w:pPr>
            <w:r>
              <w:rPr>
                <w:rFonts w:ascii="Arial" w:cs="Arial" w:eastAsia="Arial" w:hAnsi="Arial"/>
                <w:sz w:val="18"/>
                <w:szCs w:val="18"/>
                <w:color w:val="auto"/>
                <w:w w:val="81"/>
              </w:rPr>
              <w:t>F-8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160" w:type="dxa"/>
            <w:vAlign w:val="bottom"/>
            <w:tcBorders>
              <w:top w:val="single" w:sz="8" w:color="0000EE"/>
            </w:tcBorders>
          </w:tcPr>
          <w:p>
            <w:pPr>
              <w:spacing w:after="0"/>
              <w:rPr>
                <w:sz w:val="19"/>
                <w:szCs w:val="19"/>
                <w:color w:val="auto"/>
              </w:rPr>
            </w:pPr>
          </w:p>
        </w:tc>
        <w:tc>
          <w:tcPr>
            <w:tcW w:w="106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1860" w:type="dxa"/>
            <w:vAlign w:val="bottom"/>
            <w:tcBorders>
              <w:top w:val="single" w:sz="8" w:color="0000EE"/>
            </w:tcBorders>
          </w:tcPr>
          <w:p>
            <w:pPr>
              <w:spacing w:after="0"/>
              <w:rPr>
                <w:sz w:val="19"/>
                <w:szCs w:val="19"/>
                <w:color w:val="auto"/>
              </w:rPr>
            </w:pPr>
          </w:p>
        </w:tc>
        <w:tc>
          <w:tcPr>
            <w:tcW w:w="1520" w:type="dxa"/>
            <w:vAlign w:val="bottom"/>
            <w:tcBorders>
              <w:top w:val="single" w:sz="8" w:color="CFF0FC"/>
            </w:tcBorders>
          </w:tcPr>
          <w:p>
            <w:pPr>
              <w:spacing w:after="0"/>
              <w:rPr>
                <w:sz w:val="19"/>
                <w:szCs w:val="19"/>
                <w:color w:val="auto"/>
              </w:rPr>
            </w:pPr>
          </w:p>
        </w:tc>
        <w:tc>
          <w:tcPr>
            <w:tcW w:w="280" w:type="dxa"/>
            <w:vAlign w:val="bottom"/>
            <w:tcBorders>
              <w:top w:val="single" w:sz="8" w:color="CFF0FC"/>
            </w:tcBorders>
          </w:tcPr>
          <w:p>
            <w:pPr>
              <w:spacing w:after="0"/>
              <w:rPr>
                <w:sz w:val="19"/>
                <w:szCs w:val="19"/>
                <w:color w:val="auto"/>
              </w:rPr>
            </w:pPr>
          </w:p>
        </w:tc>
        <w:tc>
          <w:tcPr>
            <w:tcW w:w="2020" w:type="dxa"/>
            <w:vAlign w:val="bottom"/>
            <w:tcBorders>
              <w:top w:val="single" w:sz="8" w:color="CFF0FC"/>
            </w:tcBorders>
          </w:tcPr>
          <w:p>
            <w:pPr>
              <w:spacing w:after="0"/>
              <w:rPr>
                <w:sz w:val="19"/>
                <w:szCs w:val="19"/>
                <w:color w:val="auto"/>
              </w:rPr>
            </w:pPr>
          </w:p>
        </w:tc>
        <w:tc>
          <w:tcPr>
            <w:tcW w:w="900" w:type="dxa"/>
            <w:vAlign w:val="bottom"/>
            <w:tcBorders>
              <w:top w:val="single" w:sz="8" w:color="CFF0FC"/>
            </w:tcBorders>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0340" w:type="dxa"/>
            <w:vAlign w:val="bottom"/>
            <w:gridSpan w:val="7"/>
            <w:shd w:val="clear" w:color="auto" w:fill="CFF0FC"/>
          </w:tcPr>
          <w:p>
            <w:pPr>
              <w:spacing w:after="0" w:line="176" w:lineRule="exact"/>
              <w:rPr>
                <w:rFonts w:ascii="Arial" w:cs="Arial" w:eastAsia="Arial" w:hAnsi="Arial"/>
                <w:sz w:val="18"/>
                <w:szCs w:val="18"/>
                <w:color w:val="0000EE"/>
              </w:rPr>
            </w:pPr>
            <w:hyperlink w:anchor="page67">
              <w:r>
                <w:rPr>
                  <w:rFonts w:ascii="Arial" w:cs="Arial" w:eastAsia="Arial" w:hAnsi="Arial"/>
                  <w:sz w:val="18"/>
                  <w:szCs w:val="18"/>
                  <w:color w:val="0000EE"/>
                </w:rPr>
                <w:t>Notes to Consolidated Financial Statements</w:t>
              </w:r>
            </w:hyperlink>
          </w:p>
        </w:tc>
        <w:tc>
          <w:tcPr>
            <w:tcW w:w="900" w:type="dxa"/>
            <w:vAlign w:val="bottom"/>
            <w:shd w:val="clear" w:color="auto" w:fill="CFF0FC"/>
          </w:tcPr>
          <w:p>
            <w:pPr>
              <w:ind w:left="660"/>
              <w:spacing w:after="0" w:line="176" w:lineRule="exact"/>
              <w:rPr>
                <w:sz w:val="20"/>
                <w:szCs w:val="20"/>
                <w:color w:val="auto"/>
              </w:rPr>
            </w:pPr>
            <w:r>
              <w:rPr>
                <w:rFonts w:ascii="Arial" w:cs="Arial" w:eastAsia="Arial" w:hAnsi="Arial"/>
                <w:sz w:val="18"/>
                <w:szCs w:val="18"/>
                <w:color w:val="auto"/>
                <w:w w:val="81"/>
              </w:rPr>
              <w:t>F-9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3160" w:type="dxa"/>
            <w:vAlign w:val="bottom"/>
            <w:tcBorders>
              <w:top w:val="single" w:sz="8" w:color="0000EE"/>
            </w:tcBorders>
          </w:tcPr>
          <w:p>
            <w:pPr>
              <w:spacing w:after="0"/>
              <w:rPr>
                <w:sz w:val="24"/>
                <w:szCs w:val="24"/>
                <w:color w:val="auto"/>
              </w:rPr>
            </w:pPr>
          </w:p>
        </w:tc>
        <w:tc>
          <w:tcPr>
            <w:tcW w:w="1060" w:type="dxa"/>
            <w:vAlign w:val="bottom"/>
            <w:tcBorders>
              <w:top w:val="single" w:sz="8" w:color="CFF0FC"/>
            </w:tcBorders>
          </w:tcPr>
          <w:p>
            <w:pPr>
              <w:spacing w:after="0"/>
              <w:rPr>
                <w:sz w:val="24"/>
                <w:szCs w:val="24"/>
                <w:color w:val="auto"/>
              </w:rPr>
            </w:pPr>
          </w:p>
        </w:tc>
        <w:tc>
          <w:tcPr>
            <w:tcW w:w="440" w:type="dxa"/>
            <w:vAlign w:val="bottom"/>
            <w:tcBorders>
              <w:top w:val="single" w:sz="8" w:color="CFF0FC"/>
            </w:tcBorders>
          </w:tcPr>
          <w:p>
            <w:pPr>
              <w:spacing w:after="0"/>
              <w:rPr>
                <w:sz w:val="24"/>
                <w:szCs w:val="24"/>
                <w:color w:val="auto"/>
              </w:rPr>
            </w:pPr>
          </w:p>
        </w:tc>
        <w:tc>
          <w:tcPr>
            <w:tcW w:w="5680" w:type="dxa"/>
            <w:vAlign w:val="bottom"/>
            <w:tcBorders>
              <w:top w:val="single" w:sz="8" w:color="CFF0FC"/>
            </w:tcBorders>
            <w:gridSpan w:val="4"/>
          </w:tcPr>
          <w:p>
            <w:pPr>
              <w:ind w:left="840"/>
              <w:spacing w:after="0"/>
              <w:rPr>
                <w:sz w:val="20"/>
                <w:szCs w:val="20"/>
                <w:color w:val="auto"/>
              </w:rPr>
            </w:pPr>
            <w:r>
              <w:rPr>
                <w:rFonts w:ascii="Arial" w:cs="Arial" w:eastAsia="Arial" w:hAnsi="Arial"/>
                <w:sz w:val="18"/>
                <w:szCs w:val="18"/>
                <w:color w:val="auto"/>
              </w:rPr>
              <w:t>F-1</w:t>
            </w:r>
          </w:p>
        </w:tc>
        <w:tc>
          <w:tcPr>
            <w:tcW w:w="900" w:type="dxa"/>
            <w:vAlign w:val="bottom"/>
            <w:tcBorders>
              <w:top w:val="single" w:sz="8" w:color="CFF0F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1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86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9" w:name="page60"/>
    <w:bookmarkEnd w:id="59"/>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Stockholders and the Board of Directors of Assembly Biosciences,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7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audited the accompanying consolidated balance sheets of Assembly Biosciences, Inc. (the Company) as of December 31, 2021 and 2020, the related consolidated statements of operations and comprehensive loss, changes in stockholders’ equity and cash flows for each of the two years in the period ended December 31, 2021, and the related notes (collectively referred to as the “consolidated financial statements”). In our opinion, the consolidated financial statements present fairly, in all material respects, the financial position of the Company at December 31, 2021 and 2020, and the results of its operations and its cash flows for each of the two years in the period ended December 31, 2021, in conformity with U.S. generally accepted accounting principles.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7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34"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175"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51" w:right="359" w:bottom="1440" w:gutter="0" w:footer="0" w:header="0"/>
        </w:sectPr>
      </w:pPr>
    </w:p>
    <w:bookmarkStart w:id="60" w:name="page61"/>
    <w:bookmarkEnd w:id="60"/>
    <w:p>
      <w:pPr>
        <w:ind w:left="1880"/>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252" w:lineRule="exact"/>
        <w:rPr>
          <w:sz w:val="20"/>
          <w:szCs w:val="20"/>
          <w:color w:val="auto"/>
        </w:rPr>
      </w:pPr>
    </w:p>
    <w:p>
      <w:pPr>
        <w:spacing w:after="0"/>
        <w:tabs>
          <w:tab w:leader="none" w:pos="1860" w:val="left"/>
        </w:tabs>
        <w:rPr>
          <w:sz w:val="20"/>
          <w:szCs w:val="20"/>
          <w:color w:val="auto"/>
        </w:rPr>
      </w:pPr>
      <w:r>
        <w:rPr>
          <w:rFonts w:ascii="Arial" w:cs="Arial" w:eastAsia="Arial" w:hAnsi="Arial"/>
          <w:sz w:val="18"/>
          <w:szCs w:val="18"/>
          <w:i w:val="1"/>
          <w:iCs w:val="1"/>
          <w:color w:val="auto"/>
        </w:rPr>
        <w:t>Description of the</w:t>
      </w:r>
      <w:r>
        <w:rPr>
          <w:sz w:val="20"/>
          <w:szCs w:val="20"/>
          <w:color w:val="auto"/>
        </w:rPr>
        <w:tab/>
      </w:r>
      <w:r>
        <w:rPr>
          <w:rFonts w:ascii="Arial" w:cs="Arial" w:eastAsia="Arial" w:hAnsi="Arial"/>
          <w:sz w:val="16"/>
          <w:szCs w:val="16"/>
          <w:color w:val="auto"/>
        </w:rPr>
        <w:t>For the year ended December 31, 2021, the Company incurred $68.5 million of research and development expenses and recorded</w:t>
      </w:r>
    </w:p>
    <w:p>
      <w:pPr>
        <w:spacing w:after="0" w:line="23" w:lineRule="exact"/>
        <w:rPr>
          <w:sz w:val="20"/>
          <w:szCs w:val="20"/>
          <w:color w:val="auto"/>
        </w:rPr>
      </w:pPr>
    </w:p>
    <w:p>
      <w:pPr>
        <w:ind w:left="1880" w:hanging="1879"/>
        <w:spacing w:after="0" w:line="285" w:lineRule="auto"/>
        <w:tabs>
          <w:tab w:leader="none" w:pos="1860" w:val="left"/>
        </w:tabs>
        <w:rPr>
          <w:sz w:val="20"/>
          <w:szCs w:val="20"/>
          <w:color w:val="auto"/>
        </w:rPr>
      </w:pPr>
      <w:r>
        <w:rPr>
          <w:rFonts w:ascii="Arial" w:cs="Arial" w:eastAsia="Arial" w:hAnsi="Arial"/>
          <w:sz w:val="16"/>
          <w:szCs w:val="16"/>
          <w:i w:val="1"/>
          <w:iCs w:val="1"/>
          <w:color w:val="auto"/>
        </w:rPr>
        <w:t>Matter</w:t>
      </w:r>
      <w:r>
        <w:rPr>
          <w:sz w:val="20"/>
          <w:szCs w:val="20"/>
          <w:color w:val="auto"/>
        </w:rPr>
        <w:tab/>
      </w:r>
      <w:r>
        <w:rPr>
          <w:rFonts w:ascii="Arial" w:cs="Arial" w:eastAsia="Arial" w:hAnsi="Arial"/>
          <w:sz w:val="16"/>
          <w:szCs w:val="16"/>
          <w:color w:val="auto"/>
        </w:rPr>
        <w:t>$3.4 million of accrued research and development expenses at December 31, 2021. As described in Note 2 to the consolidated financial statements, the Company’s accrued research and development expenses are based on estimates of the services received and efforts expended pursuant to contracts with multiple contract research organizations (CROs) and manufacturing vendors that conduct and manage these activities on its behalf. When billing terms under such contracts do not coincide with the timing of when the work is performed, management is required to make estimates of outstanding obligations to those third parties as of period end. The accrual is based on a number of factors, including the time period over which services will be performed, enrollment of subjects, number of sites activated, and the level of effort to be expended in each period. At period end, accrued research and development expenses are recorded based upon estimates of the proportion of work completed over the term of the individual clinical trial and manufacturing activities in accordance with signed agreements with the third parties. If possible, the Company obtains information regarding unbilled services directly from these service providers and performs procedures to challenge these estimates based on their internal understanding of the services provided to date. However, the Company may also be required to estimate these services based on information available to its internal clinical or administrative staff if such information is not able to be obtained timely from its services providers.</w:t>
      </w:r>
    </w:p>
    <w:p>
      <w:pPr>
        <w:spacing w:after="0" w:line="169" w:lineRule="exact"/>
        <w:rPr>
          <w:sz w:val="20"/>
          <w:szCs w:val="20"/>
          <w:color w:val="auto"/>
        </w:rPr>
      </w:pPr>
    </w:p>
    <w:p>
      <w:pPr>
        <w:ind w:left="1880" w:right="40"/>
        <w:spacing w:after="0" w:line="301" w:lineRule="auto"/>
        <w:rPr>
          <w:sz w:val="20"/>
          <w:szCs w:val="20"/>
          <w:color w:val="auto"/>
        </w:rPr>
      </w:pPr>
      <w:r>
        <w:rPr>
          <w:rFonts w:ascii="Arial" w:cs="Arial" w:eastAsia="Arial" w:hAnsi="Arial"/>
          <w:sz w:val="16"/>
          <w:szCs w:val="16"/>
          <w:color w:val="auto"/>
        </w:rPr>
        <w:t>Auditing accrued research and development expenses is complex because of the judgments applied by management to determine the commencement and completion date of vendor tasks and the cost and extent of work performed during the reporting period for services not yet billed by contracted third-party vendors. The testing of the Company’s accrued research and development expense models also involves a high level of effort to test the high volume of data used to determine the estimated accrual.</w:t>
      </w:r>
    </w:p>
    <w:p>
      <w:pPr>
        <w:spacing w:after="0" w:line="157" w:lineRule="exact"/>
        <w:rPr>
          <w:sz w:val="20"/>
          <w:szCs w:val="20"/>
          <w:color w:val="auto"/>
        </w:rPr>
      </w:pPr>
    </w:p>
    <w:p>
      <w:pPr>
        <w:spacing w:after="0"/>
        <w:tabs>
          <w:tab w:leader="none" w:pos="1860" w:val="left"/>
        </w:tabs>
        <w:rPr>
          <w:sz w:val="20"/>
          <w:szCs w:val="20"/>
          <w:color w:val="auto"/>
        </w:rPr>
      </w:pPr>
      <w:r>
        <w:rPr>
          <w:rFonts w:ascii="Arial" w:cs="Arial" w:eastAsia="Arial" w:hAnsi="Arial"/>
          <w:sz w:val="18"/>
          <w:szCs w:val="18"/>
          <w:i w:val="1"/>
          <w:iCs w:val="1"/>
          <w:color w:val="auto"/>
        </w:rPr>
        <w:t>How We Addressed the</w:t>
      </w:r>
      <w:r>
        <w:rPr>
          <w:sz w:val="20"/>
          <w:szCs w:val="20"/>
          <w:color w:val="auto"/>
        </w:rPr>
        <w:tab/>
      </w:r>
      <w:r>
        <w:rPr>
          <w:rFonts w:ascii="Arial" w:cs="Arial" w:eastAsia="Arial" w:hAnsi="Arial"/>
          <w:sz w:val="15"/>
          <w:szCs w:val="15"/>
          <w:color w:val="auto"/>
        </w:rPr>
        <w:t>To test the completeness of accrued research and development expenses, we performed audit procedures that included, among</w:t>
      </w:r>
    </w:p>
    <w:p>
      <w:pPr>
        <w:spacing w:after="0" w:line="23" w:lineRule="exact"/>
        <w:rPr>
          <w:sz w:val="20"/>
          <w:szCs w:val="20"/>
          <w:color w:val="auto"/>
        </w:rPr>
      </w:pPr>
    </w:p>
    <w:p>
      <w:pPr>
        <w:ind w:left="1880" w:right="40" w:hanging="1873"/>
        <w:spacing w:after="0" w:line="286" w:lineRule="auto"/>
        <w:tabs>
          <w:tab w:leader="none" w:pos="1860" w:val="left"/>
        </w:tabs>
        <w:rPr>
          <w:sz w:val="20"/>
          <w:szCs w:val="20"/>
          <w:color w:val="auto"/>
        </w:rPr>
      </w:pPr>
      <w:r>
        <w:rPr>
          <w:rFonts w:ascii="Arial" w:cs="Arial" w:eastAsia="Arial" w:hAnsi="Arial"/>
          <w:sz w:val="18"/>
          <w:szCs w:val="18"/>
          <w:i w:val="1"/>
          <w:iCs w:val="1"/>
          <w:color w:val="auto"/>
        </w:rPr>
        <w:t>Matter in Our Audit</w:t>
      </w:r>
      <w:r>
        <w:rPr>
          <w:sz w:val="20"/>
          <w:szCs w:val="20"/>
          <w:color w:val="auto"/>
        </w:rPr>
        <w:tab/>
      </w:r>
      <w:r>
        <w:rPr>
          <w:rFonts w:ascii="Arial" w:cs="Arial" w:eastAsia="Arial" w:hAnsi="Arial"/>
          <w:sz w:val="16"/>
          <w:szCs w:val="16"/>
          <w:color w:val="auto"/>
        </w:rPr>
        <w:t>others, direct confirmation of contract terms and conditions with a sample of the Company’s third-party vendors. We also confirmed the progress of contracted clinical activities with these third-party vendors and compared such data to the Company’s estimates of progress as reflected in their accrual models. We further tested the accuracy of the calculations, the completeness of the data utilized, and the reasonableness of the assumptions used in management’s accrual models by testing actual invoices paid to date, agreeing inputs back to contractual terms and holding discussions with clinical or administrative staff outside of the finance function. Procedures were performed to evaluate the reliability, completeness and relevance of management’s data by testing actual invoices paid and holding discussions with clinical or administrative staff outside of the finance function to corroborate progress and estimated level of expended effort incurred by the Company’s third-party vendors. Further, we inspected material invoices received from third parties after the balance sheet date and evaluated whether services performed prior to the consolidated balance sheet date had been properly included in the accrual.</w:t>
      </w:r>
    </w:p>
    <w:p>
      <w:pPr>
        <w:spacing w:after="0" w:line="3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98" w:right="379" w:bottom="1440" w:gutter="0" w:footer="0" w:header="0"/>
        </w:sectPr>
      </w:pPr>
    </w:p>
    <w:bookmarkStart w:id="61" w:name="page62"/>
    <w:bookmarkEnd w:id="61"/>
    <w:p>
      <w:pPr>
        <w:ind w:left="1820"/>
        <w:spacing w:after="0"/>
        <w:rPr>
          <w:sz w:val="20"/>
          <w:szCs w:val="20"/>
          <w:color w:val="auto"/>
        </w:rPr>
      </w:pPr>
      <w:r>
        <w:rPr>
          <w:rFonts w:ascii="Arial" w:cs="Arial" w:eastAsia="Arial" w:hAnsi="Arial"/>
          <w:sz w:val="18"/>
          <w:szCs w:val="18"/>
          <w:b w:val="1"/>
          <w:bCs w:val="1"/>
          <w:i w:val="1"/>
          <w:iCs w:val="1"/>
          <w:color w:val="auto"/>
        </w:rPr>
        <w:t>Impairment of goodwill and indefinite-lived intangible asset</w:t>
      </w:r>
    </w:p>
    <w:p>
      <w:pPr>
        <w:spacing w:after="0" w:line="252" w:lineRule="exact"/>
        <w:rPr>
          <w:sz w:val="20"/>
          <w:szCs w:val="20"/>
          <w:color w:val="auto"/>
        </w:rPr>
      </w:pPr>
    </w:p>
    <w:p>
      <w:pPr>
        <w:spacing w:after="0"/>
        <w:tabs>
          <w:tab w:leader="none" w:pos="1800" w:val="left"/>
        </w:tabs>
        <w:rPr>
          <w:sz w:val="20"/>
          <w:szCs w:val="20"/>
          <w:color w:val="auto"/>
        </w:rPr>
      </w:pPr>
      <w:r>
        <w:rPr>
          <w:rFonts w:ascii="Arial" w:cs="Arial" w:eastAsia="Arial" w:hAnsi="Arial"/>
          <w:sz w:val="18"/>
          <w:szCs w:val="18"/>
          <w:i w:val="1"/>
          <w:iCs w:val="1"/>
          <w:color w:val="auto"/>
        </w:rPr>
        <w:t>Description of the</w:t>
      </w:r>
      <w:r>
        <w:rPr>
          <w:sz w:val="20"/>
          <w:szCs w:val="20"/>
          <w:color w:val="auto"/>
        </w:rPr>
        <w:tab/>
      </w:r>
      <w:r>
        <w:rPr>
          <w:rFonts w:ascii="Arial" w:cs="Arial" w:eastAsia="Arial" w:hAnsi="Arial"/>
          <w:sz w:val="16"/>
          <w:szCs w:val="16"/>
          <w:color w:val="auto"/>
        </w:rPr>
        <w:t>As discussed in Note 2 of the consolidated financial statements, both goodwill and the indefinite-lived intangible asset are tested</w:t>
      </w:r>
    </w:p>
    <w:p>
      <w:pPr>
        <w:spacing w:after="0" w:line="23" w:lineRule="exact"/>
        <w:rPr>
          <w:sz w:val="20"/>
          <w:szCs w:val="20"/>
          <w:color w:val="auto"/>
        </w:rPr>
      </w:pPr>
    </w:p>
    <w:p>
      <w:pPr>
        <w:ind w:left="1820" w:hanging="1819"/>
        <w:spacing w:after="0" w:line="253" w:lineRule="auto"/>
        <w:tabs>
          <w:tab w:leader="none" w:pos="1800" w:val="left"/>
        </w:tabs>
        <w:rPr>
          <w:sz w:val="20"/>
          <w:szCs w:val="20"/>
          <w:color w:val="auto"/>
        </w:rPr>
      </w:pPr>
      <w:r>
        <w:rPr>
          <w:rFonts w:ascii="Arial" w:cs="Arial" w:eastAsia="Arial" w:hAnsi="Arial"/>
          <w:sz w:val="18"/>
          <w:szCs w:val="18"/>
          <w:i w:val="1"/>
          <w:iCs w:val="1"/>
          <w:color w:val="auto"/>
        </w:rPr>
        <w:t>Matter</w:t>
      </w:r>
      <w:r>
        <w:rPr>
          <w:sz w:val="20"/>
          <w:szCs w:val="20"/>
          <w:color w:val="auto"/>
        </w:rPr>
        <w:tab/>
      </w:r>
      <w:r>
        <w:rPr>
          <w:rFonts w:ascii="Arial" w:cs="Arial" w:eastAsia="Arial" w:hAnsi="Arial"/>
          <w:sz w:val="18"/>
          <w:szCs w:val="18"/>
          <w:color w:val="auto"/>
        </w:rPr>
        <w:t>for impairment at least annually. To determine the estimated fair value of the Company’s single reporting unit and the indefinite-lived intangible asset included within it, management considered both market and income valuation approaches. As further discussed in Note 5, in the fourth quarter of 2021 the Company recorded impairment of goodwill and IPR&amp;D of $12.6 million and $29.0 million, respectively.</w:t>
      </w:r>
    </w:p>
    <w:p>
      <w:pPr>
        <w:spacing w:after="0" w:line="193" w:lineRule="exact"/>
        <w:rPr>
          <w:sz w:val="20"/>
          <w:szCs w:val="20"/>
          <w:color w:val="auto"/>
        </w:rPr>
      </w:pPr>
    </w:p>
    <w:p>
      <w:pPr>
        <w:ind w:left="1820"/>
        <w:spacing w:after="0" w:line="275" w:lineRule="auto"/>
        <w:rPr>
          <w:sz w:val="20"/>
          <w:szCs w:val="20"/>
          <w:color w:val="auto"/>
        </w:rPr>
      </w:pPr>
      <w:r>
        <w:rPr>
          <w:rFonts w:ascii="Arial" w:cs="Arial" w:eastAsia="Arial" w:hAnsi="Arial"/>
          <w:sz w:val="17"/>
          <w:szCs w:val="17"/>
          <w:color w:val="auto"/>
        </w:rPr>
        <w:t>Auditing management’s impairment tests for goodwill and its indefinite-lived intangible asset was complex and highly judgmental due to the significant assumptions used in determining the fair value of the Company’s single reporting unit and the indefinite-lived intangible asset included within it. Significant assumptions used include (i) estimating the expected timing and amount of projected future revenues; (ii) costs to complete the in-process research and development; and (iii) the discount rates used to estimate future cash flows which are affected by probabilities of technical success.</w:t>
      </w:r>
    </w:p>
    <w:p>
      <w:pPr>
        <w:spacing w:after="0" w:line="203" w:lineRule="exact"/>
        <w:rPr>
          <w:sz w:val="20"/>
          <w:szCs w:val="20"/>
          <w:color w:val="auto"/>
        </w:rPr>
      </w:pPr>
    </w:p>
    <w:p>
      <w:pPr>
        <w:spacing w:after="0"/>
        <w:tabs>
          <w:tab w:leader="none" w:pos="1800" w:val="left"/>
        </w:tabs>
        <w:rPr>
          <w:sz w:val="20"/>
          <w:szCs w:val="20"/>
          <w:color w:val="auto"/>
        </w:rPr>
      </w:pPr>
      <w:r>
        <w:rPr>
          <w:rFonts w:ascii="Arial" w:cs="Arial" w:eastAsia="Arial" w:hAnsi="Arial"/>
          <w:sz w:val="18"/>
          <w:szCs w:val="18"/>
          <w:i w:val="1"/>
          <w:iCs w:val="1"/>
          <w:color w:val="auto"/>
        </w:rPr>
        <w:t>How We Addressed the</w:t>
      </w:r>
      <w:r>
        <w:rPr>
          <w:sz w:val="20"/>
          <w:szCs w:val="20"/>
          <w:color w:val="auto"/>
        </w:rPr>
        <w:tab/>
      </w:r>
      <w:r>
        <w:rPr>
          <w:rFonts w:ascii="Arial" w:cs="Arial" w:eastAsia="Arial" w:hAnsi="Arial"/>
          <w:sz w:val="16"/>
          <w:szCs w:val="16"/>
          <w:color w:val="auto"/>
        </w:rPr>
        <w:t>To test the estimated fair value of the single reporting unit and the indefinite-lived intangible asset included within it, we</w:t>
      </w:r>
    </w:p>
    <w:p>
      <w:pPr>
        <w:spacing w:after="0" w:line="23" w:lineRule="exact"/>
        <w:rPr>
          <w:sz w:val="20"/>
          <w:szCs w:val="20"/>
          <w:color w:val="auto"/>
        </w:rPr>
      </w:pPr>
    </w:p>
    <w:p>
      <w:pPr>
        <w:ind w:left="1820" w:right="140" w:hanging="1808"/>
        <w:spacing w:after="0" w:line="252" w:lineRule="auto"/>
        <w:tabs>
          <w:tab w:leader="none" w:pos="1800" w:val="left"/>
        </w:tabs>
        <w:rPr>
          <w:sz w:val="20"/>
          <w:szCs w:val="20"/>
          <w:color w:val="auto"/>
        </w:rPr>
      </w:pPr>
      <w:r>
        <w:rPr>
          <w:rFonts w:ascii="Arial" w:cs="Arial" w:eastAsia="Arial" w:hAnsi="Arial"/>
          <w:sz w:val="18"/>
          <w:szCs w:val="18"/>
          <w:i w:val="1"/>
          <w:iCs w:val="1"/>
          <w:color w:val="auto"/>
        </w:rPr>
        <w:t>Matter in Our Audit</w:t>
      </w:r>
      <w:r>
        <w:rPr>
          <w:sz w:val="20"/>
          <w:szCs w:val="20"/>
          <w:color w:val="auto"/>
        </w:rPr>
        <w:tab/>
      </w:r>
      <w:r>
        <w:rPr>
          <w:rFonts w:ascii="Arial" w:cs="Arial" w:eastAsia="Arial" w:hAnsi="Arial"/>
          <w:sz w:val="18"/>
          <w:szCs w:val="18"/>
          <w:color w:val="auto"/>
        </w:rPr>
        <w:t>performed audit procedures that included, among others, assessing the methodologies used by the Company, comparing the significant assumptions to current industry peers and economic trends, historical financial results, and other relevant factors that would affect the significant assumptions. We involved valuation specialists to assist with assessing the methodologies and evaluating certain significant assumptions described above, such as projected future revenues, costs to complete the in-process research and development project and the discount rates. We also performed sensitivity analyses of significant assumptions to evaluate the changes in the fair value of the reporting unit and indefinite-lived intangible asset that would result from changes in the assumptions.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Redwood City,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11, 2022</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for share amounts and par value)</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As of December 31,</w:t>
            </w:r>
          </w:p>
        </w:tc>
        <w:tc>
          <w:tcPr>
            <w:tcW w:w="10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772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r>
      <w:tr>
        <w:trPr>
          <w:trHeight w:val="156"/>
        </w:trPr>
        <w:tc>
          <w:tcPr>
            <w:tcW w:w="772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ASSETS</w:t>
            </w:r>
          </w:p>
        </w:tc>
        <w:tc>
          <w:tcPr>
            <w:tcW w:w="98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62"/>
        </w:trPr>
        <w:tc>
          <w:tcPr>
            <w:tcW w:w="7720" w:type="dxa"/>
            <w:vAlign w:val="bottom"/>
          </w:tcPr>
          <w:p>
            <w:pPr>
              <w:spacing w:after="0"/>
              <w:rPr>
                <w:sz w:val="20"/>
                <w:szCs w:val="20"/>
                <w:color w:val="auto"/>
              </w:rPr>
            </w:pPr>
            <w:r>
              <w:rPr>
                <w:rFonts w:ascii="Arial" w:cs="Arial" w:eastAsia="Arial" w:hAnsi="Arial"/>
                <w:sz w:val="14"/>
                <w:szCs w:val="14"/>
                <w:color w:val="auto"/>
              </w:rPr>
              <w:t>Current assets</w:t>
            </w:r>
          </w:p>
        </w:tc>
        <w:tc>
          <w:tcPr>
            <w:tcW w:w="9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Cash and cash equivalents</w:t>
            </w:r>
          </w:p>
        </w:tc>
        <w:tc>
          <w:tcPr>
            <w:tcW w:w="980" w:type="dxa"/>
            <w:vAlign w:val="bottom"/>
            <w:shd w:val="clear" w:color="auto" w:fill="CFF0FC"/>
          </w:tcPr>
          <w:p>
            <w:pPr>
              <w:jc w:val="right"/>
              <w:ind w:right="828"/>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45,627</w:t>
            </w:r>
          </w:p>
        </w:tc>
        <w:tc>
          <w:tcPr>
            <w:tcW w:w="280" w:type="dxa"/>
            <w:vAlign w:val="bottom"/>
            <w:shd w:val="clear" w:color="auto" w:fill="CFF0FC"/>
          </w:tcPr>
          <w:p>
            <w:pPr>
              <w:spacing w:after="0"/>
              <w:rPr>
                <w:sz w:val="14"/>
                <w:szCs w:val="14"/>
                <w:color w:val="auto"/>
              </w:rPr>
            </w:pPr>
          </w:p>
        </w:tc>
        <w:tc>
          <w:tcPr>
            <w:tcW w:w="540" w:type="dxa"/>
            <w:vAlign w:val="bottom"/>
            <w:shd w:val="clear" w:color="auto" w:fill="CFF0FC"/>
          </w:tcPr>
          <w:p>
            <w:pPr>
              <w:jc w:val="right"/>
              <w:ind w:right="388"/>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59,444</w:t>
            </w:r>
          </w:p>
        </w:tc>
        <w:tc>
          <w:tcPr>
            <w:tcW w:w="120" w:type="dxa"/>
            <w:vAlign w:val="bottom"/>
            <w:shd w:val="clear" w:color="auto" w:fill="CFF0FC"/>
          </w:tcPr>
          <w:p>
            <w:pPr>
              <w:spacing w:after="0"/>
              <w:rPr>
                <w:sz w:val="14"/>
                <w:szCs w:val="14"/>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4"/>
                <w:szCs w:val="14"/>
                <w:color w:val="auto"/>
              </w:rPr>
              <w:t>Marketable securities - short-term</w:t>
            </w: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101,000</w:t>
            </w: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156,969</w:t>
            </w:r>
          </w:p>
        </w:tc>
        <w:tc>
          <w:tcPr>
            <w:tcW w:w="120" w:type="dxa"/>
            <w:vAlign w:val="bottom"/>
          </w:tcPr>
          <w:p>
            <w:pPr>
              <w:spacing w:after="0"/>
              <w:rPr>
                <w:sz w:val="14"/>
                <w:szCs w:val="14"/>
                <w:color w:val="auto"/>
              </w:rPr>
            </w:pP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Accounts receivable from collaborations</w:t>
            </w:r>
          </w:p>
        </w:tc>
        <w:tc>
          <w:tcPr>
            <w:tcW w:w="9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336</w:t>
            </w:r>
          </w:p>
        </w:tc>
        <w:tc>
          <w:tcPr>
            <w:tcW w:w="28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1,230</w:t>
            </w:r>
          </w:p>
        </w:tc>
        <w:tc>
          <w:tcPr>
            <w:tcW w:w="120" w:type="dxa"/>
            <w:vAlign w:val="bottom"/>
            <w:shd w:val="clear" w:color="auto" w:fill="CFF0FC"/>
          </w:tcPr>
          <w:p>
            <w:pPr>
              <w:spacing w:after="0"/>
              <w:rPr>
                <w:sz w:val="14"/>
                <w:szCs w:val="14"/>
                <w:color w:val="auto"/>
              </w:rPr>
            </w:pPr>
          </w:p>
        </w:tc>
      </w:tr>
      <w:tr>
        <w:trPr>
          <w:trHeight w:val="162"/>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4"/>
                <w:szCs w:val="14"/>
                <w:color w:val="auto"/>
              </w:rPr>
              <w:t>Prepaid expenses and other current assets</w:t>
            </w:r>
          </w:p>
        </w:tc>
        <w:tc>
          <w:tcPr>
            <w:tcW w:w="9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7,241</w:t>
            </w:r>
          </w:p>
        </w:tc>
        <w:tc>
          <w:tcPr>
            <w:tcW w:w="280" w:type="dxa"/>
            <w:vAlign w:val="bottom"/>
            <w:tcBorders>
              <w:bottom w:val="single" w:sz="8" w:color="CFF0FC"/>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6,850</w:t>
            </w:r>
          </w:p>
        </w:tc>
        <w:tc>
          <w:tcPr>
            <w:tcW w:w="120" w:type="dxa"/>
            <w:vAlign w:val="bottom"/>
            <w:tcBorders>
              <w:bottom w:val="single" w:sz="8" w:color="CFF0FC"/>
            </w:tcBorders>
          </w:tcPr>
          <w:p>
            <w:pPr>
              <w:spacing w:after="0"/>
              <w:rPr>
                <w:sz w:val="14"/>
                <w:szCs w:val="14"/>
                <w:color w:val="auto"/>
              </w:rPr>
            </w:pPr>
          </w:p>
        </w:tc>
      </w:tr>
      <w:tr>
        <w:trPr>
          <w:trHeight w:val="155"/>
        </w:trPr>
        <w:tc>
          <w:tcPr>
            <w:tcW w:w="772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Total current assets</w:t>
            </w:r>
          </w:p>
        </w:tc>
        <w:tc>
          <w:tcPr>
            <w:tcW w:w="980" w:type="dxa"/>
            <w:vAlign w:val="bottom"/>
            <w:tcBorders>
              <w:bottom w:val="single" w:sz="8" w:color="auto"/>
            </w:tcBorders>
            <w:shd w:val="clear" w:color="auto" w:fill="CFF0FC"/>
          </w:tcPr>
          <w:p>
            <w:pPr>
              <w:spacing w:after="0"/>
              <w:rPr>
                <w:sz w:val="13"/>
                <w:szCs w:val="13"/>
                <w:color w:val="auto"/>
              </w:rPr>
            </w:pPr>
          </w:p>
        </w:tc>
        <w:tc>
          <w:tcPr>
            <w:tcW w:w="5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154,204</w:t>
            </w:r>
          </w:p>
        </w:tc>
        <w:tc>
          <w:tcPr>
            <w:tcW w:w="280" w:type="dxa"/>
            <w:vAlign w:val="bottom"/>
            <w:shd w:val="clear" w:color="auto" w:fill="CFF0FC"/>
          </w:tcPr>
          <w:p>
            <w:pPr>
              <w:spacing w:after="0"/>
              <w:rPr>
                <w:sz w:val="13"/>
                <w:szCs w:val="13"/>
                <w:color w:val="auto"/>
              </w:rPr>
            </w:pPr>
          </w:p>
        </w:tc>
        <w:tc>
          <w:tcPr>
            <w:tcW w:w="540" w:type="dxa"/>
            <w:vAlign w:val="bottom"/>
            <w:tcBorders>
              <w:bottom w:val="single" w:sz="8" w:color="auto"/>
            </w:tcBorders>
            <w:shd w:val="clear" w:color="auto" w:fill="CFF0FC"/>
          </w:tcPr>
          <w:p>
            <w:pPr>
              <w:spacing w:after="0"/>
              <w:rPr>
                <w:sz w:val="13"/>
                <w:szCs w:val="13"/>
                <w:color w:val="auto"/>
              </w:rPr>
            </w:pPr>
          </w:p>
        </w:tc>
        <w:tc>
          <w:tcPr>
            <w:tcW w:w="10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224,493</w:t>
            </w:r>
          </w:p>
        </w:tc>
        <w:tc>
          <w:tcPr>
            <w:tcW w:w="120" w:type="dxa"/>
            <w:vAlign w:val="bottom"/>
            <w:shd w:val="clear" w:color="auto" w:fill="CFF0FC"/>
          </w:tcPr>
          <w:p>
            <w:pPr>
              <w:spacing w:after="0"/>
              <w:rPr>
                <w:sz w:val="13"/>
                <w:szCs w:val="13"/>
                <w:color w:val="auto"/>
              </w:rPr>
            </w:pPr>
          </w:p>
        </w:tc>
      </w:tr>
      <w:tr>
        <w:trPr>
          <w:trHeight w:val="156"/>
        </w:trPr>
        <w:tc>
          <w:tcPr>
            <w:tcW w:w="7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Marketable securities - long-term</w:t>
            </w:r>
          </w:p>
        </w:tc>
        <w:tc>
          <w:tcPr>
            <w:tcW w:w="9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27,972</w:t>
            </w:r>
          </w:p>
        </w:tc>
        <w:tc>
          <w:tcPr>
            <w:tcW w:w="28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7720" w:type="dxa"/>
            <w:vAlign w:val="bottom"/>
          </w:tcPr>
          <w:p>
            <w:pPr>
              <w:ind w:left="260"/>
              <w:spacing w:after="0"/>
              <w:rPr>
                <w:sz w:val="20"/>
                <w:szCs w:val="20"/>
                <w:color w:val="auto"/>
              </w:rPr>
            </w:pPr>
            <w:r>
              <w:rPr>
                <w:rFonts w:ascii="Arial" w:cs="Arial" w:eastAsia="Arial" w:hAnsi="Arial"/>
                <w:sz w:val="14"/>
                <w:szCs w:val="14"/>
                <w:color w:val="auto"/>
              </w:rPr>
              <w:t>Property and equipment, net</w:t>
            </w: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1,139</w:t>
            </w: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1,600</w:t>
            </w:r>
          </w:p>
        </w:tc>
        <w:tc>
          <w:tcPr>
            <w:tcW w:w="120" w:type="dxa"/>
            <w:vAlign w:val="bottom"/>
          </w:tcPr>
          <w:p>
            <w:pPr>
              <w:spacing w:after="0"/>
              <w:rPr>
                <w:sz w:val="14"/>
                <w:szCs w:val="14"/>
                <w:color w:val="auto"/>
              </w:rPr>
            </w:pP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Operating lease right-of-use (ROU) assets</w:t>
            </w:r>
          </w:p>
        </w:tc>
        <w:tc>
          <w:tcPr>
            <w:tcW w:w="9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6,042</w:t>
            </w:r>
          </w:p>
        </w:tc>
        <w:tc>
          <w:tcPr>
            <w:tcW w:w="28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9,131</w:t>
            </w:r>
          </w:p>
        </w:tc>
        <w:tc>
          <w:tcPr>
            <w:tcW w:w="120" w:type="dxa"/>
            <w:vAlign w:val="bottom"/>
            <w:shd w:val="clear" w:color="auto" w:fill="CFF0FC"/>
          </w:tcPr>
          <w:p>
            <w:pPr>
              <w:spacing w:after="0"/>
              <w:rPr>
                <w:sz w:val="14"/>
                <w:szCs w:val="14"/>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4"/>
                <w:szCs w:val="14"/>
                <w:color w:val="auto"/>
              </w:rPr>
              <w:t>Other assets</w:t>
            </w: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1,703</w:t>
            </w: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6,392</w:t>
            </w:r>
          </w:p>
        </w:tc>
        <w:tc>
          <w:tcPr>
            <w:tcW w:w="120" w:type="dxa"/>
            <w:vAlign w:val="bottom"/>
          </w:tcPr>
          <w:p>
            <w:pPr>
              <w:spacing w:after="0"/>
              <w:rPr>
                <w:sz w:val="14"/>
                <w:szCs w:val="14"/>
                <w:color w:val="auto"/>
              </w:rPr>
            </w:pP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Indefinite-lived intangible asset</w:t>
            </w:r>
          </w:p>
        </w:tc>
        <w:tc>
          <w:tcPr>
            <w:tcW w:w="9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54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29,000</w:t>
            </w:r>
          </w:p>
        </w:tc>
        <w:tc>
          <w:tcPr>
            <w:tcW w:w="120" w:type="dxa"/>
            <w:vAlign w:val="bottom"/>
            <w:shd w:val="clear" w:color="auto" w:fill="CFF0FC"/>
          </w:tcPr>
          <w:p>
            <w:pPr>
              <w:spacing w:after="0"/>
              <w:rPr>
                <w:sz w:val="14"/>
                <w:szCs w:val="14"/>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4"/>
                <w:szCs w:val="14"/>
                <w:color w:val="auto"/>
              </w:rPr>
              <w:t>Goodwill</w:t>
            </w:r>
          </w:p>
        </w:tc>
        <w:tc>
          <w:tcPr>
            <w:tcW w:w="980" w:type="dxa"/>
            <w:vAlign w:val="bottom"/>
          </w:tcPr>
          <w:p>
            <w:pPr>
              <w:spacing w:after="0"/>
              <w:rPr>
                <w:sz w:val="14"/>
                <w:szCs w:val="14"/>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12,638</w:t>
            </w:r>
          </w:p>
        </w:tc>
        <w:tc>
          <w:tcPr>
            <w:tcW w:w="120" w:type="dxa"/>
            <w:vAlign w:val="bottom"/>
          </w:tcPr>
          <w:p>
            <w:pPr>
              <w:spacing w:after="0"/>
              <w:rPr>
                <w:sz w:val="14"/>
                <w:szCs w:val="14"/>
                <w:color w:val="auto"/>
              </w:rPr>
            </w:pPr>
          </w:p>
        </w:tc>
      </w:tr>
      <w:tr>
        <w:trPr>
          <w:trHeight w:val="156"/>
        </w:trPr>
        <w:tc>
          <w:tcPr>
            <w:tcW w:w="772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Total assets</w:t>
            </w:r>
          </w:p>
        </w:tc>
        <w:tc>
          <w:tcPr>
            <w:tcW w:w="980" w:type="dxa"/>
            <w:vAlign w:val="bottom"/>
            <w:tcBorders>
              <w:top w:val="single" w:sz="8" w:color="auto"/>
              <w:bottom w:val="single" w:sz="8" w:color="auto"/>
            </w:tcBorders>
            <w:shd w:val="clear" w:color="auto" w:fill="CFF0FC"/>
          </w:tcPr>
          <w:p>
            <w:pPr>
              <w:jc w:val="right"/>
              <w:ind w:right="828"/>
              <w:spacing w:after="0" w:line="155" w:lineRule="exact"/>
              <w:rPr>
                <w:sz w:val="20"/>
                <w:szCs w:val="20"/>
                <w:color w:val="auto"/>
              </w:rPr>
            </w:pPr>
            <w:r>
              <w:rPr>
                <w:rFonts w:ascii="Arial" w:cs="Arial" w:eastAsia="Arial" w:hAnsi="Arial"/>
                <w:sz w:val="14"/>
                <w:szCs w:val="14"/>
                <w:b w:val="1"/>
                <w:bCs w:val="1"/>
                <w:color w:val="auto"/>
                <w:w w:val="76"/>
              </w:rPr>
              <w:t>$</w:t>
            </w:r>
          </w:p>
        </w:tc>
        <w:tc>
          <w:tcPr>
            <w:tcW w:w="5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191,060</w:t>
            </w:r>
          </w:p>
        </w:tc>
        <w:tc>
          <w:tcPr>
            <w:tcW w:w="280" w:type="dxa"/>
            <w:vAlign w:val="bottom"/>
            <w:tcBorders>
              <w:top w:val="single" w:sz="8" w:color="CFF0FC"/>
              <w:bottom w:val="single" w:sz="8" w:color="CFF0FC"/>
            </w:tcBorders>
            <w:shd w:val="clear" w:color="auto" w:fill="CFF0FC"/>
          </w:tcPr>
          <w:p>
            <w:pPr>
              <w:spacing w:after="0"/>
              <w:rPr>
                <w:sz w:val="13"/>
                <w:szCs w:val="13"/>
                <w:color w:val="auto"/>
              </w:rPr>
            </w:pPr>
          </w:p>
        </w:tc>
        <w:tc>
          <w:tcPr>
            <w:tcW w:w="540" w:type="dxa"/>
            <w:vAlign w:val="bottom"/>
            <w:tcBorders>
              <w:top w:val="single" w:sz="8" w:color="auto"/>
              <w:bottom w:val="single" w:sz="8" w:color="auto"/>
            </w:tcBorders>
            <w:shd w:val="clear" w:color="auto" w:fill="CFF0FC"/>
          </w:tcPr>
          <w:p>
            <w:pPr>
              <w:jc w:val="right"/>
              <w:ind w:right="388"/>
              <w:spacing w:after="0" w:line="155" w:lineRule="exact"/>
              <w:rPr>
                <w:sz w:val="20"/>
                <w:szCs w:val="20"/>
                <w:color w:val="auto"/>
              </w:rPr>
            </w:pPr>
            <w:r>
              <w:rPr>
                <w:rFonts w:ascii="Arial" w:cs="Arial" w:eastAsia="Arial" w:hAnsi="Arial"/>
                <w:sz w:val="14"/>
                <w:szCs w:val="14"/>
                <w:b w:val="1"/>
                <w:bCs w:val="1"/>
                <w:color w:val="auto"/>
                <w:w w:val="76"/>
              </w:rPr>
              <w:t>$</w:t>
            </w:r>
          </w:p>
        </w:tc>
        <w:tc>
          <w:tcPr>
            <w:tcW w:w="10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283,254</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r>
      <w:tr>
        <w:trPr>
          <w:trHeight w:val="20"/>
        </w:trPr>
        <w:tc>
          <w:tcPr>
            <w:tcW w:w="77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43"/>
        </w:trPr>
        <w:tc>
          <w:tcPr>
            <w:tcW w:w="7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2"/>
        </w:trPr>
        <w:tc>
          <w:tcPr>
            <w:tcW w:w="772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98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62"/>
        </w:trPr>
        <w:tc>
          <w:tcPr>
            <w:tcW w:w="7720" w:type="dxa"/>
            <w:vAlign w:val="bottom"/>
          </w:tcPr>
          <w:p>
            <w:pPr>
              <w:spacing w:after="0"/>
              <w:rPr>
                <w:sz w:val="20"/>
                <w:szCs w:val="20"/>
                <w:color w:val="auto"/>
              </w:rPr>
            </w:pPr>
            <w:r>
              <w:rPr>
                <w:rFonts w:ascii="Arial" w:cs="Arial" w:eastAsia="Arial" w:hAnsi="Arial"/>
                <w:sz w:val="14"/>
                <w:szCs w:val="14"/>
                <w:color w:val="auto"/>
              </w:rPr>
              <w:t>Current liabilities</w:t>
            </w:r>
          </w:p>
        </w:tc>
        <w:tc>
          <w:tcPr>
            <w:tcW w:w="9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Accounts payable</w:t>
            </w:r>
          </w:p>
        </w:tc>
        <w:tc>
          <w:tcPr>
            <w:tcW w:w="980" w:type="dxa"/>
            <w:vAlign w:val="bottom"/>
            <w:shd w:val="clear" w:color="auto" w:fill="CFF0FC"/>
          </w:tcPr>
          <w:p>
            <w:pPr>
              <w:jc w:val="right"/>
              <w:ind w:right="828"/>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2,659</w:t>
            </w:r>
          </w:p>
        </w:tc>
        <w:tc>
          <w:tcPr>
            <w:tcW w:w="280" w:type="dxa"/>
            <w:vAlign w:val="bottom"/>
            <w:shd w:val="clear" w:color="auto" w:fill="CFF0FC"/>
          </w:tcPr>
          <w:p>
            <w:pPr>
              <w:spacing w:after="0"/>
              <w:rPr>
                <w:sz w:val="14"/>
                <w:szCs w:val="14"/>
                <w:color w:val="auto"/>
              </w:rPr>
            </w:pPr>
          </w:p>
        </w:tc>
        <w:tc>
          <w:tcPr>
            <w:tcW w:w="540" w:type="dxa"/>
            <w:vAlign w:val="bottom"/>
            <w:shd w:val="clear" w:color="auto" w:fill="CFF0FC"/>
          </w:tcPr>
          <w:p>
            <w:pPr>
              <w:jc w:val="right"/>
              <w:ind w:right="388"/>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4,598</w:t>
            </w:r>
          </w:p>
        </w:tc>
        <w:tc>
          <w:tcPr>
            <w:tcW w:w="120" w:type="dxa"/>
            <w:vAlign w:val="bottom"/>
            <w:shd w:val="clear" w:color="auto" w:fill="CFF0FC"/>
          </w:tcPr>
          <w:p>
            <w:pPr>
              <w:spacing w:after="0"/>
              <w:rPr>
                <w:sz w:val="14"/>
                <w:szCs w:val="14"/>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4"/>
                <w:szCs w:val="14"/>
                <w:color w:val="auto"/>
              </w:rPr>
              <w:t>Accrued research and development expenses</w:t>
            </w: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3,400</w:t>
            </w: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4,444</w:t>
            </w:r>
          </w:p>
        </w:tc>
        <w:tc>
          <w:tcPr>
            <w:tcW w:w="120" w:type="dxa"/>
            <w:vAlign w:val="bottom"/>
          </w:tcPr>
          <w:p>
            <w:pPr>
              <w:spacing w:after="0"/>
              <w:rPr>
                <w:sz w:val="14"/>
                <w:szCs w:val="14"/>
                <w:color w:val="auto"/>
              </w:rPr>
            </w:pP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 accrued expenses</w:t>
            </w:r>
          </w:p>
        </w:tc>
        <w:tc>
          <w:tcPr>
            <w:tcW w:w="9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6,863</w:t>
            </w:r>
          </w:p>
        </w:tc>
        <w:tc>
          <w:tcPr>
            <w:tcW w:w="28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11,987</w:t>
            </w:r>
          </w:p>
        </w:tc>
        <w:tc>
          <w:tcPr>
            <w:tcW w:w="120" w:type="dxa"/>
            <w:vAlign w:val="bottom"/>
            <w:shd w:val="clear" w:color="auto" w:fill="CFF0FC"/>
          </w:tcPr>
          <w:p>
            <w:pPr>
              <w:spacing w:after="0"/>
              <w:rPr>
                <w:sz w:val="14"/>
                <w:szCs w:val="14"/>
                <w:color w:val="auto"/>
              </w:rPr>
            </w:pPr>
          </w:p>
        </w:tc>
      </w:tr>
      <w:tr>
        <w:trPr>
          <w:trHeight w:val="162"/>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4"/>
                <w:szCs w:val="14"/>
                <w:color w:val="auto"/>
              </w:rPr>
              <w:t>Operating lease liabilities - short-term</w:t>
            </w:r>
          </w:p>
        </w:tc>
        <w:tc>
          <w:tcPr>
            <w:tcW w:w="9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3,151</w:t>
            </w:r>
          </w:p>
        </w:tc>
        <w:tc>
          <w:tcPr>
            <w:tcW w:w="280" w:type="dxa"/>
            <w:vAlign w:val="bottom"/>
            <w:tcBorders>
              <w:bottom w:val="single" w:sz="8" w:color="CFF0FC"/>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3,404</w:t>
            </w:r>
          </w:p>
        </w:tc>
        <w:tc>
          <w:tcPr>
            <w:tcW w:w="120" w:type="dxa"/>
            <w:vAlign w:val="bottom"/>
            <w:tcBorders>
              <w:bottom w:val="single" w:sz="8" w:color="CFF0FC"/>
            </w:tcBorders>
          </w:tcPr>
          <w:p>
            <w:pPr>
              <w:spacing w:after="0"/>
              <w:rPr>
                <w:sz w:val="14"/>
                <w:szCs w:val="14"/>
                <w:color w:val="auto"/>
              </w:rPr>
            </w:pPr>
          </w:p>
        </w:tc>
      </w:tr>
      <w:tr>
        <w:trPr>
          <w:trHeight w:val="156"/>
        </w:trPr>
        <w:tc>
          <w:tcPr>
            <w:tcW w:w="772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Total current liabilities</w:t>
            </w:r>
          </w:p>
        </w:tc>
        <w:tc>
          <w:tcPr>
            <w:tcW w:w="980" w:type="dxa"/>
            <w:vAlign w:val="bottom"/>
            <w:tcBorders>
              <w:bottom w:val="single" w:sz="8" w:color="auto"/>
            </w:tcBorders>
            <w:shd w:val="clear" w:color="auto" w:fill="CFF0FC"/>
          </w:tcPr>
          <w:p>
            <w:pPr>
              <w:spacing w:after="0"/>
              <w:rPr>
                <w:sz w:val="13"/>
                <w:szCs w:val="13"/>
                <w:color w:val="auto"/>
              </w:rPr>
            </w:pPr>
          </w:p>
        </w:tc>
        <w:tc>
          <w:tcPr>
            <w:tcW w:w="5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16,073</w:t>
            </w:r>
          </w:p>
        </w:tc>
        <w:tc>
          <w:tcPr>
            <w:tcW w:w="280" w:type="dxa"/>
            <w:vAlign w:val="bottom"/>
            <w:shd w:val="clear" w:color="auto" w:fill="CFF0FC"/>
          </w:tcPr>
          <w:p>
            <w:pPr>
              <w:spacing w:after="0"/>
              <w:rPr>
                <w:sz w:val="13"/>
                <w:szCs w:val="13"/>
                <w:color w:val="auto"/>
              </w:rPr>
            </w:pPr>
          </w:p>
        </w:tc>
        <w:tc>
          <w:tcPr>
            <w:tcW w:w="540" w:type="dxa"/>
            <w:vAlign w:val="bottom"/>
            <w:tcBorders>
              <w:bottom w:val="single" w:sz="8" w:color="auto"/>
            </w:tcBorders>
            <w:shd w:val="clear" w:color="auto" w:fill="CFF0FC"/>
          </w:tcPr>
          <w:p>
            <w:pPr>
              <w:spacing w:after="0"/>
              <w:rPr>
                <w:sz w:val="13"/>
                <w:szCs w:val="13"/>
                <w:color w:val="auto"/>
              </w:rPr>
            </w:pPr>
          </w:p>
        </w:tc>
        <w:tc>
          <w:tcPr>
            <w:tcW w:w="10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24,433</w:t>
            </w:r>
          </w:p>
        </w:tc>
        <w:tc>
          <w:tcPr>
            <w:tcW w:w="120" w:type="dxa"/>
            <w:vAlign w:val="bottom"/>
            <w:shd w:val="clear" w:color="auto" w:fill="CFF0FC"/>
          </w:tcPr>
          <w:p>
            <w:pPr>
              <w:spacing w:after="0"/>
              <w:rPr>
                <w:sz w:val="13"/>
                <w:szCs w:val="13"/>
                <w:color w:val="auto"/>
              </w:rPr>
            </w:pPr>
          </w:p>
        </w:tc>
      </w:tr>
      <w:tr>
        <w:trPr>
          <w:trHeight w:val="155"/>
        </w:trPr>
        <w:tc>
          <w:tcPr>
            <w:tcW w:w="7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Deferred tax liabilities</w:t>
            </w:r>
          </w:p>
        </w:tc>
        <w:tc>
          <w:tcPr>
            <w:tcW w:w="9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54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2,531</w:t>
            </w:r>
          </w:p>
        </w:tc>
        <w:tc>
          <w:tcPr>
            <w:tcW w:w="120" w:type="dxa"/>
            <w:vAlign w:val="bottom"/>
            <w:shd w:val="clear" w:color="auto" w:fill="CFF0FC"/>
          </w:tcPr>
          <w:p>
            <w:pPr>
              <w:spacing w:after="0"/>
              <w:rPr>
                <w:sz w:val="14"/>
                <w:szCs w:val="14"/>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4"/>
                <w:szCs w:val="14"/>
                <w:color w:val="auto"/>
              </w:rPr>
              <w:t>Deferred revenue</w:t>
            </w: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2,733</w:t>
            </w: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8,987</w:t>
            </w:r>
          </w:p>
        </w:tc>
        <w:tc>
          <w:tcPr>
            <w:tcW w:w="120" w:type="dxa"/>
            <w:vAlign w:val="bottom"/>
          </w:tcPr>
          <w:p>
            <w:pPr>
              <w:spacing w:after="0"/>
              <w:rPr>
                <w:sz w:val="14"/>
                <w:szCs w:val="14"/>
                <w:color w:val="auto"/>
              </w:rPr>
            </w:pP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Operating lease liabilities - long-term</w:t>
            </w:r>
          </w:p>
        </w:tc>
        <w:tc>
          <w:tcPr>
            <w:tcW w:w="98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3,325</w:t>
            </w:r>
          </w:p>
        </w:tc>
        <w:tc>
          <w:tcPr>
            <w:tcW w:w="280" w:type="dxa"/>
            <w:vAlign w:val="bottom"/>
            <w:shd w:val="clear" w:color="auto" w:fill="CFF0FC"/>
          </w:tcPr>
          <w:p>
            <w:pPr>
              <w:spacing w:after="0"/>
              <w:rPr>
                <w:sz w:val="14"/>
                <w:szCs w:val="14"/>
                <w:color w:val="auto"/>
              </w:rPr>
            </w:pPr>
          </w:p>
        </w:tc>
        <w:tc>
          <w:tcPr>
            <w:tcW w:w="54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6,725</w:t>
            </w:r>
          </w:p>
        </w:tc>
        <w:tc>
          <w:tcPr>
            <w:tcW w:w="120" w:type="dxa"/>
            <w:vAlign w:val="bottom"/>
            <w:shd w:val="clear" w:color="auto" w:fill="CFF0FC"/>
          </w:tcPr>
          <w:p>
            <w:pPr>
              <w:spacing w:after="0"/>
              <w:rPr>
                <w:sz w:val="14"/>
                <w:szCs w:val="14"/>
                <w:color w:val="auto"/>
              </w:rPr>
            </w:pPr>
          </w:p>
        </w:tc>
      </w:tr>
      <w:tr>
        <w:trPr>
          <w:trHeight w:val="156"/>
        </w:trPr>
        <w:tc>
          <w:tcPr>
            <w:tcW w:w="7720" w:type="dxa"/>
            <w:vAlign w:val="bottom"/>
            <w:tcBorders>
              <w:bottom w:val="single" w:sz="8" w:color="CFF0FC"/>
            </w:tcBorders>
          </w:tcPr>
          <w:p>
            <w:pPr>
              <w:spacing w:after="0" w:line="155" w:lineRule="exact"/>
              <w:rPr>
                <w:sz w:val="20"/>
                <w:szCs w:val="20"/>
                <w:color w:val="auto"/>
              </w:rPr>
            </w:pPr>
            <w:r>
              <w:rPr>
                <w:rFonts w:ascii="Arial" w:cs="Arial" w:eastAsia="Arial" w:hAnsi="Arial"/>
                <w:sz w:val="14"/>
                <w:szCs w:val="14"/>
                <w:b w:val="1"/>
                <w:bCs w:val="1"/>
                <w:color w:val="auto"/>
              </w:rPr>
              <w:t>Total liabilities</w:t>
            </w:r>
          </w:p>
        </w:tc>
        <w:tc>
          <w:tcPr>
            <w:tcW w:w="9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22,131</w:t>
            </w:r>
          </w:p>
        </w:tc>
        <w:tc>
          <w:tcPr>
            <w:tcW w:w="280" w:type="dxa"/>
            <w:vAlign w:val="bottom"/>
            <w:tcBorders>
              <w:bottom w:val="single" w:sz="8" w:color="CFF0FC"/>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42,676</w:t>
            </w:r>
          </w:p>
        </w:tc>
        <w:tc>
          <w:tcPr>
            <w:tcW w:w="120" w:type="dxa"/>
            <w:vAlign w:val="bottom"/>
            <w:tcBorders>
              <w:bottom w:val="single" w:sz="8" w:color="CFF0FC"/>
            </w:tcBorders>
          </w:tcPr>
          <w:p>
            <w:pPr>
              <w:spacing w:after="0"/>
              <w:rPr>
                <w:sz w:val="13"/>
                <w:szCs w:val="13"/>
                <w:color w:val="auto"/>
              </w:rPr>
            </w:pPr>
          </w:p>
        </w:tc>
      </w:tr>
      <w:tr>
        <w:trPr>
          <w:trHeight w:val="156"/>
        </w:trPr>
        <w:tc>
          <w:tcPr>
            <w:tcW w:w="772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62"/>
        </w:trPr>
        <w:tc>
          <w:tcPr>
            <w:tcW w:w="7720" w:type="dxa"/>
            <w:vAlign w:val="bottom"/>
          </w:tcPr>
          <w:p>
            <w:pPr>
              <w:spacing w:after="0"/>
              <w:rPr>
                <w:sz w:val="20"/>
                <w:szCs w:val="20"/>
                <w:color w:val="auto"/>
              </w:rPr>
            </w:pPr>
            <w:r>
              <w:rPr>
                <w:rFonts w:ascii="Arial" w:cs="Arial" w:eastAsia="Arial" w:hAnsi="Arial"/>
                <w:sz w:val="14"/>
                <w:szCs w:val="14"/>
                <w:b w:val="1"/>
                <w:bCs w:val="1"/>
                <w:color w:val="auto"/>
              </w:rPr>
              <w:t>Commitments and contingencies</w:t>
            </w:r>
          </w:p>
        </w:tc>
        <w:tc>
          <w:tcPr>
            <w:tcW w:w="9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77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62"/>
        </w:trPr>
        <w:tc>
          <w:tcPr>
            <w:tcW w:w="7720" w:type="dxa"/>
            <w:vAlign w:val="bottom"/>
          </w:tcPr>
          <w:p>
            <w:pPr>
              <w:spacing w:after="0"/>
              <w:rPr>
                <w:sz w:val="20"/>
                <w:szCs w:val="20"/>
                <w:color w:val="auto"/>
              </w:rPr>
            </w:pPr>
            <w:r>
              <w:rPr>
                <w:rFonts w:ascii="Arial" w:cs="Arial" w:eastAsia="Arial" w:hAnsi="Arial"/>
                <w:sz w:val="14"/>
                <w:szCs w:val="14"/>
                <w:b w:val="1"/>
                <w:bCs w:val="1"/>
                <w:color w:val="auto"/>
              </w:rPr>
              <w:t>Stockholders' equity</w:t>
            </w:r>
          </w:p>
        </w:tc>
        <w:tc>
          <w:tcPr>
            <w:tcW w:w="9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Preferred stock, $0.001 par value; 5,000,000 shares authorized; no shares issued or outstanding</w:t>
            </w:r>
          </w:p>
        </w:tc>
        <w:tc>
          <w:tcPr>
            <w:tcW w:w="9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54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r>
      <w:tr>
        <w:trPr>
          <w:trHeight w:val="143"/>
        </w:trPr>
        <w:tc>
          <w:tcPr>
            <w:tcW w:w="7720" w:type="dxa"/>
            <w:vAlign w:val="bottom"/>
          </w:tcPr>
          <w:p>
            <w:pPr>
              <w:ind w:left="260"/>
              <w:spacing w:after="0" w:line="143" w:lineRule="exact"/>
              <w:rPr>
                <w:sz w:val="20"/>
                <w:szCs w:val="20"/>
                <w:color w:val="auto"/>
              </w:rPr>
            </w:pPr>
            <w:r>
              <w:rPr>
                <w:rFonts w:ascii="Arial" w:cs="Arial" w:eastAsia="Arial" w:hAnsi="Arial"/>
                <w:sz w:val="14"/>
                <w:szCs w:val="14"/>
                <w:color w:val="auto"/>
              </w:rPr>
              <w:t>Common stock, $0.001 par value; 100,000,000 shares authorized as of December 31, 2021 and December 31, 2020;</w:t>
            </w:r>
          </w:p>
        </w:tc>
        <w:tc>
          <w:tcPr>
            <w:tcW w:w="9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7"/>
        </w:trPr>
        <w:tc>
          <w:tcPr>
            <w:tcW w:w="7720" w:type="dxa"/>
            <w:vAlign w:val="bottom"/>
          </w:tcPr>
          <w:p>
            <w:pPr>
              <w:ind w:left="260"/>
              <w:spacing w:after="0"/>
              <w:rPr>
                <w:sz w:val="20"/>
                <w:szCs w:val="20"/>
                <w:color w:val="auto"/>
              </w:rPr>
            </w:pPr>
            <w:r>
              <w:rPr>
                <w:rFonts w:ascii="Arial" w:cs="Arial" w:eastAsia="Arial" w:hAnsi="Arial"/>
                <w:sz w:val="14"/>
                <w:szCs w:val="14"/>
                <w:color w:val="auto"/>
                <w:w w:val="97"/>
              </w:rPr>
              <w:t>48,120,437 and 34,026,680 shares issued and outstanding as of December 31, 2021 and December 31, 2020, respectively</w:t>
            </w: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48</w:t>
            </w: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34</w:t>
            </w:r>
          </w:p>
        </w:tc>
        <w:tc>
          <w:tcPr>
            <w:tcW w:w="120" w:type="dxa"/>
            <w:vAlign w:val="bottom"/>
          </w:tcPr>
          <w:p>
            <w:pPr>
              <w:spacing w:after="0"/>
              <w:rPr>
                <w:sz w:val="14"/>
                <w:szCs w:val="14"/>
                <w:color w:val="auto"/>
              </w:rPr>
            </w:pP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Additional paid-in capital</w:t>
            </w:r>
          </w:p>
        </w:tc>
        <w:tc>
          <w:tcPr>
            <w:tcW w:w="9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800,728</w:t>
            </w:r>
          </w:p>
        </w:tc>
        <w:tc>
          <w:tcPr>
            <w:tcW w:w="28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742,387</w:t>
            </w:r>
          </w:p>
        </w:tc>
        <w:tc>
          <w:tcPr>
            <w:tcW w:w="120" w:type="dxa"/>
            <w:vAlign w:val="bottom"/>
            <w:shd w:val="clear" w:color="auto" w:fill="CFF0FC"/>
          </w:tcPr>
          <w:p>
            <w:pPr>
              <w:spacing w:after="0"/>
              <w:rPr>
                <w:sz w:val="14"/>
                <w:szCs w:val="14"/>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4"/>
                <w:szCs w:val="14"/>
                <w:color w:val="auto"/>
              </w:rPr>
              <w:t>Accumulated other comprehensive loss</w:t>
            </w:r>
          </w:p>
        </w:tc>
        <w:tc>
          <w:tcPr>
            <w:tcW w:w="980" w:type="dxa"/>
            <w:vAlign w:val="bottom"/>
          </w:tcPr>
          <w:p>
            <w:pPr>
              <w:spacing w:after="0"/>
              <w:rPr>
                <w:sz w:val="14"/>
                <w:szCs w:val="1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(419)</w:t>
            </w:r>
          </w:p>
        </w:tc>
        <w:tc>
          <w:tcPr>
            <w:tcW w:w="540" w:type="dxa"/>
            <w:vAlign w:val="bottom"/>
          </w:tcPr>
          <w:p>
            <w:pPr>
              <w:spacing w:after="0"/>
              <w:rPr>
                <w:sz w:val="14"/>
                <w:szCs w:val="14"/>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4"/>
                <w:szCs w:val="14"/>
                <w:color w:val="auto"/>
              </w:rPr>
              <w:t>(270)</w:t>
            </w: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Accumulated deficit</w:t>
            </w:r>
          </w:p>
        </w:tc>
        <w:tc>
          <w:tcPr>
            <w:tcW w:w="9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(631,428)</w:t>
            </w:r>
          </w:p>
        </w:tc>
        <w:tc>
          <w:tcPr>
            <w:tcW w:w="54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(501,573)</w:t>
            </w:r>
          </w:p>
        </w:tc>
      </w:tr>
      <w:tr>
        <w:trPr>
          <w:trHeight w:val="155"/>
        </w:trPr>
        <w:tc>
          <w:tcPr>
            <w:tcW w:w="7720" w:type="dxa"/>
            <w:vAlign w:val="bottom"/>
            <w:tcBorders>
              <w:bottom w:val="single" w:sz="8" w:color="CFF0FC"/>
            </w:tcBorders>
          </w:tcPr>
          <w:p>
            <w:pPr>
              <w:ind w:left="260"/>
              <w:spacing w:after="0" w:line="155" w:lineRule="exact"/>
              <w:rPr>
                <w:sz w:val="20"/>
                <w:szCs w:val="20"/>
                <w:color w:val="auto"/>
              </w:rPr>
            </w:pPr>
            <w:r>
              <w:rPr>
                <w:rFonts w:ascii="Arial" w:cs="Arial" w:eastAsia="Arial" w:hAnsi="Arial"/>
                <w:sz w:val="14"/>
                <w:szCs w:val="14"/>
                <w:color w:val="auto"/>
              </w:rPr>
              <w:t>Total stockholders' equity</w:t>
            </w:r>
          </w:p>
        </w:tc>
        <w:tc>
          <w:tcPr>
            <w:tcW w:w="98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168,929</w:t>
            </w:r>
          </w:p>
        </w:tc>
        <w:tc>
          <w:tcPr>
            <w:tcW w:w="280" w:type="dxa"/>
            <w:vAlign w:val="bottom"/>
            <w:tcBorders>
              <w:bottom w:val="single" w:sz="8" w:color="CFF0FC"/>
            </w:tcBorders>
          </w:tcPr>
          <w:p>
            <w:pPr>
              <w:spacing w:after="0"/>
              <w:rPr>
                <w:sz w:val="13"/>
                <w:szCs w:val="13"/>
                <w:color w:val="auto"/>
              </w:rPr>
            </w:pPr>
          </w:p>
        </w:tc>
        <w:tc>
          <w:tcPr>
            <w:tcW w:w="54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240,578</w:t>
            </w:r>
          </w:p>
        </w:tc>
        <w:tc>
          <w:tcPr>
            <w:tcW w:w="120" w:type="dxa"/>
            <w:vAlign w:val="bottom"/>
            <w:tcBorders>
              <w:bottom w:val="single" w:sz="8" w:color="CFF0FC"/>
            </w:tcBorders>
          </w:tcPr>
          <w:p>
            <w:pPr>
              <w:spacing w:after="0"/>
              <w:rPr>
                <w:sz w:val="13"/>
                <w:szCs w:val="13"/>
                <w:color w:val="auto"/>
              </w:rPr>
            </w:pPr>
          </w:p>
        </w:tc>
      </w:tr>
      <w:tr>
        <w:trPr>
          <w:trHeight w:val="155"/>
        </w:trPr>
        <w:tc>
          <w:tcPr>
            <w:tcW w:w="772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Total liabilities and stockholders' equity</w:t>
            </w:r>
          </w:p>
        </w:tc>
        <w:tc>
          <w:tcPr>
            <w:tcW w:w="980" w:type="dxa"/>
            <w:vAlign w:val="bottom"/>
            <w:tcBorders>
              <w:bottom w:val="single" w:sz="8" w:color="auto"/>
            </w:tcBorders>
            <w:shd w:val="clear" w:color="auto" w:fill="CFF0FC"/>
          </w:tcPr>
          <w:p>
            <w:pPr>
              <w:jc w:val="right"/>
              <w:ind w:right="828"/>
              <w:spacing w:after="0" w:line="155" w:lineRule="exact"/>
              <w:rPr>
                <w:sz w:val="20"/>
                <w:szCs w:val="20"/>
                <w:color w:val="auto"/>
              </w:rPr>
            </w:pPr>
            <w:r>
              <w:rPr>
                <w:rFonts w:ascii="Arial" w:cs="Arial" w:eastAsia="Arial" w:hAnsi="Arial"/>
                <w:sz w:val="14"/>
                <w:szCs w:val="14"/>
                <w:b w:val="1"/>
                <w:bCs w:val="1"/>
                <w:color w:val="auto"/>
                <w:w w:val="76"/>
              </w:rPr>
              <w:t>$</w:t>
            </w:r>
          </w:p>
        </w:tc>
        <w:tc>
          <w:tcPr>
            <w:tcW w:w="5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191,060</w:t>
            </w:r>
          </w:p>
        </w:tc>
        <w:tc>
          <w:tcPr>
            <w:tcW w:w="280" w:type="dxa"/>
            <w:vAlign w:val="bottom"/>
            <w:tcBorders>
              <w:bottom w:val="single" w:sz="8" w:color="CFF0FC"/>
            </w:tcBorders>
            <w:shd w:val="clear" w:color="auto" w:fill="CFF0FC"/>
          </w:tcPr>
          <w:p>
            <w:pPr>
              <w:spacing w:after="0"/>
              <w:rPr>
                <w:sz w:val="13"/>
                <w:szCs w:val="13"/>
                <w:color w:val="auto"/>
              </w:rPr>
            </w:pPr>
          </w:p>
        </w:tc>
        <w:tc>
          <w:tcPr>
            <w:tcW w:w="540" w:type="dxa"/>
            <w:vAlign w:val="bottom"/>
            <w:tcBorders>
              <w:bottom w:val="single" w:sz="8" w:color="auto"/>
            </w:tcBorders>
            <w:shd w:val="clear" w:color="auto" w:fill="CFF0FC"/>
          </w:tcPr>
          <w:p>
            <w:pPr>
              <w:jc w:val="right"/>
              <w:ind w:right="388"/>
              <w:spacing w:after="0" w:line="155" w:lineRule="exact"/>
              <w:rPr>
                <w:sz w:val="20"/>
                <w:szCs w:val="20"/>
                <w:color w:val="auto"/>
              </w:rPr>
            </w:pPr>
            <w:r>
              <w:rPr>
                <w:rFonts w:ascii="Arial" w:cs="Arial" w:eastAsia="Arial" w:hAnsi="Arial"/>
                <w:sz w:val="14"/>
                <w:szCs w:val="14"/>
                <w:b w:val="1"/>
                <w:bCs w:val="1"/>
                <w:color w:val="auto"/>
                <w:w w:val="76"/>
              </w:rPr>
              <w:t>$</w:t>
            </w:r>
          </w:p>
        </w:tc>
        <w:tc>
          <w:tcPr>
            <w:tcW w:w="10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283,254</w:t>
            </w:r>
          </w:p>
        </w:tc>
        <w:tc>
          <w:tcPr>
            <w:tcW w:w="120" w:type="dxa"/>
            <w:vAlign w:val="bottom"/>
            <w:tcBorders>
              <w:bottom w:val="single" w:sz="8" w:color="CFF0FC"/>
            </w:tcBorders>
            <w:shd w:val="clear" w:color="auto" w:fill="CFF0FC"/>
          </w:tcPr>
          <w:p>
            <w:pPr>
              <w:spacing w:after="0"/>
              <w:rPr>
                <w:sz w:val="13"/>
                <w:szCs w:val="13"/>
                <w:color w:val="auto"/>
              </w:rPr>
            </w:pPr>
          </w:p>
        </w:tc>
      </w:tr>
      <w:tr>
        <w:trPr>
          <w:trHeight w:val="20"/>
        </w:trPr>
        <w:tc>
          <w:tcPr>
            <w:tcW w:w="77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for share and per share amounts)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60" w:type="dxa"/>
            <w:vAlign w:val="bottom"/>
            <w:gridSpan w:val="5"/>
          </w:tcPr>
          <w:p>
            <w:pPr>
              <w:jc w:val="right"/>
              <w:ind w:right="980"/>
              <w:spacing w:after="0"/>
              <w:rPr>
                <w:sz w:val="20"/>
                <w:szCs w:val="20"/>
                <w:color w:val="auto"/>
              </w:rPr>
            </w:pPr>
            <w:r>
              <w:rPr>
                <w:rFonts w:ascii="Arial" w:cs="Arial" w:eastAsia="Arial" w:hAnsi="Arial"/>
                <w:sz w:val="14"/>
                <w:szCs w:val="14"/>
                <w:b w:val="1"/>
                <w:bCs w:val="1"/>
                <w:color w:val="auto"/>
              </w:rPr>
              <w:t>Year ended December 31,</w:t>
            </w:r>
          </w:p>
        </w:tc>
      </w:tr>
      <w:tr>
        <w:trPr>
          <w:trHeight w:val="155"/>
        </w:trPr>
        <w:tc>
          <w:tcPr>
            <w:tcW w:w="6240" w:type="dxa"/>
            <w:vAlign w:val="bottom"/>
            <w:tcBorders>
              <w:bottom w:val="single" w:sz="8" w:color="CFF0FC"/>
            </w:tcBorders>
          </w:tcPr>
          <w:p>
            <w:pPr>
              <w:spacing w:after="0"/>
              <w:rPr>
                <w:sz w:val="13"/>
                <w:szCs w:val="13"/>
                <w:color w:val="auto"/>
              </w:rPr>
            </w:pPr>
          </w:p>
        </w:tc>
        <w:tc>
          <w:tcPr>
            <w:tcW w:w="158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532"/>
              <w:spacing w:after="0" w:line="155"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531"/>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r>
      <w:tr>
        <w:trPr>
          <w:trHeight w:val="223"/>
        </w:trPr>
        <w:tc>
          <w:tcPr>
            <w:tcW w:w="62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Collaboration revenue</w:t>
            </w:r>
          </w:p>
        </w:tc>
        <w:tc>
          <w:tcPr>
            <w:tcW w:w="15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6,254</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79,105</w:t>
            </w:r>
          </w:p>
        </w:tc>
        <w:tc>
          <w:tcPr>
            <w:tcW w:w="100" w:type="dxa"/>
            <w:vAlign w:val="bottom"/>
            <w:shd w:val="clear" w:color="auto" w:fill="CFF0FC"/>
          </w:tcPr>
          <w:p>
            <w:pPr>
              <w:spacing w:after="0"/>
              <w:rPr>
                <w:sz w:val="19"/>
                <w:szCs w:val="19"/>
                <w:color w:val="auto"/>
              </w:rPr>
            </w:pPr>
          </w:p>
        </w:tc>
      </w:tr>
      <w:tr>
        <w:trPr>
          <w:trHeight w:val="229"/>
        </w:trPr>
        <w:tc>
          <w:tcPr>
            <w:tcW w:w="62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2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expenses</w:t>
            </w:r>
          </w:p>
        </w:tc>
        <w:tc>
          <w:tcPr>
            <w:tcW w:w="15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624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1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68,524</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106,823</w:t>
            </w:r>
          </w:p>
        </w:tc>
        <w:tc>
          <w:tcPr>
            <w:tcW w:w="100" w:type="dxa"/>
            <w:vAlign w:val="bottom"/>
          </w:tcPr>
          <w:p>
            <w:pPr>
              <w:spacing w:after="0"/>
              <w:rPr>
                <w:sz w:val="19"/>
                <w:szCs w:val="19"/>
                <w:color w:val="auto"/>
              </w:rPr>
            </w:pPr>
          </w:p>
        </w:tc>
      </w:tr>
      <w:tr>
        <w:trPr>
          <w:trHeight w:val="229"/>
        </w:trPr>
        <w:tc>
          <w:tcPr>
            <w:tcW w:w="6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15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28,780</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37,058</w:t>
            </w:r>
          </w:p>
        </w:tc>
        <w:tc>
          <w:tcPr>
            <w:tcW w:w="100" w:type="dxa"/>
            <w:vAlign w:val="bottom"/>
            <w:shd w:val="clear" w:color="auto" w:fill="CFF0FC"/>
          </w:tcPr>
          <w:p>
            <w:pPr>
              <w:spacing w:after="0"/>
              <w:rPr>
                <w:sz w:val="19"/>
                <w:szCs w:val="19"/>
                <w:color w:val="auto"/>
              </w:rPr>
            </w:pPr>
          </w:p>
        </w:tc>
      </w:tr>
      <w:tr>
        <w:trPr>
          <w:trHeight w:val="230"/>
        </w:trPr>
        <w:tc>
          <w:tcPr>
            <w:tcW w:w="6240" w:type="dxa"/>
            <w:vAlign w:val="bottom"/>
          </w:tcPr>
          <w:p>
            <w:pPr>
              <w:ind w:left="260"/>
              <w:spacing w:after="0"/>
              <w:rPr>
                <w:sz w:val="20"/>
                <w:szCs w:val="20"/>
                <w:color w:val="auto"/>
              </w:rPr>
            </w:pPr>
            <w:r>
              <w:rPr>
                <w:rFonts w:ascii="Arial" w:cs="Arial" w:eastAsia="Arial" w:hAnsi="Arial"/>
                <w:sz w:val="18"/>
                <w:szCs w:val="18"/>
                <w:color w:val="auto"/>
              </w:rPr>
              <w:t>Impairment of goodwill and indefinite-lived intangible asset</w:t>
            </w:r>
          </w:p>
        </w:tc>
        <w:tc>
          <w:tcPr>
            <w:tcW w:w="1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41,638</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6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15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138,942</w:t>
            </w:r>
          </w:p>
        </w:tc>
        <w:tc>
          <w:tcPr>
            <w:tcW w:w="2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143,881</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624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Loss from operations</w:t>
            </w:r>
          </w:p>
        </w:tc>
        <w:tc>
          <w:tcPr>
            <w:tcW w:w="15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(132,688)</w:t>
            </w:r>
          </w:p>
        </w:tc>
        <w:tc>
          <w:tcPr>
            <w:tcW w:w="2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(64,776)</w:t>
            </w:r>
          </w:p>
        </w:tc>
        <w:tc>
          <w:tcPr>
            <w:tcW w:w="100" w:type="dxa"/>
            <w:vAlign w:val="bottom"/>
            <w:tcBorders>
              <w:bottom w:val="single" w:sz="8" w:color="CFF0FC"/>
            </w:tcBorders>
          </w:tcPr>
          <w:p>
            <w:pPr>
              <w:spacing w:after="0"/>
              <w:rPr>
                <w:sz w:val="19"/>
                <w:szCs w:val="19"/>
                <w:color w:val="auto"/>
              </w:rPr>
            </w:pPr>
          </w:p>
        </w:tc>
      </w:tr>
      <w:tr>
        <w:trPr>
          <w:trHeight w:val="223"/>
        </w:trPr>
        <w:tc>
          <w:tcPr>
            <w:tcW w:w="624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240" w:type="dxa"/>
            <w:vAlign w:val="bottom"/>
          </w:tcPr>
          <w:p>
            <w:pPr>
              <w:spacing w:after="0"/>
              <w:rPr>
                <w:sz w:val="20"/>
                <w:szCs w:val="20"/>
                <w:color w:val="auto"/>
              </w:rPr>
            </w:pPr>
            <w:r>
              <w:rPr>
                <w:rFonts w:ascii="Arial" w:cs="Arial" w:eastAsia="Arial" w:hAnsi="Arial"/>
                <w:sz w:val="18"/>
                <w:szCs w:val="18"/>
                <w:b w:val="1"/>
                <w:bCs w:val="1"/>
                <w:color w:val="auto"/>
              </w:rPr>
              <w:t>Other income</w:t>
            </w:r>
          </w:p>
        </w:tc>
        <w:tc>
          <w:tcPr>
            <w:tcW w:w="1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and other income, net</w:t>
            </w:r>
          </w:p>
        </w:tc>
        <w:tc>
          <w:tcPr>
            <w:tcW w:w="15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302</w:t>
            </w:r>
          </w:p>
        </w:tc>
        <w:tc>
          <w:tcPr>
            <w:tcW w:w="2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2,624</w:t>
            </w:r>
          </w:p>
        </w:tc>
        <w:tc>
          <w:tcPr>
            <w:tcW w:w="100" w:type="dxa"/>
            <w:vAlign w:val="bottom"/>
            <w:shd w:val="clear" w:color="auto" w:fill="CFF0FC"/>
          </w:tcPr>
          <w:p>
            <w:pPr>
              <w:spacing w:after="0"/>
              <w:rPr>
                <w:sz w:val="19"/>
                <w:szCs w:val="19"/>
                <w:color w:val="auto"/>
              </w:rPr>
            </w:pPr>
          </w:p>
        </w:tc>
      </w:tr>
      <w:tr>
        <w:trPr>
          <w:trHeight w:val="223"/>
        </w:trPr>
        <w:tc>
          <w:tcPr>
            <w:tcW w:w="6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other income</w:t>
            </w:r>
          </w:p>
        </w:tc>
        <w:tc>
          <w:tcPr>
            <w:tcW w:w="15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w:t>
            </w:r>
          </w:p>
        </w:tc>
        <w:tc>
          <w:tcPr>
            <w:tcW w:w="2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2,624</w:t>
            </w:r>
          </w:p>
        </w:tc>
        <w:tc>
          <w:tcPr>
            <w:tcW w:w="100" w:type="dxa"/>
            <w:vAlign w:val="bottom"/>
            <w:tcBorders>
              <w:bottom w:val="single" w:sz="8" w:color="CFF0FC"/>
            </w:tcBorders>
          </w:tcPr>
          <w:p>
            <w:pPr>
              <w:spacing w:after="0"/>
              <w:rPr>
                <w:sz w:val="19"/>
                <w:szCs w:val="19"/>
                <w:color w:val="auto"/>
              </w:rPr>
            </w:pPr>
          </w:p>
        </w:tc>
      </w:tr>
      <w:tr>
        <w:trPr>
          <w:trHeight w:val="223"/>
        </w:trPr>
        <w:tc>
          <w:tcPr>
            <w:tcW w:w="62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Loss before income taxes</w:t>
            </w:r>
          </w:p>
        </w:tc>
        <w:tc>
          <w:tcPr>
            <w:tcW w:w="15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(132,386)</w:t>
            </w:r>
          </w:p>
        </w:tc>
        <w:tc>
          <w:tcPr>
            <w:tcW w:w="2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(62,152)</w:t>
            </w:r>
          </w:p>
        </w:tc>
        <w:tc>
          <w:tcPr>
            <w:tcW w:w="100" w:type="dxa"/>
            <w:vAlign w:val="bottom"/>
            <w:shd w:val="clear" w:color="auto" w:fill="CFF0FC"/>
          </w:tcPr>
          <w:p>
            <w:pPr>
              <w:spacing w:after="0"/>
              <w:rPr>
                <w:sz w:val="19"/>
                <w:szCs w:val="19"/>
                <w:color w:val="auto"/>
              </w:rPr>
            </w:pPr>
          </w:p>
        </w:tc>
      </w:tr>
      <w:tr>
        <w:trPr>
          <w:trHeight w:val="223"/>
        </w:trPr>
        <w:tc>
          <w:tcPr>
            <w:tcW w:w="62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Income tax benefit</w:t>
            </w:r>
          </w:p>
        </w:tc>
        <w:tc>
          <w:tcPr>
            <w:tcW w:w="15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2,531</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63"/>
        </w:trPr>
        <w:tc>
          <w:tcPr>
            <w:tcW w:w="624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Net loss</w:t>
            </w:r>
          </w:p>
        </w:tc>
        <w:tc>
          <w:tcPr>
            <w:tcW w:w="1580" w:type="dxa"/>
            <w:vAlign w:val="bottom"/>
            <w:tcBorders>
              <w:bottom w:val="single" w:sz="8" w:color="CFF0FC"/>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(129,855)</w:t>
            </w:r>
          </w:p>
        </w:tc>
        <w:tc>
          <w:tcPr>
            <w:tcW w:w="280" w:type="dxa"/>
            <w:vAlign w:val="bottom"/>
            <w:tcBorders>
              <w:bottom w:val="single" w:sz="8" w:color="CFF0FC"/>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(62,152)</w:t>
            </w:r>
          </w:p>
        </w:tc>
        <w:tc>
          <w:tcPr>
            <w:tcW w:w="100" w:type="dxa"/>
            <w:vAlign w:val="bottom"/>
            <w:tcBorders>
              <w:bottom w:val="single" w:sz="8" w:color="CFF0FC"/>
            </w:tcBorders>
          </w:tcPr>
          <w:p>
            <w:pPr>
              <w:spacing w:after="0"/>
              <w:rPr>
                <w:sz w:val="22"/>
                <w:szCs w:val="22"/>
                <w:color w:val="auto"/>
              </w:rPr>
            </w:pPr>
          </w:p>
        </w:tc>
      </w:tr>
      <w:tr>
        <w:trPr>
          <w:trHeight w:val="210"/>
        </w:trPr>
        <w:tc>
          <w:tcPr>
            <w:tcW w:w="624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9"/>
        </w:trPr>
        <w:tc>
          <w:tcPr>
            <w:tcW w:w="6240" w:type="dxa"/>
            <w:vAlign w:val="bottom"/>
          </w:tcPr>
          <w:p>
            <w:pPr>
              <w:spacing w:after="0"/>
              <w:rPr>
                <w:sz w:val="20"/>
                <w:szCs w:val="20"/>
                <w:color w:val="auto"/>
              </w:rPr>
            </w:pPr>
            <w:r>
              <w:rPr>
                <w:rFonts w:ascii="Arial" w:cs="Arial" w:eastAsia="Arial" w:hAnsi="Arial"/>
                <w:sz w:val="18"/>
                <w:szCs w:val="18"/>
                <w:b w:val="1"/>
                <w:bCs w:val="1"/>
                <w:color w:val="auto"/>
              </w:rPr>
              <w:t>Other comprehensive loss</w:t>
            </w:r>
          </w:p>
        </w:tc>
        <w:tc>
          <w:tcPr>
            <w:tcW w:w="1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Unrealized loss on marketable securities</w:t>
            </w:r>
          </w:p>
        </w:tc>
        <w:tc>
          <w:tcPr>
            <w:tcW w:w="15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(149)</w:t>
            </w:r>
          </w:p>
        </w:tc>
        <w:tc>
          <w:tcPr>
            <w:tcW w:w="3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(69)</w:t>
            </w:r>
          </w:p>
        </w:tc>
      </w:tr>
      <w:tr>
        <w:trPr>
          <w:trHeight w:val="263"/>
        </w:trPr>
        <w:tc>
          <w:tcPr>
            <w:tcW w:w="624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Comprehensive loss</w:t>
            </w:r>
          </w:p>
        </w:tc>
        <w:tc>
          <w:tcPr>
            <w:tcW w:w="1580" w:type="dxa"/>
            <w:vAlign w:val="bottom"/>
            <w:tcBorders>
              <w:bottom w:val="single" w:sz="8" w:color="CFF0FC"/>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(130,004)</w:t>
            </w:r>
          </w:p>
        </w:tc>
        <w:tc>
          <w:tcPr>
            <w:tcW w:w="280" w:type="dxa"/>
            <w:vAlign w:val="bottom"/>
            <w:tcBorders>
              <w:bottom w:val="single" w:sz="8" w:color="CFF0FC"/>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(62,221)</w:t>
            </w:r>
          </w:p>
        </w:tc>
        <w:tc>
          <w:tcPr>
            <w:tcW w:w="100" w:type="dxa"/>
            <w:vAlign w:val="bottom"/>
            <w:tcBorders>
              <w:bottom w:val="single" w:sz="8" w:color="CFF0FC"/>
            </w:tcBorders>
          </w:tcPr>
          <w:p>
            <w:pPr>
              <w:spacing w:after="0"/>
              <w:rPr>
                <w:sz w:val="22"/>
                <w:szCs w:val="22"/>
                <w:color w:val="auto"/>
              </w:rPr>
            </w:pPr>
          </w:p>
        </w:tc>
      </w:tr>
      <w:tr>
        <w:trPr>
          <w:trHeight w:val="210"/>
        </w:trPr>
        <w:tc>
          <w:tcPr>
            <w:tcW w:w="624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70"/>
        </w:trPr>
        <w:tc>
          <w:tcPr>
            <w:tcW w:w="6240" w:type="dxa"/>
            <w:vAlign w:val="bottom"/>
          </w:tcPr>
          <w:p>
            <w:pPr>
              <w:spacing w:after="0"/>
              <w:rPr>
                <w:sz w:val="20"/>
                <w:szCs w:val="20"/>
                <w:color w:val="auto"/>
              </w:rPr>
            </w:pPr>
            <w:r>
              <w:rPr>
                <w:rFonts w:ascii="Arial" w:cs="Arial" w:eastAsia="Arial" w:hAnsi="Arial"/>
                <w:sz w:val="18"/>
                <w:szCs w:val="18"/>
                <w:color w:val="auto"/>
              </w:rPr>
              <w:t>Net loss per share, basic and diluted</w:t>
            </w:r>
          </w:p>
        </w:tc>
        <w:tc>
          <w:tcPr>
            <w:tcW w:w="19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(3.00)</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(1.75)</w:t>
            </w:r>
          </w:p>
        </w:tc>
      </w:tr>
      <w:tr>
        <w:trPr>
          <w:trHeight w:val="210"/>
        </w:trPr>
        <w:tc>
          <w:tcPr>
            <w:tcW w:w="62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 average common shares outstanding, basic and diluted</w:t>
            </w:r>
          </w:p>
        </w:tc>
        <w:tc>
          <w:tcPr>
            <w:tcW w:w="1580" w:type="dxa"/>
            <w:vAlign w:val="bottom"/>
            <w:tcBorders>
              <w:top w:val="single" w:sz="8" w:color="CFF0FC"/>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43,280,383</w:t>
            </w:r>
          </w:p>
        </w:tc>
        <w:tc>
          <w:tcPr>
            <w:tcW w:w="280" w:type="dxa"/>
            <w:vAlign w:val="bottom"/>
            <w:tcBorders>
              <w:top w:val="single" w:sz="8" w:color="CFF0FC"/>
              <w:bottom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35,427,120</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62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for share amounts)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center"/>
              <w:ind w:left="162"/>
              <w:spacing w:after="0"/>
              <w:rPr>
                <w:sz w:val="20"/>
                <w:szCs w:val="20"/>
                <w:color w:val="auto"/>
              </w:rPr>
            </w:pPr>
            <w:r>
              <w:rPr>
                <w:rFonts w:ascii="Arial" w:cs="Arial" w:eastAsia="Arial" w:hAnsi="Arial"/>
                <w:sz w:val="13"/>
                <w:szCs w:val="13"/>
                <w:b w:val="1"/>
                <w:bCs w:val="1"/>
                <w:color w:val="auto"/>
                <w:w w:val="88"/>
              </w:rPr>
              <w:t>Accumulated</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35"/>
        </w:trPr>
        <w:tc>
          <w:tcPr>
            <w:tcW w:w="34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right"/>
              <w:ind w:right="440"/>
              <w:spacing w:after="0" w:line="135" w:lineRule="exact"/>
              <w:rPr>
                <w:sz w:val="20"/>
                <w:szCs w:val="20"/>
                <w:color w:val="auto"/>
              </w:rPr>
            </w:pPr>
            <w:r>
              <w:rPr>
                <w:rFonts w:ascii="Arial" w:cs="Arial" w:eastAsia="Arial" w:hAnsi="Arial"/>
                <w:sz w:val="13"/>
                <w:szCs w:val="13"/>
                <w:b w:val="1"/>
                <w:bCs w:val="1"/>
                <w:color w:val="auto"/>
                <w:w w:val="97"/>
              </w:rPr>
              <w:t>Additional</w:t>
            </w:r>
          </w:p>
        </w:tc>
        <w:tc>
          <w:tcPr>
            <w:tcW w:w="1060" w:type="dxa"/>
            <w:vAlign w:val="bottom"/>
          </w:tcPr>
          <w:p>
            <w:pPr>
              <w:jc w:val="center"/>
              <w:ind w:left="162"/>
              <w:spacing w:after="0" w:line="135" w:lineRule="exact"/>
              <w:rPr>
                <w:sz w:val="20"/>
                <w:szCs w:val="20"/>
                <w:color w:val="auto"/>
              </w:rPr>
            </w:pPr>
            <w:r>
              <w:rPr>
                <w:rFonts w:ascii="Arial" w:cs="Arial" w:eastAsia="Arial" w:hAnsi="Arial"/>
                <w:sz w:val="13"/>
                <w:szCs w:val="13"/>
                <w:b w:val="1"/>
                <w:bCs w:val="1"/>
                <w:color w:val="auto"/>
                <w:w w:val="92"/>
              </w:rPr>
              <w:t>Other</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9"/>
              </w:rPr>
              <w:t>Total</w:t>
            </w:r>
          </w:p>
        </w:tc>
      </w:tr>
      <w:tr>
        <w:trPr>
          <w:trHeight w:val="153"/>
        </w:trPr>
        <w:tc>
          <w:tcPr>
            <w:tcW w:w="3480" w:type="dxa"/>
            <w:vAlign w:val="bottom"/>
          </w:tcPr>
          <w:p>
            <w:pPr>
              <w:spacing w:after="0"/>
              <w:rPr>
                <w:sz w:val="13"/>
                <w:szCs w:val="13"/>
                <w:color w:val="auto"/>
              </w:rPr>
            </w:pPr>
          </w:p>
        </w:tc>
        <w:tc>
          <w:tcPr>
            <w:tcW w:w="1960" w:type="dxa"/>
            <w:vAlign w:val="bottom"/>
            <w:tcBorders>
              <w:bottom w:val="single" w:sz="8" w:color="auto"/>
            </w:tcBorders>
            <w:gridSpan w:val="3"/>
          </w:tcPr>
          <w:p>
            <w:pPr>
              <w:jc w:val="right"/>
              <w:ind w:right="425"/>
              <w:spacing w:after="0"/>
              <w:rPr>
                <w:sz w:val="20"/>
                <w:szCs w:val="20"/>
                <w:color w:val="auto"/>
              </w:rPr>
            </w:pPr>
            <w:r>
              <w:rPr>
                <w:rFonts w:ascii="Arial" w:cs="Arial" w:eastAsia="Arial" w:hAnsi="Arial"/>
                <w:sz w:val="13"/>
                <w:szCs w:val="13"/>
                <w:b w:val="1"/>
                <w:bCs w:val="1"/>
                <w:color w:val="auto"/>
              </w:rPr>
              <w:t>Common Stock</w:t>
            </w:r>
          </w:p>
        </w:tc>
        <w:tc>
          <w:tcPr>
            <w:tcW w:w="2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rPr>
              <w:t>Paid-in</w:t>
            </w:r>
          </w:p>
        </w:tc>
        <w:tc>
          <w:tcPr>
            <w:tcW w:w="1060" w:type="dxa"/>
            <w:vAlign w:val="bottom"/>
          </w:tcPr>
          <w:p>
            <w:pPr>
              <w:jc w:val="center"/>
              <w:ind w:left="162"/>
              <w:spacing w:after="0"/>
              <w:rPr>
                <w:sz w:val="20"/>
                <w:szCs w:val="20"/>
                <w:color w:val="auto"/>
              </w:rPr>
            </w:pPr>
            <w:r>
              <w:rPr>
                <w:rFonts w:ascii="Arial" w:cs="Arial" w:eastAsia="Arial" w:hAnsi="Arial"/>
                <w:sz w:val="13"/>
                <w:szCs w:val="13"/>
                <w:b w:val="1"/>
                <w:bCs w:val="1"/>
                <w:color w:val="auto"/>
                <w:w w:val="86"/>
              </w:rPr>
              <w:t>Comprehensive</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w w:val="93"/>
              </w:rPr>
              <w:t>Accumulated</w:t>
            </w:r>
          </w:p>
        </w:tc>
        <w:tc>
          <w:tcPr>
            <w:tcW w:w="140" w:type="dxa"/>
            <w:vAlign w:val="bottom"/>
          </w:tcPr>
          <w:p>
            <w:pPr>
              <w:spacing w:after="0"/>
              <w:rPr>
                <w:sz w:val="13"/>
                <w:szCs w:val="13"/>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4"/>
              </w:rPr>
              <w:t>Stockholders'</w:t>
            </w:r>
          </w:p>
        </w:tc>
      </w:tr>
      <w:tr>
        <w:trPr>
          <w:trHeight w:val="142"/>
        </w:trPr>
        <w:tc>
          <w:tcPr>
            <w:tcW w:w="3480" w:type="dxa"/>
            <w:vAlign w:val="bottom"/>
          </w:tcPr>
          <w:p>
            <w:pPr>
              <w:spacing w:after="0"/>
              <w:rPr>
                <w:sz w:val="12"/>
                <w:szCs w:val="12"/>
                <w:color w:val="auto"/>
              </w:rPr>
            </w:pPr>
          </w:p>
        </w:tc>
        <w:tc>
          <w:tcPr>
            <w:tcW w:w="960" w:type="dxa"/>
            <w:vAlign w:val="bottom"/>
          </w:tcPr>
          <w:p>
            <w:pPr>
              <w:jc w:val="right"/>
              <w:ind w:right="237"/>
              <w:spacing w:after="0" w:line="142" w:lineRule="exact"/>
              <w:rPr>
                <w:sz w:val="20"/>
                <w:szCs w:val="20"/>
                <w:color w:val="auto"/>
              </w:rPr>
            </w:pPr>
            <w:r>
              <w:rPr>
                <w:rFonts w:ascii="Arial" w:cs="Arial" w:eastAsia="Arial" w:hAnsi="Arial"/>
                <w:sz w:val="13"/>
                <w:szCs w:val="13"/>
                <w:b w:val="1"/>
                <w:bCs w:val="1"/>
                <w:color w:val="auto"/>
              </w:rPr>
              <w:t>Shares</w:t>
            </w:r>
          </w:p>
        </w:tc>
        <w:tc>
          <w:tcPr>
            <w:tcW w:w="220" w:type="dxa"/>
            <w:vAlign w:val="bottom"/>
          </w:tcPr>
          <w:p>
            <w:pPr>
              <w:spacing w:after="0"/>
              <w:rPr>
                <w:sz w:val="12"/>
                <w:szCs w:val="12"/>
                <w:color w:val="auto"/>
              </w:rPr>
            </w:pPr>
          </w:p>
        </w:tc>
        <w:tc>
          <w:tcPr>
            <w:tcW w:w="780" w:type="dxa"/>
            <w:vAlign w:val="bottom"/>
          </w:tcPr>
          <w:p>
            <w:pPr>
              <w:jc w:val="right"/>
              <w:ind w:right="25"/>
              <w:spacing w:after="0" w:line="142" w:lineRule="exact"/>
              <w:rPr>
                <w:sz w:val="20"/>
                <w:szCs w:val="20"/>
                <w:color w:val="auto"/>
              </w:rPr>
            </w:pPr>
            <w:r>
              <w:rPr>
                <w:rFonts w:ascii="Arial" w:cs="Arial" w:eastAsia="Arial" w:hAnsi="Arial"/>
                <w:sz w:val="13"/>
                <w:szCs w:val="13"/>
                <w:b w:val="1"/>
                <w:bCs w:val="1"/>
                <w:color w:val="auto"/>
              </w:rPr>
              <w:t>Amount</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ind w:right="520"/>
              <w:spacing w:after="0" w:line="142" w:lineRule="exact"/>
              <w:rPr>
                <w:sz w:val="20"/>
                <w:szCs w:val="20"/>
                <w:color w:val="auto"/>
              </w:rPr>
            </w:pPr>
            <w:r>
              <w:rPr>
                <w:rFonts w:ascii="Arial" w:cs="Arial" w:eastAsia="Arial" w:hAnsi="Arial"/>
                <w:sz w:val="13"/>
                <w:szCs w:val="13"/>
                <w:b w:val="1"/>
                <w:bCs w:val="1"/>
                <w:color w:val="auto"/>
              </w:rPr>
              <w:t>Capital</w:t>
            </w:r>
          </w:p>
        </w:tc>
        <w:tc>
          <w:tcPr>
            <w:tcW w:w="1060" w:type="dxa"/>
            <w:vAlign w:val="bottom"/>
          </w:tcPr>
          <w:p>
            <w:pPr>
              <w:jc w:val="center"/>
              <w:ind w:left="162"/>
              <w:spacing w:after="0" w:line="142" w:lineRule="exact"/>
              <w:rPr>
                <w:sz w:val="20"/>
                <w:szCs w:val="20"/>
                <w:color w:val="auto"/>
              </w:rPr>
            </w:pPr>
            <w:r>
              <w:rPr>
                <w:rFonts w:ascii="Arial" w:cs="Arial" w:eastAsia="Arial" w:hAnsi="Arial"/>
                <w:sz w:val="13"/>
                <w:szCs w:val="13"/>
                <w:b w:val="1"/>
                <w:bCs w:val="1"/>
                <w:color w:val="auto"/>
                <w:w w:val="78"/>
              </w:rPr>
              <w:t>Loss</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right"/>
              <w:ind w:right="600"/>
              <w:spacing w:after="0" w:line="142" w:lineRule="exact"/>
              <w:rPr>
                <w:sz w:val="20"/>
                <w:szCs w:val="20"/>
                <w:color w:val="auto"/>
              </w:rPr>
            </w:pPr>
            <w:r>
              <w:rPr>
                <w:rFonts w:ascii="Arial" w:cs="Arial" w:eastAsia="Arial" w:hAnsi="Arial"/>
                <w:sz w:val="13"/>
                <w:szCs w:val="13"/>
                <w:b w:val="1"/>
                <w:bCs w:val="1"/>
                <w:color w:val="auto"/>
              </w:rPr>
              <w:t>Deficit</w:t>
            </w:r>
          </w:p>
        </w:tc>
        <w:tc>
          <w:tcPr>
            <w:tcW w:w="140" w:type="dxa"/>
            <w:vAlign w:val="bottom"/>
          </w:tcPr>
          <w:p>
            <w:pPr>
              <w:spacing w:after="0"/>
              <w:rPr>
                <w:sz w:val="12"/>
                <w:szCs w:val="12"/>
                <w:color w:val="auto"/>
              </w:rPr>
            </w:pPr>
          </w:p>
        </w:tc>
        <w:tc>
          <w:tcPr>
            <w:tcW w:w="1180" w:type="dxa"/>
            <w:vAlign w:val="bottom"/>
            <w:gridSpan w:val="2"/>
          </w:tcPr>
          <w:p>
            <w:pPr>
              <w:jc w:val="center"/>
              <w:ind w:right="260"/>
              <w:spacing w:after="0" w:line="142" w:lineRule="exact"/>
              <w:rPr>
                <w:sz w:val="20"/>
                <w:szCs w:val="20"/>
                <w:color w:val="auto"/>
              </w:rPr>
            </w:pPr>
            <w:r>
              <w:rPr>
                <w:rFonts w:ascii="Arial" w:cs="Arial" w:eastAsia="Arial" w:hAnsi="Arial"/>
                <w:sz w:val="13"/>
                <w:szCs w:val="13"/>
                <w:b w:val="1"/>
                <w:bCs w:val="1"/>
                <w:color w:val="auto"/>
                <w:w w:val="90"/>
              </w:rPr>
              <w:t>Equity</w:t>
            </w:r>
          </w:p>
        </w:tc>
      </w:tr>
      <w:tr>
        <w:trPr>
          <w:trHeight w:val="142"/>
        </w:trPr>
        <w:tc>
          <w:tcPr>
            <w:tcW w:w="3480" w:type="dxa"/>
            <w:vAlign w:val="bottom"/>
            <w:tcBorders>
              <w:top w:val="single" w:sz="8" w:color="CFF0FC"/>
            </w:tcBorders>
            <w:shd w:val="clear" w:color="auto" w:fill="CFF0FC"/>
          </w:tcPr>
          <w:p>
            <w:pPr>
              <w:spacing w:after="0" w:line="142" w:lineRule="exact"/>
              <w:rPr>
                <w:sz w:val="20"/>
                <w:szCs w:val="20"/>
                <w:color w:val="auto"/>
              </w:rPr>
            </w:pPr>
            <w:r>
              <w:rPr>
                <w:rFonts w:ascii="Arial" w:cs="Arial" w:eastAsia="Arial" w:hAnsi="Arial"/>
                <w:sz w:val="13"/>
                <w:szCs w:val="13"/>
                <w:b w:val="1"/>
                <w:bCs w:val="1"/>
                <w:color w:val="auto"/>
              </w:rPr>
              <w:t>Balance as of December 31, 2019</w:t>
            </w:r>
          </w:p>
        </w:tc>
        <w:tc>
          <w:tcPr>
            <w:tcW w:w="96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32,558,307</w:t>
            </w:r>
          </w:p>
        </w:tc>
        <w:tc>
          <w:tcPr>
            <w:tcW w:w="220" w:type="dxa"/>
            <w:vAlign w:val="bottom"/>
            <w:tcBorders>
              <w:top w:val="single" w:sz="8" w:color="CFF0FC"/>
            </w:tcBorders>
            <w:shd w:val="clear" w:color="auto" w:fill="CFF0FC"/>
          </w:tcPr>
          <w:p>
            <w:pPr>
              <w:spacing w:after="0"/>
              <w:rPr>
                <w:sz w:val="12"/>
                <w:szCs w:val="12"/>
                <w:color w:val="auto"/>
              </w:rPr>
            </w:pPr>
          </w:p>
        </w:tc>
        <w:tc>
          <w:tcPr>
            <w:tcW w:w="780" w:type="dxa"/>
            <w:vAlign w:val="bottom"/>
            <w:tcBorders>
              <w:top w:val="single" w:sz="8" w:color="auto"/>
            </w:tcBorders>
            <w:shd w:val="clear" w:color="auto" w:fill="CFF0FC"/>
          </w:tcPr>
          <w:p>
            <w:pPr>
              <w:jc w:val="right"/>
              <w:ind w:right="665"/>
              <w:spacing w:after="0"/>
              <w:rPr>
                <w:sz w:val="20"/>
                <w:szCs w:val="20"/>
                <w:color w:val="auto"/>
              </w:rPr>
            </w:pPr>
            <w:r>
              <w:rPr>
                <w:rFonts w:ascii="Arial" w:cs="Arial" w:eastAsia="Arial" w:hAnsi="Arial"/>
                <w:sz w:val="10"/>
                <w:szCs w:val="10"/>
                <w:b w:val="1"/>
                <w:bCs w:val="1"/>
                <w:color w:val="auto"/>
                <w:w w:val="71"/>
              </w:rPr>
              <w:t>$</w:t>
            </w:r>
          </w:p>
        </w:tc>
        <w:tc>
          <w:tcPr>
            <w:tcW w:w="20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32</w:t>
            </w:r>
          </w:p>
        </w:tc>
        <w:tc>
          <w:tcPr>
            <w:tcW w:w="22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jc w:val="right"/>
              <w:ind w:right="8"/>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712,807</w:t>
            </w:r>
          </w:p>
        </w:tc>
        <w:tc>
          <w:tcPr>
            <w:tcW w:w="220" w:type="dxa"/>
            <w:vAlign w:val="bottom"/>
            <w:tcBorders>
              <w:top w:val="single" w:sz="8" w:color="CFF0FC"/>
            </w:tcBorders>
            <w:shd w:val="clear" w:color="auto" w:fill="CFF0FC"/>
          </w:tcPr>
          <w:p>
            <w:pPr>
              <w:spacing w:after="0"/>
              <w:rPr>
                <w:sz w:val="12"/>
                <w:szCs w:val="12"/>
                <w:color w:val="auto"/>
              </w:rPr>
            </w:pPr>
          </w:p>
        </w:tc>
        <w:tc>
          <w:tcPr>
            <w:tcW w:w="1060" w:type="dxa"/>
            <w:vAlign w:val="bottom"/>
            <w:tcBorders>
              <w:top w:val="single" w:sz="8" w:color="auto"/>
            </w:tcBorders>
            <w:shd w:val="clear" w:color="auto" w:fill="CFF0FC"/>
          </w:tcPr>
          <w:p>
            <w:pPr>
              <w:jc w:val="right"/>
              <w:ind w:right="942"/>
              <w:spacing w:after="0"/>
              <w:rPr>
                <w:sz w:val="20"/>
                <w:szCs w:val="20"/>
                <w:color w:val="auto"/>
              </w:rPr>
            </w:pPr>
            <w:r>
              <w:rPr>
                <w:rFonts w:ascii="Arial" w:cs="Arial" w:eastAsia="Arial" w:hAnsi="Arial"/>
                <w:sz w:val="10"/>
                <w:szCs w:val="10"/>
                <w:b w:val="1"/>
                <w:bCs w:val="1"/>
                <w:color w:val="auto"/>
                <w:w w:val="71"/>
              </w:rPr>
              <w:t>$</w:t>
            </w:r>
          </w:p>
        </w:tc>
        <w:tc>
          <w:tcPr>
            <w:tcW w:w="2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w w:val="72"/>
              </w:rPr>
              <w:t>(201)</w:t>
            </w:r>
          </w:p>
        </w:tc>
        <w:tc>
          <w:tcPr>
            <w:tcW w:w="22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jc w:val="right"/>
              <w:ind w:right="28"/>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(439,421)</w:t>
            </w:r>
          </w:p>
        </w:tc>
        <w:tc>
          <w:tcPr>
            <w:tcW w:w="22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jc w:val="right"/>
              <w:ind w:right="28"/>
              <w:spacing w:after="0"/>
              <w:rPr>
                <w:sz w:val="20"/>
                <w:szCs w:val="20"/>
                <w:color w:val="auto"/>
              </w:rPr>
            </w:pPr>
            <w:r>
              <w:rPr>
                <w:rFonts w:ascii="Arial" w:cs="Arial" w:eastAsia="Arial" w:hAnsi="Arial"/>
                <w:sz w:val="10"/>
                <w:szCs w:val="10"/>
                <w:b w:val="1"/>
                <w:bCs w:val="1"/>
                <w:color w:val="auto"/>
                <w:w w:val="71"/>
              </w:rPr>
              <w:t>$</w:t>
            </w:r>
          </w:p>
        </w:tc>
        <w:tc>
          <w:tcPr>
            <w:tcW w:w="108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273,217</w:t>
            </w:r>
          </w:p>
        </w:tc>
        <w:tc>
          <w:tcPr>
            <w:tcW w:w="100" w:type="dxa"/>
            <w:vAlign w:val="bottom"/>
            <w:tcBorders>
              <w:top w:val="single" w:sz="8" w:color="CFF0FC"/>
            </w:tcBorders>
            <w:shd w:val="clear" w:color="auto" w:fill="CFF0FC"/>
          </w:tcPr>
          <w:p>
            <w:pPr>
              <w:spacing w:after="0"/>
              <w:rPr>
                <w:sz w:val="12"/>
                <w:szCs w:val="12"/>
                <w:color w:val="auto"/>
              </w:rPr>
            </w:pPr>
          </w:p>
        </w:tc>
      </w:tr>
      <w:tr>
        <w:trPr>
          <w:trHeight w:val="134"/>
        </w:trPr>
        <w:tc>
          <w:tcPr>
            <w:tcW w:w="3480" w:type="dxa"/>
            <w:vAlign w:val="bottom"/>
          </w:tcPr>
          <w:p>
            <w:pPr>
              <w:spacing w:after="0" w:line="134" w:lineRule="exact"/>
              <w:rPr>
                <w:sz w:val="20"/>
                <w:szCs w:val="20"/>
                <w:color w:val="auto"/>
              </w:rPr>
            </w:pPr>
            <w:r>
              <w:rPr>
                <w:rFonts w:ascii="Arial" w:cs="Arial" w:eastAsia="Arial" w:hAnsi="Arial"/>
                <w:sz w:val="13"/>
                <w:szCs w:val="13"/>
                <w:color w:val="auto"/>
                <w:w w:val="95"/>
              </w:rPr>
              <w:t>Issuance of common stock under ATM equity offering program,</w:t>
            </w: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3480" w:type="dxa"/>
            <w:vAlign w:val="bottom"/>
          </w:tcPr>
          <w:p>
            <w:pPr>
              <w:spacing w:after="0"/>
              <w:rPr>
                <w:sz w:val="20"/>
                <w:szCs w:val="20"/>
                <w:color w:val="auto"/>
              </w:rPr>
            </w:pPr>
            <w:r>
              <w:rPr>
                <w:rFonts w:ascii="Arial" w:cs="Arial" w:eastAsia="Arial" w:hAnsi="Arial"/>
                <w:sz w:val="13"/>
                <w:szCs w:val="13"/>
                <w:color w:val="auto"/>
              </w:rPr>
              <w:t>net of issuance costs</w:t>
            </w:r>
          </w:p>
        </w:tc>
        <w:tc>
          <w:tcPr>
            <w:tcW w:w="960" w:type="dxa"/>
            <w:vAlign w:val="bottom"/>
          </w:tcPr>
          <w:p>
            <w:pPr>
              <w:jc w:val="right"/>
              <w:spacing w:after="0"/>
              <w:rPr>
                <w:sz w:val="20"/>
                <w:szCs w:val="20"/>
                <w:color w:val="auto"/>
              </w:rPr>
            </w:pPr>
            <w:r>
              <w:rPr>
                <w:rFonts w:ascii="Arial" w:cs="Arial" w:eastAsia="Arial" w:hAnsi="Arial"/>
                <w:sz w:val="13"/>
                <w:szCs w:val="13"/>
                <w:color w:val="auto"/>
              </w:rPr>
              <w:t>892,840</w:t>
            </w: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1</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5,451</w:t>
            </w: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5,452</w:t>
            </w:r>
          </w:p>
        </w:tc>
        <w:tc>
          <w:tcPr>
            <w:tcW w:w="100" w:type="dxa"/>
            <w:vAlign w:val="bottom"/>
          </w:tcPr>
          <w:p>
            <w:pPr>
              <w:spacing w:after="0"/>
              <w:rPr>
                <w:sz w:val="12"/>
                <w:szCs w:val="12"/>
                <w:color w:val="auto"/>
              </w:rPr>
            </w:pPr>
          </w:p>
        </w:tc>
      </w:tr>
      <w:tr>
        <w:trPr>
          <w:trHeight w:val="149"/>
        </w:trPr>
        <w:tc>
          <w:tcPr>
            <w:tcW w:w="3480" w:type="dxa"/>
            <w:vAlign w:val="bottom"/>
            <w:shd w:val="clear" w:color="auto" w:fill="CFF0FC"/>
          </w:tcPr>
          <w:p>
            <w:pPr>
              <w:spacing w:after="0"/>
              <w:rPr>
                <w:sz w:val="20"/>
                <w:szCs w:val="20"/>
                <w:color w:val="auto"/>
              </w:rPr>
            </w:pPr>
            <w:r>
              <w:rPr>
                <w:rFonts w:ascii="Arial" w:cs="Arial" w:eastAsia="Arial" w:hAnsi="Arial"/>
                <w:sz w:val="13"/>
                <w:szCs w:val="13"/>
                <w:color w:val="auto"/>
              </w:rPr>
              <w:t>Issuance of common stock upon exercise of stock options</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175,579</w:t>
            </w: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1,466</w:t>
            </w:r>
          </w:p>
        </w:tc>
        <w:tc>
          <w:tcPr>
            <w:tcW w:w="2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4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1,467</w:t>
            </w:r>
          </w:p>
        </w:tc>
        <w:tc>
          <w:tcPr>
            <w:tcW w:w="100" w:type="dxa"/>
            <w:vAlign w:val="bottom"/>
            <w:shd w:val="clear" w:color="auto" w:fill="CFF0FC"/>
          </w:tcPr>
          <w:p>
            <w:pPr>
              <w:spacing w:after="0"/>
              <w:rPr>
                <w:sz w:val="12"/>
                <w:szCs w:val="12"/>
                <w:color w:val="auto"/>
              </w:rPr>
            </w:pPr>
          </w:p>
        </w:tc>
      </w:tr>
      <w:tr>
        <w:trPr>
          <w:trHeight w:val="134"/>
        </w:trPr>
        <w:tc>
          <w:tcPr>
            <w:tcW w:w="3480" w:type="dxa"/>
            <w:vAlign w:val="bottom"/>
          </w:tcPr>
          <w:p>
            <w:pPr>
              <w:spacing w:after="0" w:line="134" w:lineRule="exact"/>
              <w:rPr>
                <w:sz w:val="20"/>
                <w:szCs w:val="20"/>
                <w:color w:val="auto"/>
              </w:rPr>
            </w:pPr>
            <w:r>
              <w:rPr>
                <w:rFonts w:ascii="Arial" w:cs="Arial" w:eastAsia="Arial" w:hAnsi="Arial"/>
                <w:sz w:val="13"/>
                <w:szCs w:val="13"/>
                <w:color w:val="auto"/>
                <w:w w:val="91"/>
              </w:rPr>
              <w:t>Issuance of common stock under Employee Stock Purchase Plan</w:t>
            </w: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3480" w:type="dxa"/>
            <w:vAlign w:val="bottom"/>
          </w:tcPr>
          <w:p>
            <w:pPr>
              <w:spacing w:after="0"/>
              <w:rPr>
                <w:sz w:val="20"/>
                <w:szCs w:val="20"/>
                <w:color w:val="auto"/>
              </w:rPr>
            </w:pPr>
            <w:r>
              <w:rPr>
                <w:rFonts w:ascii="Arial" w:cs="Arial" w:eastAsia="Arial" w:hAnsi="Arial"/>
                <w:sz w:val="13"/>
                <w:szCs w:val="13"/>
                <w:color w:val="auto"/>
              </w:rPr>
              <w:t>(ESPP)</w:t>
            </w:r>
          </w:p>
        </w:tc>
        <w:tc>
          <w:tcPr>
            <w:tcW w:w="960" w:type="dxa"/>
            <w:vAlign w:val="bottom"/>
          </w:tcPr>
          <w:p>
            <w:pPr>
              <w:jc w:val="right"/>
              <w:spacing w:after="0"/>
              <w:rPr>
                <w:sz w:val="20"/>
                <w:szCs w:val="20"/>
                <w:color w:val="auto"/>
              </w:rPr>
            </w:pPr>
            <w:r>
              <w:rPr>
                <w:rFonts w:ascii="Arial" w:cs="Arial" w:eastAsia="Arial" w:hAnsi="Arial"/>
                <w:sz w:val="13"/>
                <w:szCs w:val="13"/>
                <w:color w:val="auto"/>
              </w:rPr>
              <w:t>86,812</w:t>
            </w: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680</w:t>
            </w: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680</w:t>
            </w:r>
          </w:p>
        </w:tc>
        <w:tc>
          <w:tcPr>
            <w:tcW w:w="100" w:type="dxa"/>
            <w:vAlign w:val="bottom"/>
          </w:tcPr>
          <w:p>
            <w:pPr>
              <w:spacing w:after="0"/>
              <w:rPr>
                <w:sz w:val="12"/>
                <w:szCs w:val="12"/>
                <w:color w:val="auto"/>
              </w:rPr>
            </w:pPr>
          </w:p>
        </w:tc>
      </w:tr>
      <w:tr>
        <w:trPr>
          <w:trHeight w:val="134"/>
        </w:trPr>
        <w:tc>
          <w:tcPr>
            <w:tcW w:w="348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w w:val="92"/>
              </w:rPr>
              <w:t>Issuance of common stock for settlement of restricted stock units</w:t>
            </w:r>
          </w:p>
        </w:tc>
        <w:tc>
          <w:tcPr>
            <w:tcW w:w="9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480" w:type="dxa"/>
            <w:vAlign w:val="bottom"/>
            <w:shd w:val="clear" w:color="auto" w:fill="CFF0FC"/>
          </w:tcPr>
          <w:p>
            <w:pPr>
              <w:spacing w:after="0"/>
              <w:rPr>
                <w:sz w:val="20"/>
                <w:szCs w:val="20"/>
                <w:color w:val="auto"/>
              </w:rPr>
            </w:pPr>
            <w:r>
              <w:rPr>
                <w:rFonts w:ascii="Arial" w:cs="Arial" w:eastAsia="Arial" w:hAnsi="Arial"/>
                <w:sz w:val="13"/>
                <w:szCs w:val="13"/>
                <w:color w:val="auto"/>
              </w:rPr>
              <w:t>(RSUs)</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313,142</w:t>
            </w: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60" w:type="dxa"/>
            <w:vAlign w:val="bottom"/>
            <w:shd w:val="clear" w:color="auto" w:fill="CFF0FC"/>
          </w:tcPr>
          <w:p>
            <w:pPr>
              <w:spacing w:after="0"/>
              <w:rPr>
                <w:sz w:val="12"/>
                <w:szCs w:val="12"/>
                <w:color w:val="auto"/>
              </w:rPr>
            </w:pPr>
          </w:p>
        </w:tc>
        <w:tc>
          <w:tcPr>
            <w:tcW w:w="4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r>
      <w:tr>
        <w:trPr>
          <w:trHeight w:val="148"/>
        </w:trPr>
        <w:tc>
          <w:tcPr>
            <w:tcW w:w="3480" w:type="dxa"/>
            <w:vAlign w:val="bottom"/>
          </w:tcPr>
          <w:p>
            <w:pPr>
              <w:spacing w:after="0"/>
              <w:rPr>
                <w:sz w:val="20"/>
                <w:szCs w:val="20"/>
                <w:color w:val="auto"/>
              </w:rPr>
            </w:pPr>
            <w:r>
              <w:rPr>
                <w:rFonts w:ascii="Arial" w:cs="Arial" w:eastAsia="Arial" w:hAnsi="Arial"/>
                <w:sz w:val="13"/>
                <w:szCs w:val="13"/>
                <w:color w:val="auto"/>
              </w:rPr>
              <w:t>Unrealized loss on marketable debt securities</w:t>
            </w: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60" w:type="dxa"/>
            <w:vAlign w:val="bottom"/>
          </w:tcPr>
          <w:p>
            <w:pPr>
              <w:spacing w:after="0"/>
              <w:rPr>
                <w:sz w:val="12"/>
                <w:szCs w:val="12"/>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3"/>
                <w:szCs w:val="13"/>
                <w:color w:val="auto"/>
              </w:rPr>
              <w:t>(69)</w:t>
            </w:r>
          </w:p>
        </w:tc>
        <w:tc>
          <w:tcPr>
            <w:tcW w:w="140" w:type="dxa"/>
            <w:vAlign w:val="bottom"/>
          </w:tcPr>
          <w:p>
            <w:pPr>
              <w:spacing w:after="0"/>
              <w:rPr>
                <w:sz w:val="12"/>
                <w:szCs w:val="12"/>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3"/>
                <w:szCs w:val="13"/>
                <w:color w:val="auto"/>
              </w:rPr>
              <w:t>(69)</w:t>
            </w:r>
          </w:p>
        </w:tc>
      </w:tr>
      <w:tr>
        <w:trPr>
          <w:trHeight w:val="148"/>
        </w:trPr>
        <w:tc>
          <w:tcPr>
            <w:tcW w:w="3480" w:type="dxa"/>
            <w:vAlign w:val="bottom"/>
            <w:shd w:val="clear" w:color="auto" w:fill="CFF0FC"/>
          </w:tcPr>
          <w:p>
            <w:pPr>
              <w:spacing w:after="0"/>
              <w:rPr>
                <w:sz w:val="20"/>
                <w:szCs w:val="20"/>
                <w:color w:val="auto"/>
              </w:rPr>
            </w:pPr>
            <w:r>
              <w:rPr>
                <w:rFonts w:ascii="Arial" w:cs="Arial" w:eastAsia="Arial" w:hAnsi="Arial"/>
                <w:sz w:val="13"/>
                <w:szCs w:val="13"/>
                <w:color w:val="auto"/>
              </w:rPr>
              <w:t>Stock-based compensation</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21,983</w:t>
            </w:r>
          </w:p>
        </w:tc>
        <w:tc>
          <w:tcPr>
            <w:tcW w:w="2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4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21,983</w:t>
            </w:r>
          </w:p>
        </w:tc>
        <w:tc>
          <w:tcPr>
            <w:tcW w:w="100" w:type="dxa"/>
            <w:vAlign w:val="bottom"/>
            <w:shd w:val="clear" w:color="auto" w:fill="CFF0FC"/>
          </w:tcPr>
          <w:p>
            <w:pPr>
              <w:spacing w:after="0"/>
              <w:rPr>
                <w:sz w:val="12"/>
                <w:szCs w:val="12"/>
                <w:color w:val="auto"/>
              </w:rPr>
            </w:pPr>
          </w:p>
        </w:tc>
      </w:tr>
      <w:tr>
        <w:trPr>
          <w:trHeight w:val="148"/>
        </w:trPr>
        <w:tc>
          <w:tcPr>
            <w:tcW w:w="3480" w:type="dxa"/>
            <w:vAlign w:val="bottom"/>
          </w:tcPr>
          <w:p>
            <w:pPr>
              <w:spacing w:after="0"/>
              <w:rPr>
                <w:sz w:val="20"/>
                <w:szCs w:val="20"/>
                <w:color w:val="auto"/>
              </w:rPr>
            </w:pPr>
            <w:r>
              <w:rPr>
                <w:rFonts w:ascii="Arial" w:cs="Arial" w:eastAsia="Arial" w:hAnsi="Arial"/>
                <w:sz w:val="13"/>
                <w:szCs w:val="13"/>
                <w:color w:val="auto"/>
              </w:rPr>
              <w:t>Net loss</w:t>
            </w: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60" w:type="dxa"/>
            <w:vAlign w:val="bottom"/>
          </w:tcPr>
          <w:p>
            <w:pPr>
              <w:spacing w:after="0"/>
              <w:rPr>
                <w:sz w:val="12"/>
                <w:szCs w:val="12"/>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3"/>
                <w:szCs w:val="13"/>
                <w:color w:val="auto"/>
              </w:rPr>
              <w:t>(62,152)</w:t>
            </w:r>
          </w:p>
        </w:tc>
        <w:tc>
          <w:tcPr>
            <w:tcW w:w="140" w:type="dxa"/>
            <w:vAlign w:val="bottom"/>
          </w:tcPr>
          <w:p>
            <w:pPr>
              <w:spacing w:after="0"/>
              <w:rPr>
                <w:sz w:val="12"/>
                <w:szCs w:val="12"/>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3"/>
                <w:szCs w:val="13"/>
                <w:color w:val="auto"/>
              </w:rPr>
              <w:t>(62,152)</w:t>
            </w:r>
          </w:p>
        </w:tc>
      </w:tr>
      <w:tr>
        <w:trPr>
          <w:trHeight w:val="142"/>
        </w:trPr>
        <w:tc>
          <w:tcPr>
            <w:tcW w:w="3480" w:type="dxa"/>
            <w:vAlign w:val="bottom"/>
            <w:tcBorders>
              <w:top w:val="single" w:sz="8" w:color="CFF0FC"/>
            </w:tcBorders>
            <w:shd w:val="clear" w:color="auto" w:fill="CFF0FC"/>
          </w:tcPr>
          <w:p>
            <w:pPr>
              <w:spacing w:after="0" w:line="142" w:lineRule="exact"/>
              <w:rPr>
                <w:sz w:val="20"/>
                <w:szCs w:val="20"/>
                <w:color w:val="auto"/>
              </w:rPr>
            </w:pPr>
            <w:r>
              <w:rPr>
                <w:rFonts w:ascii="Arial" w:cs="Arial" w:eastAsia="Arial" w:hAnsi="Arial"/>
                <w:sz w:val="13"/>
                <w:szCs w:val="13"/>
                <w:b w:val="1"/>
                <w:bCs w:val="1"/>
                <w:color w:val="auto"/>
              </w:rPr>
              <w:t>Balance as of December 31, 2020</w:t>
            </w:r>
          </w:p>
        </w:tc>
        <w:tc>
          <w:tcPr>
            <w:tcW w:w="96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34,026,680</w:t>
            </w:r>
          </w:p>
        </w:tc>
        <w:tc>
          <w:tcPr>
            <w:tcW w:w="220" w:type="dxa"/>
            <w:vAlign w:val="bottom"/>
            <w:tcBorders>
              <w:top w:val="single" w:sz="8" w:color="CFF0FC"/>
            </w:tcBorders>
            <w:shd w:val="clear" w:color="auto" w:fill="CFF0FC"/>
          </w:tcPr>
          <w:p>
            <w:pPr>
              <w:spacing w:after="0"/>
              <w:rPr>
                <w:sz w:val="12"/>
                <w:szCs w:val="12"/>
                <w:color w:val="auto"/>
              </w:rPr>
            </w:pPr>
          </w:p>
        </w:tc>
        <w:tc>
          <w:tcPr>
            <w:tcW w:w="780" w:type="dxa"/>
            <w:vAlign w:val="bottom"/>
            <w:tcBorders>
              <w:top w:val="single" w:sz="8" w:color="auto"/>
            </w:tcBorders>
            <w:shd w:val="clear" w:color="auto" w:fill="CFF0FC"/>
          </w:tcPr>
          <w:p>
            <w:pPr>
              <w:jc w:val="right"/>
              <w:ind w:right="665"/>
              <w:spacing w:after="0"/>
              <w:rPr>
                <w:sz w:val="20"/>
                <w:szCs w:val="20"/>
                <w:color w:val="auto"/>
              </w:rPr>
            </w:pPr>
            <w:r>
              <w:rPr>
                <w:rFonts w:ascii="Arial" w:cs="Arial" w:eastAsia="Arial" w:hAnsi="Arial"/>
                <w:sz w:val="10"/>
                <w:szCs w:val="10"/>
                <w:b w:val="1"/>
                <w:bCs w:val="1"/>
                <w:color w:val="auto"/>
                <w:w w:val="71"/>
              </w:rPr>
              <w:t>$</w:t>
            </w:r>
          </w:p>
        </w:tc>
        <w:tc>
          <w:tcPr>
            <w:tcW w:w="20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34</w:t>
            </w:r>
          </w:p>
        </w:tc>
        <w:tc>
          <w:tcPr>
            <w:tcW w:w="22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jc w:val="right"/>
              <w:ind w:right="8"/>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742,387</w:t>
            </w:r>
          </w:p>
        </w:tc>
        <w:tc>
          <w:tcPr>
            <w:tcW w:w="220" w:type="dxa"/>
            <w:vAlign w:val="bottom"/>
            <w:tcBorders>
              <w:top w:val="single" w:sz="8" w:color="CFF0FC"/>
            </w:tcBorders>
            <w:shd w:val="clear" w:color="auto" w:fill="CFF0FC"/>
          </w:tcPr>
          <w:p>
            <w:pPr>
              <w:spacing w:after="0"/>
              <w:rPr>
                <w:sz w:val="12"/>
                <w:szCs w:val="12"/>
                <w:color w:val="auto"/>
              </w:rPr>
            </w:pPr>
          </w:p>
        </w:tc>
        <w:tc>
          <w:tcPr>
            <w:tcW w:w="1060" w:type="dxa"/>
            <w:vAlign w:val="bottom"/>
            <w:tcBorders>
              <w:top w:val="single" w:sz="8" w:color="auto"/>
            </w:tcBorders>
            <w:shd w:val="clear" w:color="auto" w:fill="CFF0FC"/>
          </w:tcPr>
          <w:p>
            <w:pPr>
              <w:jc w:val="right"/>
              <w:ind w:right="942"/>
              <w:spacing w:after="0"/>
              <w:rPr>
                <w:sz w:val="20"/>
                <w:szCs w:val="20"/>
                <w:color w:val="auto"/>
              </w:rPr>
            </w:pPr>
            <w:r>
              <w:rPr>
                <w:rFonts w:ascii="Arial" w:cs="Arial" w:eastAsia="Arial" w:hAnsi="Arial"/>
                <w:sz w:val="10"/>
                <w:szCs w:val="10"/>
                <w:b w:val="1"/>
                <w:bCs w:val="1"/>
                <w:color w:val="auto"/>
                <w:w w:val="71"/>
              </w:rPr>
              <w:t>$</w:t>
            </w:r>
          </w:p>
        </w:tc>
        <w:tc>
          <w:tcPr>
            <w:tcW w:w="2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w w:val="72"/>
              </w:rPr>
              <w:t>(270)</w:t>
            </w:r>
          </w:p>
        </w:tc>
        <w:tc>
          <w:tcPr>
            <w:tcW w:w="22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jc w:val="right"/>
              <w:ind w:right="28"/>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(501,573)</w:t>
            </w:r>
          </w:p>
        </w:tc>
        <w:tc>
          <w:tcPr>
            <w:tcW w:w="22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jc w:val="right"/>
              <w:ind w:right="28"/>
              <w:spacing w:after="0"/>
              <w:rPr>
                <w:sz w:val="20"/>
                <w:szCs w:val="20"/>
                <w:color w:val="auto"/>
              </w:rPr>
            </w:pPr>
            <w:r>
              <w:rPr>
                <w:rFonts w:ascii="Arial" w:cs="Arial" w:eastAsia="Arial" w:hAnsi="Arial"/>
                <w:sz w:val="10"/>
                <w:szCs w:val="10"/>
                <w:b w:val="1"/>
                <w:bCs w:val="1"/>
                <w:color w:val="auto"/>
                <w:w w:val="71"/>
              </w:rPr>
              <w:t>$</w:t>
            </w:r>
          </w:p>
        </w:tc>
        <w:tc>
          <w:tcPr>
            <w:tcW w:w="108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240,578</w:t>
            </w:r>
          </w:p>
        </w:tc>
        <w:tc>
          <w:tcPr>
            <w:tcW w:w="100" w:type="dxa"/>
            <w:vAlign w:val="bottom"/>
            <w:tcBorders>
              <w:top w:val="single" w:sz="8" w:color="CFF0FC"/>
            </w:tcBorders>
            <w:shd w:val="clear" w:color="auto" w:fill="CFF0FC"/>
          </w:tcPr>
          <w:p>
            <w:pPr>
              <w:spacing w:after="0"/>
              <w:rPr>
                <w:sz w:val="12"/>
                <w:szCs w:val="12"/>
                <w:color w:val="auto"/>
              </w:rPr>
            </w:pPr>
          </w:p>
        </w:tc>
      </w:tr>
      <w:tr>
        <w:trPr>
          <w:trHeight w:val="134"/>
        </w:trPr>
        <w:tc>
          <w:tcPr>
            <w:tcW w:w="3480" w:type="dxa"/>
            <w:vAlign w:val="bottom"/>
          </w:tcPr>
          <w:p>
            <w:pPr>
              <w:spacing w:after="0" w:line="134" w:lineRule="exact"/>
              <w:rPr>
                <w:sz w:val="20"/>
                <w:szCs w:val="20"/>
                <w:color w:val="auto"/>
              </w:rPr>
            </w:pPr>
            <w:r>
              <w:rPr>
                <w:rFonts w:ascii="Arial" w:cs="Arial" w:eastAsia="Arial" w:hAnsi="Arial"/>
                <w:sz w:val="13"/>
                <w:szCs w:val="13"/>
                <w:color w:val="auto"/>
                <w:w w:val="95"/>
              </w:rPr>
              <w:t>Issuance of common stock under ATM equity offering program,</w:t>
            </w: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3480" w:type="dxa"/>
            <w:vAlign w:val="bottom"/>
          </w:tcPr>
          <w:p>
            <w:pPr>
              <w:spacing w:after="0"/>
              <w:rPr>
                <w:sz w:val="20"/>
                <w:szCs w:val="20"/>
                <w:color w:val="auto"/>
              </w:rPr>
            </w:pPr>
            <w:r>
              <w:rPr>
                <w:rFonts w:ascii="Arial" w:cs="Arial" w:eastAsia="Arial" w:hAnsi="Arial"/>
                <w:sz w:val="13"/>
                <w:szCs w:val="13"/>
                <w:color w:val="auto"/>
              </w:rPr>
              <w:t>net of issuance costs</w:t>
            </w:r>
          </w:p>
        </w:tc>
        <w:tc>
          <w:tcPr>
            <w:tcW w:w="960" w:type="dxa"/>
            <w:vAlign w:val="bottom"/>
          </w:tcPr>
          <w:p>
            <w:pPr>
              <w:jc w:val="right"/>
              <w:spacing w:after="0"/>
              <w:rPr>
                <w:sz w:val="20"/>
                <w:szCs w:val="20"/>
                <w:color w:val="auto"/>
              </w:rPr>
            </w:pPr>
            <w:r>
              <w:rPr>
                <w:rFonts w:ascii="Arial" w:cs="Arial" w:eastAsia="Arial" w:hAnsi="Arial"/>
                <w:sz w:val="13"/>
                <w:szCs w:val="13"/>
                <w:color w:val="auto"/>
              </w:rPr>
              <w:t>11,234,207</w:t>
            </w: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11</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52,795</w:t>
            </w: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52,806</w:t>
            </w:r>
          </w:p>
        </w:tc>
        <w:tc>
          <w:tcPr>
            <w:tcW w:w="100" w:type="dxa"/>
            <w:vAlign w:val="bottom"/>
          </w:tcPr>
          <w:p>
            <w:pPr>
              <w:spacing w:after="0"/>
              <w:rPr>
                <w:sz w:val="12"/>
                <w:szCs w:val="12"/>
                <w:color w:val="auto"/>
              </w:rPr>
            </w:pPr>
          </w:p>
        </w:tc>
      </w:tr>
      <w:tr>
        <w:trPr>
          <w:trHeight w:val="148"/>
        </w:trPr>
        <w:tc>
          <w:tcPr>
            <w:tcW w:w="3480" w:type="dxa"/>
            <w:vAlign w:val="bottom"/>
            <w:shd w:val="clear" w:color="auto" w:fill="CFF0FC"/>
          </w:tcPr>
          <w:p>
            <w:pPr>
              <w:spacing w:after="0"/>
              <w:rPr>
                <w:sz w:val="20"/>
                <w:szCs w:val="20"/>
                <w:color w:val="auto"/>
              </w:rPr>
            </w:pPr>
            <w:r>
              <w:rPr>
                <w:rFonts w:ascii="Arial" w:cs="Arial" w:eastAsia="Arial" w:hAnsi="Arial"/>
                <w:sz w:val="13"/>
                <w:szCs w:val="13"/>
                <w:color w:val="auto"/>
              </w:rPr>
              <w:t>Issuance of common stock under ESPP</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88,820</w:t>
            </w: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258</w:t>
            </w:r>
          </w:p>
        </w:tc>
        <w:tc>
          <w:tcPr>
            <w:tcW w:w="2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4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258</w:t>
            </w:r>
          </w:p>
        </w:tc>
        <w:tc>
          <w:tcPr>
            <w:tcW w:w="100" w:type="dxa"/>
            <w:vAlign w:val="bottom"/>
            <w:shd w:val="clear" w:color="auto" w:fill="CFF0FC"/>
          </w:tcPr>
          <w:p>
            <w:pPr>
              <w:spacing w:after="0"/>
              <w:rPr>
                <w:sz w:val="12"/>
                <w:szCs w:val="12"/>
                <w:color w:val="auto"/>
              </w:rPr>
            </w:pPr>
          </w:p>
        </w:tc>
      </w:tr>
      <w:tr>
        <w:trPr>
          <w:trHeight w:val="148"/>
        </w:trPr>
        <w:tc>
          <w:tcPr>
            <w:tcW w:w="3480" w:type="dxa"/>
            <w:vAlign w:val="bottom"/>
          </w:tcPr>
          <w:p>
            <w:pPr>
              <w:spacing w:after="0"/>
              <w:rPr>
                <w:sz w:val="20"/>
                <w:szCs w:val="20"/>
                <w:color w:val="auto"/>
              </w:rPr>
            </w:pPr>
            <w:r>
              <w:rPr>
                <w:rFonts w:ascii="Arial" w:cs="Arial" w:eastAsia="Arial" w:hAnsi="Arial"/>
                <w:sz w:val="13"/>
                <w:szCs w:val="13"/>
                <w:color w:val="auto"/>
              </w:rPr>
              <w:t>Issuance of common stock for settlement of RSUs</w:t>
            </w:r>
          </w:p>
        </w:tc>
        <w:tc>
          <w:tcPr>
            <w:tcW w:w="960" w:type="dxa"/>
            <w:vAlign w:val="bottom"/>
          </w:tcPr>
          <w:p>
            <w:pPr>
              <w:jc w:val="right"/>
              <w:spacing w:after="0"/>
              <w:rPr>
                <w:sz w:val="20"/>
                <w:szCs w:val="20"/>
                <w:color w:val="auto"/>
              </w:rPr>
            </w:pPr>
            <w:r>
              <w:rPr>
                <w:rFonts w:ascii="Arial" w:cs="Arial" w:eastAsia="Arial" w:hAnsi="Arial"/>
                <w:sz w:val="13"/>
                <w:szCs w:val="13"/>
                <w:color w:val="auto"/>
              </w:rPr>
              <w:t>347,096</w:t>
            </w: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1</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3"/>
                <w:szCs w:val="13"/>
                <w:color w:val="auto"/>
              </w:rPr>
              <w:t>(1)</w:t>
            </w:r>
          </w:p>
        </w:tc>
        <w:tc>
          <w:tcPr>
            <w:tcW w:w="1060" w:type="dxa"/>
            <w:vAlign w:val="bottom"/>
          </w:tcPr>
          <w:p>
            <w:pPr>
              <w:spacing w:after="0"/>
              <w:rPr>
                <w:sz w:val="12"/>
                <w:szCs w:val="12"/>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134"/>
        </w:trPr>
        <w:tc>
          <w:tcPr>
            <w:tcW w:w="348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w w:val="92"/>
              </w:rPr>
              <w:t>Issuance of common stock upon cashless exercise of pre-funded</w:t>
            </w:r>
          </w:p>
        </w:tc>
        <w:tc>
          <w:tcPr>
            <w:tcW w:w="9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480" w:type="dxa"/>
            <w:vAlign w:val="bottom"/>
            <w:shd w:val="clear" w:color="auto" w:fill="CFF0FC"/>
          </w:tcPr>
          <w:p>
            <w:pPr>
              <w:spacing w:after="0"/>
              <w:rPr>
                <w:sz w:val="20"/>
                <w:szCs w:val="20"/>
                <w:color w:val="auto"/>
              </w:rPr>
            </w:pPr>
            <w:r>
              <w:rPr>
                <w:rFonts w:ascii="Arial" w:cs="Arial" w:eastAsia="Arial" w:hAnsi="Arial"/>
                <w:sz w:val="13"/>
                <w:szCs w:val="13"/>
                <w:color w:val="auto"/>
              </w:rPr>
              <w:t>warrants</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2,423,634</w:t>
            </w: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(2)</w:t>
            </w:r>
          </w:p>
        </w:tc>
        <w:tc>
          <w:tcPr>
            <w:tcW w:w="1060" w:type="dxa"/>
            <w:vAlign w:val="bottom"/>
            <w:shd w:val="clear" w:color="auto" w:fill="CFF0FC"/>
          </w:tcPr>
          <w:p>
            <w:pPr>
              <w:spacing w:after="0"/>
              <w:rPr>
                <w:sz w:val="12"/>
                <w:szCs w:val="12"/>
                <w:color w:val="auto"/>
              </w:rPr>
            </w:pPr>
          </w:p>
        </w:tc>
        <w:tc>
          <w:tcPr>
            <w:tcW w:w="4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r>
      <w:tr>
        <w:trPr>
          <w:trHeight w:val="148"/>
        </w:trPr>
        <w:tc>
          <w:tcPr>
            <w:tcW w:w="3480" w:type="dxa"/>
            <w:vAlign w:val="bottom"/>
          </w:tcPr>
          <w:p>
            <w:pPr>
              <w:spacing w:after="0"/>
              <w:rPr>
                <w:sz w:val="20"/>
                <w:szCs w:val="20"/>
                <w:color w:val="auto"/>
              </w:rPr>
            </w:pPr>
            <w:r>
              <w:rPr>
                <w:rFonts w:ascii="Arial" w:cs="Arial" w:eastAsia="Arial" w:hAnsi="Arial"/>
                <w:sz w:val="13"/>
                <w:szCs w:val="13"/>
                <w:color w:val="auto"/>
              </w:rPr>
              <w:t>Unrealized loss on marketable debt securities</w:t>
            </w: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60" w:type="dxa"/>
            <w:vAlign w:val="bottom"/>
          </w:tcPr>
          <w:p>
            <w:pPr>
              <w:spacing w:after="0"/>
              <w:rPr>
                <w:sz w:val="12"/>
                <w:szCs w:val="12"/>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3"/>
                <w:szCs w:val="13"/>
                <w:color w:val="auto"/>
                <w:w w:val="85"/>
              </w:rPr>
              <w:t>(149)</w:t>
            </w:r>
          </w:p>
        </w:tc>
        <w:tc>
          <w:tcPr>
            <w:tcW w:w="140" w:type="dxa"/>
            <w:vAlign w:val="bottom"/>
          </w:tcPr>
          <w:p>
            <w:pPr>
              <w:spacing w:after="0"/>
              <w:rPr>
                <w:sz w:val="12"/>
                <w:szCs w:val="12"/>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3"/>
                <w:szCs w:val="13"/>
                <w:color w:val="auto"/>
              </w:rPr>
              <w:t>(149)</w:t>
            </w:r>
          </w:p>
        </w:tc>
      </w:tr>
      <w:tr>
        <w:trPr>
          <w:trHeight w:val="148"/>
        </w:trPr>
        <w:tc>
          <w:tcPr>
            <w:tcW w:w="3480" w:type="dxa"/>
            <w:vAlign w:val="bottom"/>
            <w:shd w:val="clear" w:color="auto" w:fill="CFF0FC"/>
          </w:tcPr>
          <w:p>
            <w:pPr>
              <w:spacing w:after="0"/>
              <w:rPr>
                <w:sz w:val="20"/>
                <w:szCs w:val="20"/>
                <w:color w:val="auto"/>
              </w:rPr>
            </w:pPr>
            <w:r>
              <w:rPr>
                <w:rFonts w:ascii="Arial" w:cs="Arial" w:eastAsia="Arial" w:hAnsi="Arial"/>
                <w:sz w:val="13"/>
                <w:szCs w:val="13"/>
                <w:color w:val="auto"/>
              </w:rPr>
              <w:t>Stock-based compensation</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5,291</w:t>
            </w:r>
          </w:p>
        </w:tc>
        <w:tc>
          <w:tcPr>
            <w:tcW w:w="2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4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5,291</w:t>
            </w:r>
          </w:p>
        </w:tc>
        <w:tc>
          <w:tcPr>
            <w:tcW w:w="100" w:type="dxa"/>
            <w:vAlign w:val="bottom"/>
            <w:shd w:val="clear" w:color="auto" w:fill="CFF0FC"/>
          </w:tcPr>
          <w:p>
            <w:pPr>
              <w:spacing w:after="0"/>
              <w:rPr>
                <w:sz w:val="12"/>
                <w:szCs w:val="12"/>
                <w:color w:val="auto"/>
              </w:rPr>
            </w:pPr>
          </w:p>
        </w:tc>
      </w:tr>
      <w:tr>
        <w:trPr>
          <w:trHeight w:val="148"/>
        </w:trPr>
        <w:tc>
          <w:tcPr>
            <w:tcW w:w="3480" w:type="dxa"/>
            <w:vAlign w:val="bottom"/>
          </w:tcPr>
          <w:p>
            <w:pPr>
              <w:spacing w:after="0"/>
              <w:rPr>
                <w:sz w:val="20"/>
                <w:szCs w:val="20"/>
                <w:color w:val="auto"/>
              </w:rPr>
            </w:pPr>
            <w:r>
              <w:rPr>
                <w:rFonts w:ascii="Arial" w:cs="Arial" w:eastAsia="Arial" w:hAnsi="Arial"/>
                <w:sz w:val="13"/>
                <w:szCs w:val="13"/>
                <w:color w:val="auto"/>
              </w:rPr>
              <w:t>Net loss</w:t>
            </w: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60" w:type="dxa"/>
            <w:vAlign w:val="bottom"/>
          </w:tcPr>
          <w:p>
            <w:pPr>
              <w:spacing w:after="0"/>
              <w:rPr>
                <w:sz w:val="12"/>
                <w:szCs w:val="12"/>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3"/>
                <w:szCs w:val="13"/>
                <w:color w:val="auto"/>
              </w:rPr>
              <w:t>(129,855)</w:t>
            </w:r>
          </w:p>
        </w:tc>
        <w:tc>
          <w:tcPr>
            <w:tcW w:w="140" w:type="dxa"/>
            <w:vAlign w:val="bottom"/>
          </w:tcPr>
          <w:p>
            <w:pPr>
              <w:spacing w:after="0"/>
              <w:rPr>
                <w:sz w:val="12"/>
                <w:szCs w:val="12"/>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3"/>
                <w:szCs w:val="13"/>
                <w:color w:val="auto"/>
              </w:rPr>
              <w:t>(129,855)</w:t>
            </w:r>
          </w:p>
        </w:tc>
      </w:tr>
      <w:tr>
        <w:trPr>
          <w:trHeight w:val="142"/>
        </w:trPr>
        <w:tc>
          <w:tcPr>
            <w:tcW w:w="3480" w:type="dxa"/>
            <w:vAlign w:val="bottom"/>
            <w:tcBorders>
              <w:top w:val="single" w:sz="8" w:color="CFF0FC"/>
              <w:bottom w:val="single" w:sz="8" w:color="CFF0FC"/>
            </w:tcBorders>
            <w:shd w:val="clear" w:color="auto" w:fill="CFF0FC"/>
          </w:tcPr>
          <w:p>
            <w:pPr>
              <w:spacing w:after="0" w:line="142" w:lineRule="exact"/>
              <w:rPr>
                <w:sz w:val="20"/>
                <w:szCs w:val="20"/>
                <w:color w:val="auto"/>
              </w:rPr>
            </w:pPr>
            <w:r>
              <w:rPr>
                <w:rFonts w:ascii="Arial" w:cs="Arial" w:eastAsia="Arial" w:hAnsi="Arial"/>
                <w:sz w:val="13"/>
                <w:szCs w:val="13"/>
                <w:b w:val="1"/>
                <w:bCs w:val="1"/>
                <w:color w:val="auto"/>
              </w:rPr>
              <w:t>Balance as of December 31, 2021</w:t>
            </w:r>
          </w:p>
        </w:tc>
        <w:tc>
          <w:tcPr>
            <w:tcW w:w="9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48,120,437</w:t>
            </w:r>
          </w:p>
        </w:tc>
        <w:tc>
          <w:tcPr>
            <w:tcW w:w="220" w:type="dxa"/>
            <w:vAlign w:val="bottom"/>
            <w:tcBorders>
              <w:top w:val="single" w:sz="8" w:color="CFF0FC"/>
              <w:bottom w:val="single" w:sz="8" w:color="CFF0FC"/>
            </w:tcBorders>
            <w:shd w:val="clear" w:color="auto" w:fill="CFF0FC"/>
          </w:tcPr>
          <w:p>
            <w:pPr>
              <w:spacing w:after="0"/>
              <w:rPr>
                <w:sz w:val="12"/>
                <w:szCs w:val="12"/>
                <w:color w:val="auto"/>
              </w:rPr>
            </w:pPr>
          </w:p>
        </w:tc>
        <w:tc>
          <w:tcPr>
            <w:tcW w:w="780" w:type="dxa"/>
            <w:vAlign w:val="bottom"/>
            <w:tcBorders>
              <w:top w:val="single" w:sz="8" w:color="auto"/>
              <w:bottom w:val="single" w:sz="8" w:color="auto"/>
            </w:tcBorders>
            <w:shd w:val="clear" w:color="auto" w:fill="CFF0FC"/>
          </w:tcPr>
          <w:p>
            <w:pPr>
              <w:jc w:val="right"/>
              <w:ind w:right="665"/>
              <w:spacing w:after="0"/>
              <w:rPr>
                <w:sz w:val="20"/>
                <w:szCs w:val="20"/>
                <w:color w:val="auto"/>
              </w:rPr>
            </w:pPr>
            <w:r>
              <w:rPr>
                <w:rFonts w:ascii="Arial" w:cs="Arial" w:eastAsia="Arial" w:hAnsi="Arial"/>
                <w:sz w:val="10"/>
                <w:szCs w:val="10"/>
                <w:b w:val="1"/>
                <w:bCs w:val="1"/>
                <w:color w:val="auto"/>
                <w:w w:val="71"/>
              </w:rPr>
              <w:t>$</w:t>
            </w:r>
          </w:p>
        </w:tc>
        <w:tc>
          <w:tcPr>
            <w:tcW w:w="2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48</w:t>
            </w:r>
          </w:p>
        </w:tc>
        <w:tc>
          <w:tcPr>
            <w:tcW w:w="220" w:type="dxa"/>
            <w:vAlign w:val="bottom"/>
            <w:tcBorders>
              <w:top w:val="single" w:sz="8" w:color="CFF0FC"/>
              <w:bottom w:val="single" w:sz="8" w:color="CFF0FC"/>
            </w:tcBorders>
            <w:shd w:val="clear" w:color="auto" w:fill="CFF0FC"/>
          </w:tcPr>
          <w:p>
            <w:pPr>
              <w:spacing w:after="0"/>
              <w:rPr>
                <w:sz w:val="12"/>
                <w:szCs w:val="12"/>
                <w:color w:val="auto"/>
              </w:rPr>
            </w:pPr>
          </w:p>
        </w:tc>
        <w:tc>
          <w:tcPr>
            <w:tcW w:w="12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800,728</w:t>
            </w:r>
          </w:p>
        </w:tc>
        <w:tc>
          <w:tcPr>
            <w:tcW w:w="220" w:type="dxa"/>
            <w:vAlign w:val="bottom"/>
            <w:tcBorders>
              <w:top w:val="single" w:sz="8" w:color="CFF0FC"/>
              <w:bottom w:val="single" w:sz="8" w:color="CFF0FC"/>
            </w:tcBorders>
            <w:shd w:val="clear" w:color="auto" w:fill="CFF0FC"/>
          </w:tcPr>
          <w:p>
            <w:pPr>
              <w:spacing w:after="0"/>
              <w:rPr>
                <w:sz w:val="12"/>
                <w:szCs w:val="12"/>
                <w:color w:val="auto"/>
              </w:rPr>
            </w:pPr>
          </w:p>
        </w:tc>
        <w:tc>
          <w:tcPr>
            <w:tcW w:w="1060" w:type="dxa"/>
            <w:vAlign w:val="bottom"/>
            <w:tcBorders>
              <w:top w:val="single" w:sz="8" w:color="auto"/>
              <w:bottom w:val="single" w:sz="8" w:color="auto"/>
            </w:tcBorders>
            <w:shd w:val="clear" w:color="auto" w:fill="CFF0FC"/>
          </w:tcPr>
          <w:p>
            <w:pPr>
              <w:jc w:val="right"/>
              <w:ind w:right="942"/>
              <w:spacing w:after="0"/>
              <w:rPr>
                <w:sz w:val="20"/>
                <w:szCs w:val="20"/>
                <w:color w:val="auto"/>
              </w:rPr>
            </w:pPr>
            <w:r>
              <w:rPr>
                <w:rFonts w:ascii="Arial" w:cs="Arial" w:eastAsia="Arial" w:hAnsi="Arial"/>
                <w:sz w:val="10"/>
                <w:szCs w:val="10"/>
                <w:b w:val="1"/>
                <w:bCs w:val="1"/>
                <w:color w:val="auto"/>
                <w:w w:val="71"/>
              </w:rPr>
              <w:t>$</w:t>
            </w:r>
          </w:p>
        </w:tc>
        <w:tc>
          <w:tcPr>
            <w:tcW w:w="2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w w:val="72"/>
              </w:rPr>
              <w:t>(419)</w:t>
            </w:r>
          </w:p>
        </w:tc>
        <w:tc>
          <w:tcPr>
            <w:tcW w:w="220" w:type="dxa"/>
            <w:vAlign w:val="bottom"/>
            <w:tcBorders>
              <w:top w:val="single" w:sz="8" w:color="CFF0FC"/>
              <w:bottom w:val="single" w:sz="8" w:color="CFF0FC"/>
            </w:tcBorders>
            <w:shd w:val="clear" w:color="auto" w:fill="CFF0FC"/>
          </w:tcPr>
          <w:p>
            <w:pPr>
              <w:spacing w:after="0"/>
              <w:rPr>
                <w:sz w:val="12"/>
                <w:szCs w:val="12"/>
                <w:color w:val="auto"/>
              </w:rPr>
            </w:pPr>
          </w:p>
        </w:tc>
        <w:tc>
          <w:tcPr>
            <w:tcW w:w="140" w:type="dxa"/>
            <w:vAlign w:val="bottom"/>
            <w:tcBorders>
              <w:top w:val="single" w:sz="8" w:color="auto"/>
              <w:bottom w:val="single" w:sz="8" w:color="auto"/>
            </w:tcBorders>
            <w:shd w:val="clear" w:color="auto" w:fill="CFF0FC"/>
          </w:tcPr>
          <w:p>
            <w:pPr>
              <w:jc w:val="right"/>
              <w:ind w:right="28"/>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(631,428)</w:t>
            </w:r>
          </w:p>
        </w:tc>
        <w:tc>
          <w:tcPr>
            <w:tcW w:w="220" w:type="dxa"/>
            <w:vAlign w:val="bottom"/>
            <w:tcBorders>
              <w:top w:val="single" w:sz="8" w:color="CFF0FC"/>
              <w:bottom w:val="single" w:sz="8" w:color="CFF0FC"/>
            </w:tcBorders>
            <w:shd w:val="clear" w:color="auto" w:fill="CFF0FC"/>
          </w:tcPr>
          <w:p>
            <w:pPr>
              <w:spacing w:after="0"/>
              <w:rPr>
                <w:sz w:val="12"/>
                <w:szCs w:val="12"/>
                <w:color w:val="auto"/>
              </w:rPr>
            </w:pPr>
          </w:p>
        </w:tc>
        <w:tc>
          <w:tcPr>
            <w:tcW w:w="140" w:type="dxa"/>
            <w:vAlign w:val="bottom"/>
            <w:tcBorders>
              <w:top w:val="single" w:sz="8" w:color="auto"/>
              <w:bottom w:val="single" w:sz="8" w:color="auto"/>
            </w:tcBorders>
            <w:shd w:val="clear" w:color="auto" w:fill="CFF0FC"/>
          </w:tcPr>
          <w:p>
            <w:pPr>
              <w:jc w:val="right"/>
              <w:ind w:right="28"/>
              <w:spacing w:after="0"/>
              <w:rPr>
                <w:sz w:val="20"/>
                <w:szCs w:val="20"/>
                <w:color w:val="auto"/>
              </w:rPr>
            </w:pPr>
            <w:r>
              <w:rPr>
                <w:rFonts w:ascii="Arial" w:cs="Arial" w:eastAsia="Arial" w:hAnsi="Arial"/>
                <w:sz w:val="10"/>
                <w:szCs w:val="10"/>
                <w:b w:val="1"/>
                <w:bCs w:val="1"/>
                <w:color w:val="auto"/>
                <w:w w:val="71"/>
              </w:rPr>
              <w:t>$</w:t>
            </w:r>
          </w:p>
        </w:tc>
        <w:tc>
          <w:tcPr>
            <w:tcW w:w="10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168,929</w:t>
            </w:r>
          </w:p>
        </w:tc>
        <w:tc>
          <w:tcPr>
            <w:tcW w:w="100" w:type="dxa"/>
            <w:vAlign w:val="bottom"/>
            <w:tcBorders>
              <w:top w:val="single" w:sz="8" w:color="CFF0FC"/>
              <w:bottom w:val="single" w:sz="8" w:color="CFF0FC"/>
            </w:tcBorders>
            <w:shd w:val="clear" w:color="auto" w:fill="CFF0FC"/>
          </w:tcPr>
          <w:p>
            <w:pPr>
              <w:spacing w:after="0"/>
              <w:rPr>
                <w:sz w:val="12"/>
                <w:szCs w:val="12"/>
                <w:color w:val="auto"/>
              </w:rPr>
            </w:pPr>
          </w:p>
        </w:tc>
      </w:tr>
      <w:tr>
        <w:trPr>
          <w:trHeight w:val="20"/>
        </w:trPr>
        <w:tc>
          <w:tcPr>
            <w:tcW w:w="34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jc w:val="center"/>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40" w:type="dxa"/>
            <w:vAlign w:val="bottom"/>
            <w:tcBorders>
              <w:bottom w:val="single" w:sz="8" w:color="auto"/>
            </w:tcBorders>
            <w:gridSpan w:val="4"/>
          </w:tcPr>
          <w:p>
            <w:pPr>
              <w:jc w:val="right"/>
              <w:ind w:right="103"/>
              <w:spacing w:after="0"/>
              <w:rPr>
                <w:sz w:val="20"/>
                <w:szCs w:val="20"/>
                <w:color w:val="auto"/>
              </w:rPr>
            </w:pPr>
            <w:r>
              <w:rPr>
                <w:rFonts w:ascii="Arial" w:cs="Arial" w:eastAsia="Arial" w:hAnsi="Arial"/>
                <w:sz w:val="16"/>
                <w:szCs w:val="16"/>
                <w:b w:val="1"/>
                <w:bCs w:val="1"/>
                <w:color w:val="auto"/>
              </w:rPr>
              <w:t>Year Ended December 31,</w:t>
            </w:r>
          </w:p>
        </w:tc>
        <w:tc>
          <w:tcPr>
            <w:tcW w:w="6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00" w:type="dxa"/>
            <w:vAlign w:val="bottom"/>
            <w:tcBorders>
              <w:bottom w:val="single" w:sz="8" w:color="CFF0FC"/>
            </w:tcBorders>
          </w:tcPr>
          <w:p>
            <w:pPr>
              <w:spacing w:after="0"/>
              <w:rPr>
                <w:sz w:val="18"/>
                <w:szCs w:val="18"/>
                <w:color w:val="auto"/>
              </w:rPr>
            </w:pPr>
          </w:p>
        </w:tc>
        <w:tc>
          <w:tcPr>
            <w:tcW w:w="280" w:type="dxa"/>
            <w:vAlign w:val="bottom"/>
            <w:tcBorders>
              <w:bottom w:val="single" w:sz="8" w:color="CFF0FC"/>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600" w:type="dxa"/>
            <w:vAlign w:val="bottom"/>
            <w:tcBorders>
              <w:bottom w:val="single" w:sz="8" w:color="auto"/>
            </w:tcBorders>
          </w:tcPr>
          <w:p>
            <w:pPr>
              <w:spacing w:after="0"/>
              <w:rPr>
                <w:sz w:val="18"/>
                <w:szCs w:val="18"/>
                <w:color w:val="auto"/>
              </w:rPr>
            </w:pPr>
          </w:p>
        </w:tc>
        <w:tc>
          <w:tcPr>
            <w:tcW w:w="300" w:type="dxa"/>
            <w:vAlign w:val="bottom"/>
            <w:tcBorders>
              <w:bottom w:val="single" w:sz="8" w:color="CFF0FC"/>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5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00" w:type="dxa"/>
            <w:vAlign w:val="bottom"/>
          </w:tcPr>
          <w:p>
            <w:pPr>
              <w:spacing w:after="0"/>
              <w:rPr>
                <w:sz w:val="20"/>
                <w:szCs w:val="20"/>
                <w:color w:val="auto"/>
              </w:rPr>
            </w:pPr>
            <w:r>
              <w:rPr>
                <w:rFonts w:ascii="Arial" w:cs="Arial" w:eastAsia="Arial" w:hAnsi="Arial"/>
                <w:sz w:val="16"/>
                <w:szCs w:val="16"/>
                <w:color w:val="auto"/>
              </w:rPr>
              <w:t>Net loss</w:t>
            </w:r>
          </w:p>
        </w:tc>
        <w:tc>
          <w:tcPr>
            <w:tcW w:w="1200" w:type="dxa"/>
            <w:vAlign w:val="bottom"/>
            <w:gridSpan w:val="2"/>
          </w:tcPr>
          <w:p>
            <w:pPr>
              <w:jc w:val="right"/>
              <w:ind w:right="761"/>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w w:val="93"/>
              </w:rPr>
              <w:t>(129,855)</w:t>
            </w:r>
          </w:p>
        </w:tc>
        <w:tc>
          <w:tcPr>
            <w:tcW w:w="920" w:type="dxa"/>
            <w:vAlign w:val="bottom"/>
          </w:tcPr>
          <w:p>
            <w:pPr>
              <w:jc w:val="right"/>
              <w:ind w:right="763"/>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(62,152)</w:t>
            </w:r>
          </w:p>
        </w:tc>
        <w:tc>
          <w:tcPr>
            <w:tcW w:w="0" w:type="dxa"/>
            <w:vAlign w:val="bottom"/>
          </w:tcPr>
          <w:p>
            <w:pPr>
              <w:spacing w:after="0"/>
              <w:rPr>
                <w:sz w:val="1"/>
                <w:szCs w:val="1"/>
                <w:color w:val="auto"/>
              </w:rPr>
            </w:pPr>
          </w:p>
        </w:tc>
      </w:tr>
      <w:tr>
        <w:trPr>
          <w:trHeight w:val="219"/>
        </w:trPr>
        <w:tc>
          <w:tcPr>
            <w:tcW w:w="7500" w:type="dxa"/>
            <w:vAlign w:val="bottom"/>
            <w:shd w:val="clear" w:color="auto" w:fill="CFF0FC"/>
          </w:tcPr>
          <w:p>
            <w:pPr>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500" w:type="dxa"/>
            <w:vAlign w:val="bottom"/>
          </w:tcPr>
          <w:p>
            <w:pPr>
              <w:ind w:left="260"/>
              <w:spacing w:after="0"/>
              <w:rPr>
                <w:sz w:val="20"/>
                <w:szCs w:val="20"/>
                <w:color w:val="auto"/>
              </w:rPr>
            </w:pPr>
            <w:r>
              <w:rPr>
                <w:rFonts w:ascii="Arial" w:cs="Arial" w:eastAsia="Arial" w:hAnsi="Arial"/>
                <w:sz w:val="16"/>
                <w:szCs w:val="16"/>
                <w:color w:val="auto"/>
              </w:rPr>
              <w:t>Impairment of goodwill and indefinite-lived intangible asset</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41,638</w:t>
            </w: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5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Depreciation and amortization</w:t>
            </w: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466</w:t>
            </w: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500" w:type="dxa"/>
            <w:vAlign w:val="bottom"/>
          </w:tcPr>
          <w:p>
            <w:pPr>
              <w:ind w:left="260"/>
              <w:spacing w:after="0"/>
              <w:rPr>
                <w:sz w:val="20"/>
                <w:szCs w:val="20"/>
                <w:color w:val="auto"/>
              </w:rPr>
            </w:pPr>
            <w:r>
              <w:rPr>
                <w:rFonts w:ascii="Arial" w:cs="Arial" w:eastAsia="Arial" w:hAnsi="Arial"/>
                <w:sz w:val="16"/>
                <w:szCs w:val="16"/>
                <w:color w:val="auto"/>
              </w:rPr>
              <w:t>Non-cash in-process research and development (IPR&amp;D) expense</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9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1,750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5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Stock-based compensation</w:t>
            </w: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5,237</w:t>
            </w: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21,853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500" w:type="dxa"/>
            <w:vAlign w:val="bottom"/>
          </w:tcPr>
          <w:p>
            <w:pPr>
              <w:ind w:left="260"/>
              <w:spacing w:after="0"/>
              <w:rPr>
                <w:sz w:val="20"/>
                <w:szCs w:val="20"/>
                <w:color w:val="auto"/>
              </w:rPr>
            </w:pPr>
            <w:r>
              <w:rPr>
                <w:rFonts w:ascii="Arial" w:cs="Arial" w:eastAsia="Arial" w:hAnsi="Arial"/>
                <w:sz w:val="16"/>
                <w:szCs w:val="16"/>
                <w:color w:val="auto"/>
              </w:rPr>
              <w:t>Net accretion and amortization of investments in marketable debt securities</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586</w:t>
            </w: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9"/>
        </w:trPr>
        <w:tc>
          <w:tcPr>
            <w:tcW w:w="75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Non-cash rent expense</w:t>
            </w: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3,840</w:t>
            </w: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500" w:type="dxa"/>
            <w:vAlign w:val="bottom"/>
          </w:tcPr>
          <w:p>
            <w:pPr>
              <w:ind w:left="260"/>
              <w:spacing w:after="0"/>
              <w:rPr>
                <w:sz w:val="20"/>
                <w:szCs w:val="20"/>
                <w:color w:val="auto"/>
              </w:rPr>
            </w:pPr>
            <w:r>
              <w:rPr>
                <w:rFonts w:ascii="Arial" w:cs="Arial" w:eastAsia="Arial" w:hAnsi="Arial"/>
                <w:sz w:val="16"/>
                <w:szCs w:val="16"/>
                <w:color w:val="auto"/>
              </w:rPr>
              <w:t>Deferred income tax benefit</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(2,531)</w:t>
            </w:r>
          </w:p>
        </w:tc>
        <w:tc>
          <w:tcPr>
            <w:tcW w:w="9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5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Loss on disposal of property and equipment</w:t>
            </w: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1,624</w:t>
            </w: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500" w:type="dxa"/>
            <w:vAlign w:val="bottom"/>
          </w:tcPr>
          <w:p>
            <w:pPr>
              <w:ind w:left="260"/>
              <w:spacing w:after="0"/>
              <w:rPr>
                <w:sz w:val="20"/>
                <w:szCs w:val="20"/>
                <w:color w:val="auto"/>
              </w:rPr>
            </w:pPr>
            <w:r>
              <w:rPr>
                <w:rFonts w:ascii="Arial" w:cs="Arial" w:eastAsia="Arial" w:hAnsi="Arial"/>
                <w:sz w:val="16"/>
                <w:szCs w:val="16"/>
                <w:color w:val="auto"/>
              </w:rPr>
              <w:t>Gain on the sale of Microbiome assets</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(3,000)</w:t>
            </w:r>
          </w:p>
        </w:tc>
        <w:tc>
          <w:tcPr>
            <w:tcW w:w="9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5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Changes in operating assets and liabilities:</w:t>
            </w: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500" w:type="dxa"/>
            <w:vAlign w:val="bottom"/>
          </w:tcPr>
          <w:p>
            <w:pPr>
              <w:ind w:left="500"/>
              <w:spacing w:after="0"/>
              <w:rPr>
                <w:sz w:val="20"/>
                <w:szCs w:val="20"/>
                <w:color w:val="auto"/>
              </w:rPr>
            </w:pPr>
            <w:r>
              <w:rPr>
                <w:rFonts w:ascii="Arial" w:cs="Arial" w:eastAsia="Arial" w:hAnsi="Arial"/>
                <w:sz w:val="16"/>
                <w:szCs w:val="16"/>
                <w:color w:val="auto"/>
              </w:rPr>
              <w:t>Accounts receivable from collaboration</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894</w:t>
            </w: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2,144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5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Prepaid expenses and other current assets</w:t>
            </w: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1,109</w:t>
            </w: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(1,487)</w:t>
            </w:r>
          </w:p>
        </w:tc>
        <w:tc>
          <w:tcPr>
            <w:tcW w:w="0" w:type="dxa"/>
            <w:vAlign w:val="bottom"/>
          </w:tcPr>
          <w:p>
            <w:pPr>
              <w:spacing w:after="0"/>
              <w:rPr>
                <w:sz w:val="1"/>
                <w:szCs w:val="1"/>
                <w:color w:val="auto"/>
              </w:rPr>
            </w:pPr>
          </w:p>
        </w:tc>
      </w:tr>
      <w:tr>
        <w:trPr>
          <w:trHeight w:val="213"/>
        </w:trPr>
        <w:tc>
          <w:tcPr>
            <w:tcW w:w="7500" w:type="dxa"/>
            <w:vAlign w:val="bottom"/>
          </w:tcPr>
          <w:p>
            <w:pPr>
              <w:ind w:left="500"/>
              <w:spacing w:after="0"/>
              <w:rPr>
                <w:sz w:val="20"/>
                <w:szCs w:val="20"/>
                <w:color w:val="auto"/>
              </w:rPr>
            </w:pPr>
            <w:r>
              <w:rPr>
                <w:rFonts w:ascii="Arial" w:cs="Arial" w:eastAsia="Arial" w:hAnsi="Arial"/>
                <w:sz w:val="16"/>
                <w:szCs w:val="16"/>
                <w:color w:val="auto"/>
              </w:rPr>
              <w:t>Other assets</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4,689</w:t>
            </w: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(4,708)</w:t>
            </w:r>
          </w:p>
        </w:tc>
        <w:tc>
          <w:tcPr>
            <w:tcW w:w="0" w:type="dxa"/>
            <w:vAlign w:val="bottom"/>
          </w:tcPr>
          <w:p>
            <w:pPr>
              <w:spacing w:after="0"/>
              <w:rPr>
                <w:sz w:val="1"/>
                <w:szCs w:val="1"/>
                <w:color w:val="auto"/>
              </w:rPr>
            </w:pPr>
          </w:p>
        </w:tc>
      </w:tr>
      <w:tr>
        <w:trPr>
          <w:trHeight w:val="219"/>
        </w:trPr>
        <w:tc>
          <w:tcPr>
            <w:tcW w:w="75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Accounts payable</w:t>
            </w: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(1,939)</w:t>
            </w: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2,867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500" w:type="dxa"/>
            <w:vAlign w:val="bottom"/>
          </w:tcPr>
          <w:p>
            <w:pPr>
              <w:ind w:left="500"/>
              <w:spacing w:after="0"/>
              <w:rPr>
                <w:sz w:val="20"/>
                <w:szCs w:val="20"/>
                <w:color w:val="auto"/>
              </w:rPr>
            </w:pPr>
            <w:r>
              <w:rPr>
                <w:rFonts w:ascii="Arial" w:cs="Arial" w:eastAsia="Arial" w:hAnsi="Arial"/>
                <w:sz w:val="16"/>
                <w:szCs w:val="16"/>
                <w:color w:val="auto"/>
              </w:rPr>
              <w:t>Accrued research and development expenses</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(1,044)</w:t>
            </w:r>
          </w:p>
        </w:tc>
        <w:tc>
          <w:tcPr>
            <w:tcW w:w="9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(382)</w:t>
            </w:r>
          </w:p>
        </w:tc>
        <w:tc>
          <w:tcPr>
            <w:tcW w:w="0" w:type="dxa"/>
            <w:vAlign w:val="bottom"/>
          </w:tcPr>
          <w:p>
            <w:pPr>
              <w:spacing w:after="0"/>
              <w:rPr>
                <w:sz w:val="1"/>
                <w:szCs w:val="1"/>
                <w:color w:val="auto"/>
              </w:rPr>
            </w:pPr>
          </w:p>
        </w:tc>
      </w:tr>
      <w:tr>
        <w:trPr>
          <w:trHeight w:val="219"/>
        </w:trPr>
        <w:tc>
          <w:tcPr>
            <w:tcW w:w="75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Other accrued expenses</w:t>
            </w: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(5,070)</w:t>
            </w: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3,831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500" w:type="dxa"/>
            <w:vAlign w:val="bottom"/>
          </w:tcPr>
          <w:p>
            <w:pPr>
              <w:ind w:left="500"/>
              <w:spacing w:after="0"/>
              <w:rPr>
                <w:sz w:val="20"/>
                <w:szCs w:val="20"/>
                <w:color w:val="auto"/>
              </w:rPr>
            </w:pPr>
            <w:r>
              <w:rPr>
                <w:rFonts w:ascii="Arial" w:cs="Arial" w:eastAsia="Arial" w:hAnsi="Arial"/>
                <w:sz w:val="16"/>
                <w:szCs w:val="16"/>
                <w:color w:val="auto"/>
              </w:rPr>
              <w:t>Deferred revenue</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(6,254)</w:t>
            </w:r>
          </w:p>
        </w:tc>
        <w:tc>
          <w:tcPr>
            <w:tcW w:w="9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(28,061)</w:t>
            </w:r>
          </w:p>
        </w:tc>
        <w:tc>
          <w:tcPr>
            <w:tcW w:w="0" w:type="dxa"/>
            <w:vAlign w:val="bottom"/>
          </w:tcPr>
          <w:p>
            <w:pPr>
              <w:spacing w:after="0"/>
              <w:rPr>
                <w:sz w:val="1"/>
                <w:szCs w:val="1"/>
                <w:color w:val="auto"/>
              </w:rPr>
            </w:pPr>
          </w:p>
        </w:tc>
      </w:tr>
      <w:tr>
        <w:trPr>
          <w:trHeight w:val="219"/>
        </w:trPr>
        <w:tc>
          <w:tcPr>
            <w:tcW w:w="75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Operating lease liabilities</w:t>
            </w: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(3,786)</w:t>
            </w:r>
          </w:p>
        </w:tc>
        <w:tc>
          <w:tcPr>
            <w:tcW w:w="9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(4,513)</w:t>
            </w:r>
          </w:p>
        </w:tc>
        <w:tc>
          <w:tcPr>
            <w:tcW w:w="0" w:type="dxa"/>
            <w:vAlign w:val="bottom"/>
          </w:tcPr>
          <w:p>
            <w:pPr>
              <w:spacing w:after="0"/>
              <w:rPr>
                <w:sz w:val="1"/>
                <w:szCs w:val="1"/>
                <w:color w:val="auto"/>
              </w:rPr>
            </w:pPr>
          </w:p>
        </w:tc>
      </w:tr>
      <w:tr>
        <w:trPr>
          <w:trHeight w:val="20"/>
        </w:trPr>
        <w:tc>
          <w:tcPr>
            <w:tcW w:w="7500" w:type="dxa"/>
            <w:vAlign w:val="bottom"/>
            <w:vMerge w:val="restart"/>
          </w:tcPr>
          <w:p>
            <w:pPr>
              <w:spacing w:after="0"/>
              <w:rPr>
                <w:sz w:val="20"/>
                <w:szCs w:val="20"/>
                <w:color w:val="auto"/>
              </w:rPr>
            </w:pPr>
            <w:r>
              <w:rPr>
                <w:rFonts w:ascii="Arial" w:cs="Arial" w:eastAsia="Arial" w:hAnsi="Arial"/>
                <w:sz w:val="16"/>
                <w:szCs w:val="16"/>
                <w:color w:val="auto"/>
              </w:rPr>
              <w:t>Net cash used in operating activities</w:t>
            </w:r>
          </w:p>
        </w:tc>
        <w:tc>
          <w:tcPr>
            <w:tcW w:w="2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5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(93,396)</w:t>
            </w:r>
          </w:p>
        </w:tc>
        <w:tc>
          <w:tcPr>
            <w:tcW w:w="92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(62,957)</w:t>
            </w:r>
          </w:p>
        </w:tc>
        <w:tc>
          <w:tcPr>
            <w:tcW w:w="0" w:type="dxa"/>
            <w:vAlign w:val="bottom"/>
          </w:tcPr>
          <w:p>
            <w:pPr>
              <w:spacing w:after="0"/>
              <w:rPr>
                <w:sz w:val="1"/>
                <w:szCs w:val="1"/>
                <w:color w:val="auto"/>
              </w:rPr>
            </w:pPr>
          </w:p>
        </w:tc>
      </w:tr>
      <w:tr>
        <w:trPr>
          <w:trHeight w:val="219"/>
        </w:trPr>
        <w:tc>
          <w:tcPr>
            <w:tcW w:w="75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500" w:type="dxa"/>
            <w:vAlign w:val="bottom"/>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5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Purchases of property and equipment</w:t>
            </w: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(3,096)</w:t>
            </w:r>
          </w:p>
        </w:tc>
        <w:tc>
          <w:tcPr>
            <w:tcW w:w="9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(470)</w:t>
            </w:r>
          </w:p>
        </w:tc>
        <w:tc>
          <w:tcPr>
            <w:tcW w:w="0" w:type="dxa"/>
            <w:vAlign w:val="bottom"/>
          </w:tcPr>
          <w:p>
            <w:pPr>
              <w:spacing w:after="0"/>
              <w:rPr>
                <w:sz w:val="1"/>
                <w:szCs w:val="1"/>
                <w:color w:val="auto"/>
              </w:rPr>
            </w:pPr>
          </w:p>
        </w:tc>
      </w:tr>
      <w:tr>
        <w:trPr>
          <w:trHeight w:val="213"/>
        </w:trPr>
        <w:tc>
          <w:tcPr>
            <w:tcW w:w="7500" w:type="dxa"/>
            <w:vAlign w:val="bottom"/>
          </w:tcPr>
          <w:p>
            <w:pPr>
              <w:ind w:left="500"/>
              <w:spacing w:after="0"/>
              <w:rPr>
                <w:sz w:val="20"/>
                <w:szCs w:val="20"/>
                <w:color w:val="auto"/>
              </w:rPr>
            </w:pPr>
            <w:r>
              <w:rPr>
                <w:rFonts w:ascii="Arial" w:cs="Arial" w:eastAsia="Arial" w:hAnsi="Arial"/>
                <w:sz w:val="16"/>
                <w:szCs w:val="16"/>
                <w:color w:val="auto"/>
              </w:rPr>
              <w:t>Proceeds from sale of property and equipment</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857</w:t>
            </w: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5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Purchase of IPR&amp;D from an acquisition of assets</w:t>
            </w: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(1,750)</w:t>
            </w:r>
          </w:p>
        </w:tc>
        <w:tc>
          <w:tcPr>
            <w:tcW w:w="0" w:type="dxa"/>
            <w:vAlign w:val="bottom"/>
          </w:tcPr>
          <w:p>
            <w:pPr>
              <w:spacing w:after="0"/>
              <w:rPr>
                <w:sz w:val="1"/>
                <w:szCs w:val="1"/>
                <w:color w:val="auto"/>
              </w:rPr>
            </w:pPr>
          </w:p>
        </w:tc>
      </w:tr>
      <w:tr>
        <w:trPr>
          <w:trHeight w:val="213"/>
        </w:trPr>
        <w:tc>
          <w:tcPr>
            <w:tcW w:w="7500" w:type="dxa"/>
            <w:vAlign w:val="bottom"/>
          </w:tcPr>
          <w:p>
            <w:pPr>
              <w:ind w:left="500"/>
              <w:spacing w:after="0"/>
              <w:rPr>
                <w:sz w:val="20"/>
                <w:szCs w:val="20"/>
                <w:color w:val="auto"/>
              </w:rPr>
            </w:pPr>
            <w:r>
              <w:rPr>
                <w:rFonts w:ascii="Arial" w:cs="Arial" w:eastAsia="Arial" w:hAnsi="Arial"/>
                <w:sz w:val="16"/>
                <w:szCs w:val="16"/>
                <w:color w:val="auto"/>
              </w:rPr>
              <w:t>Proceeds from the sale of Microbiome assets</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1,500</w:t>
            </w: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5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Purchases of marketable securities</w:t>
            </w: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w w:val="93"/>
              </w:rPr>
              <w:t>(160,446)</w:t>
            </w:r>
          </w:p>
        </w:tc>
        <w:tc>
          <w:tcPr>
            <w:tcW w:w="9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w w:val="93"/>
              </w:rPr>
              <w:t>(193,188)</w:t>
            </w:r>
          </w:p>
        </w:tc>
        <w:tc>
          <w:tcPr>
            <w:tcW w:w="0" w:type="dxa"/>
            <w:vAlign w:val="bottom"/>
          </w:tcPr>
          <w:p>
            <w:pPr>
              <w:spacing w:after="0"/>
              <w:rPr>
                <w:sz w:val="1"/>
                <w:szCs w:val="1"/>
                <w:color w:val="auto"/>
              </w:rPr>
            </w:pPr>
          </w:p>
        </w:tc>
      </w:tr>
      <w:tr>
        <w:trPr>
          <w:trHeight w:val="213"/>
        </w:trPr>
        <w:tc>
          <w:tcPr>
            <w:tcW w:w="7500" w:type="dxa"/>
            <w:vAlign w:val="bottom"/>
          </w:tcPr>
          <w:p>
            <w:pPr>
              <w:ind w:left="500"/>
              <w:spacing w:after="0"/>
              <w:rPr>
                <w:sz w:val="20"/>
                <w:szCs w:val="20"/>
                <w:color w:val="auto"/>
              </w:rPr>
            </w:pPr>
            <w:r>
              <w:rPr>
                <w:rFonts w:ascii="Arial" w:cs="Arial" w:eastAsia="Arial" w:hAnsi="Arial"/>
                <w:sz w:val="16"/>
                <w:szCs w:val="16"/>
                <w:color w:val="auto"/>
              </w:rPr>
              <w:t>Proceeds from maturities of marketable securities</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175,200</w:t>
            </w: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221,617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5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Proceeds from sale of marketable securities</w:t>
            </w:r>
          </w:p>
        </w:tc>
        <w:tc>
          <w:tcPr>
            <w:tcW w:w="28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12,500</w:t>
            </w:r>
          </w:p>
        </w:tc>
        <w:tc>
          <w:tcPr>
            <w:tcW w:w="30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41,861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7500" w:type="dxa"/>
            <w:vAlign w:val="bottom"/>
          </w:tcPr>
          <w:p>
            <w:pPr>
              <w:spacing w:after="0"/>
              <w:rPr>
                <w:sz w:val="20"/>
                <w:szCs w:val="20"/>
                <w:color w:val="auto"/>
              </w:rPr>
            </w:pPr>
            <w:r>
              <w:rPr>
                <w:rFonts w:ascii="Arial" w:cs="Arial" w:eastAsia="Arial" w:hAnsi="Arial"/>
                <w:sz w:val="16"/>
                <w:szCs w:val="16"/>
                <w:color w:val="auto"/>
              </w:rPr>
              <w:t>Net cash provided by investing activities</w:t>
            </w: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26,515</w:t>
            </w: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68,070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5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500" w:type="dxa"/>
            <w:vAlign w:val="bottom"/>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500" w:type="dxa"/>
            <w:vAlign w:val="bottom"/>
            <w:shd w:val="clear" w:color="auto" w:fill="CFF0FC"/>
          </w:tcPr>
          <w:p>
            <w:pPr>
              <w:ind w:left="500"/>
              <w:spacing w:after="0"/>
              <w:rPr>
                <w:sz w:val="20"/>
                <w:szCs w:val="20"/>
                <w:color w:val="auto"/>
              </w:rPr>
            </w:pPr>
            <w:r>
              <w:rPr>
                <w:rFonts w:ascii="Arial" w:cs="Arial" w:eastAsia="Arial" w:hAnsi="Arial"/>
                <w:sz w:val="16"/>
                <w:szCs w:val="16"/>
                <w:color w:val="auto"/>
                <w:w w:val="95"/>
              </w:rPr>
              <w:t>Proceeds from the issuance of common stock under ATM equity offering program, net of issuance costs</w:t>
            </w: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52,806</w:t>
            </w: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5,452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500" w:type="dxa"/>
            <w:vAlign w:val="bottom"/>
          </w:tcPr>
          <w:p>
            <w:pPr>
              <w:ind w:left="500"/>
              <w:spacing w:after="0"/>
              <w:rPr>
                <w:sz w:val="20"/>
                <w:szCs w:val="20"/>
                <w:color w:val="auto"/>
              </w:rPr>
            </w:pPr>
            <w:r>
              <w:rPr>
                <w:rFonts w:ascii="Arial" w:cs="Arial" w:eastAsia="Arial" w:hAnsi="Arial"/>
                <w:sz w:val="16"/>
                <w:szCs w:val="16"/>
                <w:color w:val="auto"/>
              </w:rPr>
              <w:t>Proceeds from the issuance of common stock under ESPP</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258</w:t>
            </w: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5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Proceeds from the exercise of stock options</w:t>
            </w: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1,467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7500" w:type="dxa"/>
            <w:vAlign w:val="bottom"/>
          </w:tcPr>
          <w:p>
            <w:pPr>
              <w:spacing w:after="0"/>
              <w:rPr>
                <w:sz w:val="20"/>
                <w:szCs w:val="20"/>
                <w:color w:val="auto"/>
              </w:rPr>
            </w:pPr>
            <w:r>
              <w:rPr>
                <w:rFonts w:ascii="Arial" w:cs="Arial" w:eastAsia="Arial" w:hAnsi="Arial"/>
                <w:sz w:val="16"/>
                <w:szCs w:val="16"/>
                <w:color w:val="auto"/>
              </w:rPr>
              <w:t>Net cash provided by financing activities</w:t>
            </w:r>
          </w:p>
        </w:tc>
        <w:tc>
          <w:tcPr>
            <w:tcW w:w="28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53,064</w:t>
            </w:r>
          </w:p>
        </w:tc>
        <w:tc>
          <w:tcPr>
            <w:tcW w:w="30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7,599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5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500" w:type="dxa"/>
            <w:vAlign w:val="bottom"/>
          </w:tcPr>
          <w:p>
            <w:pPr>
              <w:spacing w:after="0"/>
              <w:rPr>
                <w:sz w:val="20"/>
                <w:szCs w:val="20"/>
                <w:color w:val="auto"/>
              </w:rPr>
            </w:pPr>
            <w:r>
              <w:rPr>
                <w:rFonts w:ascii="Arial" w:cs="Arial" w:eastAsia="Arial" w:hAnsi="Arial"/>
                <w:sz w:val="16"/>
                <w:szCs w:val="16"/>
                <w:color w:val="auto"/>
              </w:rPr>
              <w:t>Net increase (decrease) in cash and cash equivalents</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(13,817)</w:t>
            </w:r>
          </w:p>
        </w:tc>
        <w:tc>
          <w:tcPr>
            <w:tcW w:w="9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12,712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500" w:type="dxa"/>
            <w:vAlign w:val="bottom"/>
            <w:shd w:val="clear" w:color="auto" w:fill="CFF0FC"/>
          </w:tcPr>
          <w:p>
            <w:pPr>
              <w:spacing w:after="0"/>
              <w:rPr>
                <w:sz w:val="20"/>
                <w:szCs w:val="20"/>
                <w:color w:val="auto"/>
              </w:rPr>
            </w:pPr>
            <w:r>
              <w:rPr>
                <w:rFonts w:ascii="Arial" w:cs="Arial" w:eastAsia="Arial" w:hAnsi="Arial"/>
                <w:sz w:val="16"/>
                <w:szCs w:val="16"/>
                <w:color w:val="auto"/>
              </w:rPr>
              <w:t>Cash and cash equivalents at the beginning of the period</w:t>
            </w:r>
          </w:p>
        </w:tc>
        <w:tc>
          <w:tcPr>
            <w:tcW w:w="28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59,444</w:t>
            </w:r>
          </w:p>
        </w:tc>
        <w:tc>
          <w:tcPr>
            <w:tcW w:w="30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46,732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7500" w:type="dxa"/>
            <w:vAlign w:val="bottom"/>
            <w:tcBorders>
              <w:bottom w:val="single" w:sz="8" w:color="CFF0FC"/>
            </w:tcBorders>
          </w:tcPr>
          <w:p>
            <w:pPr>
              <w:spacing w:after="0"/>
              <w:rPr>
                <w:sz w:val="20"/>
                <w:szCs w:val="20"/>
                <w:color w:val="auto"/>
              </w:rPr>
            </w:pPr>
            <w:r>
              <w:rPr>
                <w:rFonts w:ascii="Arial" w:cs="Arial" w:eastAsia="Arial" w:hAnsi="Arial"/>
                <w:sz w:val="16"/>
                <w:szCs w:val="16"/>
                <w:b w:val="1"/>
                <w:bCs w:val="1"/>
                <w:color w:val="auto"/>
              </w:rPr>
              <w:t>Cash and cash equivalents at the end of the period</w:t>
            </w:r>
          </w:p>
        </w:tc>
        <w:tc>
          <w:tcPr>
            <w:tcW w:w="280" w:type="dxa"/>
            <w:vAlign w:val="bottom"/>
            <w:tcBorders>
              <w:bottom w:val="single" w:sz="8" w:color="CFF0FC"/>
            </w:tcBorders>
          </w:tcPr>
          <w:p>
            <w:pPr>
              <w:spacing w:after="0"/>
              <w:rPr>
                <w:sz w:val="21"/>
                <w:szCs w:val="21"/>
                <w:color w:val="auto"/>
              </w:rPr>
            </w:pPr>
          </w:p>
        </w:tc>
        <w:tc>
          <w:tcPr>
            <w:tcW w:w="920" w:type="dxa"/>
            <w:vAlign w:val="bottom"/>
            <w:tcBorders>
              <w:bottom w:val="single" w:sz="8" w:color="auto"/>
            </w:tcBorders>
          </w:tcPr>
          <w:p>
            <w:pPr>
              <w:jc w:val="right"/>
              <w:ind w:right="761"/>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45,627</w:t>
            </w:r>
          </w:p>
        </w:tc>
        <w:tc>
          <w:tcPr>
            <w:tcW w:w="300" w:type="dxa"/>
            <w:vAlign w:val="bottom"/>
            <w:tcBorders>
              <w:bottom w:val="single" w:sz="8" w:color="CFF0FC"/>
            </w:tcBorders>
          </w:tcPr>
          <w:p>
            <w:pPr>
              <w:spacing w:after="0"/>
              <w:rPr>
                <w:sz w:val="21"/>
                <w:szCs w:val="21"/>
                <w:color w:val="auto"/>
              </w:rPr>
            </w:pPr>
          </w:p>
        </w:tc>
        <w:tc>
          <w:tcPr>
            <w:tcW w:w="920" w:type="dxa"/>
            <w:vAlign w:val="bottom"/>
            <w:tcBorders>
              <w:bottom w:val="single" w:sz="8" w:color="auto"/>
            </w:tcBorders>
          </w:tcPr>
          <w:p>
            <w:pPr>
              <w:jc w:val="right"/>
              <w:ind w:right="763"/>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59,444</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75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Supplemental non-cash investing and financing activities</w:t>
            </w: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500" w:type="dxa"/>
            <w:vAlign w:val="bottom"/>
          </w:tcPr>
          <w:p>
            <w:pPr>
              <w:spacing w:after="0"/>
              <w:rPr>
                <w:sz w:val="20"/>
                <w:szCs w:val="20"/>
                <w:color w:val="auto"/>
              </w:rPr>
            </w:pPr>
            <w:r>
              <w:rPr>
                <w:rFonts w:ascii="Arial" w:cs="Arial" w:eastAsia="Arial" w:hAnsi="Arial"/>
                <w:sz w:val="16"/>
                <w:szCs w:val="16"/>
                <w:color w:val="auto"/>
              </w:rPr>
              <w:t>Operating lease liabilities arising from obtaining ROU assets</w:t>
            </w:r>
          </w:p>
        </w:tc>
        <w:tc>
          <w:tcPr>
            <w:tcW w:w="1200" w:type="dxa"/>
            <w:vAlign w:val="bottom"/>
            <w:gridSpan w:val="2"/>
          </w:tcPr>
          <w:p>
            <w:pPr>
              <w:jc w:val="right"/>
              <w:ind w:right="761"/>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126</w:t>
            </w:r>
          </w:p>
        </w:tc>
        <w:tc>
          <w:tcPr>
            <w:tcW w:w="300" w:type="dxa"/>
            <w:vAlign w:val="bottom"/>
          </w:tcPr>
          <w:p>
            <w:pPr>
              <w:spacing w:after="0"/>
              <w:rPr>
                <w:sz w:val="18"/>
                <w:szCs w:val="18"/>
                <w:color w:val="auto"/>
              </w:rPr>
            </w:pPr>
          </w:p>
        </w:tc>
        <w:tc>
          <w:tcPr>
            <w:tcW w:w="920" w:type="dxa"/>
            <w:vAlign w:val="bottom"/>
          </w:tcPr>
          <w:p>
            <w:pPr>
              <w:jc w:val="right"/>
              <w:ind w:right="763"/>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1,302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500" w:type="dxa"/>
            <w:vAlign w:val="bottom"/>
            <w:shd w:val="clear" w:color="auto" w:fill="CFF0FC"/>
          </w:tcPr>
          <w:p>
            <w:pPr>
              <w:spacing w:after="0"/>
              <w:rPr>
                <w:sz w:val="20"/>
                <w:szCs w:val="20"/>
                <w:color w:val="auto"/>
              </w:rPr>
            </w:pPr>
            <w:r>
              <w:rPr>
                <w:rFonts w:ascii="Arial" w:cs="Arial" w:eastAsia="Arial" w:hAnsi="Arial"/>
                <w:sz w:val="16"/>
                <w:szCs w:val="16"/>
                <w:color w:val="auto"/>
              </w:rPr>
              <w:t>Remeasurement of lease liabilities arising from modification of ROU assets</w:t>
            </w:r>
          </w:p>
        </w:tc>
        <w:tc>
          <w:tcPr>
            <w:tcW w:w="1200" w:type="dxa"/>
            <w:vAlign w:val="bottom"/>
            <w:gridSpan w:val="2"/>
            <w:shd w:val="clear" w:color="auto" w:fill="CFF0FC"/>
          </w:tcPr>
          <w:p>
            <w:pPr>
              <w:jc w:val="right"/>
              <w:ind w:right="761"/>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(788)</w:t>
            </w:r>
          </w:p>
        </w:tc>
        <w:tc>
          <w:tcPr>
            <w:tcW w:w="920" w:type="dxa"/>
            <w:vAlign w:val="bottom"/>
            <w:shd w:val="clear" w:color="auto" w:fill="CFF0FC"/>
          </w:tcPr>
          <w:p>
            <w:pPr>
              <w:jc w:val="right"/>
              <w:ind w:right="763"/>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7500" w:type="dxa"/>
            <w:vAlign w:val="bottom"/>
          </w:tcPr>
          <w:p>
            <w:pPr>
              <w:spacing w:after="0"/>
              <w:rPr>
                <w:sz w:val="20"/>
                <w:szCs w:val="20"/>
                <w:color w:val="auto"/>
              </w:rPr>
            </w:pPr>
            <w:r>
              <w:rPr>
                <w:rFonts w:ascii="Arial" w:cs="Arial" w:eastAsia="Arial" w:hAnsi="Arial"/>
                <w:sz w:val="16"/>
                <w:szCs w:val="16"/>
                <w:color w:val="auto"/>
              </w:rPr>
              <w:t>Receivable from sale of Microbiome assets included in prepaid expenses and other current assets</w:t>
            </w:r>
          </w:p>
        </w:tc>
        <w:tc>
          <w:tcPr>
            <w:tcW w:w="1200" w:type="dxa"/>
            <w:vAlign w:val="bottom"/>
            <w:gridSpan w:val="2"/>
          </w:tcPr>
          <w:p>
            <w:pPr>
              <w:jc w:val="right"/>
              <w:ind w:right="761"/>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(1,500)</w:t>
            </w:r>
          </w:p>
        </w:tc>
        <w:tc>
          <w:tcPr>
            <w:tcW w:w="920" w:type="dxa"/>
            <w:vAlign w:val="bottom"/>
          </w:tcPr>
          <w:p>
            <w:pPr>
              <w:jc w:val="right"/>
              <w:ind w:right="763"/>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Nature of Business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Assembly Biosciences, Inc., together with its subsidiaries (Assembly or the Company), incorporated in Delaware in October 2005, is a clinical-stage biotechnology company focused on discovery and development of novel therapeutics for the treatment of hepatitis B virus (HBV) infection and other viral diseases. The Company operates in one segment and is headquartered in South San Francisco, California, with operations in California and China. Prior to the Company’s wind-down of its Microbiome program in January 2021, the Company also had operations in Connecticut.</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research and development programs are pursuing multiple drug candidates that inhibit the HBV replication cycle and block the generation of covalently closed circular DNA (cccDNA), with the aim of discovering and developing finite and curative therapies for patients with HBV. The Company has discovered several novel core inhibitors, which are small molecules that directly target and allosterically modify the HBV core (HBc) protein in a way that affects assembly and stability of HBV nucleocapsids.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18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Company has not derived any revenue from product sales to date and currently has no approved products. Once a product has been developed, it will need to be approved for sale by the U.S. Food and Drug Administration (FDA) or an applicable foreign regulatory agency. Since inception, the Company’s operations have been financed primarily through the sale of equity securities, the proceeds from the exercise of warrants and stock options, the issuance of debt, and upfront payments related to collaboration agreements. The Company has incurred losses from operations since inception and expects to continue to incur substantial losses for the next several years as it continues its product development efforts. Management believes the Company currently has sufficient funds to meet its operating requirements for at least the next twelve months following the date that these consolidated financial statements are issued. If the Company cannot generate significant cash from its operations, it intends to obtain any additional funding it requires through strategic relationships, public or private equity or debt financings, grants or other arrangements (see Note 8 for recent sales of common stock). The Company cannot assure such funding will be available on reasonable terms, if at all. Market volatility resulting from the novel coronavirus disease (COVID-19) pandemic or other factors could also adversely impact the Company’s ability to access capital when and as needed.</w:t>
      </w:r>
    </w:p>
    <w:p>
      <w:pPr>
        <w:spacing w:after="0" w:line="12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the Company is unable to generate enough revenue from its collaborations, secure additional sources of funding or receive full and timely collections of amounts due, it may be necessary to significantly reduce the current rate of spending through reductions in staff and delaying, scaling back, or stopping certain research and development programs, including more costly clinical trials.</w:t>
      </w:r>
    </w:p>
    <w:p>
      <w:pPr>
        <w:spacing w:after="0" w:line="153" w:lineRule="exact"/>
        <w:rPr>
          <w:sz w:val="20"/>
          <w:szCs w:val="20"/>
          <w:color w:val="auto"/>
        </w:rPr>
      </w:pPr>
    </w:p>
    <w:p>
      <w:pPr>
        <w:ind w:right="4040"/>
        <w:spacing w:after="0" w:line="456" w:lineRule="auto"/>
        <w:rPr>
          <w:sz w:val="20"/>
          <w:szCs w:val="20"/>
          <w:color w:val="auto"/>
        </w:rPr>
      </w:pPr>
      <w:r>
        <w:rPr>
          <w:rFonts w:ascii="Arial" w:cs="Arial" w:eastAsia="Arial" w:hAnsi="Arial"/>
          <w:sz w:val="18"/>
          <w:szCs w:val="18"/>
          <w:b w:val="1"/>
          <w:bCs w:val="1"/>
          <w:color w:val="auto"/>
        </w:rPr>
        <w:t>Note 2 - Summary of Significant Accounting Policies and Recent Accounting Pronouncements Basis of Presentation</w:t>
      </w:r>
    </w:p>
    <w:p>
      <w:pPr>
        <w:jc w:val="both"/>
        <w:spacing w:after="0" w:line="263" w:lineRule="auto"/>
        <w:rPr>
          <w:sz w:val="20"/>
          <w:szCs w:val="20"/>
          <w:color w:val="auto"/>
        </w:rPr>
      </w:pPr>
      <w:r>
        <w:rPr>
          <w:rFonts w:ascii="Arial" w:cs="Arial" w:eastAsia="Arial" w:hAnsi="Arial"/>
          <w:sz w:val="18"/>
          <w:szCs w:val="18"/>
          <w:color w:val="auto"/>
        </w:rPr>
        <w:t>These consolidated financial statements have been prepared in accordance with accounting principles generally accepted in the United States (U.S. GAAP) and include the accounts of the Company and its wholly owned subsidiaries. All intercompany balances and transactions have been eliminated in consolidation.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preparation of consolidated financial statements in conformity with U.S. GAAP requires management to make estimates and assumptions that may affect the reported amounts of assets and liabilities and disclosure of contingent assets and liabilities at the date of the financial statements and reported amounts of expenses during the reporting period. Actual results could differ from those estimates.</w:t>
      </w:r>
    </w:p>
    <w:p>
      <w:pPr>
        <w:spacing w:after="0" w:line="14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Significant estimates inherent in the preparation of the accompanying consolidated financial statements include estimates of costs incurred but not yet invoiced for research and development accruals, the estimated fair value of our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color w:val="auto"/>
        </w:rPr>
        <w:t>indefinite-lived intangible asset and the estimated fair value of our reporting unit for purposes of evaluating goodwill impairment.</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estimates could be affected by external conditions, including those unique to the Company and general economic conditions. It is reasonably possible that these external factors could have an effect on the Company’s estimates and could cause actual results to differ from those estimates and assumptions.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Risks and Uncertainties</w:t>
      </w:r>
    </w:p>
    <w:p>
      <w:pPr>
        <w:spacing w:after="0" w:line="18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March 2020, the World Health Organization declared the COVID-19 outbreak a pandemic. The ongoing COVID-19 pandemic and its broad, global impacts, including supply chain disruptions, have impacted certain aspects of the Company’s business, including where and how the Company’s employees work in its labs and offices and how and when the Company’s nonclinical and clinical studies are conducted. Early in the pandemic, the Company’s current and future planned clinical trials and preclinical studies were largely unaffected, but as the pandemic has continued, the Company has experienced enrollment delays for its current clinical studies, particularly its two ongoing multi-drug combination studies. However, the Company cannot at this time predict the specific extent, duration, or full impact the COVID-19 pandemic will have on its business, operations, strategy, prospects and financial condition and results. The impact of the COVID-19 pandemic on the Company’s financial performance will depend on future developments, including the duration and spread of the outbreak and related governmental advisories and restrictions. These developments and the impact of the COVID-19 pandemic on the financial markets and the overall economy are highly uncertain. If the financial markets and/or the overall economy are impacted for an extended period, the Company’s results may be adversely affected.</w:t>
      </w:r>
    </w:p>
    <w:p>
      <w:pPr>
        <w:spacing w:after="0" w:line="1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the study design of an upcoming triple combination study initially included a site in Ukraine. The Company will no longer be conducting the study there due to the instability resulting from Russia’s recent invasion of Ukraine. These changes to the Company’s study plan will result in a delayed data readout.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8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All highly liquid investments, including money market funds, with original maturities of three months or less at the time of purchase are considered to be cash equivalents. All of the Company’s cash equivalents have liquid markets and high credit ratings. The Company maintains its cash in bank deposits and other accounts, the balances of which, at times as of and during the years ended December 31, 2021 and 2020, exceed federally insured limits.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in Marketable Securities</w:t>
      </w:r>
    </w:p>
    <w:p>
      <w:pPr>
        <w:spacing w:after="0" w:line="18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invests its excess cash in debt securities with high credit ratings including but not limited to money market funds classified as cash equivalents, asset backed securities, securities issued by the U.S. government and its agencies, corporate debt securities and commercial paper. The Company has designated its investments in marketable securities as available-for-sale and measures these securities at their respective fair values. Marketable securities are classified as short-term or long-term based on the maturity date and their availability to meet current operating requirements. Marketable securities that mature in one year or less from the consolidated balance sheet date are classified as short-term available-for-sale securities, while marketable securities with maturities in one year or beyond one year from the consolidated balance sheet date are classified as long-term.</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Securities that are classified as available-for-sale are measured at fair value with temporary unrealized gains and losses reported in other comprehensive loss, and as a component of stockholders' equity until their disposition. The Company reviews all available-for-sale securities at each period end to determine if they remain available-for-sale based on their current intent and ability to sell the security if it is required to do so. Realized gains and losses from the sale of marketable securities, if any, are calculated using the specific-identification method.</w:t>
      </w:r>
    </w:p>
    <w:p>
      <w:pPr>
        <w:spacing w:after="0" w:line="16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Marketable securities are subject to a periodic impairment review. The Company may recognize an impairment charge when a decline in the fair value of investments below the cost basis is determined to be other-than-temporary. In determining whether a decline in market value is other-than-temporary, various factors are considered, including the cause, duration of time and severity of the impairment, any adverse changes in the investees’ financial condition, and the Company’s intent and ability to hold the security for a period of time sufficient to allow for an anticipated recovery</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68" w:name="page69"/>
    <w:bookmarkEnd w:id="68"/>
    <w:p>
      <w:pPr>
        <w:jc w:val="both"/>
        <w:ind w:right="20"/>
        <w:spacing w:after="0" w:line="277" w:lineRule="auto"/>
        <w:rPr>
          <w:sz w:val="20"/>
          <w:szCs w:val="20"/>
          <w:color w:val="auto"/>
        </w:rPr>
      </w:pPr>
      <w:r>
        <w:rPr>
          <w:rFonts w:ascii="Arial" w:cs="Arial" w:eastAsia="Arial" w:hAnsi="Arial"/>
          <w:sz w:val="18"/>
          <w:szCs w:val="18"/>
          <w:color w:val="auto"/>
        </w:rPr>
        <w:t>in market value. To date, there have been no declines in value deemed to be other than temporary for any of the Company’s investments in marketable securities.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Indefinite-Lived Intangible Asset</w:t>
      </w:r>
    </w:p>
    <w:p>
      <w:pPr>
        <w:spacing w:after="0" w:line="18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Goodwill and indefinite-lived intangible asset are reviewed for impairment at least annually in the fourth quarter, and more frequently if events or other changes in circumstances indicate that the carrying amount of the assets may not be recoverable.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difference between the purchase price and the fair value of assets acquired and liabilities assumed in a business combination is allocated to goodwill. Goodwill is evaluated for impairment on an annual basis as of October 1, and more frequently if indicators are present or changes in circumstances suggest impairment may exist. In performing each annual impairment assessment and any interim impairment assessment, the Company determines if it should qualitatively assess whether it is more likely than not the fair value of goodwill is less than its carrying amount (the qualitative impairment test). If the Company concludes it is more likely than not the fair value of the reporting unit is less than its carrying amount, or elect not to use the qualitative impairment test, a quantitative impairment test is performed. The Company’s annual or interim quantitative impairment testing is performed by comparing the estimated fair value of the reporting unit to its carrying value. An impairment charge is recognized for the amount by which the carrying amount exceeds the reporting unit’s fair value, not to exceed the carrying value of goodwill.</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Indefinite-Lived Intangible Asset</w:t>
      </w:r>
    </w:p>
    <w:p>
      <w:pPr>
        <w:spacing w:after="0" w:line="18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Company’s indefinite-lived intangible asset consists of IPR&amp;D associated with small molecule core inhibitors that directly target and allosterically inhibit core protein functions associated with HBV which were acquired with the acquisition of Assembly Pharmaceutics, Inc. in 2014. IPR&amp;D represents the fair value assigned to incomplete research projects the Company acquired through a business combination which, at the time of acquisition, had not reached technological feasibility, regardless of whether they had alternative future use. The primary basis for determining the technological feasibility or completion of these projects is obtaining regulatory approval to market the underlying products in an applicable geographic region. The Company classifies IPR&amp;D acquired in a business combination as an indefinite-lived intangible asset until the completion or abandonment of the associated research and development efforts. Upon completion of the associated research and development efforts, the Company performed a final test for impairment and will determine the useful life of the technology and begin amortizing the assets to reflect their use over their remaining lives. Upon permanent abandonment, the Company would write-off the remaining carrying amount of the associated IPR&amp;D intangible asset.</w:t>
      </w:r>
    </w:p>
    <w:p>
      <w:pPr>
        <w:spacing w:after="0" w:line="13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Indefinite-lived intangible assets are not amortized, but instead are reviewed for impairment at least annually, or more frequently if events occur or circumstances change that would indicate the carrying amount may be impaired. In performing each annual impairment assessment and any interim impairment assessment, the Company determines if it should qualitatively assess whether it is more likely than not the fair value of its IPR&amp;D asset is less than its carrying amount (the qualitative impairment test). If the Company concludes that is the case, or elects not to use the qualitative impairment test, the Company would proceed with quantitatively determining the fair value of the IPR&amp;D asset and comparing its fair value to its carrying value to determine the amount of impairment, if any (the quantitative impairment test).</w:t>
      </w:r>
    </w:p>
    <w:p>
      <w:pPr>
        <w:spacing w:after="0" w:line="1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performing the qualitative impairment test, the Company considers the results of the most recent quantitative impairment test and identifies the most relevant drivers of the fair value for the IPR&amp;D asset. The most relevant drivers of fair value identified are consistent with the assumptions used in the quantitative estimate of the IPR&amp;D asset. Using these drivers of fair value, the Company identifies events and circumstances which may have an effect on the fair value of the IPR&amp;D asset since the last time the IPR&amp;D’s fair value was quantitatively determined. The Company then weighs these factors to determine and conclude if it is not more likely than not the IPR&amp;D asset is impaired. If it is more likely than not the IPR&amp;D asset is impaired, the Company proceeds with quantitatively determining the fair value of the IPR&amp;D asset.</w:t>
      </w:r>
    </w:p>
    <w:p>
      <w:pPr>
        <w:spacing w:after="0" w:line="1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When performing the quantitative impairment test, the Company uses the income approach to determine the fair value of its IPR&amp;D asset. This approach calculates fair value by estimating the after-tax cash flows attributable to an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69" w:name="page70"/>
    <w:bookmarkEnd w:id="69"/>
    <w:p>
      <w:pPr>
        <w:jc w:val="both"/>
        <w:spacing w:after="0" w:line="273" w:lineRule="auto"/>
        <w:rPr>
          <w:sz w:val="20"/>
          <w:szCs w:val="20"/>
          <w:color w:val="auto"/>
        </w:rPr>
      </w:pPr>
      <w:r>
        <w:rPr>
          <w:rFonts w:ascii="Arial" w:cs="Arial" w:eastAsia="Arial" w:hAnsi="Arial"/>
          <w:sz w:val="17"/>
          <w:szCs w:val="17"/>
          <w:color w:val="auto"/>
        </w:rPr>
        <w:t>in-process project over its useful life and then discounting these after-tax cash flows back to a present value. This estimate includes judgmental assumptions regarding the estimates that market participants would make in evaluating the IPR&amp;D asset, including the probability of successfully completing clinical trials and obtaining regulatory approval to market the IPR&amp;D asset, the timing of and the expected costs to complete IPR&amp;D projects, future net cash flows from potential drug sales, which are based on estimates of the sales price of the drug, the size of the patient population and cure rate, our competitive position in the marketplace, and appropriate discount and tax rates. Any impairment to be recorded is calculated as the difference between the estimated fair value and the carrying value of the IPR&amp;D asset on the Company’s consolidated balance sheet.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8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All of the Company’s leases are operating leases for facilities and equipment. The Company recognizes a lease asset for its right to use the underlying asset and a lease liability for the corresponding lease obligation. The Company determines whether an arrangement is or contains a lease at contract inception. Operating leases with a duration greater than one year are included in operating lease right-of-use assets, operating lease liabilities - short-term, and operating lease liabilities - long-term in the Company’s consolidated balance sheets. Operating lease right-of-use assets and liabilities are recognized at the lease commencement date based on the present value of lease payments over the lease term. In determining the net present value of lease payments, the Company uses its incremental borrowing rate based on the information available at the lease commencement date. The incremental borrowing rate represents the interest rate the Company would incur at lease commencement to borrow an amount equal to the lease payments on a collateralized basis over the term of a lease. The Company considers a lease term to be the noncancelable period that it has the right to use the underlying asset, including any periods where it is reasonably assured the Company will exercise the option to extend the contract. Periods covered by an option to extend are included in the lease term if the lessor controls the exercise of that option.</w:t>
      </w:r>
    </w:p>
    <w:p>
      <w:pPr>
        <w:spacing w:after="0" w:line="14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operating lease right-of-use assets also include any lease payments made and exclude lease incentives. Lease expense is recognized on a straight-line basis over the expected lease term. Variable lease expenses are recorded when incurred. The Company has elected not to separate lease and non-lease components for its leased assets and accounts for all lease and non-lease components of its agreements as a single lease component.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18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monitors the carrying value of long-lived assets, including ROU operating lease assets, for potential impairment and tests the recoverability of such assets whenever events or changes in circumstances indicate that the carrying amounts may not be recoverable. If a change in circumstance occurs, the Company performs a test of recoverability by comparing the carrying value of the asset or asset group to its undiscounted expected future cash flows. If cash flows cannot be separately and independently identified for a single asset, the Company will determine whether impairment has occurred for the group of assets for which the Company can identify the projected cash flows. If the carrying values are in excess of undiscounted expected future cash flows, the Company measures any impairment by comparing the fair value of the asset or asset group to its carrying value. In conjunction with the decision to wind down the Microbiome program in December 2020, the Company evaluated its ROU assets and property and equipment used in the Microbiome program for impairment. The Company determined the carrying value was no longer recoverable and, based on the fair value of the assets determined from market quotes, recorded an impairment loss of $0.7 million included in research and development expenses in 2020. There were no indicators of impairment of long-lived assets during the year ended December 31, 2021.</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 Net</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Property and equipment are stated at cost and consist of lab and office equipment, leasehold improvements and computer hardware and software. The Company records depreciation under the straight-line method over the estimated useful lives of its property and equipment ranging from three to seven years.</w:t>
      </w:r>
    </w:p>
    <w:p>
      <w:pPr>
        <w:spacing w:after="0" w:line="14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Leasehold improvements are amortized over the remaining terms of the respective leases or the estimated useful life of the leasehold improvements, whichever is less. Maintenance and repair costs are expensed as incurred.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follows accounting guidance on fair value measurements for financial instruments measured on a recurring basis, as well as for certain assets and liabilities that are initially recorded at their estimated fair values. Fair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70" w:name="page71"/>
    <w:bookmarkEnd w:id="70"/>
    <w:p>
      <w:pPr>
        <w:jc w:val="both"/>
        <w:spacing w:after="0" w:line="263" w:lineRule="auto"/>
        <w:rPr>
          <w:sz w:val="20"/>
          <w:szCs w:val="20"/>
          <w:color w:val="auto"/>
        </w:rPr>
      </w:pPr>
      <w:r>
        <w:rPr>
          <w:rFonts w:ascii="Arial" w:cs="Arial" w:eastAsia="Arial" w:hAnsi="Arial"/>
          <w:sz w:val="18"/>
          <w:szCs w:val="18"/>
          <w:color w:val="auto"/>
        </w:rPr>
        <w:t>value is defined as the exit price, or the amount that would be received from selling an asset or paid to transfer a liability in an orderly transaction between market participants at the measurement date. The Company uses the following three-level hierarchy that maximizes the use of observable inputs and minimizes the use of unobservable inputs to value its financial instruments:</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1: Observable inputs such as unadjusted quoted prices in active markets for identical instruments.</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2: Quoted prices for similar instruments that are directly or indirectly observable in the marketplace.</w:t>
      </w:r>
    </w:p>
    <w:p>
      <w:pPr>
        <w:spacing w:after="0" w:line="185" w:lineRule="exact"/>
        <w:rPr>
          <w:sz w:val="20"/>
          <w:szCs w:val="20"/>
          <w:color w:val="auto"/>
        </w:rPr>
      </w:pPr>
    </w:p>
    <w:p>
      <w:pPr>
        <w:jc w:val="both"/>
        <w:ind w:left="440"/>
        <w:spacing w:after="0" w:line="263" w:lineRule="auto"/>
        <w:rPr>
          <w:sz w:val="20"/>
          <w:szCs w:val="20"/>
          <w:color w:val="auto"/>
        </w:rPr>
      </w:pPr>
      <w:r>
        <w:rPr>
          <w:rFonts w:ascii="Arial" w:cs="Arial" w:eastAsia="Arial" w:hAnsi="Arial"/>
          <w:sz w:val="18"/>
          <w:szCs w:val="18"/>
          <w:color w:val="auto"/>
        </w:rPr>
        <w:t>Level 3: Significant unobservable inputs which are supported by little or no market activity and that are financial instruments whose values are determined using pricing models, discounted cash flow methodologies, or similar techniques, as well as instruments for which the determination of fair value requires significant judgment or estimation.</w:t>
      </w:r>
    </w:p>
    <w:p>
      <w:pPr>
        <w:spacing w:after="0" w:line="1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Financial instruments measured at fair value are classified in their entirety based on the lowest level of input that is significant to the fair value measurement. The assessment of the significance of a particular input to the fair value measurement in its entirety requires the Company to make judgments and consider factors specific to the asset or liability. The use of different assumptions and/or estimation methodologies may have a material effect on estimated fair values. Accordingly, the fair value estimates disclosed or initial amounts recorded may not be indicative of the amount the Company or holders of the instruments could realize in a current market exchange.</w:t>
      </w:r>
    </w:p>
    <w:p>
      <w:pPr>
        <w:spacing w:after="0" w:line="14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carrying amounts of cash equivalents and marketable securities approximate their fair value based upon quoted market prices. Certain of the Company’s financial instruments are not measured at fair value on a recurring basis but are recorded at amounts which approximate their fair value due to their liquid or short-term nature, such as cash, accounts receivable, accounts payable and accrued expenses.</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tables present the fair value of the Company’s financial assets measured at fair value on a recurring basis using the above input categories (in thousands):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3"/>
          </w:tcPr>
          <w:p>
            <w:pPr>
              <w:jc w:val="right"/>
              <w:ind w:right="467"/>
              <w:spacing w:after="0"/>
              <w:rPr>
                <w:sz w:val="20"/>
                <w:szCs w:val="20"/>
                <w:color w:val="auto"/>
              </w:rPr>
            </w:pPr>
            <w:r>
              <w:rPr>
                <w:rFonts w:ascii="Arial" w:cs="Arial" w:eastAsia="Arial" w:hAnsi="Arial"/>
                <w:sz w:val="14"/>
                <w:szCs w:val="14"/>
                <w:b w:val="1"/>
                <w:bCs w:val="1"/>
                <w:color w:val="auto"/>
              </w:rPr>
              <w:t>December 31, 2021</w:t>
            </w: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5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2"/>
          </w:tcPr>
          <w:p>
            <w:pPr>
              <w:ind w:left="280"/>
              <w:spacing w:after="0" w:line="155" w:lineRule="exact"/>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3"/>
                <w:szCs w:val="13"/>
                <w:color w:val="auto"/>
              </w:rPr>
            </w:pPr>
          </w:p>
        </w:tc>
        <w:tc>
          <w:tcPr>
            <w:tcW w:w="1240" w:type="dxa"/>
            <w:vAlign w:val="bottom"/>
            <w:gridSpan w:val="2"/>
          </w:tcPr>
          <w:p>
            <w:pPr>
              <w:ind w:left="160"/>
              <w:spacing w:after="0" w:line="155" w:lineRule="exact"/>
              <w:rPr>
                <w:sz w:val="20"/>
                <w:szCs w:val="20"/>
                <w:color w:val="auto"/>
              </w:rPr>
            </w:pPr>
            <w:r>
              <w:rPr>
                <w:rFonts w:ascii="Arial" w:cs="Arial" w:eastAsia="Arial" w:hAnsi="Arial"/>
                <w:sz w:val="14"/>
                <w:szCs w:val="14"/>
                <w:b w:val="1"/>
                <w:bCs w:val="1"/>
                <w:color w:val="auto"/>
              </w:rPr>
              <w:t>Level 2</w:t>
            </w:r>
          </w:p>
        </w:tc>
        <w:tc>
          <w:tcPr>
            <w:tcW w:w="960" w:type="dxa"/>
            <w:vAlign w:val="bottom"/>
          </w:tcPr>
          <w:p>
            <w:pPr>
              <w:jc w:val="right"/>
              <w:ind w:right="47"/>
              <w:spacing w:after="0" w:line="155" w:lineRule="exact"/>
              <w:rPr>
                <w:sz w:val="20"/>
                <w:szCs w:val="20"/>
                <w:color w:val="auto"/>
              </w:rPr>
            </w:pPr>
            <w:r>
              <w:rPr>
                <w:rFonts w:ascii="Arial" w:cs="Arial" w:eastAsia="Arial" w:hAnsi="Arial"/>
                <w:sz w:val="14"/>
                <w:szCs w:val="14"/>
                <w:b w:val="1"/>
                <w:bCs w:val="1"/>
                <w:color w:val="auto"/>
              </w:rPr>
              <w:t>Level 3</w:t>
            </w: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jc w:val="right"/>
              <w:ind w:right="232"/>
              <w:spacing w:after="0" w:line="155" w:lineRule="exact"/>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3"/>
                <w:szCs w:val="13"/>
                <w:color w:val="auto"/>
              </w:rPr>
            </w:pPr>
          </w:p>
        </w:tc>
      </w:tr>
      <w:tr>
        <w:trPr>
          <w:trHeight w:val="223"/>
        </w:trPr>
        <w:tc>
          <w:tcPr>
            <w:tcW w:w="5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equivalents</w:t>
            </w:r>
          </w:p>
        </w:tc>
        <w:tc>
          <w:tcPr>
            <w:tcW w:w="12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320" w:type="dxa"/>
            <w:vAlign w:val="bottom"/>
          </w:tcPr>
          <w:p>
            <w:pPr>
              <w:ind w:left="260"/>
              <w:spacing w:after="0"/>
              <w:rPr>
                <w:sz w:val="20"/>
                <w:szCs w:val="20"/>
                <w:color w:val="auto"/>
              </w:rPr>
            </w:pPr>
            <w:r>
              <w:rPr>
                <w:rFonts w:ascii="Arial" w:cs="Arial" w:eastAsia="Arial" w:hAnsi="Arial"/>
                <w:sz w:val="18"/>
                <w:szCs w:val="18"/>
                <w:color w:val="auto"/>
              </w:rPr>
              <w:t>Money market fund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42,507</w:t>
            </w:r>
          </w:p>
        </w:tc>
        <w:tc>
          <w:tcPr>
            <w:tcW w:w="340" w:type="dxa"/>
            <w:vAlign w:val="bottom"/>
          </w:tcPr>
          <w:p>
            <w:pPr>
              <w:spacing w:after="0"/>
              <w:rPr>
                <w:sz w:val="19"/>
                <w:szCs w:val="19"/>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807"/>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42,507</w:t>
            </w:r>
          </w:p>
        </w:tc>
        <w:tc>
          <w:tcPr>
            <w:tcW w:w="120" w:type="dxa"/>
            <w:vAlign w:val="bottom"/>
          </w:tcPr>
          <w:p>
            <w:pPr>
              <w:spacing w:after="0"/>
              <w:rPr>
                <w:sz w:val="19"/>
                <w:szCs w:val="19"/>
                <w:color w:val="auto"/>
              </w:rPr>
            </w:pPr>
          </w:p>
        </w:tc>
      </w:tr>
      <w:tr>
        <w:trPr>
          <w:trHeight w:val="223"/>
        </w:trPr>
        <w:tc>
          <w:tcPr>
            <w:tcW w:w="5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cash equivalents</w:t>
            </w: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42,507</w:t>
            </w:r>
          </w:p>
        </w:tc>
        <w:tc>
          <w:tcPr>
            <w:tcW w:w="3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ind w:left="10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42,507</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5320" w:type="dxa"/>
            <w:vAlign w:val="bottom"/>
          </w:tcPr>
          <w:p>
            <w:pPr>
              <w:spacing w:after="0"/>
              <w:rPr>
                <w:sz w:val="20"/>
                <w:szCs w:val="20"/>
                <w:color w:val="auto"/>
              </w:rPr>
            </w:pPr>
            <w:r>
              <w:rPr>
                <w:rFonts w:ascii="Arial" w:cs="Arial" w:eastAsia="Arial" w:hAnsi="Arial"/>
                <w:sz w:val="18"/>
                <w:szCs w:val="18"/>
                <w:color w:val="auto"/>
              </w:rPr>
              <w:t>Short-term marketable securities</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and foreign corporate debt securities</w:t>
            </w:r>
          </w:p>
        </w:tc>
        <w:tc>
          <w:tcPr>
            <w:tcW w:w="1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7,013</w:t>
            </w: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2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7,013</w:t>
            </w:r>
          </w:p>
        </w:tc>
        <w:tc>
          <w:tcPr>
            <w:tcW w:w="120" w:type="dxa"/>
            <w:vAlign w:val="bottom"/>
            <w:shd w:val="clear" w:color="auto" w:fill="CFF0FC"/>
          </w:tcPr>
          <w:p>
            <w:pPr>
              <w:spacing w:after="0"/>
              <w:rPr>
                <w:sz w:val="19"/>
                <w:szCs w:val="19"/>
                <w:color w:val="auto"/>
              </w:rPr>
            </w:pPr>
          </w:p>
        </w:tc>
      </w:tr>
      <w:tr>
        <w:trPr>
          <w:trHeight w:val="230"/>
        </w:trPr>
        <w:tc>
          <w:tcPr>
            <w:tcW w:w="5320" w:type="dxa"/>
            <w:vAlign w:val="bottom"/>
          </w:tcPr>
          <w:p>
            <w:pPr>
              <w:ind w:left="260"/>
              <w:spacing w:after="0"/>
              <w:rPr>
                <w:sz w:val="20"/>
                <w:szCs w:val="20"/>
                <w:color w:val="auto"/>
              </w:rPr>
            </w:pPr>
            <w:r>
              <w:rPr>
                <w:rFonts w:ascii="Arial" w:cs="Arial" w:eastAsia="Arial" w:hAnsi="Arial"/>
                <w:sz w:val="18"/>
                <w:szCs w:val="18"/>
                <w:color w:val="auto"/>
              </w:rPr>
              <w:t>Asset-backed securities</w:t>
            </w:r>
          </w:p>
        </w:tc>
        <w:tc>
          <w:tcPr>
            <w:tcW w:w="120" w:type="dxa"/>
            <w:vAlign w:val="bottom"/>
          </w:tcPr>
          <w:p>
            <w:pPr>
              <w:spacing w:after="0"/>
              <w:rPr>
                <w:sz w:val="19"/>
                <w:szCs w:val="19"/>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29,059</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29,059</w:t>
            </w:r>
          </w:p>
        </w:tc>
        <w:tc>
          <w:tcPr>
            <w:tcW w:w="120" w:type="dxa"/>
            <w:vAlign w:val="bottom"/>
          </w:tcPr>
          <w:p>
            <w:pPr>
              <w:spacing w:after="0"/>
              <w:rPr>
                <w:sz w:val="19"/>
                <w:szCs w:val="19"/>
                <w:color w:val="auto"/>
              </w:rPr>
            </w:pPr>
          </w:p>
        </w:tc>
      </w:tr>
      <w:tr>
        <w:trPr>
          <w:trHeight w:val="230"/>
        </w:trPr>
        <w:tc>
          <w:tcPr>
            <w:tcW w:w="5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and foreign commercial paper</w:t>
            </w:r>
          </w:p>
        </w:tc>
        <w:tc>
          <w:tcPr>
            <w:tcW w:w="1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64,928</w:t>
            </w: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2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64,928</w:t>
            </w:r>
          </w:p>
        </w:tc>
        <w:tc>
          <w:tcPr>
            <w:tcW w:w="120" w:type="dxa"/>
            <w:vAlign w:val="bottom"/>
            <w:shd w:val="clear" w:color="auto" w:fill="CFF0FC"/>
          </w:tcPr>
          <w:p>
            <w:pPr>
              <w:spacing w:after="0"/>
              <w:rPr>
                <w:sz w:val="19"/>
                <w:szCs w:val="19"/>
                <w:color w:val="auto"/>
              </w:rPr>
            </w:pPr>
          </w:p>
        </w:tc>
      </w:tr>
      <w:tr>
        <w:trPr>
          <w:trHeight w:val="223"/>
        </w:trPr>
        <w:tc>
          <w:tcPr>
            <w:tcW w:w="5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short-term marketable securities</w:t>
            </w:r>
          </w:p>
        </w:tc>
        <w:tc>
          <w:tcPr>
            <w:tcW w:w="1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101,000</w:t>
            </w:r>
          </w:p>
        </w:tc>
        <w:tc>
          <w:tcPr>
            <w:tcW w:w="240" w:type="dxa"/>
            <w:vAlign w:val="bottom"/>
            <w:tcBorders>
              <w:bottom w:val="single" w:sz="8" w:color="CFF0FC"/>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101,000</w:t>
            </w:r>
          </w:p>
        </w:tc>
        <w:tc>
          <w:tcPr>
            <w:tcW w:w="120" w:type="dxa"/>
            <w:vAlign w:val="bottom"/>
            <w:tcBorders>
              <w:bottom w:val="single" w:sz="8" w:color="CFF0FC"/>
            </w:tcBorders>
          </w:tcPr>
          <w:p>
            <w:pPr>
              <w:spacing w:after="0"/>
              <w:rPr>
                <w:sz w:val="19"/>
                <w:szCs w:val="19"/>
                <w:color w:val="auto"/>
              </w:rPr>
            </w:pPr>
          </w:p>
        </w:tc>
      </w:tr>
      <w:tr>
        <w:trPr>
          <w:trHeight w:val="223"/>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Long-term marketable securities</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320" w:type="dxa"/>
            <w:vAlign w:val="bottom"/>
          </w:tcPr>
          <w:p>
            <w:pPr>
              <w:ind w:left="260"/>
              <w:spacing w:after="0"/>
              <w:rPr>
                <w:sz w:val="20"/>
                <w:szCs w:val="20"/>
                <w:color w:val="auto"/>
              </w:rPr>
            </w:pPr>
            <w:r>
              <w:rPr>
                <w:rFonts w:ascii="Arial" w:cs="Arial" w:eastAsia="Arial" w:hAnsi="Arial"/>
                <w:sz w:val="18"/>
                <w:szCs w:val="18"/>
                <w:color w:val="auto"/>
              </w:rPr>
              <w:t>U.S. and foreign corporate debt securities</w:t>
            </w:r>
          </w:p>
        </w:tc>
        <w:tc>
          <w:tcPr>
            <w:tcW w:w="120" w:type="dxa"/>
            <w:vAlign w:val="bottom"/>
          </w:tcPr>
          <w:p>
            <w:pPr>
              <w:spacing w:after="0"/>
              <w:rPr>
                <w:sz w:val="19"/>
                <w:szCs w:val="19"/>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19,043</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19,043</w:t>
            </w:r>
          </w:p>
        </w:tc>
        <w:tc>
          <w:tcPr>
            <w:tcW w:w="120" w:type="dxa"/>
            <w:vAlign w:val="bottom"/>
          </w:tcPr>
          <w:p>
            <w:pPr>
              <w:spacing w:after="0"/>
              <w:rPr>
                <w:sz w:val="19"/>
                <w:szCs w:val="19"/>
                <w:color w:val="auto"/>
              </w:rPr>
            </w:pPr>
          </w:p>
        </w:tc>
      </w:tr>
      <w:tr>
        <w:trPr>
          <w:trHeight w:val="230"/>
        </w:trPr>
        <w:tc>
          <w:tcPr>
            <w:tcW w:w="5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treasury securities</w:t>
            </w:r>
          </w:p>
        </w:tc>
        <w:tc>
          <w:tcPr>
            <w:tcW w:w="1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8,929</w:t>
            </w: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2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8,929</w:t>
            </w:r>
          </w:p>
        </w:tc>
        <w:tc>
          <w:tcPr>
            <w:tcW w:w="120" w:type="dxa"/>
            <w:vAlign w:val="bottom"/>
            <w:shd w:val="clear" w:color="auto" w:fill="CFF0FC"/>
          </w:tcPr>
          <w:p>
            <w:pPr>
              <w:spacing w:after="0"/>
              <w:rPr>
                <w:sz w:val="19"/>
                <w:szCs w:val="19"/>
                <w:color w:val="auto"/>
              </w:rPr>
            </w:pPr>
          </w:p>
        </w:tc>
      </w:tr>
      <w:tr>
        <w:trPr>
          <w:trHeight w:val="223"/>
        </w:trPr>
        <w:tc>
          <w:tcPr>
            <w:tcW w:w="5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long-term marketable securities</w:t>
            </w:r>
          </w:p>
        </w:tc>
        <w:tc>
          <w:tcPr>
            <w:tcW w:w="1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27,972</w:t>
            </w:r>
          </w:p>
        </w:tc>
        <w:tc>
          <w:tcPr>
            <w:tcW w:w="240" w:type="dxa"/>
            <w:vAlign w:val="bottom"/>
            <w:tcBorders>
              <w:bottom w:val="single" w:sz="8" w:color="CFF0FC"/>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27,972</w:t>
            </w:r>
          </w:p>
        </w:tc>
        <w:tc>
          <w:tcPr>
            <w:tcW w:w="120" w:type="dxa"/>
            <w:vAlign w:val="bottom"/>
            <w:tcBorders>
              <w:bottom w:val="single" w:sz="8" w:color="CFF0FC"/>
            </w:tcBorders>
          </w:tcPr>
          <w:p>
            <w:pPr>
              <w:spacing w:after="0"/>
              <w:rPr>
                <w:sz w:val="19"/>
                <w:szCs w:val="19"/>
                <w:color w:val="auto"/>
              </w:rPr>
            </w:pPr>
          </w:p>
        </w:tc>
      </w:tr>
      <w:tr>
        <w:trPr>
          <w:trHeight w:val="223"/>
        </w:trPr>
        <w:tc>
          <w:tcPr>
            <w:tcW w:w="5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 measured at fair value</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42,507</w:t>
            </w:r>
          </w:p>
        </w:tc>
        <w:tc>
          <w:tcPr>
            <w:tcW w:w="3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128,972</w:t>
            </w:r>
          </w:p>
        </w:tc>
        <w:tc>
          <w:tcPr>
            <w:tcW w:w="24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807"/>
              <w:spacing w:after="0"/>
              <w:rPr>
                <w:sz w:val="20"/>
                <w:szCs w:val="20"/>
                <w:color w:val="auto"/>
              </w:rPr>
            </w:pPr>
            <w:r>
              <w:rPr>
                <w:rFonts w:ascii="Arial" w:cs="Arial" w:eastAsia="Arial" w:hAnsi="Arial"/>
                <w:sz w:val="15"/>
                <w:szCs w:val="15"/>
                <w:color w:val="auto"/>
                <w:w w:val="71"/>
              </w:rPr>
              <w:t>$</w:t>
            </w:r>
          </w:p>
        </w:tc>
        <w:tc>
          <w:tcPr>
            <w:tcW w:w="300" w:type="dxa"/>
            <w:vAlign w:val="bottom"/>
            <w:tcBorders>
              <w:bottom w:val="single" w:sz="8" w:color="auto"/>
            </w:tcBorders>
            <w:shd w:val="clear" w:color="auto" w:fill="CFF0FC"/>
          </w:tcPr>
          <w:p>
            <w:pPr>
              <w:ind w:left="10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171,479</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13"/>
        </w:trPr>
        <w:tc>
          <w:tcPr>
            <w:tcW w:w="5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2"/>
          </w:tcPr>
          <w:p>
            <w:pPr>
              <w:ind w:left="20"/>
              <w:spacing w:after="0"/>
              <w:rPr>
                <w:sz w:val="20"/>
                <w:szCs w:val="20"/>
                <w:color w:val="auto"/>
              </w:rPr>
            </w:pPr>
            <w:r>
              <w:rPr>
                <w:rFonts w:ascii="Arial" w:cs="Arial" w:eastAsia="Arial" w:hAnsi="Arial"/>
                <w:sz w:val="18"/>
                <w:szCs w:val="18"/>
                <w:color w:val="auto"/>
              </w:rPr>
              <w:t>F-13</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15"/>
        </w:trPr>
        <w:tc>
          <w:tcPr>
            <w:tcW w:w="53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171"/>
        </w:trPr>
        <w:tc>
          <w:tcPr>
            <w:tcW w:w="53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3"/>
          </w:tcPr>
          <w:p>
            <w:pPr>
              <w:jc w:val="right"/>
              <w:ind w:right="467"/>
              <w:spacing w:after="0"/>
              <w:rPr>
                <w:sz w:val="20"/>
                <w:szCs w:val="20"/>
                <w:color w:val="auto"/>
              </w:rPr>
            </w:pPr>
            <w:r>
              <w:rPr>
                <w:rFonts w:ascii="Arial" w:cs="Arial" w:eastAsia="Arial" w:hAnsi="Arial"/>
                <w:sz w:val="14"/>
                <w:szCs w:val="14"/>
                <w:b w:val="1"/>
                <w:bCs w:val="1"/>
                <w:color w:val="auto"/>
              </w:rPr>
              <w:t>December 31, 2020</w:t>
            </w: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5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gridSpan w:val="2"/>
          </w:tcPr>
          <w:p>
            <w:pPr>
              <w:ind w:left="160"/>
              <w:spacing w:after="0" w:line="155" w:lineRule="exact"/>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3"/>
                <w:szCs w:val="13"/>
                <w:color w:val="auto"/>
              </w:rPr>
            </w:pPr>
          </w:p>
        </w:tc>
        <w:tc>
          <w:tcPr>
            <w:tcW w:w="1240" w:type="dxa"/>
            <w:vAlign w:val="bottom"/>
            <w:gridSpan w:val="2"/>
          </w:tcPr>
          <w:p>
            <w:pPr>
              <w:ind w:left="160"/>
              <w:spacing w:after="0" w:line="155" w:lineRule="exact"/>
              <w:rPr>
                <w:sz w:val="20"/>
                <w:szCs w:val="20"/>
                <w:color w:val="auto"/>
              </w:rPr>
            </w:pPr>
            <w:r>
              <w:rPr>
                <w:rFonts w:ascii="Arial" w:cs="Arial" w:eastAsia="Arial" w:hAnsi="Arial"/>
                <w:sz w:val="14"/>
                <w:szCs w:val="14"/>
                <w:b w:val="1"/>
                <w:bCs w:val="1"/>
                <w:color w:val="auto"/>
              </w:rPr>
              <w:t>Level 2</w:t>
            </w:r>
          </w:p>
        </w:tc>
        <w:tc>
          <w:tcPr>
            <w:tcW w:w="960" w:type="dxa"/>
            <w:vAlign w:val="bottom"/>
          </w:tcPr>
          <w:p>
            <w:pPr>
              <w:jc w:val="right"/>
              <w:ind w:right="47"/>
              <w:spacing w:after="0" w:line="155" w:lineRule="exact"/>
              <w:rPr>
                <w:sz w:val="20"/>
                <w:szCs w:val="20"/>
                <w:color w:val="auto"/>
              </w:rPr>
            </w:pPr>
            <w:r>
              <w:rPr>
                <w:rFonts w:ascii="Arial" w:cs="Arial" w:eastAsia="Arial" w:hAnsi="Arial"/>
                <w:sz w:val="14"/>
                <w:szCs w:val="14"/>
                <w:b w:val="1"/>
                <w:bCs w:val="1"/>
                <w:color w:val="auto"/>
              </w:rPr>
              <w:t>Level 3</w:t>
            </w: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jc w:val="right"/>
              <w:ind w:right="232"/>
              <w:spacing w:after="0" w:line="155" w:lineRule="exact"/>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3"/>
                <w:szCs w:val="13"/>
                <w:color w:val="auto"/>
              </w:rPr>
            </w:pPr>
          </w:p>
        </w:tc>
      </w:tr>
      <w:tr>
        <w:trPr>
          <w:trHeight w:val="223"/>
        </w:trPr>
        <w:tc>
          <w:tcPr>
            <w:tcW w:w="5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equivalents</w:t>
            </w:r>
          </w:p>
        </w:tc>
        <w:tc>
          <w:tcPr>
            <w:tcW w:w="2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5320" w:type="dxa"/>
            <w:vAlign w:val="bottom"/>
          </w:tcPr>
          <w:p>
            <w:pPr>
              <w:ind w:left="260"/>
              <w:spacing w:after="0"/>
              <w:rPr>
                <w:sz w:val="20"/>
                <w:szCs w:val="20"/>
                <w:color w:val="auto"/>
              </w:rPr>
            </w:pPr>
            <w:r>
              <w:rPr>
                <w:rFonts w:ascii="Arial" w:cs="Arial" w:eastAsia="Arial" w:hAnsi="Arial"/>
                <w:sz w:val="18"/>
                <w:szCs w:val="18"/>
                <w:color w:val="auto"/>
              </w:rPr>
              <w:t>Money market fund</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47,553</w:t>
            </w:r>
          </w:p>
        </w:tc>
        <w:tc>
          <w:tcPr>
            <w:tcW w:w="340" w:type="dxa"/>
            <w:vAlign w:val="bottom"/>
          </w:tcPr>
          <w:p>
            <w:pPr>
              <w:spacing w:after="0"/>
              <w:rPr>
                <w:sz w:val="19"/>
                <w:szCs w:val="19"/>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807"/>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47,553</w:t>
            </w:r>
          </w:p>
        </w:tc>
        <w:tc>
          <w:tcPr>
            <w:tcW w:w="120" w:type="dxa"/>
            <w:vAlign w:val="bottom"/>
          </w:tcPr>
          <w:p>
            <w:pPr>
              <w:spacing w:after="0"/>
              <w:rPr>
                <w:sz w:val="19"/>
                <w:szCs w:val="19"/>
                <w:color w:val="auto"/>
              </w:rPr>
            </w:pPr>
          </w:p>
        </w:tc>
      </w:tr>
      <w:tr>
        <w:trPr>
          <w:trHeight w:val="229"/>
        </w:trPr>
        <w:tc>
          <w:tcPr>
            <w:tcW w:w="5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and foreign commercial paper</w:t>
            </w:r>
          </w:p>
        </w:tc>
        <w:tc>
          <w:tcPr>
            <w:tcW w:w="2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6,498</w:t>
            </w: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2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6,498</w:t>
            </w:r>
          </w:p>
        </w:tc>
        <w:tc>
          <w:tcPr>
            <w:tcW w:w="120" w:type="dxa"/>
            <w:vAlign w:val="bottom"/>
            <w:shd w:val="clear" w:color="auto" w:fill="CFF0FC"/>
          </w:tcPr>
          <w:p>
            <w:pPr>
              <w:spacing w:after="0"/>
              <w:rPr>
                <w:sz w:val="19"/>
                <w:szCs w:val="19"/>
                <w:color w:val="auto"/>
              </w:rPr>
            </w:pPr>
          </w:p>
        </w:tc>
      </w:tr>
      <w:tr>
        <w:trPr>
          <w:trHeight w:val="223"/>
        </w:trPr>
        <w:tc>
          <w:tcPr>
            <w:tcW w:w="5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cash equivalents</w:t>
            </w:r>
          </w:p>
        </w:tc>
        <w:tc>
          <w:tcPr>
            <w:tcW w:w="2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47,553</w:t>
            </w:r>
          </w:p>
        </w:tc>
        <w:tc>
          <w:tcPr>
            <w:tcW w:w="34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6,498</w:t>
            </w:r>
          </w:p>
        </w:tc>
        <w:tc>
          <w:tcPr>
            <w:tcW w:w="240" w:type="dxa"/>
            <w:vAlign w:val="bottom"/>
            <w:tcBorders>
              <w:bottom w:val="single" w:sz="8" w:color="CFF0FC"/>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54,051</w:t>
            </w:r>
          </w:p>
        </w:tc>
        <w:tc>
          <w:tcPr>
            <w:tcW w:w="120" w:type="dxa"/>
            <w:vAlign w:val="bottom"/>
            <w:tcBorders>
              <w:bottom w:val="single" w:sz="8" w:color="CFF0FC"/>
            </w:tcBorders>
          </w:tcPr>
          <w:p>
            <w:pPr>
              <w:spacing w:after="0"/>
              <w:rPr>
                <w:sz w:val="19"/>
                <w:szCs w:val="19"/>
                <w:color w:val="auto"/>
              </w:rPr>
            </w:pPr>
          </w:p>
        </w:tc>
      </w:tr>
      <w:tr>
        <w:trPr>
          <w:trHeight w:val="223"/>
        </w:trPr>
        <w:tc>
          <w:tcPr>
            <w:tcW w:w="5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Short-term marketable securities</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320" w:type="dxa"/>
            <w:vAlign w:val="bottom"/>
          </w:tcPr>
          <w:p>
            <w:pPr>
              <w:ind w:left="260"/>
              <w:spacing w:after="0"/>
              <w:rPr>
                <w:sz w:val="20"/>
                <w:szCs w:val="20"/>
                <w:color w:val="auto"/>
              </w:rPr>
            </w:pPr>
            <w:r>
              <w:rPr>
                <w:rFonts w:ascii="Arial" w:cs="Arial" w:eastAsia="Arial" w:hAnsi="Arial"/>
                <w:sz w:val="18"/>
                <w:szCs w:val="18"/>
                <w:color w:val="auto"/>
              </w:rPr>
              <w:t>U.S. and foreign corporate debt securities</w:t>
            </w:r>
          </w:p>
        </w:tc>
        <w:tc>
          <w:tcPr>
            <w:tcW w:w="240" w:type="dxa"/>
            <w:vAlign w:val="bottom"/>
          </w:tcPr>
          <w:p>
            <w:pPr>
              <w:spacing w:after="0"/>
              <w:rPr>
                <w:sz w:val="19"/>
                <w:szCs w:val="19"/>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16,939</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16,939</w:t>
            </w:r>
          </w:p>
        </w:tc>
        <w:tc>
          <w:tcPr>
            <w:tcW w:w="120" w:type="dxa"/>
            <w:vAlign w:val="bottom"/>
          </w:tcPr>
          <w:p>
            <w:pPr>
              <w:spacing w:after="0"/>
              <w:rPr>
                <w:sz w:val="19"/>
                <w:szCs w:val="19"/>
                <w:color w:val="auto"/>
              </w:rPr>
            </w:pPr>
          </w:p>
        </w:tc>
      </w:tr>
      <w:tr>
        <w:trPr>
          <w:trHeight w:val="229"/>
        </w:trPr>
        <w:tc>
          <w:tcPr>
            <w:tcW w:w="5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Asset-backed securities</w:t>
            </w:r>
          </w:p>
        </w:tc>
        <w:tc>
          <w:tcPr>
            <w:tcW w:w="2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12,675</w:t>
            </w: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2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12,675</w:t>
            </w:r>
          </w:p>
        </w:tc>
        <w:tc>
          <w:tcPr>
            <w:tcW w:w="120" w:type="dxa"/>
            <w:vAlign w:val="bottom"/>
            <w:shd w:val="clear" w:color="auto" w:fill="CFF0FC"/>
          </w:tcPr>
          <w:p>
            <w:pPr>
              <w:spacing w:after="0"/>
              <w:rPr>
                <w:sz w:val="19"/>
                <w:szCs w:val="19"/>
                <w:color w:val="auto"/>
              </w:rPr>
            </w:pPr>
          </w:p>
        </w:tc>
      </w:tr>
      <w:tr>
        <w:trPr>
          <w:trHeight w:val="230"/>
        </w:trPr>
        <w:tc>
          <w:tcPr>
            <w:tcW w:w="5320" w:type="dxa"/>
            <w:vAlign w:val="bottom"/>
          </w:tcPr>
          <w:p>
            <w:pPr>
              <w:ind w:left="260"/>
              <w:spacing w:after="0"/>
              <w:rPr>
                <w:sz w:val="20"/>
                <w:szCs w:val="20"/>
                <w:color w:val="auto"/>
              </w:rPr>
            </w:pPr>
            <w:r>
              <w:rPr>
                <w:rFonts w:ascii="Arial" w:cs="Arial" w:eastAsia="Arial" w:hAnsi="Arial"/>
                <w:sz w:val="18"/>
                <w:szCs w:val="18"/>
                <w:color w:val="auto"/>
              </w:rPr>
              <w:t>U.S. treasury securities</w:t>
            </w:r>
          </w:p>
        </w:tc>
        <w:tc>
          <w:tcPr>
            <w:tcW w:w="240" w:type="dxa"/>
            <w:vAlign w:val="bottom"/>
          </w:tcPr>
          <w:p>
            <w:pPr>
              <w:spacing w:after="0"/>
              <w:rPr>
                <w:sz w:val="19"/>
                <w:szCs w:val="19"/>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23,999</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23,999</w:t>
            </w:r>
          </w:p>
        </w:tc>
        <w:tc>
          <w:tcPr>
            <w:tcW w:w="120" w:type="dxa"/>
            <w:vAlign w:val="bottom"/>
          </w:tcPr>
          <w:p>
            <w:pPr>
              <w:spacing w:after="0"/>
              <w:rPr>
                <w:sz w:val="19"/>
                <w:szCs w:val="19"/>
                <w:color w:val="auto"/>
              </w:rPr>
            </w:pPr>
          </w:p>
        </w:tc>
      </w:tr>
      <w:tr>
        <w:trPr>
          <w:trHeight w:val="229"/>
        </w:trPr>
        <w:tc>
          <w:tcPr>
            <w:tcW w:w="5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and foreign commercial paper</w:t>
            </w:r>
          </w:p>
        </w:tc>
        <w:tc>
          <w:tcPr>
            <w:tcW w:w="2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103,356</w:t>
            </w: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2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103,356</w:t>
            </w:r>
          </w:p>
        </w:tc>
        <w:tc>
          <w:tcPr>
            <w:tcW w:w="120" w:type="dxa"/>
            <w:vAlign w:val="bottom"/>
            <w:shd w:val="clear" w:color="auto" w:fill="CFF0FC"/>
          </w:tcPr>
          <w:p>
            <w:pPr>
              <w:spacing w:after="0"/>
              <w:rPr>
                <w:sz w:val="19"/>
                <w:szCs w:val="19"/>
                <w:color w:val="auto"/>
              </w:rPr>
            </w:pPr>
          </w:p>
        </w:tc>
      </w:tr>
      <w:tr>
        <w:trPr>
          <w:trHeight w:val="223"/>
        </w:trPr>
        <w:tc>
          <w:tcPr>
            <w:tcW w:w="5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short-term marketable securities</w:t>
            </w:r>
          </w:p>
        </w:tc>
        <w:tc>
          <w:tcPr>
            <w:tcW w:w="2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156,969</w:t>
            </w:r>
          </w:p>
        </w:tc>
        <w:tc>
          <w:tcPr>
            <w:tcW w:w="240" w:type="dxa"/>
            <w:vAlign w:val="bottom"/>
            <w:tcBorders>
              <w:bottom w:val="single" w:sz="8" w:color="CFF0FC"/>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156,969</w:t>
            </w:r>
          </w:p>
        </w:tc>
        <w:tc>
          <w:tcPr>
            <w:tcW w:w="120" w:type="dxa"/>
            <w:vAlign w:val="bottom"/>
            <w:tcBorders>
              <w:bottom w:val="single" w:sz="8" w:color="CFF0FC"/>
            </w:tcBorders>
          </w:tcPr>
          <w:p>
            <w:pPr>
              <w:spacing w:after="0"/>
              <w:rPr>
                <w:sz w:val="19"/>
                <w:szCs w:val="19"/>
                <w:color w:val="auto"/>
              </w:rPr>
            </w:pPr>
          </w:p>
        </w:tc>
      </w:tr>
      <w:tr>
        <w:trPr>
          <w:trHeight w:val="223"/>
        </w:trPr>
        <w:tc>
          <w:tcPr>
            <w:tcW w:w="5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 measured at fair value</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47,553</w:t>
            </w:r>
          </w:p>
        </w:tc>
        <w:tc>
          <w:tcPr>
            <w:tcW w:w="3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163,467</w:t>
            </w:r>
          </w:p>
        </w:tc>
        <w:tc>
          <w:tcPr>
            <w:tcW w:w="24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807"/>
              <w:spacing w:after="0"/>
              <w:rPr>
                <w:sz w:val="20"/>
                <w:szCs w:val="20"/>
                <w:color w:val="auto"/>
              </w:rPr>
            </w:pPr>
            <w:r>
              <w:rPr>
                <w:rFonts w:ascii="Arial" w:cs="Arial" w:eastAsia="Arial" w:hAnsi="Arial"/>
                <w:sz w:val="15"/>
                <w:szCs w:val="15"/>
                <w:color w:val="auto"/>
                <w:w w:val="71"/>
              </w:rPr>
              <w:t>$</w:t>
            </w:r>
          </w:p>
        </w:tc>
        <w:tc>
          <w:tcPr>
            <w:tcW w:w="300" w:type="dxa"/>
            <w:vAlign w:val="bottom"/>
            <w:tcBorders>
              <w:bottom w:val="single" w:sz="8" w:color="auto"/>
            </w:tcBorders>
            <w:shd w:val="clear" w:color="auto" w:fill="CFF0FC"/>
          </w:tcPr>
          <w:p>
            <w:pPr>
              <w:ind w:left="10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211,020</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Money market funds are highly liquid and actively traded marketable securities that generally transact at a stable $1.00 net asset value representing its estimated fair value. The Company estimates the fair value of its U.S. and foreign corporate debt securities, asset backed securities, U.S. treasury securities and U.S. and foreign commercial paper by taking into consideration valuations obtained from third-party pricing services.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securities, issuer credit spreads; benchmark securities; prepayment/default projections based on historical data; and other observable inputs.</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quarter ended December 31, 2021, there was a triggering event that required the Company to perform an impairment analysis for both its goodwill and indefinite-lived asset. As a result, the Company recognized an impairment charge of $41.6 million for its goodwill and indefinite-lived asset. The Company considers the fair value used to determine the impairment charge to be a Level 3 measurement. See additional discussion relating to the Company’s impairment of goodwill and indefinite-lived asset in Note 5.</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transfers between Level 1, Level 2 or Level 3 for any of the periods presented. See Note 3 for further information regarding the carrying value of the Company’s investments in marketable securities.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 and Accounts Receivable from Collaborations</w:t>
      </w:r>
    </w:p>
    <w:p>
      <w:pPr>
        <w:spacing w:after="0" w:line="18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analyzes its collaboration arrangements to assess whether such arrangements, or transactions between arrangement participants, involve joint operating activities performed by parties that are both active participants in the activities and exposed to significant risks and rewards dependent on the commercial success of such activities or are more akin to a vendor-customer relationship. In making this evaluation, the Company considers whether the activities of the collaboration are considered to be distinct and deemed to be within the scope of the collaborative arrangement accounting standard and those that are more reflective of a vendor-customer relationship and, therefore, within the scope of the revenue with contracts with customers accounting standard. This assessment is performed throughout the life of the arrangement based on changes in the responsibilities of all parties in the arrangement.</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elements of collaboration arrangements that are not accounted for pursuant to the revenue from contracts with customers accounting standard, an appropriate recognition method is determined and applied consistently, generally by analogy to the revenue from contracts with customers accounting standard. Amounts related to transactions with a counterparty in a collaborative arrangement that is not a customer are presented as collaboration revenue and on a separate line item from revenue recognized from contracts with customers, if any, in the Company’s consolidated statements of operations and comprehensive loss.</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certain collaborative arrangements, the Company has been reimbursed for a portion of its research and development expenses or participates in the cost-sharing of such research and development expenses. Such reimbursements and cost-sharing arrangements are reflected as a reduction of research and development expense in the Company’s consolidated statements of operations and comprehensive loss, as the Company does not consider performing these activities for reimbursement to be a part of its ongoing major or central operations.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72" w:name="page73"/>
    <w:bookmarkEnd w:id="72"/>
    <w:p>
      <w:pPr>
        <w:jc w:val="both"/>
        <w:spacing w:after="0" w:line="272" w:lineRule="auto"/>
        <w:rPr>
          <w:sz w:val="20"/>
          <w:szCs w:val="20"/>
          <w:color w:val="auto"/>
        </w:rPr>
      </w:pPr>
      <w:r>
        <w:rPr>
          <w:rFonts w:ascii="Arial" w:cs="Arial" w:eastAsia="Arial" w:hAnsi="Arial"/>
          <w:sz w:val="17"/>
          <w:szCs w:val="17"/>
          <w:color w:val="auto"/>
        </w:rPr>
        <w:t>For arrangements or transactions between arrangement participants determined to be within the scope of the contracts with customers accounting standard, the Company evaluates the term of the arrangement and recognizes revenue when the customer obtains control of promised goods or services in a contract for an amount that reflects the consideration the Company expects to receive in exchange for those goods or services. For contracts with customers, the Company applies the following five-step model in order to determine this amount: (1) identification of the promised goods or services in the contract; (2) determination of whether the promised goods or services are performance obligations, including whether they are distinct in the context of the contract; (3) measurement of the transaction price, including the constraint on variable consideration; (4) allocation of the transaction price to the performance obligations; and (5) recognition of revenue when (or as) the Company satisfies each performance obligation.</w:t>
      </w:r>
    </w:p>
    <w:p>
      <w:pPr>
        <w:spacing w:after="0" w:line="15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provided standard indemnification and protection of licensed intellectual property for its customer. These provisions are part of assurance that the licenses meet the agreements, representations and are not obligations to provide goods or services.</w:t>
      </w:r>
    </w:p>
    <w:p>
      <w:pPr>
        <w:spacing w:after="0" w:line="13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only applies the five-step model to contracts when it is probable the Company will collect the consideration it is entitled to in exchange for the goods or services it transfers to the customer. As part of the accounting for contracts with customers, the Company must develop assumptions that require judgment to determine the SSP of each performance obligation identified in the contract. The Company then allocates the total transaction price to each performance obligation based on the estimated standalone selling price (SSP) of each performance obligation. The Company recognizes the amount of the transaction price that is allocated to the respective performance obligation when the performance obligation is satisfied or as it is satisfied as revenue.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Upfront License Fees</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If a license to the Company’s intellectual property is determined to be distinct from the other performance obligations identified in the arrangement, the Company recognizes revenues from nonrefundable, upfront license fees based on the relative value prescribed to the license compared to the total value of the arrangement. The revenue is recognized when the license is transferred to the collaborator and the collaborator is able to use and benefit from the license. For licenses that are not distinct from other obligations identified in the arrangement, the Company utilizes judgment to assess the nature of the combined performance obligation to determine whether the combined performance obligation is satisfied over time or at a point in time. If the combined performance obligation is satisfied over time, the Company applies an appropriate method of measuring progress for purposes of recognizing revenue from nonrefundable, upfront license fees. The Company evaluates the measure of progress each reporting period and, if necessary, adjusts the measure of performance and related revenue recognition.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Development and Regulatory Milestone Payments</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Depending on facts and circumstances, the Company may record revenues from certain milestones in a reporting period before the milestone is achieved if the Company concludes achievement of the milestone is probable and recognition of revenue related to the milestone will not result in a significant reversal in amounts recognized in future periods. The Company records a corresponding contract asset when this conclusion is reached. Milestone payments that have not been included in the transaction price to date are fully constrained. The Company re-evaluates the probability of achievement of such milestones and any related constraint each reporting period. The Company adjusts its estimate of the overall transaction price, including the amount of collaborative revenue that was recorded, if necessary.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Service Payments</w:t>
      </w:r>
    </w:p>
    <w:p>
      <w:pPr>
        <w:spacing w:after="0" w:line="18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Under the Research, Development, Collaboration and License Agreement (Allergan Agreement) with Allergan Pharmaceuticals International Limited (Allergan), the Company was reimbursed at a certain percentage for performing research and development services based on hours worked by the Company’s employees, at a fixed contractual rate per hour, and third-party pass-through costs the Company incurred on a quarterly basis. Research and development service payments were included in the transaction price in the reporting period the Company concluded it was probable that recording revenue in the period would not result in a significant reversal in amounts recognized in future periods. Accounts receivable were recorded when the right to the research and development service payment consideration became unconditional. The Company recorded the full reimbursed portion of these expenses as collaboration revenue associated with the Allergan Agreement in its consolidated statements of operations as the Company consider performing research and development services to be a part of its ongoing and central operations.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i w:val="1"/>
          <w:iCs w:val="1"/>
          <w:color w:val="auto"/>
        </w:rPr>
        <w:t>Sales-based Milestone and Royalty Payments</w:t>
      </w:r>
    </w:p>
    <w:p>
      <w:pPr>
        <w:spacing w:after="0" w:line="19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Company’s customer may be required to pay the Company sales-based milestone payments or royalties on future sales of commercial products. The Company recognizes revenues related to sales-based milestone and royalty payments upon the later to occur of (i) achievement of the collaborator’s underlying sales or (ii) satisfaction of any performance obligation(s) related to these sales, in each case assuming the Company’s licensed intellectual property is deemed to be the predominant item to which the sales-based milestones and/or royalties relate.</w:t>
      </w:r>
    </w:p>
    <w:p>
      <w:pPr>
        <w:spacing w:after="0" w:line="13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receives payments from its customer based on billing schedules established in the contract. Upfront payments and fees are recorded as deferred revenue upon receipt or when due until the Company performs its obligations under the arrangement. If the related performance obligation is expected to be satisfied within the next twelve months, these amounts will be classified in current liabilities. The Company recognizes a contract asset relating to its conditional right to consideration that is not subject to a constraint. Amounts are recorded as accounts receivable when the Company’s right to consideration is unconditional.</w:t>
      </w:r>
    </w:p>
    <w:p>
      <w:pPr>
        <w:spacing w:after="0" w:line="14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net contract asset or liability is presented for each contract with a customer. The Company does not assess whether a contract has a significant financing component if the expectation at contract inception is such that the period between payment by the customer and the transfer of the promised goods or services to the customer will be one year or less.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2021 and 2020, all accounts receivable from collaborations are deemed collectible.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Liabilities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changes in the Company’s contract liabilities (in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8"/>
              </w:rPr>
              <w:t>Balance at</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1"/>
              </w:rPr>
              <w:t>Balance at</w:t>
            </w:r>
          </w:p>
        </w:tc>
      </w:tr>
      <w:tr>
        <w:trPr>
          <w:trHeight w:val="216"/>
        </w:trPr>
        <w:tc>
          <w:tcPr>
            <w:tcW w:w="5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Beginning</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9"/>
              </w:rPr>
              <w:t>End of</w:t>
            </w:r>
          </w:p>
        </w:tc>
      </w:tr>
      <w:tr>
        <w:trPr>
          <w:trHeight w:val="234"/>
        </w:trPr>
        <w:tc>
          <w:tcPr>
            <w:tcW w:w="5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of Period</w:t>
            </w:r>
          </w:p>
        </w:tc>
        <w:tc>
          <w:tcPr>
            <w:tcW w:w="180" w:type="dxa"/>
            <w:vAlign w:val="bottom"/>
          </w:tcPr>
          <w:p>
            <w:pPr>
              <w:spacing w:after="0"/>
              <w:rPr>
                <w:sz w:val="20"/>
                <w:szCs w:val="20"/>
                <w:color w:val="auto"/>
              </w:rPr>
            </w:pPr>
          </w:p>
        </w:tc>
        <w:tc>
          <w:tcPr>
            <w:tcW w:w="110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w w:val="98"/>
              </w:rPr>
              <w:t>Additions</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4"/>
          </w:tcPr>
          <w:p>
            <w:pPr>
              <w:jc w:val="right"/>
              <w:ind w:right="560"/>
              <w:spacing w:after="0"/>
              <w:rPr>
                <w:sz w:val="20"/>
                <w:szCs w:val="20"/>
                <w:color w:val="auto"/>
              </w:rPr>
            </w:pPr>
            <w:r>
              <w:rPr>
                <w:rFonts w:ascii="Arial" w:cs="Arial" w:eastAsia="Arial" w:hAnsi="Arial"/>
                <w:sz w:val="18"/>
                <w:szCs w:val="18"/>
                <w:b w:val="1"/>
                <w:bCs w:val="1"/>
                <w:color w:val="auto"/>
                <w:w w:val="89"/>
              </w:rPr>
              <w:t>Deductions</w:t>
            </w:r>
          </w:p>
        </w:tc>
        <w:tc>
          <w:tcPr>
            <w:tcW w:w="220" w:type="dxa"/>
            <w:vAlign w:val="bottom"/>
          </w:tcPr>
          <w:p>
            <w:pPr>
              <w:spacing w:after="0"/>
              <w:rPr>
                <w:sz w:val="20"/>
                <w:szCs w:val="20"/>
                <w:color w:val="auto"/>
              </w:rPr>
            </w:pPr>
          </w:p>
        </w:tc>
        <w:tc>
          <w:tcPr>
            <w:tcW w:w="114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9"/>
              </w:rPr>
              <w:t>Period</w:t>
            </w: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Year Ended December 31, 2021</w:t>
            </w:r>
          </w:p>
        </w:tc>
        <w:tc>
          <w:tcPr>
            <w:tcW w:w="16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Contract liabilities:</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revenue</w:t>
            </w: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8,987</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spacing w:after="0"/>
              <w:rPr>
                <w:sz w:val="19"/>
                <w:szCs w:val="19"/>
                <w:color w:val="auto"/>
              </w:rPr>
            </w:pPr>
          </w:p>
        </w:tc>
        <w:tc>
          <w:tcPr>
            <w:tcW w:w="940" w:type="dxa"/>
            <w:vAlign w:val="bottom"/>
            <w:gridSpan w:val="3"/>
            <w:shd w:val="clear" w:color="auto" w:fill="CFF0FC"/>
          </w:tcPr>
          <w:p>
            <w:pPr>
              <w:jc w:val="right"/>
              <w:ind w:right="300"/>
              <w:spacing w:after="0"/>
              <w:rPr>
                <w:sz w:val="20"/>
                <w:szCs w:val="20"/>
                <w:color w:val="auto"/>
              </w:rPr>
            </w:pPr>
            <w:r>
              <w:rPr>
                <w:rFonts w:ascii="Arial" w:cs="Arial" w:eastAsia="Arial" w:hAnsi="Arial"/>
                <w:sz w:val="18"/>
                <w:szCs w:val="18"/>
                <w:color w:val="auto"/>
              </w:rPr>
              <w:t>(6,254)</w:t>
            </w:r>
          </w:p>
        </w:tc>
        <w:tc>
          <w:tcPr>
            <w:tcW w:w="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2,733</w:t>
            </w:r>
          </w:p>
        </w:tc>
        <w:tc>
          <w:tcPr>
            <w:tcW w:w="100" w:type="dxa"/>
            <w:vAlign w:val="bottom"/>
            <w:shd w:val="clear" w:color="auto" w:fill="CFF0FC"/>
          </w:tcPr>
          <w:p>
            <w:pPr>
              <w:spacing w:after="0"/>
              <w:rPr>
                <w:sz w:val="19"/>
                <w:szCs w:val="19"/>
                <w:color w:val="auto"/>
              </w:rPr>
            </w:pPr>
          </w:p>
        </w:tc>
      </w:tr>
      <w:tr>
        <w:trPr>
          <w:trHeight w:val="230"/>
        </w:trPr>
        <w:tc>
          <w:tcPr>
            <w:tcW w:w="5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Year Ended December 31, 2020</w:t>
            </w: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280" w:type="dxa"/>
            <w:vAlign w:val="bottom"/>
          </w:tcPr>
          <w:p>
            <w:pPr>
              <w:spacing w:after="0"/>
              <w:rPr>
                <w:sz w:val="20"/>
                <w:szCs w:val="20"/>
                <w:color w:val="auto"/>
              </w:rPr>
            </w:pPr>
            <w:r>
              <w:rPr>
                <w:rFonts w:ascii="Arial" w:cs="Arial" w:eastAsia="Arial" w:hAnsi="Arial"/>
                <w:sz w:val="18"/>
                <w:szCs w:val="18"/>
                <w:color w:val="auto"/>
              </w:rPr>
              <w:t>Contract liabilities:</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revenue</w:t>
            </w: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37,048</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40,000</w:t>
            </w: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spacing w:after="0"/>
              <w:rPr>
                <w:sz w:val="19"/>
                <w:szCs w:val="19"/>
                <w:color w:val="auto"/>
              </w:rPr>
            </w:pPr>
          </w:p>
        </w:tc>
        <w:tc>
          <w:tcPr>
            <w:tcW w:w="940" w:type="dxa"/>
            <w:vAlign w:val="bottom"/>
            <w:gridSpan w:val="3"/>
            <w:shd w:val="clear" w:color="auto" w:fill="CFF0FC"/>
          </w:tcPr>
          <w:p>
            <w:pPr>
              <w:jc w:val="right"/>
              <w:ind w:right="300"/>
              <w:spacing w:after="0"/>
              <w:rPr>
                <w:sz w:val="20"/>
                <w:szCs w:val="20"/>
                <w:color w:val="auto"/>
              </w:rPr>
            </w:pPr>
            <w:r>
              <w:rPr>
                <w:rFonts w:ascii="Arial" w:cs="Arial" w:eastAsia="Arial" w:hAnsi="Arial"/>
                <w:sz w:val="18"/>
                <w:szCs w:val="18"/>
                <w:color w:val="auto"/>
                <w:w w:val="92"/>
              </w:rPr>
              <w:t>(68,061)</w:t>
            </w:r>
          </w:p>
        </w:tc>
        <w:tc>
          <w:tcPr>
            <w:tcW w:w="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8,987</w:t>
            </w:r>
          </w:p>
        </w:tc>
        <w:tc>
          <w:tcPr>
            <w:tcW w:w="100" w:type="dxa"/>
            <w:vAlign w:val="bottom"/>
            <w:shd w:val="clear" w:color="auto" w:fill="CFF0FC"/>
          </w:tcPr>
          <w:p>
            <w:pPr>
              <w:spacing w:after="0"/>
              <w:rPr>
                <w:sz w:val="19"/>
                <w:szCs w:val="19"/>
                <w:color w:val="auto"/>
              </w:rPr>
            </w:pPr>
          </w:p>
        </w:tc>
      </w:tr>
      <w:tr>
        <w:trPr>
          <w:trHeight w:val="459"/>
        </w:trPr>
        <w:tc>
          <w:tcPr>
            <w:tcW w:w="5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7"/>
          </w:tcPr>
          <w:p>
            <w:pPr>
              <w:ind w:left="20"/>
              <w:spacing w:after="0"/>
              <w:rPr>
                <w:sz w:val="20"/>
                <w:szCs w:val="20"/>
                <w:color w:val="auto"/>
              </w:rPr>
            </w:pPr>
            <w:r>
              <w:rPr>
                <w:rFonts w:ascii="Arial" w:cs="Arial" w:eastAsia="Arial" w:hAnsi="Arial"/>
                <w:sz w:val="18"/>
                <w:szCs w:val="18"/>
                <w:b w:val="1"/>
                <w:bCs w:val="1"/>
                <w:color w:val="auto"/>
                <w:w w:val="90"/>
              </w:rPr>
              <w:t>Year Ended December 31,</w:t>
            </w:r>
          </w:p>
        </w:tc>
        <w:tc>
          <w:tcPr>
            <w:tcW w:w="86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52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12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r>
      <w:tr>
        <w:trPr>
          <w:trHeight w:val="223"/>
        </w:trPr>
        <w:tc>
          <w:tcPr>
            <w:tcW w:w="52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Collaboration revenue recognized in the period from</w:t>
            </w: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w w:val="96"/>
              </w:rPr>
              <w:t>Amounts included in deferred revenue at the beginning of the period</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6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6,254</w:t>
            </w: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37,048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Performance obligations satisfied in previous period</w:t>
            </w: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8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measures stock-based compensation to employees, consultants, Board members, and non-employees at fair value on the grant date of the award. The fair value of RSUs is determined based on the number of shares granted and the quoted market price of the Company’s common stock on the date of grant. Compensation cost is recognized as expense on a straight-line basis over the requisite service period of the award. Stock-based awards with graded vesting schedules are recognized using the accelerated attribution method on a straight-line basis over the requisite service period for each separately vesting portion of the award. For awards that have a performance condition, compensation cost is measured based on the fair value of the award on the grant date, the date performance targets are established, and is expensed over the requisite service period for each separately vesting tranche when achievement of the performance condition becomes probable. The Company assesses the probability of the performance conditions being met on a continuous basis. Forfeitures are recognized when they occur.</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74" w:name="page75"/>
    <w:bookmarkEnd w:id="74"/>
    <w:p>
      <w:pPr>
        <w:jc w:val="both"/>
        <w:spacing w:after="0" w:line="273" w:lineRule="auto"/>
        <w:rPr>
          <w:sz w:val="20"/>
          <w:szCs w:val="20"/>
          <w:color w:val="auto"/>
        </w:rPr>
      </w:pPr>
      <w:r>
        <w:rPr>
          <w:rFonts w:ascii="Arial" w:cs="Arial" w:eastAsia="Arial" w:hAnsi="Arial"/>
          <w:sz w:val="17"/>
          <w:szCs w:val="17"/>
          <w:color w:val="auto"/>
        </w:rPr>
        <w:t>The Company estimates the fair value of stock option grants that do not contain market-based vesting conditions using the Black-Scholes option pricing model. The assumptions used in estimating the fair value of these awards, such as expected term, expected dividend yield, volatility and risk-free interest rate, represent management’s best estimates and involve inherent uncertainties and the application of management’s judgment. The Company is also required to make estimates as to the probability of achieving the specific performance conditions. If actual results are not consistent with the Company’s assumptions and judgments used in making these estimates, the Company may be required to increase or decrease compensation expense, which could be material to the Company’s consolidated results of operations.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 and Accruals</w:t>
      </w:r>
    </w:p>
    <w:p>
      <w:pPr>
        <w:spacing w:after="0" w:line="18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Research and development costs include personnel-related costs, outside contracted services including clinical study costs, facilities costs, fees paid to consultants, milestone payments prior to FDA approval, license fees prior to FDA approval, professional services, travel costs, dues and subscriptions, depreciation and materials used in clinical trials and research and development and costs incurred under the Company’s collaboration agreements. Research and development costs are expensed as incurred unless there is an alternative future use in other research and development projects. Payments made prior to the receipt of goods or services to be used in research and development are capitalized until the goods or services are received. Such payments are evaluated for current or long-term classification based on when they will be realized or consumed. Assets acquired as part of an asset acquisition that are used in research and development or are IPR&amp;D are immediately expensed as research and development unless there is an alternative future use in other research and development projects.</w:t>
      </w:r>
    </w:p>
    <w:p>
      <w:pPr>
        <w:spacing w:after="0" w:line="13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records expenses related to clinical studies and manufacturing development activities based on its estimates of the services received and efforts expended pursuant to contracts with multiple contract research organizations (CROs) and manufacturing vendors that conduct and manage these activities on its behalf. The financial terms of these agreements are subject to negotiation, vary from contract to contract, and may result in uneven payment flows. There may be instances in which payments made to the Company’s vendors will exceed the level of services provided and result in a prepayment of the expense. Payments under some of these contracts depend on factors such as the successful enrollment of subjects and the completion of clinical study milestones. In amortizing or accruing service fees, the Company estimates the time period over which services will be performed, enrollment of subjects, number of sites activated and the level of effort to be expended in each period. If the actual timing of the performance of services or the level of effort varies from the Company’s estimate, the Company will adjust the accrued or prepaid expense balance accordingly. To date, there have been no material differences from the Company’s estimates to the amounts actually incurred.</w:t>
      </w:r>
    </w:p>
    <w:p>
      <w:pPr>
        <w:spacing w:after="0" w:line="15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has entered and may continue to enter into license agreements to access and utilize certain technology. In each case, the Company evaluates if the license agreement results in the acquisition of an asset or a business. To date, none of the Company’s license agreements have been considered to be acquisitions of businesses. For asset acquisitions, the upfront payments to acquire such licenses, as well as any future milestone payments, are immediately recognized as research and development expense when paid, provided there is no alternative future use of the rights in other research and development projects. These license agreements may also include contingent consideration in the form of cash payments to be made for future milestone events. The Company assesses whether such contingent consideration meets the definition of a derivative and to date the Company has determined that such contingent consideration are not derivatives.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Charges</w:t>
      </w:r>
    </w:p>
    <w:p>
      <w:pPr>
        <w:spacing w:after="0" w:line="18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recognizes restructuring charges related to reorganization plans that have been committed to by management and when liabilities have been incurred. In connection with these activities, the Company records restructuring charges at fair value for (1) contractual employee termination benefits when obligations are associated to services already rendered, rights to such benefits have vested, and payment of benefits is probable and can be reasonably estimated, (2) one-time employee termination benefits when management has committed to a plan of termination, the plan identifies the employees and their expected termination dates, the details of termination benefits are complete, it is unlikely changes to the plan will be made or the plan will be withdrawn and communication to such employees has occurred, and (3) contract termination costs when a contract is terminated before the end of its term.</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75" w:name="page76"/>
    <w:bookmarkEnd w:id="75"/>
    <w:p>
      <w:pPr>
        <w:jc w:val="both"/>
        <w:spacing w:after="0" w:line="263" w:lineRule="auto"/>
        <w:rPr>
          <w:sz w:val="20"/>
          <w:szCs w:val="20"/>
          <w:color w:val="auto"/>
        </w:rPr>
      </w:pPr>
      <w:r>
        <w:rPr>
          <w:rFonts w:ascii="Arial" w:cs="Arial" w:eastAsia="Arial" w:hAnsi="Arial"/>
          <w:sz w:val="18"/>
          <w:szCs w:val="18"/>
          <w:color w:val="auto"/>
        </w:rPr>
        <w:t>One-time employee termination benefits are recognized in their entirety when communication has occurred, and future services are not required. If future services are required, the costs are recorded ratably over the remaining period of service. Contract termination costs to be incurred over the remaining contract term without economic benefit are recorded in their entirety when the contract is canceled.</w:t>
      </w:r>
    </w:p>
    <w:p>
      <w:pPr>
        <w:spacing w:after="0" w:line="15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recognition of restructuring charges requires the Company to make certain judgments and estimates regarding the nature, timing and amount of costs associated with the planned reorganization plan. To the extent the Company’s actual results differ from its estimates and assumptions, the Company may be required to revise the estimates of future accrued restructuring liabilities, requiring the recognition of additional restructuring charges or the reduction of accrued restructuring liabilities already recognized. Such changes to previously estimated amounts may be material to the consolidated financial statements. Changes in the estimates of the restructuring charges are recorded in the period the change is determined.</w:t>
      </w:r>
    </w:p>
    <w:p>
      <w:pPr>
        <w:spacing w:after="0" w:line="13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the end of each reporting period, the Company evaluates the remaining accrued restructuring balances to ensure that no excess accruals are retained, and the utilization of t</w:t>
      </w:r>
      <w:r>
        <w:rPr>
          <w:rFonts w:ascii="Arial" w:cs="Arial" w:eastAsia="Arial" w:hAnsi="Arial"/>
          <w:sz w:val="18"/>
          <w:szCs w:val="18"/>
          <w:color w:val="212529"/>
        </w:rPr>
        <w:t>he provisions are for their intended purpose in accordance with developed restructuring plans.</w:t>
      </w:r>
    </w:p>
    <w:p>
      <w:pPr>
        <w:spacing w:after="0" w:line="13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212529"/>
        </w:rPr>
        <w:t>For gains and losses on the derecognition of nonfinancial assets the Company determines if a contract exists, identifies the distinct non-financial assets, and determines when control transfers and, therefore, when to derecognize the asset. Additionally, the Company applies the measurement principles of revenue from contracts with customers within U.S. GAAP to determine the amount of consideration to include in the calculation of the gain or loss for the non-financial asset. Any gains or losses have been included within research and development expenses.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Variable Interest Entities</w:t>
      </w:r>
    </w:p>
    <w:p>
      <w:pPr>
        <w:spacing w:after="0" w:line="18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reviews agreements it enters into with third party entities, pursuant to which we may have a variable interest in the entity, in order to determine if the entity is a variable interest entity (VIE). If the entity is a VIE, the Company assesses whether or not it is the primary beneficiary of that entity. In determining whether the Company is the primary beneficiary of an entity, the Company applies a qualitative approach that determines whether it has both (1) the power to direct the economically significant activities of the entity and (2) the obligation to absorb losses of, or the right receive benefits from, the entity that could potentially be significant to that entity. If the Company were to determine it is the primary beneficiary of a VIE, the Company would consolidate the statements of operations and financial condition of the VIE into its consolidated financial statements.</w:t>
      </w:r>
    </w:p>
    <w:p>
      <w:pPr>
        <w:spacing w:after="0" w:line="13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Company’s determination about whether it should consolidate such VIEs is made continuously as changes to existing relationships or future transactions may result in a consolidation event. As of December 31, 2021, the Company did not consolidate any entities it had determined to be VIEs.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8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records income taxes using the asset and liability method. Deferred income tax assets and liabilities are recognized for the future tax effects attributable to temporary differences between the financial statement carrying amounts of existing assets and liabilities and their respective income tax bases, and operating loss and tax credit carryforwards. The effect of a change in tax rates on deferred tax assets and liabilities is recognized in income in the period that includes the enactment date. The Company establishes a valuation allowance if it is more likely than not that the deferred tax assets will not be realized based on an evaluation of objective verifiable evidence. For tax positions that are more likely than not of being sustained upon audit, the Company recognizes the largest amount of the benefit that is greater than 50% likely of being realized. For tax positions that are not more likely than not of being sustained upon audit, the Company does not recognize any portion of the benefit.</w:t>
      </w:r>
    </w:p>
    <w:p>
      <w:pPr>
        <w:spacing w:after="0" w:line="13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recognizes and measures uncertain tax positions using a two-step approach set forth in authoritative guidance. The first step is to evaluate the tax position taken or expected to be taken by determining whether the weight of available evidence indicates that it is more likely than not that the tax position will be sustained in an audit, including resolution of any related appeals or litigation processes. The second step is to measure the tax benefit as the largest amount that is more than 50% likely to be realized upon ultimate settlement. Significant judgment is required to evaluate uncertain tax positions. The Company evaluates uncertain tax positions on a regular basis. The evaluations are based on a number of factors, including changes in facts and circumstances, changes in tax law, correspondence with tax authorities during the course of the audit, and effective settlement of audit issues. The provision for income taxes includes the effects of any accruals which the Company believes are appropriate. It is the Company’s policy to</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76" w:name="page77"/>
    <w:bookmarkEnd w:id="76"/>
    <w:p>
      <w:pPr>
        <w:jc w:val="both"/>
        <w:spacing w:after="0" w:line="277" w:lineRule="auto"/>
        <w:rPr>
          <w:sz w:val="20"/>
          <w:szCs w:val="20"/>
          <w:color w:val="auto"/>
        </w:rPr>
      </w:pPr>
      <w:r>
        <w:rPr>
          <w:rFonts w:ascii="Arial" w:cs="Arial" w:eastAsia="Arial" w:hAnsi="Arial"/>
          <w:sz w:val="18"/>
          <w:szCs w:val="18"/>
          <w:color w:val="auto"/>
        </w:rPr>
        <w:t>recognize interest and penalties related to income tax matters in income tax expense. No interest or penalties related to uncertain tax positions has been incurred or accrued for any periods presented.</w:t>
      </w:r>
    </w:p>
    <w:p>
      <w:pPr>
        <w:spacing w:after="0" w:line="14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March 2020, the Families First Coronavirus Response Act (FFCR Act) and the Coronavirus Aid, Relief, and Economic Security Act (CARES Act) were each enacted in response to the COVID-19 pandemic. The FFCR Act and the CARES Act contain numerous income tax provisions relating to refundable payroll tax credits, deferment of employer side social security payments, net operating loss carryback periods, alternative minimum tax credit refunds, modifications to the net interest deduction limitations and technical corrections to tax depreciation methods for qualified improvement property.</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June 2020, Assembly Bill 85 (A.B. 85) was signed into California law. A.B. 85 provides for a three-year suspension of the use of net operating losses for medium and large businesses and a three-year cap on the use of business incentive tax credits to offset no more than $5.0 million of tax per year. A.B. 85 suspends the use of net operating losses for taxable years 2020, 2021 and 2022 for certain taxpayers with taxable income of $1.0 million or more. The carryover period for any net operating losses that are suspended under this provision will be extended. A.B. 85 also requires that business incentive tax credits including carryovers may not reduce the applicable tax by more than $5.0 million for taxable years 2020, 2021 and 2022. On February 9, 2022, Senate Bill No. 113 was enacted that removed the limitations on the use of NOLs and the cap on the business incentive tax credits that were suspended in accordance with AB 85 effective for tax year 2022.</w:t>
      </w:r>
    </w:p>
    <w:p>
      <w:pPr>
        <w:spacing w:after="0" w:line="15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December 2020, the Consolidated Appropriations Act, 2021 (CAA) was signed into law. The CAA included additional funding through tax credits as part of its economic package for 2021.</w:t>
      </w:r>
    </w:p>
    <w:p>
      <w:pPr>
        <w:spacing w:after="0" w:line="14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March 2021, the American Rescue Plan (H.R. 1319) was signed into law. This legislation extends and enhances a number of current-law tax incentives for businesses, but also expands the definition of a “covered employee” as defined by Section 162(m)(1) of the Internal Revenue Code.</w:t>
      </w:r>
    </w:p>
    <w:p>
      <w:pPr>
        <w:spacing w:after="0" w:line="106" w:lineRule="exact"/>
        <w:rPr>
          <w:sz w:val="20"/>
          <w:szCs w:val="20"/>
          <w:color w:val="auto"/>
        </w:rPr>
      </w:pPr>
    </w:p>
    <w:p>
      <w:pPr>
        <w:ind w:right="900"/>
        <w:spacing w:after="0" w:line="461" w:lineRule="auto"/>
        <w:rPr>
          <w:sz w:val="20"/>
          <w:szCs w:val="20"/>
          <w:color w:val="auto"/>
        </w:rPr>
      </w:pPr>
      <w:r>
        <w:rPr>
          <w:rFonts w:ascii="Arial" w:cs="Arial" w:eastAsia="Arial" w:hAnsi="Arial"/>
          <w:sz w:val="18"/>
          <w:szCs w:val="18"/>
          <w:color w:val="auto"/>
        </w:rPr>
        <w:t xml:space="preserve">The FFCR Act, CARES Act, A.B. 85, CAA and H.R. 1319 did not have a material impact on the Company’s consolidated financial statements. </w:t>
      </w:r>
      <w:r>
        <w:rPr>
          <w:rFonts w:ascii="Arial" w:cs="Arial" w:eastAsia="Arial" w:hAnsi="Arial"/>
          <w:sz w:val="18"/>
          <w:szCs w:val="18"/>
          <w:b w:val="1"/>
          <w:bCs w:val="1"/>
          <w:color w:val="auto"/>
        </w:rPr>
        <w:t>Net Loss per Share</w:t>
      </w:r>
    </w:p>
    <w:p>
      <w:pPr>
        <w:spacing w:after="0" w:line="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Basic net loss per common share excludes dilution and is computed by dividing net loss by the weighted average number of common shares outstanding during the period. Diluted net loss per common share reflects the potential dilution that could occur if securities or other contracts to issue common stock were exercised or converted into common stock or resulted in the issuance of common stock that then shared in the earnings of the entity unless inclusion of such shares would be anti-dilutive. Since the Company has only incurred losses, basic and diluted net loss per share is the same.</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had pre-funded warrants to purchase up to 2,424,242 shares of common stock outstanding as of December 31, 2020. All 2,424,242 of the pre-funded warrants were exercised through a cashless exercise (see Note 8) in 2021. Prior to these exercises, the pre-funded warrants were exercisable for shares of common stock at a price of $0.001 per share. The shares of common stock into which the then outstanding pre-funded warrants could be exercised were considered outstanding for the purposes of computing earnings per share because the shares were issuable for little or no consideration, they were fully vested, and were exercisable after the original issuance date.</w:t>
      </w:r>
    </w:p>
    <w:p>
      <w:pPr>
        <w:spacing w:after="0" w:line="14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reconciliation of the numerators and the denominators of the basic and diluted net loss per common share computations is as follows (in thousands, except per share amounts):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78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340" w:type="dxa"/>
            <w:vAlign w:val="bottom"/>
            <w:tcBorders>
              <w:bottom w:val="single" w:sz="8" w:color="auto"/>
            </w:tcBorders>
            <w:gridSpan w:val="3"/>
          </w:tcPr>
          <w:p>
            <w:pPr>
              <w:jc w:val="right"/>
              <w:ind w:right="47"/>
              <w:spacing w:after="0"/>
              <w:rPr>
                <w:sz w:val="20"/>
                <w:szCs w:val="20"/>
                <w:color w:val="auto"/>
              </w:rPr>
            </w:pPr>
            <w:r>
              <w:rPr>
                <w:rFonts w:ascii="Arial" w:cs="Arial" w:eastAsia="Arial" w:hAnsi="Arial"/>
                <w:sz w:val="13"/>
                <w:szCs w:val="13"/>
                <w:b w:val="1"/>
                <w:bCs w:val="1"/>
                <w:color w:val="auto"/>
              </w:rPr>
              <w:t>Year Ended December 31,</w:t>
            </w:r>
          </w:p>
        </w:tc>
        <w:tc>
          <w:tcPr>
            <w:tcW w:w="11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2"/>
        </w:trPr>
        <w:tc>
          <w:tcPr>
            <w:tcW w:w="4780" w:type="dxa"/>
            <w:vAlign w:val="bottom"/>
            <w:tcBorders>
              <w:bottom w:val="single" w:sz="8" w:color="CFF0FC"/>
            </w:tcBorders>
          </w:tcPr>
          <w:p>
            <w:pPr>
              <w:spacing w:after="0"/>
              <w:rPr>
                <w:sz w:val="12"/>
                <w:szCs w:val="12"/>
                <w:color w:val="auto"/>
              </w:rPr>
            </w:pPr>
          </w:p>
        </w:tc>
        <w:tc>
          <w:tcPr>
            <w:tcW w:w="2460" w:type="dxa"/>
            <w:vAlign w:val="bottom"/>
            <w:tcBorders>
              <w:bottom w:val="single" w:sz="8" w:color="CFF0FC"/>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661"/>
              <w:spacing w:after="0" w:line="142" w:lineRule="exact"/>
              <w:rPr>
                <w:sz w:val="20"/>
                <w:szCs w:val="20"/>
                <w:color w:val="auto"/>
              </w:rPr>
            </w:pPr>
            <w:r>
              <w:rPr>
                <w:rFonts w:ascii="Arial" w:cs="Arial" w:eastAsia="Arial" w:hAnsi="Arial"/>
                <w:sz w:val="13"/>
                <w:szCs w:val="13"/>
                <w:b w:val="1"/>
                <w:bCs w:val="1"/>
                <w:color w:val="auto"/>
              </w:rPr>
              <w:t>2021</w:t>
            </w:r>
          </w:p>
        </w:tc>
        <w:tc>
          <w:tcPr>
            <w:tcW w:w="400" w:type="dxa"/>
            <w:vAlign w:val="bottom"/>
            <w:tcBorders>
              <w:bottom w:val="single" w:sz="8" w:color="CFF0FC"/>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677"/>
              <w:spacing w:after="0" w:line="142" w:lineRule="exact"/>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FF0FC"/>
            </w:tcBorders>
          </w:tcPr>
          <w:p>
            <w:pPr>
              <w:spacing w:after="0"/>
              <w:rPr>
                <w:sz w:val="12"/>
                <w:szCs w:val="12"/>
                <w:color w:val="auto"/>
              </w:rPr>
            </w:pPr>
          </w:p>
        </w:tc>
      </w:tr>
      <w:tr>
        <w:trPr>
          <w:trHeight w:val="223"/>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Numerator:</w:t>
            </w:r>
          </w:p>
        </w:tc>
        <w:tc>
          <w:tcPr>
            <w:tcW w:w="24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96"/>
        </w:trPr>
        <w:tc>
          <w:tcPr>
            <w:tcW w:w="4780" w:type="dxa"/>
            <w:vAlign w:val="bottom"/>
          </w:tcPr>
          <w:p>
            <w:pPr>
              <w:ind w:left="260"/>
              <w:spacing w:after="0"/>
              <w:rPr>
                <w:sz w:val="20"/>
                <w:szCs w:val="20"/>
                <w:color w:val="auto"/>
              </w:rPr>
            </w:pPr>
            <w:r>
              <w:rPr>
                <w:rFonts w:ascii="Arial" w:cs="Arial" w:eastAsia="Arial" w:hAnsi="Arial"/>
                <w:sz w:val="18"/>
                <w:szCs w:val="18"/>
                <w:color w:val="auto"/>
              </w:rPr>
              <w:t>Net loss</w:t>
            </w:r>
          </w:p>
        </w:tc>
        <w:tc>
          <w:tcPr>
            <w:tcW w:w="28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340"/>
              <w:spacing w:after="0"/>
              <w:rPr>
                <w:sz w:val="20"/>
                <w:szCs w:val="20"/>
                <w:color w:val="auto"/>
              </w:rPr>
            </w:pPr>
            <w:r>
              <w:rPr>
                <w:rFonts w:ascii="Arial" w:cs="Arial" w:eastAsia="Arial" w:hAnsi="Arial"/>
                <w:sz w:val="18"/>
                <w:szCs w:val="18"/>
                <w:color w:val="auto"/>
              </w:rPr>
              <w:t>(129,855)</w:t>
            </w:r>
          </w:p>
        </w:tc>
        <w:tc>
          <w:tcPr>
            <w:tcW w:w="620" w:type="dxa"/>
            <w:vAlign w:val="bottom"/>
          </w:tcPr>
          <w:p>
            <w:pPr>
              <w:jc w:val="right"/>
              <w:ind w:right="467"/>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(62,152)</w:t>
            </w:r>
          </w:p>
        </w:tc>
      </w:tr>
      <w:tr>
        <w:trPr>
          <w:trHeight w:val="210"/>
        </w:trPr>
        <w:tc>
          <w:tcPr>
            <w:tcW w:w="4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Denominator:</w:t>
            </w:r>
          </w:p>
        </w:tc>
        <w:tc>
          <w:tcPr>
            <w:tcW w:w="2460" w:type="dxa"/>
            <w:vAlign w:val="bottom"/>
            <w:tcBorders>
              <w:top w:val="single" w:sz="8" w:color="CFF0FC"/>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CFF0FC"/>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15"/>
        </w:trPr>
        <w:tc>
          <w:tcPr>
            <w:tcW w:w="4780" w:type="dxa"/>
            <w:vAlign w:val="bottom"/>
          </w:tcPr>
          <w:p>
            <w:pPr>
              <w:ind w:left="260"/>
              <w:spacing w:after="0"/>
              <w:rPr>
                <w:sz w:val="20"/>
                <w:szCs w:val="20"/>
                <w:color w:val="auto"/>
              </w:rPr>
            </w:pPr>
            <w:r>
              <w:rPr>
                <w:rFonts w:ascii="Arial" w:cs="Arial" w:eastAsia="Arial" w:hAnsi="Arial"/>
                <w:sz w:val="18"/>
                <w:szCs w:val="18"/>
                <w:color w:val="auto"/>
              </w:rPr>
              <w:t>Weighted average common shares and</w:t>
            </w:r>
          </w:p>
        </w:tc>
        <w:tc>
          <w:tcPr>
            <w:tcW w:w="2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478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pre-funded warrants outstanding - basic and diluted</w:t>
            </w:r>
          </w:p>
        </w:tc>
        <w:tc>
          <w:tcPr>
            <w:tcW w:w="2460" w:type="dxa"/>
            <w:vAlign w:val="bottom"/>
            <w:tcBorders>
              <w:bottom w:val="single" w:sz="8" w:color="CFF0FC"/>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43,280,383</w:t>
            </w:r>
          </w:p>
        </w:tc>
        <w:tc>
          <w:tcPr>
            <w:tcW w:w="400" w:type="dxa"/>
            <w:vAlign w:val="bottom"/>
            <w:tcBorders>
              <w:bottom w:val="single" w:sz="8" w:color="CFF0FC"/>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35,427,120</w:t>
            </w:r>
          </w:p>
        </w:tc>
        <w:tc>
          <w:tcPr>
            <w:tcW w:w="100" w:type="dxa"/>
            <w:vAlign w:val="bottom"/>
            <w:tcBorders>
              <w:bottom w:val="single" w:sz="8" w:color="CFF0FC"/>
            </w:tcBorders>
          </w:tcPr>
          <w:p>
            <w:pPr>
              <w:spacing w:after="0"/>
              <w:rPr>
                <w:sz w:val="23"/>
                <w:szCs w:val="23"/>
                <w:color w:val="auto"/>
              </w:rPr>
            </w:pPr>
          </w:p>
        </w:tc>
      </w:tr>
      <w:tr>
        <w:trPr>
          <w:trHeight w:val="210"/>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Net loss per share - basic and diluted</w:t>
            </w:r>
          </w:p>
        </w:tc>
        <w:tc>
          <w:tcPr>
            <w:tcW w:w="2460" w:type="dxa"/>
            <w:vAlign w:val="bottom"/>
            <w:shd w:val="clear" w:color="auto" w:fill="CFF0FC"/>
          </w:tcPr>
          <w:p>
            <w:pPr>
              <w:spacing w:after="0"/>
              <w:rPr>
                <w:sz w:val="18"/>
                <w:szCs w:val="18"/>
                <w:color w:val="auto"/>
              </w:rPr>
            </w:pP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w:t>
            </w:r>
          </w:p>
        </w:tc>
        <w:tc>
          <w:tcPr>
            <w:tcW w:w="40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46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FF0FC"/>
          </w:tcPr>
          <w:p>
            <w:pPr>
              <w:spacing w:after="0"/>
              <w:rPr>
                <w:sz w:val="18"/>
                <w:szCs w:val="18"/>
                <w:color w:val="auto"/>
              </w:rPr>
            </w:pPr>
          </w:p>
        </w:tc>
      </w:tr>
      <w:tr>
        <w:trPr>
          <w:trHeight w:val="432"/>
        </w:trPr>
        <w:tc>
          <w:tcPr>
            <w:tcW w:w="4780" w:type="dxa"/>
            <w:vAlign w:val="bottom"/>
          </w:tcPr>
          <w:p>
            <w:pPr>
              <w:spacing w:after="0"/>
              <w:rPr>
                <w:sz w:val="24"/>
                <w:szCs w:val="24"/>
                <w:color w:val="auto"/>
              </w:rPr>
            </w:pPr>
          </w:p>
        </w:tc>
        <w:tc>
          <w:tcPr>
            <w:tcW w:w="2880" w:type="dxa"/>
            <w:vAlign w:val="bottom"/>
            <w:gridSpan w:val="2"/>
          </w:tcPr>
          <w:p>
            <w:pPr>
              <w:jc w:val="right"/>
              <w:ind w:right="1770"/>
              <w:spacing w:after="0"/>
              <w:rPr>
                <w:sz w:val="20"/>
                <w:szCs w:val="20"/>
                <w:color w:val="auto"/>
              </w:rPr>
            </w:pPr>
            <w:r>
              <w:rPr>
                <w:rFonts w:ascii="Arial" w:cs="Arial" w:eastAsia="Arial" w:hAnsi="Arial"/>
                <w:sz w:val="18"/>
                <w:szCs w:val="18"/>
                <w:color w:val="auto"/>
              </w:rPr>
              <w:t>F-19</w:t>
            </w:r>
          </w:p>
        </w:tc>
        <w:tc>
          <w:tcPr>
            <w:tcW w:w="1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780" w:type="dxa"/>
            <w:vAlign w:val="bottom"/>
            <w:tcBorders>
              <w:bottom w:val="single" w:sz="8" w:color="9A9A9A"/>
            </w:tcBorders>
          </w:tcPr>
          <w:p>
            <w:pPr>
              <w:spacing w:after="0"/>
              <w:rPr>
                <w:sz w:val="10"/>
                <w:szCs w:val="10"/>
                <w:color w:val="auto"/>
              </w:rPr>
            </w:pPr>
          </w:p>
        </w:tc>
        <w:tc>
          <w:tcPr>
            <w:tcW w:w="24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color w:val="auto"/>
        </w:rPr>
        <w:t>Securities excluded from the computation of diluted loss from per share because including them would have been antidilutive are as follows:</w:t>
      </w:r>
    </w:p>
    <w:p>
      <w:pPr>
        <w:spacing w:after="0" w:line="329" w:lineRule="exact"/>
        <w:rPr>
          <w:sz w:val="20"/>
          <w:szCs w:val="20"/>
          <w:color w:val="auto"/>
        </w:rPr>
      </w:pPr>
    </w:p>
    <w:p>
      <w:pPr>
        <w:ind w:left="8480"/>
        <w:spacing w:after="0"/>
        <w:rPr>
          <w:sz w:val="20"/>
          <w:szCs w:val="20"/>
          <w:color w:val="auto"/>
        </w:rPr>
      </w:pPr>
      <w:r>
        <w:rPr>
          <w:rFonts w:ascii="Arial" w:cs="Arial" w:eastAsia="Arial" w:hAnsi="Arial"/>
          <w:sz w:val="13"/>
          <w:szCs w:val="13"/>
          <w:b w:val="1"/>
          <w:bCs w:val="1"/>
          <w:color w:val="auto"/>
        </w:rPr>
        <w:t>Year Ended December 31,</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240" w:type="dxa"/>
            <w:vAlign w:val="bottom"/>
            <w:tcBorders>
              <w:bottom w:val="single" w:sz="8" w:color="CCECFF"/>
            </w:tcBorders>
          </w:tcPr>
          <w:p>
            <w:pPr>
              <w:spacing w:after="0"/>
              <w:rPr>
                <w:sz w:val="12"/>
                <w:szCs w:val="12"/>
                <w:color w:val="auto"/>
              </w:rPr>
            </w:pPr>
          </w:p>
        </w:tc>
        <w:tc>
          <w:tcPr>
            <w:tcW w:w="10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2021</w:t>
            </w:r>
          </w:p>
        </w:tc>
        <w:tc>
          <w:tcPr>
            <w:tcW w:w="74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CCECFF"/>
            </w:tcBorders>
          </w:tcPr>
          <w:p>
            <w:pPr>
              <w:spacing w:after="0"/>
              <w:rPr>
                <w:sz w:val="12"/>
                <w:szCs w:val="12"/>
                <w:color w:val="auto"/>
              </w:rPr>
            </w:pPr>
          </w:p>
        </w:tc>
        <w:tc>
          <w:tcPr>
            <w:tcW w:w="1760" w:type="dxa"/>
            <w:vAlign w:val="bottom"/>
            <w:tcBorders>
              <w:top w:val="single" w:sz="8" w:color="auto"/>
              <w:bottom w:val="single" w:sz="8" w:color="auto"/>
            </w:tcBorders>
          </w:tcPr>
          <w:p>
            <w:pPr>
              <w:jc w:val="right"/>
              <w:ind w:right="675"/>
              <w:spacing w:after="0" w:line="142" w:lineRule="exact"/>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CFF"/>
            </w:tcBorders>
          </w:tcPr>
          <w:p>
            <w:pPr>
              <w:spacing w:after="0"/>
              <w:rPr>
                <w:sz w:val="12"/>
                <w:szCs w:val="12"/>
                <w:color w:val="auto"/>
              </w:rPr>
            </w:pPr>
          </w:p>
        </w:tc>
      </w:tr>
      <w:tr>
        <w:trPr>
          <w:trHeight w:val="223"/>
        </w:trPr>
        <w:tc>
          <w:tcPr>
            <w:tcW w:w="7240" w:type="dxa"/>
            <w:vAlign w:val="bottom"/>
            <w:shd w:val="clear" w:color="auto" w:fill="CCECFF"/>
          </w:tcPr>
          <w:p>
            <w:pPr>
              <w:spacing w:after="0"/>
              <w:rPr>
                <w:sz w:val="20"/>
                <w:szCs w:val="20"/>
                <w:color w:val="auto"/>
              </w:rPr>
            </w:pPr>
            <w:r>
              <w:rPr>
                <w:rFonts w:ascii="Arial" w:cs="Arial" w:eastAsia="Arial" w:hAnsi="Arial"/>
                <w:sz w:val="18"/>
                <w:szCs w:val="18"/>
                <w:color w:val="auto"/>
              </w:rPr>
              <w:t>Options to purchase common stock</w:t>
            </w:r>
          </w:p>
        </w:tc>
        <w:tc>
          <w:tcPr>
            <w:tcW w:w="1000" w:type="dxa"/>
            <w:vAlign w:val="bottom"/>
            <w:shd w:val="clear" w:color="auto" w:fill="CCECFF"/>
          </w:tcPr>
          <w:p>
            <w:pPr>
              <w:spacing w:after="0"/>
              <w:rPr>
                <w:sz w:val="19"/>
                <w:szCs w:val="19"/>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8"/>
                <w:szCs w:val="18"/>
                <w:color w:val="auto"/>
                <w:w w:val="89"/>
              </w:rPr>
              <w:t>6,161,901</w:t>
            </w:r>
          </w:p>
        </w:tc>
        <w:tc>
          <w:tcPr>
            <w:tcW w:w="400" w:type="dxa"/>
            <w:vAlign w:val="bottom"/>
            <w:shd w:val="clear" w:color="auto" w:fill="CCECFF"/>
          </w:tcPr>
          <w:p>
            <w:pPr>
              <w:spacing w:after="0"/>
              <w:rPr>
                <w:sz w:val="19"/>
                <w:szCs w:val="19"/>
                <w:color w:val="auto"/>
              </w:rPr>
            </w:pPr>
          </w:p>
        </w:tc>
        <w:tc>
          <w:tcPr>
            <w:tcW w:w="17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6,696,592</w:t>
            </w:r>
          </w:p>
        </w:tc>
        <w:tc>
          <w:tcPr>
            <w:tcW w:w="100" w:type="dxa"/>
            <w:vAlign w:val="bottom"/>
            <w:shd w:val="clear" w:color="auto" w:fill="CCECFF"/>
          </w:tcPr>
          <w:p>
            <w:pPr>
              <w:spacing w:after="0"/>
              <w:rPr>
                <w:sz w:val="19"/>
                <w:szCs w:val="19"/>
                <w:color w:val="auto"/>
              </w:rPr>
            </w:pPr>
          </w:p>
        </w:tc>
      </w:tr>
      <w:tr>
        <w:trPr>
          <w:trHeight w:val="230"/>
        </w:trPr>
        <w:tc>
          <w:tcPr>
            <w:tcW w:w="8240" w:type="dxa"/>
            <w:vAlign w:val="bottom"/>
            <w:gridSpan w:val="2"/>
          </w:tcPr>
          <w:p>
            <w:pPr>
              <w:spacing w:after="0"/>
              <w:rPr>
                <w:sz w:val="20"/>
                <w:szCs w:val="20"/>
                <w:color w:val="auto"/>
              </w:rPr>
            </w:pPr>
            <w:r>
              <w:rPr>
                <w:rFonts w:ascii="Arial" w:cs="Arial" w:eastAsia="Arial" w:hAnsi="Arial"/>
                <w:sz w:val="18"/>
                <w:szCs w:val="18"/>
                <w:color w:val="auto"/>
              </w:rPr>
              <w:t>Common stock subject to purchase under our ESPP</w:t>
            </w:r>
          </w:p>
        </w:tc>
        <w:tc>
          <w:tcPr>
            <w:tcW w:w="740" w:type="dxa"/>
            <w:vAlign w:val="bottom"/>
          </w:tcPr>
          <w:p>
            <w:pPr>
              <w:jc w:val="right"/>
              <w:spacing w:after="0"/>
              <w:rPr>
                <w:sz w:val="20"/>
                <w:szCs w:val="20"/>
                <w:color w:val="auto"/>
              </w:rPr>
            </w:pPr>
            <w:r>
              <w:rPr>
                <w:rFonts w:ascii="Arial" w:cs="Arial" w:eastAsia="Arial" w:hAnsi="Arial"/>
                <w:sz w:val="18"/>
                <w:szCs w:val="18"/>
                <w:color w:val="auto"/>
              </w:rPr>
              <w:t>78,740</w:t>
            </w:r>
          </w:p>
        </w:tc>
        <w:tc>
          <w:tcPr>
            <w:tcW w:w="4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44,223</w:t>
            </w:r>
          </w:p>
        </w:tc>
        <w:tc>
          <w:tcPr>
            <w:tcW w:w="100" w:type="dxa"/>
            <w:vAlign w:val="bottom"/>
          </w:tcPr>
          <w:p>
            <w:pPr>
              <w:spacing w:after="0"/>
              <w:rPr>
                <w:sz w:val="19"/>
                <w:szCs w:val="19"/>
                <w:color w:val="auto"/>
              </w:rPr>
            </w:pPr>
          </w:p>
        </w:tc>
      </w:tr>
      <w:tr>
        <w:trPr>
          <w:trHeight w:val="229"/>
        </w:trPr>
        <w:tc>
          <w:tcPr>
            <w:tcW w:w="8240" w:type="dxa"/>
            <w:vAlign w:val="bottom"/>
            <w:gridSpan w:val="2"/>
            <w:shd w:val="clear" w:color="auto" w:fill="CCECFF"/>
          </w:tcPr>
          <w:p>
            <w:pPr>
              <w:spacing w:after="0"/>
              <w:rPr>
                <w:sz w:val="20"/>
                <w:szCs w:val="20"/>
                <w:color w:val="auto"/>
              </w:rPr>
            </w:pPr>
            <w:r>
              <w:rPr>
                <w:rFonts w:ascii="Arial" w:cs="Arial" w:eastAsia="Arial" w:hAnsi="Arial"/>
                <w:sz w:val="18"/>
                <w:szCs w:val="18"/>
                <w:color w:val="auto"/>
              </w:rPr>
              <w:t>Unvested RSUs</w:t>
            </w:r>
          </w:p>
        </w:tc>
        <w:tc>
          <w:tcPr>
            <w:tcW w:w="7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970,339</w:t>
            </w:r>
          </w:p>
        </w:tc>
        <w:tc>
          <w:tcPr>
            <w:tcW w:w="400" w:type="dxa"/>
            <w:vAlign w:val="bottom"/>
            <w:shd w:val="clear" w:color="auto" w:fill="CCECFF"/>
          </w:tcPr>
          <w:p>
            <w:pPr>
              <w:spacing w:after="0"/>
              <w:rPr>
                <w:sz w:val="19"/>
                <w:szCs w:val="19"/>
                <w:color w:val="auto"/>
              </w:rPr>
            </w:pPr>
          </w:p>
        </w:tc>
        <w:tc>
          <w:tcPr>
            <w:tcW w:w="17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746,868</w:t>
            </w:r>
          </w:p>
        </w:tc>
        <w:tc>
          <w:tcPr>
            <w:tcW w:w="100" w:type="dxa"/>
            <w:vAlign w:val="bottom"/>
            <w:shd w:val="clear" w:color="auto" w:fill="CCECFF"/>
          </w:tcPr>
          <w:p>
            <w:pPr>
              <w:spacing w:after="0"/>
              <w:rPr>
                <w:sz w:val="19"/>
                <w:szCs w:val="19"/>
                <w:color w:val="auto"/>
              </w:rPr>
            </w:pPr>
          </w:p>
        </w:tc>
      </w:tr>
      <w:tr>
        <w:trPr>
          <w:trHeight w:val="223"/>
        </w:trPr>
        <w:tc>
          <w:tcPr>
            <w:tcW w:w="7240" w:type="dxa"/>
            <w:vAlign w:val="bottom"/>
          </w:tcPr>
          <w:p>
            <w:pPr>
              <w:spacing w:after="0"/>
              <w:rPr>
                <w:sz w:val="20"/>
                <w:szCs w:val="20"/>
                <w:color w:val="auto"/>
              </w:rPr>
            </w:pPr>
            <w:r>
              <w:rPr>
                <w:rFonts w:ascii="Arial" w:cs="Arial" w:eastAsia="Arial" w:hAnsi="Arial"/>
                <w:sz w:val="18"/>
                <w:szCs w:val="18"/>
                <w:color w:val="auto"/>
              </w:rPr>
              <w:t>Total</w:t>
            </w:r>
          </w:p>
        </w:tc>
        <w:tc>
          <w:tcPr>
            <w:tcW w:w="10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7,210,980</w:t>
            </w:r>
          </w:p>
        </w:tc>
        <w:tc>
          <w:tcPr>
            <w:tcW w:w="400" w:type="dxa"/>
            <w:vAlign w:val="bottom"/>
          </w:tcPr>
          <w:p>
            <w:pPr>
              <w:spacing w:after="0"/>
              <w:rPr>
                <w:sz w:val="19"/>
                <w:szCs w:val="19"/>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7,487,683</w:t>
            </w:r>
          </w:p>
        </w:tc>
        <w:tc>
          <w:tcPr>
            <w:tcW w:w="100" w:type="dxa"/>
            <w:vAlign w:val="bottom"/>
          </w:tcPr>
          <w:p>
            <w:pPr>
              <w:spacing w:after="0"/>
              <w:rPr>
                <w:sz w:val="19"/>
                <w:szCs w:val="19"/>
                <w:color w:val="auto"/>
              </w:rPr>
            </w:pPr>
          </w:p>
        </w:tc>
      </w:tr>
      <w:tr>
        <w:trPr>
          <w:trHeight w:val="20"/>
        </w:trPr>
        <w:tc>
          <w:tcPr>
            <w:tcW w:w="7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Loss</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Comprehensive loss is comprised of net loss and adjustments for the change in unrealized gains and losses on investments in available-for-sale marketable securities. The Company displays comprehensive loss and its components in the consolidated statements of operations and comprehensive loss, net of tax effects if any.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Risk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Risk</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Financial instruments which potentially subject the Company to credit risk consist primarily of cash, cash equivalents and marketable securities. The Company holds these investments in highly rated financial institutions, and, by policy, limits the amounts of credit exposure to any one financial institution. These amounts at times may exceed federally insured limits. The Company has not experienced any credit losses in such accounts and does not believe it is exposed to any significant credit risk on these funds. The Company has no off-balance sheet concentrations of credit risk, such as foreign currency exchange contracts, option contracts or other hedging arrangements.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Supplier Risk</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materials and key components the Company utilizes in its operations are obtained through single suppliers. Since the suppliers of key components and materials must be named in a New Drug Application (NDA) filed with the FDA for a product, significant delays can occur if the qualification of a new supplier is required. If delivery of material from the Company’s suppliers were interrupted for any reason, the Company may be unable to supply any of its product candidates for clinical trials.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Recent Accounting Pronouncements</w:t>
      </w:r>
    </w:p>
    <w:p>
      <w:pPr>
        <w:spacing w:after="0" w:line="18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 xml:space="preserve">On January 1, 2021, the Company adopted Accounting Standards Update (ASU) 2020-10, </w:t>
      </w:r>
      <w:r>
        <w:rPr>
          <w:rFonts w:ascii="Arial" w:cs="Arial" w:eastAsia="Arial" w:hAnsi="Arial"/>
          <w:sz w:val="16"/>
          <w:szCs w:val="16"/>
          <w:i w:val="1"/>
          <w:iCs w:val="1"/>
          <w:color w:val="auto"/>
        </w:rPr>
        <w:t>Codification Improvements – Disclosures</w:t>
      </w:r>
      <w:r>
        <w:rPr>
          <w:rFonts w:ascii="Arial" w:cs="Arial" w:eastAsia="Arial" w:hAnsi="Arial"/>
          <w:sz w:val="16"/>
          <w:szCs w:val="16"/>
          <w:color w:val="auto"/>
        </w:rPr>
        <w:t xml:space="preserve"> (ASU 2020-10). ASU 2020-10 improves consistency by amending the codification to include all disclosure guidance in the appropriate disclosure sections and clarifies application of various provisions in the codification by amending and adding new headings, cross referencing to other accounting standards and refining or correcting termination. The adoption of this standard had no material impact on the Company’s consolidated financial statements and related disclosures.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Pronouncements to Be Adopted</w:t>
      </w:r>
    </w:p>
    <w:p>
      <w:pPr>
        <w:spacing w:after="0" w:line="20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In June 2016, the Financial Accounting Standards Board (the FASB) issued ASU 2016-13, </w:t>
      </w:r>
      <w:r>
        <w:rPr>
          <w:rFonts w:ascii="Arial" w:cs="Arial" w:eastAsia="Arial" w:hAnsi="Arial"/>
          <w:sz w:val="16"/>
          <w:szCs w:val="16"/>
          <w:i w:val="1"/>
          <w:iCs w:val="1"/>
          <w:color w:val="auto"/>
        </w:rPr>
        <w:t>Financial Instruments – Credit Losses: Measurement of Credit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Losses on Financial Instruments </w:t>
      </w:r>
      <w:r>
        <w:rPr>
          <w:rFonts w:ascii="Arial" w:cs="Arial" w:eastAsia="Arial" w:hAnsi="Arial"/>
          <w:sz w:val="16"/>
          <w:szCs w:val="16"/>
          <w:color w:val="auto"/>
        </w:rPr>
        <w:t>(ASU 2016-13), which requires that expected credit losses relating to financial assets measured on an amortized cost basis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and available-for-sale debt securities be recorded through an allowance for credit losses. ASU 2016-13 limits the amount of credit losses to be recognized for available-for-sale debt securities to the amount by which carrying value exceeds fair value and requires the reversal of previously recognized credit losses if fair value increases. In April, May and November 2019, the FASB issued additional amendments to the new guidance related to transition and clarification. In November 2019, the FASB issued ASU 2019-10, </w:t>
      </w:r>
      <w:r>
        <w:rPr>
          <w:rFonts w:ascii="Arial" w:cs="Arial" w:eastAsia="Arial" w:hAnsi="Arial"/>
          <w:sz w:val="16"/>
          <w:szCs w:val="16"/>
          <w:i w:val="1"/>
          <w:iCs w:val="1"/>
          <w:color w:val="auto"/>
        </w:rPr>
        <w:t>Financial Instruments – Credit Losses (Topic 326)</w:t>
      </w:r>
      <w:r>
        <w:rPr>
          <w:rFonts w:ascii="Arial" w:cs="Arial" w:eastAsia="Arial" w:hAnsi="Arial"/>
          <w:sz w:val="16"/>
          <w:szCs w:val="16"/>
          <w:color w:val="auto"/>
        </w:rPr>
        <w:t xml:space="preserve">, </w:t>
      </w:r>
      <w:r>
        <w:rPr>
          <w:rFonts w:ascii="Arial" w:cs="Arial" w:eastAsia="Arial" w:hAnsi="Arial"/>
          <w:sz w:val="16"/>
          <w:szCs w:val="16"/>
          <w:i w:val="1"/>
          <w:iCs w:val="1"/>
          <w:color w:val="auto"/>
        </w:rPr>
        <w:t>Derivatives and Hedging (Topic 815)</w:t>
      </w:r>
      <w:r>
        <w:rPr>
          <w:rFonts w:ascii="Arial" w:cs="Arial" w:eastAsia="Arial" w:hAnsi="Arial"/>
          <w:sz w:val="16"/>
          <w:szCs w:val="16"/>
          <w:color w:val="auto"/>
        </w:rPr>
        <w:t xml:space="preserve">, and </w:t>
      </w:r>
      <w:r>
        <w:rPr>
          <w:rFonts w:ascii="Arial" w:cs="Arial" w:eastAsia="Arial" w:hAnsi="Arial"/>
          <w:sz w:val="16"/>
          <w:szCs w:val="16"/>
          <w:i w:val="1"/>
          <w:iCs w:val="1"/>
          <w:color w:val="auto"/>
        </w:rPr>
        <w:t>Leases (Topic 842): Effective Dates</w:t>
      </w:r>
      <w:r>
        <w:rPr>
          <w:rFonts w:ascii="Arial" w:cs="Arial" w:eastAsia="Arial" w:hAnsi="Arial"/>
          <w:sz w:val="16"/>
          <w:szCs w:val="16"/>
          <w:color w:val="auto"/>
        </w:rPr>
        <w:t>, which deferred the effective date of this standard for all entities except SEC filers that are not smaller reporting companies to fiscal years beginning after December 15, 2022, including interim periods within those fiscal years. Early adoption is permitted. The Company is currently evaluating the timing and impact of adopting ASU 2016-13 on its consolidated financial statements and related disclosures.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78" w:name="page79"/>
    <w:bookmarkEnd w:id="78"/>
    <w:p>
      <w:pPr>
        <w:jc w:val="both"/>
        <w:spacing w:after="0" w:line="289" w:lineRule="auto"/>
        <w:rPr>
          <w:sz w:val="20"/>
          <w:szCs w:val="20"/>
          <w:color w:val="auto"/>
        </w:rPr>
      </w:pPr>
      <w:r>
        <w:rPr>
          <w:rFonts w:ascii="Arial" w:cs="Arial" w:eastAsia="Arial" w:hAnsi="Arial"/>
          <w:sz w:val="16"/>
          <w:szCs w:val="16"/>
          <w:color w:val="auto"/>
        </w:rPr>
        <w:t xml:space="preserve">In August 2020, the FASB issued ASU 2020-06, </w:t>
      </w:r>
      <w:r>
        <w:rPr>
          <w:rFonts w:ascii="Arial" w:cs="Arial" w:eastAsia="Arial" w:hAnsi="Arial"/>
          <w:sz w:val="16"/>
          <w:szCs w:val="16"/>
          <w:i w:val="1"/>
          <w:iCs w:val="1"/>
          <w:color w:val="auto"/>
        </w:rPr>
        <w:t>Debt—Debt with Conversion and Other Options (Subtopic 470-20) and Derivatives and Hedging—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Contracts in Entity’s Own Equity (Subtopic 815-40): Accounting for Convertible Instruments and Contracts in an Entity’s Own Equity </w:t>
      </w:r>
      <w:r>
        <w:rPr>
          <w:rFonts w:ascii="Arial" w:cs="Arial" w:eastAsia="Arial" w:hAnsi="Arial"/>
          <w:sz w:val="16"/>
          <w:szCs w:val="16"/>
          <w:color w:val="auto"/>
        </w:rPr>
        <w:t>(ASU 2020-06),</w:t>
      </w:r>
      <w:r>
        <w:rPr>
          <w:rFonts w:ascii="Arial" w:cs="Arial" w:eastAsia="Arial" w:hAnsi="Arial"/>
          <w:sz w:val="16"/>
          <w:szCs w:val="16"/>
          <w:i w:val="1"/>
          <w:iCs w:val="1"/>
          <w:color w:val="auto"/>
        </w:rPr>
        <w:t xml:space="preserve"> </w:t>
      </w:r>
      <w:r>
        <w:rPr>
          <w:rFonts w:ascii="Arial" w:cs="Arial" w:eastAsia="Arial" w:hAnsi="Arial"/>
          <w:sz w:val="16"/>
          <w:szCs w:val="16"/>
          <w:color w:val="auto"/>
        </w:rPr>
        <w:t>which simplifies the accounting for certain financial instruments with characteristics of liabilities and equity, including convertible instruments and contracts on an entity’s own equity. Specifically, ASU 2020-06 simplifies accounting for convertible instruments by removing major separation models in ASC 470-20 that require separate accounting for embedded conversion features. ASU 2020-06 also removes certain settlement conditions in ASC 815-40 that are required for equity contracts to qualify for the derivative scope exception, which will permit more equity contracts to qualify for the scope exception and simplifies the diluted earnings per share calculation in certain areas. ASU 2020-06 is effective for interim and annual periods beginning after December 15, 2021, with early adoption permitted. Adoption of ASU 2020-06 can either be on a modified retrospective or full retrospective basis. The Company does not expect ASU 2020-06 to have a material impact on its consolidated financial statements and related disclosures.</w:t>
      </w:r>
    </w:p>
    <w:p>
      <w:pPr>
        <w:spacing w:after="0" w:line="13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In May 2021, the FASB issued ASU 2021-04, </w:t>
      </w:r>
      <w:r>
        <w:rPr>
          <w:rFonts w:ascii="Arial" w:cs="Arial" w:eastAsia="Arial" w:hAnsi="Arial"/>
          <w:sz w:val="16"/>
          <w:szCs w:val="16"/>
          <w:i w:val="1"/>
          <w:iCs w:val="1"/>
          <w:color w:val="auto"/>
        </w:rPr>
        <w:t>Issuer's Accounting for Certain Modifications or Exchanges of Freestanding Equity-Classified Written Call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Options </w:t>
      </w:r>
      <w:r>
        <w:rPr>
          <w:rFonts w:ascii="Arial" w:cs="Arial" w:eastAsia="Arial" w:hAnsi="Arial"/>
          <w:sz w:val="16"/>
          <w:szCs w:val="16"/>
          <w:color w:val="auto"/>
        </w:rPr>
        <w:t>(ASU 2021-04), which requires issuers to account for a modification or exchange of freestanding equity-classified written call options that remain</w:t>
      </w:r>
      <w:r>
        <w:rPr>
          <w:rFonts w:ascii="Arial" w:cs="Arial" w:eastAsia="Arial" w:hAnsi="Arial"/>
          <w:sz w:val="16"/>
          <w:szCs w:val="16"/>
          <w:i w:val="1"/>
          <w:iCs w:val="1"/>
          <w:color w:val="auto"/>
        </w:rPr>
        <w:t xml:space="preserve"> </w:t>
      </w:r>
      <w:r>
        <w:rPr>
          <w:rFonts w:ascii="Arial" w:cs="Arial" w:eastAsia="Arial" w:hAnsi="Arial"/>
          <w:sz w:val="16"/>
          <w:szCs w:val="16"/>
          <w:color w:val="auto"/>
        </w:rPr>
        <w:t>equity classified after the modification or exchange based on the economic substance of the modification or exchange. Specifically, under ASU 2021-04, an issuer determines the accounting for the modification or exchange based on whether the transaction was done to issue equity, issue and or modify debt, or for other reasons. The result is a change in the fair value of the written call option dependent on the reason for the modification. ASU 2021-04 is effective for interim and annual periods beginning after December 15, 2021, with early adoption permitted. Adoption of ASU 2021-04 is applied on a prospective basis. The Company does not expect ASU 2021-04 to have a material impact on its consolidated financial statements and related disclosures.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Investments in Marketable Securities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Investments in marketable available-for-sale securities consisted of the following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5"/>
          </w:tcPr>
          <w:p>
            <w:pPr>
              <w:ind w:left="600"/>
              <w:spacing w:after="0"/>
              <w:rPr>
                <w:sz w:val="20"/>
                <w:szCs w:val="20"/>
                <w:color w:val="auto"/>
              </w:rPr>
            </w:pPr>
            <w:r>
              <w:rPr>
                <w:rFonts w:ascii="Arial" w:cs="Arial" w:eastAsia="Arial" w:hAnsi="Arial"/>
                <w:sz w:val="14"/>
                <w:szCs w:val="14"/>
                <w:b w:val="1"/>
                <w:bCs w:val="1"/>
                <w:color w:val="auto"/>
              </w:rPr>
              <w:t>December 31, 2021</w:t>
            </w:r>
          </w:p>
        </w:tc>
        <w:tc>
          <w:tcPr>
            <w:tcW w:w="2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3"/>
              </w:rPr>
              <w:t>Amortized</w:t>
            </w:r>
          </w:p>
        </w:tc>
        <w:tc>
          <w:tcPr>
            <w:tcW w:w="200" w:type="dxa"/>
            <w:vAlign w:val="bottom"/>
          </w:tcPr>
          <w:p>
            <w:pPr>
              <w:spacing w:after="0"/>
              <w:rPr>
                <w:sz w:val="11"/>
                <w:szCs w:val="11"/>
                <w:color w:val="auto"/>
              </w:rPr>
            </w:pPr>
          </w:p>
        </w:tc>
        <w:tc>
          <w:tcPr>
            <w:tcW w:w="1080" w:type="dxa"/>
            <w:vAlign w:val="bottom"/>
          </w:tcPr>
          <w:p>
            <w:pPr>
              <w:jc w:val="center"/>
              <w:ind w:right="115"/>
              <w:spacing w:after="0" w:line="133" w:lineRule="exact"/>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gridSpan w:val="2"/>
          </w:tcPr>
          <w:p>
            <w:pPr>
              <w:jc w:val="center"/>
              <w:ind w:right="420"/>
              <w:spacing w:after="0" w:line="133" w:lineRule="exact"/>
              <w:rPr>
                <w:sz w:val="20"/>
                <w:szCs w:val="20"/>
                <w:color w:val="auto"/>
              </w:rPr>
            </w:pPr>
            <w:r>
              <w:rPr>
                <w:rFonts w:ascii="Arial" w:cs="Arial" w:eastAsia="Arial" w:hAnsi="Arial"/>
                <w:sz w:val="14"/>
                <w:szCs w:val="14"/>
                <w:b w:val="1"/>
                <w:bCs w:val="1"/>
                <w:color w:val="auto"/>
                <w:w w:val="88"/>
              </w:rPr>
              <w:t>Gross</w:t>
            </w: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jc w:val="center"/>
              <w:ind w:right="135"/>
              <w:spacing w:after="0" w:line="149"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00" w:type="dxa"/>
            <w:vAlign w:val="bottom"/>
          </w:tcPr>
          <w:p>
            <w:pPr>
              <w:spacing w:after="0"/>
              <w:rPr>
                <w:sz w:val="12"/>
                <w:szCs w:val="12"/>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5380" w:type="dxa"/>
            <w:vAlign w:val="bottom"/>
            <w:vMerge w:val="restart"/>
          </w:tcPr>
          <w:p>
            <w:pPr>
              <w:spacing w:after="0"/>
              <w:rPr>
                <w:sz w:val="20"/>
                <w:szCs w:val="20"/>
                <w:color w:val="auto"/>
              </w:rPr>
            </w:pPr>
            <w:r>
              <w:rPr>
                <w:rFonts w:ascii="Arial" w:cs="Arial" w:eastAsia="Arial" w:hAnsi="Arial"/>
                <w:sz w:val="18"/>
                <w:szCs w:val="18"/>
                <w:color w:val="auto"/>
              </w:rPr>
              <w:t>Cash equivalents</w:t>
            </w:r>
          </w:p>
        </w:tc>
        <w:tc>
          <w:tcPr>
            <w:tcW w:w="200" w:type="dxa"/>
            <w:vAlign w:val="bottom"/>
          </w:tcPr>
          <w:p>
            <w:pPr>
              <w:spacing w:after="0"/>
              <w:rPr>
                <w:sz w:val="14"/>
                <w:szCs w:val="14"/>
                <w:color w:val="auto"/>
              </w:rPr>
            </w:pPr>
          </w:p>
        </w:tc>
        <w:tc>
          <w:tcPr>
            <w:tcW w:w="12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Cost</w:t>
            </w:r>
          </w:p>
        </w:tc>
        <w:tc>
          <w:tcPr>
            <w:tcW w:w="200" w:type="dxa"/>
            <w:vAlign w:val="bottom"/>
          </w:tcPr>
          <w:p>
            <w:pPr>
              <w:spacing w:after="0"/>
              <w:rPr>
                <w:sz w:val="14"/>
                <w:szCs w:val="14"/>
                <w:color w:val="auto"/>
              </w:rPr>
            </w:pPr>
          </w:p>
        </w:tc>
        <w:tc>
          <w:tcPr>
            <w:tcW w:w="1080" w:type="dxa"/>
            <w:vAlign w:val="bottom"/>
          </w:tcPr>
          <w:p>
            <w:pPr>
              <w:jc w:val="center"/>
              <w:ind w:right="135"/>
              <w:spacing w:after="0"/>
              <w:rPr>
                <w:sz w:val="20"/>
                <w:szCs w:val="20"/>
                <w:color w:val="auto"/>
              </w:rPr>
            </w:pPr>
            <w:r>
              <w:rPr>
                <w:rFonts w:ascii="Arial" w:cs="Arial" w:eastAsia="Arial" w:hAnsi="Arial"/>
                <w:sz w:val="14"/>
                <w:szCs w:val="14"/>
                <w:b w:val="1"/>
                <w:bCs w:val="1"/>
                <w:color w:val="auto"/>
                <w:w w:val="96"/>
              </w:rPr>
              <w:t>Gain</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5"/>
              </w:rPr>
              <w:t>Loss</w:t>
            </w:r>
          </w:p>
        </w:tc>
        <w:tc>
          <w:tcPr>
            <w:tcW w:w="2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380" w:type="dxa"/>
            <w:vAlign w:val="bottom"/>
            <w:vMerge w:val="continue"/>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Money market funds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42,507</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ind w:left="880"/>
              <w:spacing w:after="0"/>
              <w:rPr>
                <w:sz w:val="20"/>
                <w:szCs w:val="20"/>
                <w:color w:val="auto"/>
              </w:rPr>
            </w:pPr>
            <w:r>
              <w:rPr>
                <w:rFonts w:ascii="Arial" w:cs="Arial" w:eastAsia="Arial" w:hAnsi="Arial"/>
                <w:sz w:val="18"/>
                <w:szCs w:val="18"/>
                <w:color w:val="auto"/>
                <w:w w:val="99"/>
              </w:rPr>
              <w:t>—</w:t>
            </w:r>
          </w:p>
        </w:tc>
        <w:tc>
          <w:tcPr>
            <w:tcW w:w="42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cash equivalents</w:t>
            </w:r>
          </w:p>
        </w:tc>
        <w:tc>
          <w:tcPr>
            <w:tcW w:w="2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42,507</w:t>
            </w:r>
          </w:p>
        </w:tc>
        <w:tc>
          <w:tcPr>
            <w:tcW w:w="22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ind w:left="88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42,507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Short-term marketable securities</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260"/>
              <w:spacing w:after="0"/>
              <w:rPr>
                <w:sz w:val="20"/>
                <w:szCs w:val="20"/>
                <w:color w:val="auto"/>
              </w:rPr>
            </w:pPr>
            <w:r>
              <w:rPr>
                <w:rFonts w:ascii="Arial" w:cs="Arial" w:eastAsia="Arial" w:hAnsi="Arial"/>
                <w:sz w:val="18"/>
                <w:szCs w:val="18"/>
                <w:color w:val="auto"/>
              </w:rPr>
              <w:t>U.S. and foreign corporate debt securities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7,015</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ind w:left="88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Asset-backed securities</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29,097</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ind w:left="88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(38)</w:t>
            </w: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29,059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260"/>
              <w:spacing w:after="0"/>
              <w:rPr>
                <w:sz w:val="20"/>
                <w:szCs w:val="20"/>
                <w:color w:val="auto"/>
              </w:rPr>
            </w:pPr>
            <w:r>
              <w:rPr>
                <w:rFonts w:ascii="Arial" w:cs="Arial" w:eastAsia="Arial" w:hAnsi="Arial"/>
                <w:sz w:val="18"/>
                <w:szCs w:val="18"/>
                <w:color w:val="auto"/>
              </w:rPr>
              <w:t>U.S. and foreign commercial paper</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64,929</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ind w:left="88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64,928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short-term marketable securities</w:t>
            </w: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101,041</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ind w:left="88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101,000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80" w:type="dxa"/>
            <w:vAlign w:val="bottom"/>
          </w:tcPr>
          <w:p>
            <w:pPr>
              <w:spacing w:after="0"/>
              <w:rPr>
                <w:sz w:val="20"/>
                <w:szCs w:val="20"/>
                <w:color w:val="auto"/>
              </w:rPr>
            </w:pPr>
            <w:r>
              <w:rPr>
                <w:rFonts w:ascii="Arial" w:cs="Arial" w:eastAsia="Arial" w:hAnsi="Arial"/>
                <w:sz w:val="18"/>
                <w:szCs w:val="18"/>
                <w:color w:val="auto"/>
              </w:rPr>
              <w:t>Long-term marketable securities</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and foreign corporate debt securities</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19,117</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ind w:left="88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(74)</w:t>
            </w: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260"/>
              <w:spacing w:after="0"/>
              <w:rPr>
                <w:sz w:val="20"/>
                <w:szCs w:val="20"/>
                <w:color w:val="auto"/>
              </w:rPr>
            </w:pPr>
            <w:r>
              <w:rPr>
                <w:rFonts w:ascii="Arial" w:cs="Arial" w:eastAsia="Arial" w:hAnsi="Arial"/>
                <w:sz w:val="18"/>
                <w:szCs w:val="18"/>
                <w:color w:val="auto"/>
              </w:rPr>
              <w:t>U.S. treasury securities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8,960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ind w:left="88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8,929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long-term marketable securities</w:t>
            </w: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28,077</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ind w:left="88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27,972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80" w:type="dxa"/>
            <w:vAlign w:val="bottom"/>
          </w:tcPr>
          <w:p>
            <w:pPr>
              <w:spacing w:after="0"/>
              <w:rPr>
                <w:sz w:val="20"/>
                <w:szCs w:val="20"/>
                <w:color w:val="auto"/>
              </w:rPr>
            </w:pPr>
            <w:r>
              <w:rPr>
                <w:rFonts w:ascii="Arial" w:cs="Arial" w:eastAsia="Arial" w:hAnsi="Arial"/>
                <w:sz w:val="18"/>
                <w:szCs w:val="18"/>
                <w:color w:val="auto"/>
              </w:rPr>
              <w:t>Total cash equivalents and marketable securities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171,625</w:t>
            </w:r>
          </w:p>
        </w:tc>
        <w:tc>
          <w:tcPr>
            <w:tcW w:w="2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ind w:left="88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2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171,479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5380" w:type="dxa"/>
            <w:vAlign w:val="bottom"/>
          </w:tcPr>
          <w:p>
            <w:pPr>
              <w:spacing w:after="0"/>
              <w:rPr>
                <w:sz w:val="24"/>
                <w:szCs w:val="24"/>
                <w:color w:val="auto"/>
              </w:rPr>
            </w:pPr>
          </w:p>
        </w:tc>
        <w:tc>
          <w:tcPr>
            <w:tcW w:w="1480" w:type="dxa"/>
            <w:vAlign w:val="bottom"/>
            <w:gridSpan w:val="3"/>
          </w:tcPr>
          <w:p>
            <w:pPr>
              <w:ind w:left="80"/>
              <w:spacing w:after="0"/>
              <w:rPr>
                <w:sz w:val="20"/>
                <w:szCs w:val="20"/>
                <w:color w:val="auto"/>
              </w:rPr>
            </w:pPr>
            <w:r>
              <w:rPr>
                <w:rFonts w:ascii="Arial" w:cs="Arial" w:eastAsia="Arial" w:hAnsi="Arial"/>
                <w:sz w:val="18"/>
                <w:szCs w:val="18"/>
                <w:color w:val="auto"/>
              </w:rPr>
              <w:t>F-21</w:t>
            </w: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3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171"/>
        </w:trPr>
        <w:tc>
          <w:tcPr>
            <w:tcW w:w="53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4"/>
          </w:tcPr>
          <w:p>
            <w:pPr>
              <w:jc w:val="right"/>
              <w:ind w:right="484"/>
              <w:spacing w:after="0"/>
              <w:rPr>
                <w:sz w:val="20"/>
                <w:szCs w:val="20"/>
                <w:color w:val="auto"/>
              </w:rPr>
            </w:pPr>
            <w:r>
              <w:rPr>
                <w:rFonts w:ascii="Arial" w:cs="Arial" w:eastAsia="Arial" w:hAnsi="Arial"/>
                <w:sz w:val="14"/>
                <w:szCs w:val="14"/>
                <w:b w:val="1"/>
                <w:bCs w:val="1"/>
                <w:color w:val="auto"/>
              </w:rPr>
              <w:t>December 31, 2020</w:t>
            </w:r>
          </w:p>
        </w:tc>
        <w:tc>
          <w:tcPr>
            <w:tcW w:w="2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3"/>
              </w:rPr>
              <w:t>Amortized</w:t>
            </w:r>
          </w:p>
        </w:tc>
        <w:tc>
          <w:tcPr>
            <w:tcW w:w="1020" w:type="dxa"/>
            <w:vAlign w:val="bottom"/>
          </w:tcPr>
          <w:p>
            <w:pPr>
              <w:jc w:val="center"/>
              <w:ind w:left="182"/>
              <w:spacing w:after="0" w:line="133" w:lineRule="exact"/>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jc w:val="center"/>
              <w:ind w:left="184"/>
              <w:spacing w:after="0" w:line="133" w:lineRule="exact"/>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020" w:type="dxa"/>
            <w:vAlign w:val="bottom"/>
          </w:tcPr>
          <w:p>
            <w:pPr>
              <w:jc w:val="center"/>
              <w:ind w:left="162"/>
              <w:spacing w:after="0" w:line="149" w:lineRule="exact"/>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center"/>
              <w:ind w:left="164"/>
              <w:spacing w:after="0" w:line="149" w:lineRule="exact"/>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5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Cost</w:t>
            </w:r>
          </w:p>
        </w:tc>
        <w:tc>
          <w:tcPr>
            <w:tcW w:w="1020" w:type="dxa"/>
            <w:vAlign w:val="bottom"/>
          </w:tcPr>
          <w:p>
            <w:pPr>
              <w:jc w:val="center"/>
              <w:ind w:left="162"/>
              <w:spacing w:after="0"/>
              <w:rPr>
                <w:sz w:val="20"/>
                <w:szCs w:val="20"/>
                <w:color w:val="auto"/>
              </w:rPr>
            </w:pPr>
            <w:r>
              <w:rPr>
                <w:rFonts w:ascii="Arial" w:cs="Arial" w:eastAsia="Arial" w:hAnsi="Arial"/>
                <w:sz w:val="14"/>
                <w:szCs w:val="14"/>
                <w:b w:val="1"/>
                <w:bCs w:val="1"/>
                <w:color w:val="auto"/>
                <w:w w:val="96"/>
              </w:rPr>
              <w:t>Gain</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center"/>
              <w:ind w:left="184"/>
              <w:spacing w:after="0"/>
              <w:rPr>
                <w:sz w:val="20"/>
                <w:szCs w:val="20"/>
                <w:color w:val="auto"/>
              </w:rPr>
            </w:pPr>
            <w:r>
              <w:rPr>
                <w:rFonts w:ascii="Arial" w:cs="Arial" w:eastAsia="Arial" w:hAnsi="Arial"/>
                <w:sz w:val="14"/>
                <w:szCs w:val="14"/>
                <w:b w:val="1"/>
                <w:bCs w:val="1"/>
                <w:color w:val="auto"/>
                <w:w w:val="85"/>
              </w:rPr>
              <w:t>Loss</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equivalents</w:t>
            </w:r>
          </w:p>
        </w:tc>
        <w:tc>
          <w:tcPr>
            <w:tcW w:w="20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tcPr>
          <w:p>
            <w:pPr>
              <w:ind w:left="260"/>
              <w:spacing w:after="0"/>
              <w:rPr>
                <w:sz w:val="20"/>
                <w:szCs w:val="20"/>
                <w:color w:val="auto"/>
              </w:rPr>
            </w:pPr>
            <w:r>
              <w:rPr>
                <w:rFonts w:ascii="Arial" w:cs="Arial" w:eastAsia="Arial" w:hAnsi="Arial"/>
                <w:sz w:val="18"/>
                <w:szCs w:val="18"/>
                <w:color w:val="auto"/>
              </w:rPr>
              <w:t>Money market funds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47,553</w:t>
            </w:r>
          </w:p>
        </w:tc>
        <w:tc>
          <w:tcPr>
            <w:tcW w:w="220" w:type="dxa"/>
            <w:vAlign w:val="bottom"/>
          </w:tcPr>
          <w:p>
            <w:pPr>
              <w:spacing w:after="0"/>
              <w:rPr>
                <w:sz w:val="19"/>
                <w:szCs w:val="19"/>
                <w:color w:val="auto"/>
              </w:rPr>
            </w:pPr>
          </w:p>
        </w:tc>
        <w:tc>
          <w:tcPr>
            <w:tcW w:w="1020" w:type="dxa"/>
            <w:vAlign w:val="bottom"/>
          </w:tcPr>
          <w:p>
            <w:pPr>
              <w:jc w:val="right"/>
              <w:ind w:right="842"/>
              <w:spacing w:after="0"/>
              <w:rPr>
                <w:sz w:val="20"/>
                <w:szCs w:val="20"/>
                <w:color w:val="auto"/>
              </w:rPr>
            </w:pPr>
            <w:r>
              <w:rPr>
                <w:rFonts w:ascii="Arial" w:cs="Arial" w:eastAsia="Arial" w:hAnsi="Arial"/>
                <w:sz w:val="18"/>
                <w:szCs w:val="18"/>
                <w:color w:val="auto"/>
                <w:w w:val="79"/>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844"/>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47,553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and foreign commercial paper</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6,498</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6,498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cash equivalents</w:t>
            </w:r>
          </w:p>
        </w:tc>
        <w:tc>
          <w:tcPr>
            <w:tcW w:w="2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54,051</w:t>
            </w:r>
          </w:p>
        </w:tc>
        <w:tc>
          <w:tcPr>
            <w:tcW w:w="220" w:type="dxa"/>
            <w:vAlign w:val="bottom"/>
            <w:tcBorders>
              <w:bottom w:val="single" w:sz="8" w:color="CFF0FC"/>
            </w:tcBorders>
          </w:tcPr>
          <w:p>
            <w:pPr>
              <w:spacing w:after="0"/>
              <w:rPr>
                <w:sz w:val="19"/>
                <w:szCs w:val="19"/>
                <w:color w:val="auto"/>
              </w:rPr>
            </w:pPr>
          </w:p>
        </w:tc>
        <w:tc>
          <w:tcPr>
            <w:tcW w:w="102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02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54,051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Short-term marketable securities</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tcPr>
          <w:p>
            <w:pPr>
              <w:ind w:left="260"/>
              <w:spacing w:after="0"/>
              <w:rPr>
                <w:sz w:val="20"/>
                <w:szCs w:val="20"/>
                <w:color w:val="auto"/>
              </w:rPr>
            </w:pPr>
            <w:r>
              <w:rPr>
                <w:rFonts w:ascii="Arial" w:cs="Arial" w:eastAsia="Arial" w:hAnsi="Arial"/>
                <w:sz w:val="18"/>
                <w:szCs w:val="18"/>
                <w:color w:val="auto"/>
              </w:rPr>
              <w:t>U.S. and foreign corporate debt securities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16,939</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16,939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Asset-backed securities</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12,674</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260"/>
              <w:spacing w:after="0"/>
              <w:rPr>
                <w:sz w:val="20"/>
                <w:szCs w:val="20"/>
                <w:color w:val="auto"/>
              </w:rPr>
            </w:pPr>
            <w:r>
              <w:rPr>
                <w:rFonts w:ascii="Arial" w:cs="Arial" w:eastAsia="Arial" w:hAnsi="Arial"/>
                <w:sz w:val="18"/>
                <w:szCs w:val="18"/>
                <w:color w:val="auto"/>
              </w:rPr>
              <w:t>U.S. treasury securities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23,997</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23,999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and foreign commercial paper</w:t>
            </w:r>
          </w:p>
        </w:tc>
        <w:tc>
          <w:tcPr>
            <w:tcW w:w="2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103,356</w:t>
            </w:r>
          </w:p>
        </w:tc>
        <w:tc>
          <w:tcPr>
            <w:tcW w:w="22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103,356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80" w:type="dxa"/>
            <w:vAlign w:val="bottom"/>
          </w:tcPr>
          <w:p>
            <w:pPr>
              <w:spacing w:after="0"/>
              <w:rPr>
                <w:sz w:val="20"/>
                <w:szCs w:val="20"/>
                <w:color w:val="auto"/>
              </w:rPr>
            </w:pPr>
            <w:r>
              <w:rPr>
                <w:rFonts w:ascii="Arial" w:cs="Arial" w:eastAsia="Arial" w:hAnsi="Arial"/>
                <w:sz w:val="18"/>
                <w:szCs w:val="18"/>
                <w:color w:val="auto"/>
              </w:rPr>
              <w:t>Total short-term marketable securities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156,966</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156,969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cash equivalents and marketable securities</w:t>
            </w: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380" w:type="dxa"/>
            <w:vAlign w:val="bottom"/>
            <w:vMerge w:val="continue"/>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211,017</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842"/>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20" w:type="dxa"/>
            <w:vAlign w:val="bottom"/>
            <w:vMerge w:val="continue"/>
            <w:shd w:val="clear" w:color="auto" w:fill="CFF0FC"/>
          </w:tcPr>
          <w:p>
            <w:pPr>
              <w:spacing w:after="0"/>
              <w:rPr>
                <w:sz w:val="19"/>
                <w:szCs w:val="19"/>
                <w:color w:val="auto"/>
              </w:rPr>
            </w:pPr>
          </w:p>
        </w:tc>
        <w:tc>
          <w:tcPr>
            <w:tcW w:w="1020" w:type="dxa"/>
            <w:vAlign w:val="bottom"/>
            <w:shd w:val="clear" w:color="auto" w:fill="CFF0FC"/>
          </w:tcPr>
          <w:p>
            <w:pPr>
              <w:jc w:val="right"/>
              <w:ind w:right="844"/>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211,020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Short-term marketable securities held as of December 31, 2021 had contractual maturities of less than one year. Long-term marketable securities held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 had contractual maturities of at least one year but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less than two years.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Realized gains and losses for the years ended December 31, 2021 and 2020 were not significant. None of the Company’s investments have been in a continuous unrealized loss position for more than 12 months as of December 31, 2021.</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See Note 2 for further information regarding the fair value of our investments in marketable securities.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r>
              <w:rPr>
                <w:rFonts w:ascii="Arial" w:cs="Arial" w:eastAsia="Arial" w:hAnsi="Arial"/>
                <w:sz w:val="18"/>
                <w:szCs w:val="18"/>
                <w:b w:val="1"/>
                <w:bCs w:val="1"/>
                <w:color w:val="auto"/>
              </w:rPr>
              <w:t>Note 4 - Property and Equipment, Net</w:t>
            </w:r>
          </w:p>
        </w:tc>
        <w:tc>
          <w:tcPr>
            <w:tcW w:w="1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92"/>
        </w:trPr>
        <w:tc>
          <w:tcPr>
            <w:tcW w:w="7320" w:type="dxa"/>
            <w:vAlign w:val="bottom"/>
          </w:tcPr>
          <w:p>
            <w:pPr>
              <w:spacing w:after="0"/>
              <w:rPr>
                <w:sz w:val="20"/>
                <w:szCs w:val="20"/>
                <w:color w:val="auto"/>
              </w:rPr>
            </w:pPr>
            <w:r>
              <w:rPr>
                <w:rFonts w:ascii="Arial" w:cs="Arial" w:eastAsia="Arial" w:hAnsi="Arial"/>
                <w:sz w:val="18"/>
                <w:szCs w:val="18"/>
                <w:color w:val="auto"/>
              </w:rPr>
              <w:t>Property and equipment, net consists of the following (in thousands):</w:t>
            </w:r>
          </w:p>
        </w:tc>
        <w:tc>
          <w:tcPr>
            <w:tcW w:w="1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59"/>
        </w:trPr>
        <w:tc>
          <w:tcPr>
            <w:tcW w:w="732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December 31,</w:t>
            </w:r>
          </w:p>
        </w:tc>
        <w:tc>
          <w:tcPr>
            <w:tcW w:w="12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23"/>
        </w:trPr>
        <w:tc>
          <w:tcPr>
            <w:tcW w:w="7320" w:type="dxa"/>
            <w:vAlign w:val="bottom"/>
            <w:tcBorders>
              <w:bottom w:val="single" w:sz="8" w:color="CFF0FC"/>
            </w:tcBorders>
          </w:tcPr>
          <w:p>
            <w:pPr>
              <w:spacing w:after="0"/>
              <w:rPr>
                <w:sz w:val="19"/>
                <w:szCs w:val="19"/>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2021</w:t>
            </w:r>
          </w:p>
        </w:tc>
        <w:tc>
          <w:tcPr>
            <w:tcW w:w="600" w:type="dxa"/>
            <w:vAlign w:val="bottom"/>
            <w:tcBorders>
              <w:bottom w:val="single" w:sz="8" w:color="auto"/>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FF0FC"/>
            </w:tcBorders>
          </w:tcPr>
          <w:p>
            <w:pPr>
              <w:spacing w:after="0"/>
              <w:rPr>
                <w:sz w:val="19"/>
                <w:szCs w:val="19"/>
                <w:color w:val="auto"/>
              </w:rPr>
            </w:pPr>
          </w:p>
        </w:tc>
      </w:tr>
      <w:tr>
        <w:trPr>
          <w:trHeight w:val="223"/>
        </w:trPr>
        <w:tc>
          <w:tcPr>
            <w:tcW w:w="7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Lab equipment</w:t>
            </w:r>
          </w:p>
        </w:tc>
        <w:tc>
          <w:tcPr>
            <w:tcW w:w="11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w:t>
            </w:r>
          </w:p>
        </w:tc>
        <w:tc>
          <w:tcPr>
            <w:tcW w:w="120" w:type="dxa"/>
            <w:vAlign w:val="bottom"/>
            <w:shd w:val="clear" w:color="auto" w:fill="CFF0FC"/>
          </w:tcPr>
          <w:p>
            <w:pPr>
              <w:spacing w:after="0"/>
              <w:rPr>
                <w:sz w:val="19"/>
                <w:szCs w:val="19"/>
                <w:color w:val="auto"/>
              </w:rPr>
            </w:pPr>
          </w:p>
        </w:tc>
      </w:tr>
      <w:tr>
        <w:trPr>
          <w:trHeight w:val="230"/>
        </w:trPr>
        <w:tc>
          <w:tcPr>
            <w:tcW w:w="7320" w:type="dxa"/>
            <w:vAlign w:val="bottom"/>
          </w:tcPr>
          <w:p>
            <w:pPr>
              <w:ind w:left="260"/>
              <w:spacing w:after="0"/>
              <w:rPr>
                <w:sz w:val="20"/>
                <w:szCs w:val="20"/>
                <w:color w:val="auto"/>
              </w:rPr>
            </w:pPr>
            <w:r>
              <w:rPr>
                <w:rFonts w:ascii="Arial" w:cs="Arial" w:eastAsia="Arial" w:hAnsi="Arial"/>
                <w:sz w:val="18"/>
                <w:szCs w:val="18"/>
                <w:color w:val="auto"/>
              </w:rPr>
              <w:t>Office equipment</w:t>
            </w:r>
          </w:p>
        </w:tc>
        <w:tc>
          <w:tcPr>
            <w:tcW w:w="1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699</w:t>
            </w: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699</w:t>
            </w:r>
          </w:p>
        </w:tc>
        <w:tc>
          <w:tcPr>
            <w:tcW w:w="120" w:type="dxa"/>
            <w:vAlign w:val="bottom"/>
          </w:tcPr>
          <w:p>
            <w:pPr>
              <w:spacing w:after="0"/>
              <w:rPr>
                <w:sz w:val="19"/>
                <w:szCs w:val="19"/>
                <w:color w:val="auto"/>
              </w:rPr>
            </w:pPr>
          </w:p>
        </w:tc>
      </w:tr>
      <w:tr>
        <w:trPr>
          <w:trHeight w:val="230"/>
        </w:trPr>
        <w:tc>
          <w:tcPr>
            <w:tcW w:w="7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Leasehold improvement</w:t>
            </w:r>
          </w:p>
        </w:tc>
        <w:tc>
          <w:tcPr>
            <w:tcW w:w="11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1,629</w:t>
            </w:r>
          </w:p>
        </w:tc>
        <w:tc>
          <w:tcPr>
            <w:tcW w:w="26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2,490</w:t>
            </w:r>
          </w:p>
        </w:tc>
        <w:tc>
          <w:tcPr>
            <w:tcW w:w="120" w:type="dxa"/>
            <w:vAlign w:val="bottom"/>
            <w:shd w:val="clear" w:color="auto" w:fill="CFF0FC"/>
          </w:tcPr>
          <w:p>
            <w:pPr>
              <w:spacing w:after="0"/>
              <w:rPr>
                <w:sz w:val="19"/>
                <w:szCs w:val="19"/>
                <w:color w:val="auto"/>
              </w:rPr>
            </w:pPr>
          </w:p>
        </w:tc>
      </w:tr>
      <w:tr>
        <w:trPr>
          <w:trHeight w:val="223"/>
        </w:trPr>
        <w:tc>
          <w:tcPr>
            <w:tcW w:w="7320" w:type="dxa"/>
            <w:vAlign w:val="bottom"/>
          </w:tcPr>
          <w:p>
            <w:pPr>
              <w:spacing w:after="0"/>
              <w:rPr>
                <w:sz w:val="20"/>
                <w:szCs w:val="20"/>
                <w:color w:val="auto"/>
              </w:rPr>
            </w:pPr>
            <w:r>
              <w:rPr>
                <w:rFonts w:ascii="Arial" w:cs="Arial" w:eastAsia="Arial" w:hAnsi="Arial"/>
                <w:sz w:val="18"/>
                <w:szCs w:val="18"/>
                <w:color w:val="auto"/>
              </w:rPr>
              <w:t>Total property and equipment</w:t>
            </w:r>
          </w:p>
        </w:tc>
        <w:tc>
          <w:tcPr>
            <w:tcW w:w="1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2,346</w:t>
            </w: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3,436</w:t>
            </w:r>
          </w:p>
        </w:tc>
        <w:tc>
          <w:tcPr>
            <w:tcW w:w="120" w:type="dxa"/>
            <w:vAlign w:val="bottom"/>
          </w:tcPr>
          <w:p>
            <w:pPr>
              <w:spacing w:after="0"/>
              <w:rPr>
                <w:sz w:val="19"/>
                <w:szCs w:val="19"/>
                <w:color w:val="auto"/>
              </w:rPr>
            </w:pPr>
          </w:p>
        </w:tc>
      </w:tr>
      <w:tr>
        <w:trPr>
          <w:trHeight w:val="230"/>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w:t>
            </w:r>
          </w:p>
        </w:tc>
        <w:tc>
          <w:tcPr>
            <w:tcW w:w="1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(1,207)</w:t>
            </w:r>
          </w:p>
        </w:tc>
        <w:tc>
          <w:tcPr>
            <w:tcW w:w="5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(1,836)</w:t>
            </w:r>
          </w:p>
        </w:tc>
      </w:tr>
      <w:tr>
        <w:trPr>
          <w:trHeight w:val="223"/>
        </w:trPr>
        <w:tc>
          <w:tcPr>
            <w:tcW w:w="73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160" w:type="dxa"/>
            <w:vAlign w:val="bottom"/>
            <w:tcBorders>
              <w:top w:val="single" w:sz="8" w:color="auto"/>
              <w:bottom w:val="single" w:sz="8" w:color="auto"/>
            </w:tcBorders>
          </w:tcPr>
          <w:p>
            <w:pPr>
              <w:jc w:val="right"/>
              <w:ind w:right="97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1,139</w:t>
            </w:r>
          </w:p>
        </w:tc>
        <w:tc>
          <w:tcPr>
            <w:tcW w:w="26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1,600</w:t>
            </w:r>
          </w:p>
        </w:tc>
        <w:tc>
          <w:tcPr>
            <w:tcW w:w="120" w:type="dxa"/>
            <w:vAlign w:val="bottom"/>
          </w:tcPr>
          <w:p>
            <w:pPr>
              <w:spacing w:after="0"/>
              <w:rPr>
                <w:sz w:val="19"/>
                <w:szCs w:val="19"/>
                <w:color w:val="auto"/>
              </w:rPr>
            </w:pPr>
          </w:p>
        </w:tc>
      </w:tr>
      <w:tr>
        <w:trPr>
          <w:trHeight w:val="20"/>
        </w:trPr>
        <w:tc>
          <w:tcPr>
            <w:tcW w:w="73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Depreciation expense for the years ended December 31, 2021 and 2020 was $0.5 million, and $0.7 million, respectively, and was recorded in both research and development expense and general and administrative expense in the consolidated statements of operations and comprehensive loss. Primarily all of the Company’s property and equipment is located in the U.S.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Goodwill and Indefinite-Lived Intangible Asset Impairment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9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elected to perform a quantitative impairment assessment of goodwill for its single reporting unit in the fourth quarter of 2021 due to a sustained decline in its market capitalization, an increase in negative economic outlook for biotech markets and a fourth quarter unfavorable clinical trial result for a competitor’s curative combination therapy for HBV infection. The Company estimated and reconciled the fair value of its reporting unit using both a market approach, utilizing the Company’s market capitalization adjusted for an estimated control premium, and the income approach, discounting future cash flows based on management’s expectations of timelines to complete clinical trials, regulatory and commercial probabilities of technical success as well as future earnings forecast. Based on this analysis, and after completing an impairment assessment of its indefinite-lived and long-lived assets, the Company</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7" w:right="339" w:bottom="1440" w:gutter="0" w:footer="0" w:header="0"/>
        </w:sectPr>
      </w:pPr>
    </w:p>
    <w:bookmarkStart w:id="80" w:name="page81"/>
    <w:bookmarkEnd w:id="80"/>
    <w:p>
      <w:pPr>
        <w:jc w:val="both"/>
        <w:spacing w:after="0" w:line="273" w:lineRule="auto"/>
        <w:rPr>
          <w:sz w:val="20"/>
          <w:szCs w:val="20"/>
          <w:color w:val="auto"/>
        </w:rPr>
      </w:pPr>
      <w:r>
        <w:rPr>
          <w:rFonts w:ascii="Arial" w:cs="Arial" w:eastAsia="Arial" w:hAnsi="Arial"/>
          <w:sz w:val="17"/>
          <w:szCs w:val="17"/>
          <w:color w:val="auto"/>
        </w:rPr>
        <w:t>concluded the fair value of its single reporting unit was less than its carrying value and therefore recognized a goodwill impairment charge of $12.6 million. This was primarily driven by increased risks impacting the Company that, from the standpoint of a market participant, were captured through an increase in estimated discount rates. The calculation of the impairment charge includes substantial fact-based determinations and estimates including discount rates, future revenue, profitability, cash flows, probabilities of technical success and fair values of assets and liabilities, and any changes to these assumptions could result in changes to the fair value of our single reporting unit. The goodwill impairment charge is reflected in impairment of goodwill and indefinite-lived intangible asset in the consolidated statements of operations and comprehensive loss.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No goodwill impairment charges were recorded in 2020.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Indefinite-Lived Intangible Asset</w:t>
      </w:r>
    </w:p>
    <w:p>
      <w:pPr>
        <w:spacing w:after="0" w:line="11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During the fourth quarter of 2021 and prior to the goodwill impairment test, the Company also completed a quantitative impairment test for its IPR&amp;D asset associated with the Assembly Pharmaceuticals, Inc. acquisition. The Company utilized the discounted cash flow model of the income approach and determined the carrying value of its IPR&amp;D asset was fully impaired resulting in an impairment charge of $29.0 million. This was primarily driven by a higher discount rate applied to future cash flows based on a market participant’s view of increased risk associated with a negative economic outlook for biotech markets and a fourth quarter unfavorable clinical trial result for a competitor’s curative combination therapy for HBV infection. More significant assumptions inherent in the development of the model included the estimated annual cash flows, particularly net revenues, the appropriate discount rate to select in order to measure the risk inherent in the future cash flows, cost to complete the IPR&amp;D project as well as other factors. The impairment charge recorded is reflected in impairment of goodwill and indefinite-lived intangible asset in the consolidated statements of operations and comprehensive loss.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No indefinite-lived intangible asset impairment charges were recorded in 2020.</w:t>
            </w:r>
          </w:p>
        </w:tc>
        <w:tc>
          <w:tcPr>
            <w:tcW w:w="1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24"/>
        </w:trPr>
        <w:tc>
          <w:tcPr>
            <w:tcW w:w="7320" w:type="dxa"/>
            <w:vAlign w:val="bottom"/>
          </w:tcPr>
          <w:p>
            <w:pPr>
              <w:spacing w:after="0"/>
              <w:rPr>
                <w:sz w:val="20"/>
                <w:szCs w:val="20"/>
                <w:color w:val="auto"/>
              </w:rPr>
            </w:pPr>
            <w:r>
              <w:rPr>
                <w:rFonts w:ascii="Arial" w:cs="Arial" w:eastAsia="Arial" w:hAnsi="Arial"/>
                <w:sz w:val="18"/>
                <w:szCs w:val="18"/>
                <w:b w:val="1"/>
                <w:bCs w:val="1"/>
                <w:color w:val="auto"/>
              </w:rPr>
              <w:t>Note 6 – Other Accrued Expenses</w:t>
            </w: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05"/>
        </w:trPr>
        <w:tc>
          <w:tcPr>
            <w:tcW w:w="7320" w:type="dxa"/>
            <w:vAlign w:val="bottom"/>
          </w:tcPr>
          <w:p>
            <w:pPr>
              <w:spacing w:after="0"/>
              <w:rPr>
                <w:sz w:val="20"/>
                <w:szCs w:val="20"/>
                <w:color w:val="auto"/>
              </w:rPr>
            </w:pPr>
            <w:r>
              <w:rPr>
                <w:rFonts w:ascii="Arial" w:cs="Arial" w:eastAsia="Arial" w:hAnsi="Arial"/>
                <w:sz w:val="18"/>
                <w:szCs w:val="18"/>
                <w:color w:val="auto"/>
              </w:rPr>
              <w:t>Other accrued expenses consist of the following (in thousands):</w:t>
            </w: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59"/>
        </w:trPr>
        <w:tc>
          <w:tcPr>
            <w:tcW w:w="7320" w:type="dxa"/>
            <w:vAlign w:val="bottom"/>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December 31,</w:t>
            </w:r>
          </w:p>
        </w:tc>
        <w:tc>
          <w:tcPr>
            <w:tcW w:w="12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23"/>
        </w:trPr>
        <w:tc>
          <w:tcPr>
            <w:tcW w:w="7320" w:type="dxa"/>
            <w:vAlign w:val="bottom"/>
            <w:tcBorders>
              <w:bottom w:val="single" w:sz="8" w:color="CFF0FC"/>
            </w:tcBorders>
          </w:tcPr>
          <w:p>
            <w:pPr>
              <w:spacing w:after="0"/>
              <w:rPr>
                <w:sz w:val="19"/>
                <w:szCs w:val="19"/>
                <w:color w:val="auto"/>
              </w:rPr>
            </w:pP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2021</w:t>
            </w:r>
          </w:p>
        </w:tc>
        <w:tc>
          <w:tcPr>
            <w:tcW w:w="560" w:type="dxa"/>
            <w:vAlign w:val="bottom"/>
            <w:tcBorders>
              <w:bottom w:val="single" w:sz="8" w:color="auto"/>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FF0FC"/>
            </w:tcBorders>
          </w:tcPr>
          <w:p>
            <w:pPr>
              <w:spacing w:after="0"/>
              <w:rPr>
                <w:sz w:val="19"/>
                <w:szCs w:val="19"/>
                <w:color w:val="auto"/>
              </w:rPr>
            </w:pPr>
          </w:p>
        </w:tc>
      </w:tr>
      <w:tr>
        <w:trPr>
          <w:trHeight w:val="223"/>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Accrued expenses:</w:t>
            </w:r>
          </w:p>
        </w:tc>
        <w:tc>
          <w:tcPr>
            <w:tcW w:w="12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320" w:type="dxa"/>
            <w:vAlign w:val="bottom"/>
          </w:tcPr>
          <w:p>
            <w:pPr>
              <w:ind w:left="260"/>
              <w:spacing w:after="0"/>
              <w:rPr>
                <w:sz w:val="20"/>
                <w:szCs w:val="20"/>
                <w:color w:val="auto"/>
              </w:rPr>
            </w:pPr>
            <w:r>
              <w:rPr>
                <w:rFonts w:ascii="Arial" w:cs="Arial" w:eastAsia="Arial" w:hAnsi="Arial"/>
                <w:sz w:val="18"/>
                <w:szCs w:val="18"/>
                <w:color w:val="auto"/>
              </w:rPr>
              <w:t>Accrued compensation</w:t>
            </w:r>
          </w:p>
        </w:tc>
        <w:tc>
          <w:tcPr>
            <w:tcW w:w="1200" w:type="dxa"/>
            <w:vAlign w:val="bottom"/>
          </w:tcPr>
          <w:p>
            <w:pPr>
              <w:jc w:val="right"/>
              <w:ind w:right="101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6,426</w:t>
            </w:r>
          </w:p>
        </w:tc>
        <w:tc>
          <w:tcPr>
            <w:tcW w:w="26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7,016</w:t>
            </w:r>
          </w:p>
        </w:tc>
        <w:tc>
          <w:tcPr>
            <w:tcW w:w="120" w:type="dxa"/>
            <w:vAlign w:val="bottom"/>
          </w:tcPr>
          <w:p>
            <w:pPr>
              <w:spacing w:after="0"/>
              <w:rPr>
                <w:sz w:val="19"/>
                <w:szCs w:val="19"/>
                <w:color w:val="auto"/>
              </w:rPr>
            </w:pPr>
          </w:p>
        </w:tc>
      </w:tr>
      <w:tr>
        <w:trPr>
          <w:trHeight w:val="230"/>
        </w:trPr>
        <w:tc>
          <w:tcPr>
            <w:tcW w:w="7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restructuring charges</w:t>
            </w:r>
          </w:p>
        </w:tc>
        <w:tc>
          <w:tcPr>
            <w:tcW w:w="12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4,164</w:t>
            </w:r>
          </w:p>
        </w:tc>
        <w:tc>
          <w:tcPr>
            <w:tcW w:w="120" w:type="dxa"/>
            <w:vAlign w:val="bottom"/>
            <w:shd w:val="clear" w:color="auto" w:fill="CFF0FC"/>
          </w:tcPr>
          <w:p>
            <w:pPr>
              <w:spacing w:after="0"/>
              <w:rPr>
                <w:sz w:val="19"/>
                <w:szCs w:val="19"/>
                <w:color w:val="auto"/>
              </w:rPr>
            </w:pPr>
          </w:p>
        </w:tc>
      </w:tr>
      <w:tr>
        <w:trPr>
          <w:trHeight w:val="229"/>
        </w:trPr>
        <w:tc>
          <w:tcPr>
            <w:tcW w:w="73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Accrued professional fees and other</w:t>
            </w:r>
          </w:p>
        </w:tc>
        <w:tc>
          <w:tcPr>
            <w:tcW w:w="12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w:t>
            </w:r>
          </w:p>
        </w:tc>
        <w:tc>
          <w:tcPr>
            <w:tcW w:w="26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w:t>
            </w:r>
          </w:p>
        </w:tc>
        <w:tc>
          <w:tcPr>
            <w:tcW w:w="120" w:type="dxa"/>
            <w:vAlign w:val="bottom"/>
            <w:tcBorders>
              <w:bottom w:val="single" w:sz="8" w:color="CFF0FC"/>
            </w:tcBorders>
          </w:tcPr>
          <w:p>
            <w:pPr>
              <w:spacing w:after="0"/>
              <w:rPr>
                <w:sz w:val="19"/>
                <w:szCs w:val="19"/>
                <w:color w:val="auto"/>
              </w:rPr>
            </w:pPr>
          </w:p>
        </w:tc>
      </w:tr>
      <w:tr>
        <w:trPr>
          <w:trHeight w:val="223"/>
        </w:trPr>
        <w:tc>
          <w:tcPr>
            <w:tcW w:w="7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accrued expenses</w:t>
            </w:r>
          </w:p>
        </w:tc>
        <w:tc>
          <w:tcPr>
            <w:tcW w:w="1200" w:type="dxa"/>
            <w:vAlign w:val="bottom"/>
            <w:tcBorders>
              <w:bottom w:val="single" w:sz="8" w:color="auto"/>
            </w:tcBorders>
            <w:shd w:val="clear" w:color="auto" w:fill="CFF0FC"/>
          </w:tcPr>
          <w:p>
            <w:pPr>
              <w:jc w:val="right"/>
              <w:ind w:right="101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6,863</w:t>
            </w:r>
          </w:p>
        </w:tc>
        <w:tc>
          <w:tcPr>
            <w:tcW w:w="26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3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11,987</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3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Restructurings</w:t>
      </w:r>
    </w:p>
    <w:p>
      <w:pPr>
        <w:spacing w:after="0" w:line="24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Restructuring charges relate to the Company’s decision to relocate its headquarters to South San Francisco, California, which was approved by the Board of Directors effective January 2020 and the December 2020 wind-down of the Company’s Microbiome program.</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30"/>
        </w:trPr>
        <w:tc>
          <w:tcPr>
            <w:tcW w:w="6100" w:type="dxa"/>
            <w:vAlign w:val="bottom"/>
          </w:tcPr>
          <w:p>
            <w:pPr>
              <w:spacing w:after="0"/>
              <w:rPr>
                <w:sz w:val="20"/>
                <w:szCs w:val="20"/>
                <w:color w:val="auto"/>
              </w:rPr>
            </w:pPr>
            <w:r>
              <w:rPr>
                <w:rFonts w:ascii="Arial" w:cs="Arial" w:eastAsia="Arial" w:hAnsi="Arial"/>
                <w:sz w:val="18"/>
                <w:szCs w:val="18"/>
                <w:color w:val="auto"/>
                <w:w w:val="98"/>
              </w:rPr>
              <w:t>The following table summarizes the Company’s costs incurred (in thousands):</w:t>
            </w: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441"/>
        </w:trPr>
        <w:tc>
          <w:tcPr>
            <w:tcW w:w="6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9"/>
              </w:rPr>
              <w:t>Employee</w:t>
            </w:r>
          </w:p>
        </w:tc>
        <w:tc>
          <w:tcPr>
            <w:tcW w:w="180" w:type="dxa"/>
            <w:vAlign w:val="bottom"/>
          </w:tcPr>
          <w:p>
            <w:pPr>
              <w:spacing w:after="0"/>
              <w:rPr>
                <w:sz w:val="24"/>
                <w:szCs w:val="24"/>
                <w:color w:val="auto"/>
              </w:rPr>
            </w:pPr>
          </w:p>
        </w:tc>
        <w:tc>
          <w:tcPr>
            <w:tcW w:w="15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1"/>
              </w:rPr>
              <w:t>Asset</w:t>
            </w:r>
          </w:p>
        </w:tc>
      </w:tr>
      <w:tr>
        <w:trPr>
          <w:trHeight w:val="216"/>
        </w:trPr>
        <w:tc>
          <w:tcPr>
            <w:tcW w:w="6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Total</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4"/>
              </w:rPr>
              <w:t>Severance</w:t>
            </w:r>
          </w:p>
        </w:tc>
        <w:tc>
          <w:tcPr>
            <w:tcW w:w="180" w:type="dxa"/>
            <w:vAlign w:val="bottom"/>
          </w:tcPr>
          <w:p>
            <w:pPr>
              <w:spacing w:after="0"/>
              <w:rPr>
                <w:sz w:val="18"/>
                <w:szCs w:val="18"/>
                <w:color w:val="auto"/>
              </w:rPr>
            </w:pPr>
          </w:p>
        </w:tc>
        <w:tc>
          <w:tcPr>
            <w:tcW w:w="15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4"/>
              </w:rPr>
              <w:t>Impairment</w:t>
            </w:r>
          </w:p>
        </w:tc>
      </w:tr>
      <w:tr>
        <w:trPr>
          <w:trHeight w:val="216"/>
        </w:trPr>
        <w:tc>
          <w:tcPr>
            <w:tcW w:w="6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Restructuring</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0"/>
              </w:rPr>
              <w:t>and Related</w:t>
            </w:r>
          </w:p>
        </w:tc>
        <w:tc>
          <w:tcPr>
            <w:tcW w:w="180" w:type="dxa"/>
            <w:vAlign w:val="bottom"/>
          </w:tcPr>
          <w:p>
            <w:pPr>
              <w:spacing w:after="0"/>
              <w:rPr>
                <w:sz w:val="18"/>
                <w:szCs w:val="18"/>
                <w:color w:val="auto"/>
              </w:rPr>
            </w:pPr>
          </w:p>
        </w:tc>
        <w:tc>
          <w:tcPr>
            <w:tcW w:w="15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4"/>
              </w:rPr>
              <w:t>and Other</w:t>
            </w:r>
          </w:p>
        </w:tc>
      </w:tr>
      <w:tr>
        <w:trPr>
          <w:trHeight w:val="234"/>
        </w:trPr>
        <w:tc>
          <w:tcPr>
            <w:tcW w:w="6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4"/>
              </w:rPr>
              <w:t>Cost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7"/>
              </w:rPr>
              <w:t>Benefits</w:t>
            </w:r>
          </w:p>
        </w:tc>
        <w:tc>
          <w:tcPr>
            <w:tcW w:w="180" w:type="dxa"/>
            <w:vAlign w:val="bottom"/>
          </w:tcPr>
          <w:p>
            <w:pPr>
              <w:spacing w:after="0"/>
              <w:rPr>
                <w:sz w:val="20"/>
                <w:szCs w:val="20"/>
                <w:color w:val="auto"/>
              </w:rPr>
            </w:pPr>
          </w:p>
        </w:tc>
        <w:tc>
          <w:tcPr>
            <w:tcW w:w="15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3"/>
              </w:rPr>
              <w:t>Costs</w:t>
            </w:r>
          </w:p>
        </w:tc>
      </w:tr>
      <w:tr>
        <w:trPr>
          <w:trHeight w:val="223"/>
        </w:trPr>
        <w:tc>
          <w:tcPr>
            <w:tcW w:w="6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Cumulative restructuring costs incurred through December 31, 2021</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6,430</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3,240</w:t>
            </w:r>
          </w:p>
        </w:tc>
        <w:tc>
          <w:tcPr>
            <w:tcW w:w="2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3,190</w:t>
            </w:r>
          </w:p>
        </w:tc>
        <w:tc>
          <w:tcPr>
            <w:tcW w:w="240" w:type="dxa"/>
            <w:vAlign w:val="bottom"/>
            <w:tcBorders>
              <w:top w:val="single" w:sz="8" w:color="CFF0FC"/>
            </w:tcBorders>
            <w:shd w:val="clear" w:color="auto" w:fill="CFF0FC"/>
          </w:tcPr>
          <w:p>
            <w:pPr>
              <w:spacing w:after="0"/>
              <w:rPr>
                <w:sz w:val="19"/>
                <w:szCs w:val="19"/>
                <w:color w:val="auto"/>
              </w:rPr>
            </w:pPr>
          </w:p>
        </w:tc>
      </w:tr>
      <w:tr>
        <w:trPr>
          <w:trHeight w:val="229"/>
        </w:trPr>
        <w:tc>
          <w:tcPr>
            <w:tcW w:w="6100" w:type="dxa"/>
            <w:vAlign w:val="bottom"/>
          </w:tcPr>
          <w:p>
            <w:pPr>
              <w:spacing w:after="0"/>
              <w:rPr>
                <w:sz w:val="20"/>
                <w:szCs w:val="20"/>
                <w:color w:val="auto"/>
              </w:rPr>
            </w:pPr>
            <w:r>
              <w:rPr>
                <w:rFonts w:ascii="Arial" w:cs="Arial" w:eastAsia="Arial" w:hAnsi="Arial"/>
                <w:sz w:val="18"/>
                <w:szCs w:val="18"/>
                <w:color w:val="auto"/>
              </w:rPr>
              <w:t>Restructuring costs incurred for the year ended December 31, 2021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(1,348)</w:t>
            </w:r>
          </w:p>
        </w:tc>
        <w:tc>
          <w:tcPr>
            <w:tcW w:w="2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40"/>
              <w:spacing w:after="0" w:line="229" w:lineRule="exact"/>
              <w:rPr>
                <w:sz w:val="20"/>
                <w:szCs w:val="20"/>
                <w:color w:val="auto"/>
              </w:rPr>
            </w:pPr>
            <w:r>
              <w:rPr>
                <w:rFonts w:ascii="Arial" w:cs="Arial" w:eastAsia="Arial" w:hAnsi="Arial"/>
                <w:sz w:val="18"/>
                <w:szCs w:val="18"/>
                <w:color w:val="auto"/>
              </w:rPr>
              <w:t xml:space="preserve">(2,959) </w:t>
            </w:r>
            <w:r>
              <w:rPr>
                <w:rFonts w:ascii="Arial" w:cs="Arial" w:eastAsia="Arial" w:hAnsi="Arial"/>
                <w:sz w:val="24"/>
                <w:szCs w:val="24"/>
                <w:color w:val="auto"/>
                <w:vertAlign w:val="subscript"/>
              </w:rPr>
              <w:t>(1)</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1,611</w:t>
            </w:r>
          </w:p>
        </w:tc>
        <w:tc>
          <w:tcPr>
            <w:tcW w:w="240" w:type="dxa"/>
            <w:vAlign w:val="bottom"/>
          </w:tcPr>
          <w:p>
            <w:pPr>
              <w:spacing w:after="0"/>
              <w:rPr>
                <w:sz w:val="19"/>
                <w:szCs w:val="19"/>
                <w:color w:val="auto"/>
              </w:rPr>
            </w:pPr>
          </w:p>
        </w:tc>
      </w:tr>
      <w:tr>
        <w:trPr>
          <w:trHeight w:val="230"/>
        </w:trPr>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Restructuring costs incurred for the year ended December 31, 2020</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5,684</w:t>
            </w:r>
          </w:p>
        </w:tc>
        <w:tc>
          <w:tcPr>
            <w:tcW w:w="14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4,105</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1,579</w:t>
            </w:r>
          </w:p>
        </w:tc>
        <w:tc>
          <w:tcPr>
            <w:tcW w:w="240" w:type="dxa"/>
            <w:vAlign w:val="bottom"/>
            <w:shd w:val="clear" w:color="auto" w:fill="CFF0FC"/>
          </w:tcPr>
          <w:p>
            <w:pPr>
              <w:spacing w:after="0"/>
              <w:rPr>
                <w:sz w:val="19"/>
                <w:szCs w:val="19"/>
                <w:color w:val="auto"/>
              </w:rPr>
            </w:pPr>
          </w:p>
        </w:tc>
      </w:tr>
    </w:tbl>
    <w:p>
      <w:pPr>
        <w:spacing w:after="0" w:line="215" w:lineRule="exact"/>
        <w:rPr>
          <w:sz w:val="20"/>
          <w:szCs w:val="20"/>
          <w:color w:val="auto"/>
        </w:rPr>
      </w:pPr>
    </w:p>
    <w:p>
      <w:pPr>
        <w:jc w:val="both"/>
        <w:ind w:left="440" w:hanging="432"/>
        <w:spacing w:after="0" w:line="259" w:lineRule="auto"/>
        <w:tabs>
          <w:tab w:leader="none" w:pos="440" w:val="left"/>
        </w:tabs>
        <w:numPr>
          <w:ilvl w:val="0"/>
          <w:numId w:val="35"/>
        </w:numPr>
        <w:rPr>
          <w:rFonts w:ascii="Arial" w:cs="Arial" w:eastAsia="Arial" w:hAnsi="Arial"/>
          <w:sz w:val="15"/>
          <w:szCs w:val="15"/>
          <w:color w:val="auto"/>
        </w:rPr>
      </w:pPr>
      <w:r>
        <w:rPr>
          <w:rFonts w:ascii="Arial" w:cs="Arial" w:eastAsia="Arial" w:hAnsi="Arial"/>
          <w:sz w:val="18"/>
          <w:szCs w:val="18"/>
          <w:color w:val="auto"/>
        </w:rPr>
        <w:t>The reversal of $3.0 million in employee severance and related benefits recognized during the year ended December 31, 2021 reflects the reversal of previously recognized stock-based compensation expense related to forfeited awards based on the Company’s policy of recognizing stock-based awards with graded vesting schedules using an accelerated attribution method on a straight-line basis over the requisite service period for each separately vesting portion of the award and to recognize forfeitures when they occur.</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The cumulative restructuring costs incurred through December 31, 2021 represents all costs to be incurred.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20" w:type="dxa"/>
            <w:vAlign w:val="bottom"/>
          </w:tcPr>
          <w:p>
            <w:pPr>
              <w:spacing w:after="0"/>
              <w:rPr>
                <w:sz w:val="20"/>
                <w:szCs w:val="20"/>
                <w:color w:val="auto"/>
              </w:rPr>
            </w:pPr>
            <w:r>
              <w:rPr>
                <w:rFonts w:ascii="Arial" w:cs="Arial" w:eastAsia="Arial" w:hAnsi="Arial"/>
                <w:sz w:val="18"/>
                <w:szCs w:val="18"/>
                <w:color w:val="auto"/>
                <w:w w:val="98"/>
              </w:rPr>
              <w:t>The following table presents where the restructuring charges were recognized (in thousands):</w:t>
            </w:r>
          </w:p>
        </w:tc>
        <w:tc>
          <w:tcPr>
            <w:tcW w:w="1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59"/>
        </w:trPr>
        <w:tc>
          <w:tcPr>
            <w:tcW w:w="7320" w:type="dxa"/>
            <w:vAlign w:val="bottom"/>
          </w:tcPr>
          <w:p>
            <w:pPr>
              <w:spacing w:after="0"/>
              <w:rPr>
                <w:sz w:val="24"/>
                <w:szCs w:val="24"/>
                <w:color w:val="auto"/>
              </w:rPr>
            </w:pPr>
          </w:p>
        </w:tc>
        <w:tc>
          <w:tcPr>
            <w:tcW w:w="3240" w:type="dxa"/>
            <w:vAlign w:val="bottom"/>
            <w:tcBorders>
              <w:bottom w:val="single" w:sz="8" w:color="auto"/>
            </w:tcBorders>
            <w:gridSpan w:val="4"/>
          </w:tcPr>
          <w:p>
            <w:pPr>
              <w:jc w:val="right"/>
              <w:ind w:right="250"/>
              <w:spacing w:after="0"/>
              <w:rPr>
                <w:sz w:val="20"/>
                <w:szCs w:val="20"/>
                <w:color w:val="auto"/>
              </w:rPr>
            </w:pPr>
            <w:r>
              <w:rPr>
                <w:rFonts w:ascii="Arial" w:cs="Arial" w:eastAsia="Arial" w:hAnsi="Arial"/>
                <w:sz w:val="18"/>
                <w:szCs w:val="18"/>
                <w:b w:val="1"/>
                <w:bCs w:val="1"/>
                <w:color w:val="auto"/>
              </w:rPr>
              <w:t>Year Ended December 31,</w:t>
            </w:r>
          </w:p>
        </w:tc>
        <w:tc>
          <w:tcPr>
            <w:tcW w:w="5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23"/>
        </w:trPr>
        <w:tc>
          <w:tcPr>
            <w:tcW w:w="7320" w:type="dxa"/>
            <w:vAlign w:val="bottom"/>
            <w:tcBorders>
              <w:bottom w:val="single" w:sz="8" w:color="CFF0FC"/>
            </w:tcBorders>
          </w:tcPr>
          <w:p>
            <w:pPr>
              <w:spacing w:after="0"/>
              <w:rPr>
                <w:sz w:val="19"/>
                <w:szCs w:val="19"/>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2021</w:t>
            </w:r>
          </w:p>
        </w:tc>
        <w:tc>
          <w:tcPr>
            <w:tcW w:w="600" w:type="dxa"/>
            <w:vAlign w:val="bottom"/>
            <w:tcBorders>
              <w:bottom w:val="single" w:sz="8" w:color="auto"/>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12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2020</w:t>
            </w:r>
          </w:p>
        </w:tc>
        <w:tc>
          <w:tcPr>
            <w:tcW w:w="56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r>
      <w:tr>
        <w:trPr>
          <w:trHeight w:val="223"/>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160" w:type="dxa"/>
            <w:vAlign w:val="bottom"/>
            <w:shd w:val="clear" w:color="auto" w:fill="CFF0FC"/>
          </w:tcPr>
          <w:p>
            <w:pPr>
              <w:jc w:val="right"/>
              <w:ind w:right="97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(1,625)</w:t>
            </w:r>
          </w:p>
        </w:tc>
        <w:tc>
          <w:tcPr>
            <w:tcW w:w="26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103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5,486</w:t>
            </w:r>
          </w:p>
        </w:tc>
        <w:tc>
          <w:tcPr>
            <w:tcW w:w="120" w:type="dxa"/>
            <w:vAlign w:val="bottom"/>
            <w:shd w:val="clear" w:color="auto" w:fill="CFF0FC"/>
          </w:tcPr>
          <w:p>
            <w:pPr>
              <w:spacing w:after="0"/>
              <w:rPr>
                <w:sz w:val="19"/>
                <w:szCs w:val="19"/>
                <w:color w:val="auto"/>
              </w:rPr>
            </w:pPr>
          </w:p>
        </w:tc>
      </w:tr>
      <w:tr>
        <w:trPr>
          <w:trHeight w:val="229"/>
        </w:trPr>
        <w:tc>
          <w:tcPr>
            <w:tcW w:w="7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1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w:t>
            </w:r>
          </w:p>
        </w:tc>
        <w:tc>
          <w:tcPr>
            <w:tcW w:w="260" w:type="dxa"/>
            <w:vAlign w:val="bottom"/>
            <w:tcBorders>
              <w:bottom w:val="single" w:sz="8" w:color="CFF0FC"/>
            </w:tcBorders>
          </w:tcPr>
          <w:p>
            <w:pPr>
              <w:spacing w:after="0"/>
              <w:rPr>
                <w:sz w:val="19"/>
                <w:szCs w:val="19"/>
                <w:color w:val="auto"/>
              </w:rPr>
            </w:pPr>
          </w:p>
        </w:tc>
        <w:tc>
          <w:tcPr>
            <w:tcW w:w="1220" w:type="dxa"/>
            <w:vAlign w:val="bottom"/>
            <w:tcBorders>
              <w:bottom w:val="single" w:sz="8" w:color="auto"/>
            </w:tcBorders>
          </w:tcPr>
          <w:p>
            <w:pPr>
              <w:jc w:val="right"/>
              <w:ind w:right="103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120" w:type="dxa"/>
            <w:vAlign w:val="bottom"/>
            <w:tcBorders>
              <w:bottom w:val="single" w:sz="8" w:color="CFF0FC"/>
            </w:tcBorders>
          </w:tcPr>
          <w:p>
            <w:pPr>
              <w:spacing w:after="0"/>
              <w:rPr>
                <w:sz w:val="19"/>
                <w:szCs w:val="19"/>
                <w:color w:val="auto"/>
              </w:rPr>
            </w:pPr>
          </w:p>
        </w:tc>
      </w:tr>
      <w:tr>
        <w:trPr>
          <w:trHeight w:val="223"/>
        </w:trPr>
        <w:tc>
          <w:tcPr>
            <w:tcW w:w="7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160" w:type="dxa"/>
            <w:vAlign w:val="bottom"/>
            <w:tcBorders>
              <w:bottom w:val="single" w:sz="8" w:color="auto"/>
            </w:tcBorders>
            <w:shd w:val="clear" w:color="auto" w:fill="CFF0FC"/>
          </w:tcPr>
          <w:p>
            <w:pPr>
              <w:jc w:val="right"/>
              <w:ind w:right="97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(1,348)</w:t>
            </w:r>
          </w:p>
        </w:tc>
        <w:tc>
          <w:tcPr>
            <w:tcW w:w="260" w:type="dxa"/>
            <w:vAlign w:val="bottom"/>
            <w:tcBorders>
              <w:bottom w:val="single" w:sz="8" w:color="CFF0FC"/>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ind w:right="103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5,684</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3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activity in the accrued restructuring charges during the period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89"/>
              </w:rPr>
              <w:t>Employee</w:t>
            </w:r>
          </w:p>
        </w:tc>
        <w:tc>
          <w:tcPr>
            <w:tcW w:w="180" w:type="dxa"/>
            <w:vAlign w:val="bottom"/>
          </w:tcPr>
          <w:p>
            <w:pPr>
              <w:spacing w:after="0"/>
              <w:rPr>
                <w:sz w:val="18"/>
                <w:szCs w:val="18"/>
                <w:color w:val="auto"/>
              </w:rPr>
            </w:pPr>
          </w:p>
        </w:tc>
        <w:tc>
          <w:tcPr>
            <w:tcW w:w="1560" w:type="dxa"/>
            <w:vAlign w:val="bottom"/>
            <w:gridSpan w:val="3"/>
          </w:tcPr>
          <w:p>
            <w:pPr>
              <w:jc w:val="center"/>
              <w:ind w:right="404"/>
              <w:spacing w:after="0"/>
              <w:rPr>
                <w:sz w:val="20"/>
                <w:szCs w:val="20"/>
                <w:color w:val="auto"/>
              </w:rPr>
            </w:pPr>
            <w:r>
              <w:rPr>
                <w:rFonts w:ascii="Arial" w:cs="Arial" w:eastAsia="Arial" w:hAnsi="Arial"/>
                <w:sz w:val="18"/>
                <w:szCs w:val="18"/>
                <w:b w:val="1"/>
                <w:bCs w:val="1"/>
                <w:color w:val="auto"/>
                <w:w w:val="81"/>
              </w:rPr>
              <w:t>Asset</w:t>
            </w:r>
          </w:p>
        </w:tc>
      </w:tr>
      <w:tr>
        <w:trPr>
          <w:trHeight w:val="216"/>
        </w:trPr>
        <w:tc>
          <w:tcPr>
            <w:tcW w:w="45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Total</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3"/>
          </w:tcPr>
          <w:p>
            <w:pPr>
              <w:jc w:val="center"/>
              <w:ind w:right="460"/>
              <w:spacing w:after="0"/>
              <w:rPr>
                <w:sz w:val="20"/>
                <w:szCs w:val="20"/>
                <w:color w:val="auto"/>
              </w:rPr>
            </w:pPr>
            <w:r>
              <w:rPr>
                <w:rFonts w:ascii="Arial" w:cs="Arial" w:eastAsia="Arial" w:hAnsi="Arial"/>
                <w:sz w:val="18"/>
                <w:szCs w:val="18"/>
                <w:b w:val="1"/>
                <w:bCs w:val="1"/>
                <w:color w:val="auto"/>
                <w:w w:val="86"/>
              </w:rPr>
              <w:t>Severance</w:t>
            </w:r>
          </w:p>
        </w:tc>
        <w:tc>
          <w:tcPr>
            <w:tcW w:w="180" w:type="dxa"/>
            <w:vAlign w:val="bottom"/>
          </w:tcPr>
          <w:p>
            <w:pPr>
              <w:spacing w:after="0"/>
              <w:rPr>
                <w:sz w:val="18"/>
                <w:szCs w:val="18"/>
                <w:color w:val="auto"/>
              </w:rPr>
            </w:pPr>
          </w:p>
        </w:tc>
        <w:tc>
          <w:tcPr>
            <w:tcW w:w="1560" w:type="dxa"/>
            <w:vAlign w:val="bottom"/>
            <w:gridSpan w:val="3"/>
          </w:tcPr>
          <w:p>
            <w:pPr>
              <w:jc w:val="center"/>
              <w:ind w:right="404"/>
              <w:spacing w:after="0"/>
              <w:rPr>
                <w:sz w:val="20"/>
                <w:szCs w:val="20"/>
                <w:color w:val="auto"/>
              </w:rPr>
            </w:pPr>
            <w:r>
              <w:rPr>
                <w:rFonts w:ascii="Arial" w:cs="Arial" w:eastAsia="Arial" w:hAnsi="Arial"/>
                <w:sz w:val="18"/>
                <w:szCs w:val="18"/>
                <w:b w:val="1"/>
                <w:bCs w:val="1"/>
                <w:color w:val="auto"/>
                <w:w w:val="94"/>
              </w:rPr>
              <w:t>Impairment</w:t>
            </w:r>
          </w:p>
        </w:tc>
      </w:tr>
      <w:tr>
        <w:trPr>
          <w:trHeight w:val="216"/>
        </w:trPr>
        <w:tc>
          <w:tcPr>
            <w:tcW w:w="45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Restructuring</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90"/>
              </w:rPr>
              <w:t>and Related</w:t>
            </w:r>
          </w:p>
        </w:tc>
        <w:tc>
          <w:tcPr>
            <w:tcW w:w="180" w:type="dxa"/>
            <w:vAlign w:val="bottom"/>
          </w:tcPr>
          <w:p>
            <w:pPr>
              <w:spacing w:after="0"/>
              <w:rPr>
                <w:sz w:val="18"/>
                <w:szCs w:val="18"/>
                <w:color w:val="auto"/>
              </w:rPr>
            </w:pPr>
          </w:p>
        </w:tc>
        <w:tc>
          <w:tcPr>
            <w:tcW w:w="1560" w:type="dxa"/>
            <w:vAlign w:val="bottom"/>
            <w:gridSpan w:val="3"/>
          </w:tcPr>
          <w:p>
            <w:pPr>
              <w:jc w:val="center"/>
              <w:ind w:right="404"/>
              <w:spacing w:after="0"/>
              <w:rPr>
                <w:sz w:val="20"/>
                <w:szCs w:val="20"/>
                <w:color w:val="auto"/>
              </w:rPr>
            </w:pPr>
            <w:r>
              <w:rPr>
                <w:rFonts w:ascii="Arial" w:cs="Arial" w:eastAsia="Arial" w:hAnsi="Arial"/>
                <w:sz w:val="18"/>
                <w:szCs w:val="18"/>
                <w:b w:val="1"/>
                <w:bCs w:val="1"/>
                <w:color w:val="auto"/>
                <w:w w:val="94"/>
              </w:rPr>
              <w:t>and Other</w:t>
            </w:r>
          </w:p>
        </w:tc>
      </w:tr>
      <w:tr>
        <w:trPr>
          <w:trHeight w:val="234"/>
        </w:trPr>
        <w:tc>
          <w:tcPr>
            <w:tcW w:w="45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4"/>
              </w:rPr>
              <w:t>Cost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gridSpan w:val="3"/>
          </w:tcPr>
          <w:p>
            <w:pPr>
              <w:jc w:val="center"/>
              <w:ind w:right="460"/>
              <w:spacing w:after="0"/>
              <w:rPr>
                <w:sz w:val="20"/>
                <w:szCs w:val="20"/>
                <w:color w:val="auto"/>
              </w:rPr>
            </w:pPr>
            <w:r>
              <w:rPr>
                <w:rFonts w:ascii="Arial" w:cs="Arial" w:eastAsia="Arial" w:hAnsi="Arial"/>
                <w:sz w:val="18"/>
                <w:szCs w:val="18"/>
                <w:b w:val="1"/>
                <w:bCs w:val="1"/>
                <w:color w:val="auto"/>
                <w:w w:val="87"/>
              </w:rPr>
              <w:t>Benefits</w:t>
            </w:r>
          </w:p>
        </w:tc>
        <w:tc>
          <w:tcPr>
            <w:tcW w:w="180" w:type="dxa"/>
            <w:vAlign w:val="bottom"/>
          </w:tcPr>
          <w:p>
            <w:pPr>
              <w:spacing w:after="0"/>
              <w:rPr>
                <w:sz w:val="20"/>
                <w:szCs w:val="20"/>
                <w:color w:val="auto"/>
              </w:rPr>
            </w:pPr>
          </w:p>
        </w:tc>
        <w:tc>
          <w:tcPr>
            <w:tcW w:w="1560" w:type="dxa"/>
            <w:vAlign w:val="bottom"/>
            <w:gridSpan w:val="3"/>
          </w:tcPr>
          <w:p>
            <w:pPr>
              <w:jc w:val="center"/>
              <w:ind w:right="384"/>
              <w:spacing w:after="0"/>
              <w:rPr>
                <w:sz w:val="20"/>
                <w:szCs w:val="20"/>
                <w:color w:val="auto"/>
              </w:rPr>
            </w:pPr>
            <w:r>
              <w:rPr>
                <w:rFonts w:ascii="Arial" w:cs="Arial" w:eastAsia="Arial" w:hAnsi="Arial"/>
                <w:sz w:val="18"/>
                <w:szCs w:val="18"/>
                <w:b w:val="1"/>
                <w:bCs w:val="1"/>
                <w:color w:val="auto"/>
                <w:w w:val="83"/>
              </w:rPr>
              <w:t>Costs</w:t>
            </w:r>
          </w:p>
        </w:tc>
      </w:tr>
      <w:tr>
        <w:trPr>
          <w:trHeight w:val="223"/>
        </w:trPr>
        <w:tc>
          <w:tcPr>
            <w:tcW w:w="4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Accrued balance as of December 31, 2019</w:t>
            </w:r>
          </w:p>
        </w:tc>
        <w:tc>
          <w:tcPr>
            <w:tcW w:w="15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2,094</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2,094</w:t>
            </w: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EF1FE"/>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EF1FE"/>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EF1FE"/>
            </w:tcBorders>
            <w:shd w:val="clear" w:color="auto" w:fill="CEF1FE"/>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4560" w:type="dxa"/>
            <w:vAlign w:val="bottom"/>
          </w:tcPr>
          <w:p>
            <w:pPr>
              <w:ind w:left="260"/>
              <w:spacing w:after="0"/>
              <w:rPr>
                <w:sz w:val="20"/>
                <w:szCs w:val="20"/>
                <w:color w:val="auto"/>
              </w:rPr>
            </w:pPr>
            <w:r>
              <w:rPr>
                <w:rFonts w:ascii="Arial" w:cs="Arial" w:eastAsia="Arial" w:hAnsi="Arial"/>
                <w:sz w:val="18"/>
                <w:szCs w:val="18"/>
                <w:color w:val="auto"/>
              </w:rPr>
              <w:t>Costs incurred</w:t>
            </w:r>
          </w:p>
        </w:tc>
        <w:tc>
          <w:tcPr>
            <w:tcW w:w="1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3,843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3,843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r>
      <w:tr>
        <w:trPr>
          <w:trHeight w:val="229"/>
        </w:trPr>
        <w:tc>
          <w:tcPr>
            <w:tcW w:w="4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Reductions for cash payments</w:t>
            </w:r>
          </w:p>
        </w:tc>
        <w:tc>
          <w:tcPr>
            <w:tcW w:w="15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(1,773)</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(1,773)</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r>
      <w:tr>
        <w:trPr>
          <w:trHeight w:val="223"/>
        </w:trPr>
        <w:tc>
          <w:tcPr>
            <w:tcW w:w="4560" w:type="dxa"/>
            <w:vAlign w:val="bottom"/>
          </w:tcPr>
          <w:p>
            <w:pPr>
              <w:spacing w:after="0"/>
              <w:rPr>
                <w:sz w:val="20"/>
                <w:szCs w:val="20"/>
                <w:color w:val="auto"/>
              </w:rPr>
            </w:pPr>
            <w:r>
              <w:rPr>
                <w:rFonts w:ascii="Arial" w:cs="Arial" w:eastAsia="Arial" w:hAnsi="Arial"/>
                <w:sz w:val="18"/>
                <w:szCs w:val="18"/>
                <w:color w:val="auto"/>
              </w:rPr>
              <w:t>Accrued balance as of December 31, 2020</w:t>
            </w:r>
          </w:p>
        </w:tc>
        <w:tc>
          <w:tcPr>
            <w:tcW w:w="15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4,164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4,164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spacing w:after="0"/>
              <w:rPr>
                <w:sz w:val="19"/>
                <w:szCs w:val="19"/>
                <w:color w:val="auto"/>
              </w:rPr>
            </w:pPr>
          </w:p>
        </w:tc>
      </w:tr>
      <w:tr>
        <w:trPr>
          <w:trHeight w:val="230"/>
        </w:trPr>
        <w:tc>
          <w:tcPr>
            <w:tcW w:w="4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Costs incurred</w:t>
            </w:r>
          </w:p>
        </w:tc>
        <w:tc>
          <w:tcPr>
            <w:tcW w:w="15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1,611</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60" w:type="dxa"/>
            <w:vAlign w:val="bottom"/>
            <w:gridSpan w:val="3"/>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1,611</w:t>
            </w:r>
          </w:p>
        </w:tc>
        <w:tc>
          <w:tcPr>
            <w:tcW w:w="120" w:type="dxa"/>
            <w:vAlign w:val="bottom"/>
            <w:shd w:val="clear" w:color="auto" w:fill="CFF0FC"/>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4560" w:type="dxa"/>
            <w:vAlign w:val="bottom"/>
          </w:tcPr>
          <w:p>
            <w:pPr>
              <w:ind w:left="260"/>
              <w:spacing w:after="0"/>
              <w:rPr>
                <w:sz w:val="20"/>
                <w:szCs w:val="20"/>
                <w:color w:val="auto"/>
              </w:rPr>
            </w:pPr>
            <w:r>
              <w:rPr>
                <w:rFonts w:ascii="Arial" w:cs="Arial" w:eastAsia="Arial" w:hAnsi="Arial"/>
                <w:sz w:val="18"/>
                <w:szCs w:val="18"/>
                <w:color w:val="auto"/>
              </w:rPr>
              <w:t>Reductions for cash payments</w:t>
            </w:r>
          </w:p>
        </w:tc>
        <w:tc>
          <w:tcPr>
            <w:tcW w:w="1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(5,775)</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(4,164)</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(1,611)</w:t>
            </w:r>
          </w:p>
        </w:tc>
        <w:tc>
          <w:tcPr>
            <w:tcW w:w="180" w:type="dxa"/>
            <w:vAlign w:val="bottom"/>
          </w:tcPr>
          <w:p>
            <w:pPr>
              <w:jc w:val="right"/>
              <w:spacing w:after="0"/>
              <w:rPr>
                <w:sz w:val="20"/>
                <w:szCs w:val="20"/>
                <w:color w:val="auto"/>
              </w:rPr>
            </w:pPr>
            <w:r>
              <w:rPr>
                <w:rFonts w:ascii="Arial" w:cs="Arial" w:eastAsia="Arial" w:hAnsi="Arial"/>
                <w:sz w:val="15"/>
                <w:szCs w:val="15"/>
                <w:color w:val="auto"/>
                <w:w w:val="87"/>
              </w:rPr>
              <w:t>(1)</w:t>
            </w:r>
          </w:p>
        </w:tc>
      </w:tr>
      <w:tr>
        <w:trPr>
          <w:trHeight w:val="223"/>
        </w:trPr>
        <w:tc>
          <w:tcPr>
            <w:tcW w:w="45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Accrued balance as of December 31, 2021</w:t>
            </w:r>
          </w:p>
        </w:tc>
        <w:tc>
          <w:tcPr>
            <w:tcW w:w="15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EF1FE"/>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EF1FE"/>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EF1FE"/>
              <w:bottom w:val="single" w:sz="8" w:color="CEF1FE"/>
            </w:tcBorders>
            <w:shd w:val="clear" w:color="auto" w:fill="CEF1FE"/>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EF1FE"/>
          </w:tcPr>
          <w:p>
            <w:pPr>
              <w:jc w:val="right"/>
              <w:ind w:right="7"/>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CEF1FE"/>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EF1FE"/>
              <w:bottom w:val="single" w:sz="8" w:color="CEF1FE"/>
            </w:tcBorders>
            <w:shd w:val="clear" w:color="auto" w:fill="CEF1FE"/>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EF1FE"/>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EF1FE"/>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EF1FE"/>
              <w:bottom w:val="single" w:sz="8" w:color="CEF1FE"/>
            </w:tcBorders>
            <w:shd w:val="clear" w:color="auto" w:fill="CEF1FE"/>
          </w:tcPr>
          <w:p>
            <w:pPr>
              <w:spacing w:after="0"/>
              <w:rPr>
                <w:sz w:val="19"/>
                <w:szCs w:val="19"/>
                <w:color w:val="auto"/>
              </w:rPr>
            </w:pPr>
          </w:p>
        </w:tc>
        <w:tc>
          <w:tcPr>
            <w:tcW w:w="180" w:type="dxa"/>
            <w:vAlign w:val="bottom"/>
          </w:tcPr>
          <w:p>
            <w:pPr>
              <w:spacing w:after="0"/>
              <w:rPr>
                <w:sz w:val="19"/>
                <w:szCs w:val="19"/>
                <w:color w:val="auto"/>
              </w:rPr>
            </w:pPr>
          </w:p>
        </w:tc>
      </w:tr>
      <w:tr>
        <w:trPr>
          <w:trHeight w:val="20"/>
        </w:trPr>
        <w:tc>
          <w:tcPr>
            <w:tcW w:w="45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15" w:lineRule="exact"/>
        <w:rPr>
          <w:sz w:val="20"/>
          <w:szCs w:val="20"/>
          <w:color w:val="auto"/>
        </w:rPr>
      </w:pPr>
    </w:p>
    <w:p>
      <w:pPr>
        <w:ind w:left="440" w:hanging="432"/>
        <w:spacing w:after="0"/>
        <w:tabs>
          <w:tab w:leader="none" w:pos="440" w:val="left"/>
        </w:tabs>
        <w:numPr>
          <w:ilvl w:val="0"/>
          <w:numId w:val="36"/>
        </w:numPr>
        <w:rPr>
          <w:rFonts w:ascii="Arial" w:cs="Arial" w:eastAsia="Arial" w:hAnsi="Arial"/>
          <w:sz w:val="15"/>
          <w:szCs w:val="15"/>
          <w:color w:val="auto"/>
        </w:rPr>
      </w:pPr>
      <w:r>
        <w:rPr>
          <w:rFonts w:ascii="Arial" w:cs="Arial" w:eastAsia="Arial" w:hAnsi="Arial"/>
          <w:sz w:val="18"/>
          <w:szCs w:val="18"/>
          <w:color w:val="auto"/>
        </w:rPr>
        <w:t>Cash payments are presented net of proceeds received from the sale of assets of $0.9 million.</w:t>
      </w:r>
    </w:p>
    <w:p>
      <w:pPr>
        <w:spacing w:after="0" w:line="23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asset impairment and other costs includes $1.4 million for the remaining payment obligations of leased equipment the Company purchased and sold to third parties.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i w:val="1"/>
          <w:iCs w:val="1"/>
          <w:color w:val="auto"/>
        </w:rPr>
        <w:t>Microbiome Purchase Agreement</w:t>
      </w:r>
    </w:p>
    <w:p>
      <w:pPr>
        <w:spacing w:after="0" w:line="23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December 2021, the Company entered into an asset purchase agreement (the Microbiome Purchase Agreement) with a third party pursuant to which the Company sold know-how, patents, materials and regulatory filings for the Company’s Microbiome program. The sale included ABI-M201 (M201), which had been the Company’s lead candidate in its Microbiome program. As consideration for the sale, the Company was entitled to receive $3.0 million, of which $1.5 million was received in December 2021 and the remaining $1.5 million was received in February 2022. The Company is also entitled to receive a $10.0 million milestone payment upon the achievement of a regulatory approval milestone as defined in the purchase agreement.</w:t>
      </w:r>
    </w:p>
    <w:p>
      <w:pPr>
        <w:spacing w:after="0" w:line="17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Microbiome Purchase Agreement is within the scope of gains and losses from the derecognition of nonfinancial assets guidance since the Company had previously wound-down the Microbiome program, M201 was no longer a part of the Company’s ongoing major or central operations. The Company determined all assets sold under the Microbiome Purchase Agreement represent one distinct nonfinancial asset as individually, they do not have standalone value. The transaction price at the inception of the agreement was limited to the $3.0 million upfront payments. The variable consideration relating to the $10.0 million milestone has not been included in the transaction price as it was fully constrained as of December 31, 2021. As part of the Company’s evaluation of the development milestone constraint, it determined the achievement of the milestone is contingent upon success in future clinical studies and regulatory approvals which are not within its control and uncertain at this stage. The assets sold had no carrying value and the full $3.0 million transaction price resulted in the recognition of a gain. The Company determined the transfer of control of the assets sold was completed in December 2021. The $3.0 million gain is included as a reduction of research and development expenses in the Company’s consolidated statements of operations and comprehensive loss. The $1.5 million due as of December 31, 2021 is included in prepaid expenses and other current assets on the Company’s consolidated balance sheet.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Stockholders’ Equity</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is authorized to issue 5,000,000 shares of preferred stock as of December 31, 2021 and 2020. As of December 31, 2021 and 2020, no shares of preferred stock were issued and outstanding. The Company is authorized to issue 100,000,000 shares of common stock as of December 31, 2021 and 2020.</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Common Stock</w:t>
      </w:r>
    </w:p>
    <w:p>
      <w:pPr>
        <w:spacing w:after="0" w:line="18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August 2020, the Company filed a shelf registration statement on Form S-3 with the SEC, File No. 333-248469, that became effective on September 4, 2020 (the 2020 Registration Statement). The Company may from time to time sell any combination of the securities described in the 2020 Registration Statement in one or more offerings up to an aggregate offering price of $300.0 million. In connection with the filing of the 2020 Registration Statement, the Company entered into a sales agreement under which the Company may offer and sell shares of its common stock having an aggregate offering price of up to $100.0 million through “at-the-market” offerings (2020 ATM), which shares are included in the $300.0 million of securities registered pursuant to the 2020 Registration Statement. During the year ended December 31, 2020, the Company issued and sold 892,840 shares of common stock under the 2020 ATM, for which the Company received net proceeds of $5.5 million, after deducting commissions, fees and expenses. During the year ended December 31, 2021, the Company issued and sold 11,234,207 shares of common stock under the 2020 ATM, for which the Company received net proceeds of $52.8 million, after deducting commissions, fees and expenses.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Warrants</w:t>
      </w:r>
    </w:p>
    <w:p>
      <w:pPr>
        <w:spacing w:after="0" w:line="20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December 2019, the Company sold to various investors an aggregate of 6,287,878 shares of common stock at a public offering price of $16.50 per share, which included the exercise in full by the underwriters of their option to purchase 1,136,363 shares of common stock, and pre-funded warrants to purchase 2,424,242 shares of common stock at a public offering price of $16.499. The Company received aggregate net proceeds of $134.7 million from the offering and the option exercise, after deducting underwriting discounts and commissions and offering expenses payable by the Company. The pre-funded warrants became immediately exercisable upon issuance at an exercise price of $0.001 per share, but under their terms, the outstanding pre-funded warrants to purchase shares of the Company’s common stock generally may not be exercised if the holder’s ownership of the Company’s common stock would exceed 19.99% following such exercise. The exercise price and number of shares of common stock issuable upon the exercise of the pre-funded warrants (Warrant Shares) are subject to adjustment in the event of any stock dividends and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83" w:name="page84"/>
    <w:bookmarkEnd w:id="83"/>
    <w:p>
      <w:pPr>
        <w:jc w:val="both"/>
        <w:spacing w:after="0" w:line="263" w:lineRule="auto"/>
        <w:rPr>
          <w:sz w:val="20"/>
          <w:szCs w:val="20"/>
          <w:color w:val="auto"/>
        </w:rPr>
      </w:pPr>
      <w:r>
        <w:rPr>
          <w:rFonts w:ascii="Arial" w:cs="Arial" w:eastAsia="Arial" w:hAnsi="Arial"/>
          <w:sz w:val="18"/>
          <w:szCs w:val="18"/>
          <w:color w:val="auto"/>
        </w:rPr>
        <w:t>splits, reverse stock split, recapitalization, reorganization or similar transaction, as described in the pre-funded warrant agreements. Under certain circumstances, the pre-funded warrants may be exercisable on a “cashless” basis. Both the pre-funded warrants and the Warrant Shares are registered securities.</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pre-funded warrants were classified as a component of permanent stockholders’ equity within additional paid-in-capital and were recorded at the issuance date using a relative fair value allocation method. The Company valued the pre-funded warrants at issuance, concluding their sales price approximated their fair value, and allocated net proceeds from the sale proportionately to the common stock and pre-funded warrants of which $37.5 million allocated to the pre-funded warrants and recorded as a component of additional paid-in-capital.</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warrants to purchase shares of the Company’s common stock were issued and outstanding:</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gridSpan w:val="2"/>
            <w:vMerge w:val="restart"/>
          </w:tcPr>
          <w:p>
            <w:pPr>
              <w:ind w:left="740"/>
              <w:spacing w:after="0"/>
              <w:rPr>
                <w:sz w:val="20"/>
                <w:szCs w:val="20"/>
                <w:color w:val="auto"/>
              </w:rPr>
            </w:pPr>
            <w:r>
              <w:rPr>
                <w:rFonts w:ascii="Arial" w:cs="Arial" w:eastAsia="Arial" w:hAnsi="Arial"/>
                <w:sz w:val="14"/>
                <w:szCs w:val="14"/>
                <w:b w:val="1"/>
                <w:bCs w:val="1"/>
                <w:color w:val="auto"/>
              </w:rPr>
              <w:t>Issue date</w:t>
            </w:r>
          </w:p>
        </w:tc>
        <w:tc>
          <w:tcPr>
            <w:tcW w:w="2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Expiration</w:t>
            </w:r>
          </w:p>
        </w:tc>
        <w:tc>
          <w:tcPr>
            <w:tcW w:w="320" w:type="dxa"/>
            <w:vAlign w:val="bottom"/>
          </w:tcPr>
          <w:p>
            <w:pPr>
              <w:spacing w:after="0"/>
              <w:rPr>
                <w:sz w:val="14"/>
                <w:szCs w:val="14"/>
                <w:color w:val="auto"/>
              </w:rPr>
            </w:pPr>
          </w:p>
        </w:tc>
        <w:tc>
          <w:tcPr>
            <w:tcW w:w="196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1"/>
              </w:rPr>
              <w:t>Exercise Price</w:t>
            </w:r>
          </w:p>
        </w:tc>
        <w:tc>
          <w:tcPr>
            <w:tcW w:w="22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As of December 31, 2021</w:t>
            </w:r>
          </w:p>
        </w:tc>
        <w:tc>
          <w:tcPr>
            <w:tcW w:w="21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As of December 31, 2020</w:t>
            </w:r>
          </w:p>
        </w:tc>
        <w:tc>
          <w:tcPr>
            <w:tcW w:w="0" w:type="dxa"/>
            <w:vAlign w:val="bottom"/>
          </w:tcPr>
          <w:p>
            <w:pPr>
              <w:spacing w:after="0"/>
              <w:rPr>
                <w:sz w:val="1"/>
                <w:szCs w:val="1"/>
                <w:color w:val="auto"/>
              </w:rPr>
            </w:pPr>
          </w:p>
        </w:tc>
      </w:tr>
      <w:tr>
        <w:trPr>
          <w:trHeight w:val="171"/>
        </w:trPr>
        <w:tc>
          <w:tcPr>
            <w:tcW w:w="2280" w:type="dxa"/>
            <w:vAlign w:val="bottom"/>
            <w:gridSpan w:val="2"/>
            <w:vMerge w:val="continue"/>
          </w:tcPr>
          <w:p>
            <w:pPr>
              <w:spacing w:after="0"/>
              <w:rPr>
                <w:sz w:val="14"/>
                <w:szCs w:val="14"/>
                <w:color w:val="auto"/>
              </w:rPr>
            </w:pPr>
          </w:p>
        </w:tc>
        <w:tc>
          <w:tcPr>
            <w:tcW w:w="2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date</w:t>
            </w:r>
          </w:p>
        </w:tc>
        <w:tc>
          <w:tcPr>
            <w:tcW w:w="320" w:type="dxa"/>
            <w:vAlign w:val="bottom"/>
          </w:tcPr>
          <w:p>
            <w:pPr>
              <w:spacing w:after="0"/>
              <w:rPr>
                <w:sz w:val="14"/>
                <w:szCs w:val="14"/>
                <w:color w:val="auto"/>
              </w:rPr>
            </w:pPr>
          </w:p>
        </w:tc>
        <w:tc>
          <w:tcPr>
            <w:tcW w:w="196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2"/>
              </w:rPr>
              <w:t>per Share</w:t>
            </w:r>
          </w:p>
        </w:tc>
        <w:tc>
          <w:tcPr>
            <w:tcW w:w="2280" w:type="dxa"/>
            <w:vAlign w:val="bottom"/>
            <w:gridSpan w:val="2"/>
            <w:vMerge w:val="continue"/>
          </w:tcPr>
          <w:p>
            <w:pPr>
              <w:spacing w:after="0"/>
              <w:rPr>
                <w:sz w:val="14"/>
                <w:szCs w:val="14"/>
                <w:color w:val="auto"/>
              </w:rPr>
            </w:pPr>
          </w:p>
        </w:tc>
        <w:tc>
          <w:tcPr>
            <w:tcW w:w="21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December 16, 2019</w:t>
            </w:r>
          </w:p>
        </w:tc>
        <w:tc>
          <w:tcPr>
            <w:tcW w:w="180" w:type="dxa"/>
            <w:vAlign w:val="bottom"/>
            <w:tcBorders>
              <w:top w:val="single" w:sz="8" w:color="CFF0FC"/>
            </w:tcBorders>
            <w:shd w:val="clear" w:color="auto" w:fill="CFF0FC"/>
          </w:tcPr>
          <w:p>
            <w:pPr>
              <w:spacing w:after="0"/>
              <w:rPr>
                <w:sz w:val="19"/>
                <w:szCs w:val="19"/>
                <w:color w:val="auto"/>
              </w:rPr>
            </w:pPr>
          </w:p>
        </w:tc>
        <w:tc>
          <w:tcPr>
            <w:tcW w:w="21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8"/>
              </w:rPr>
              <w:t>None</w:t>
            </w:r>
          </w:p>
        </w:tc>
        <w:tc>
          <w:tcPr>
            <w:tcW w:w="2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0.001</w:t>
            </w:r>
          </w:p>
        </w:tc>
        <w:tc>
          <w:tcPr>
            <w:tcW w:w="300" w:type="dxa"/>
            <w:vAlign w:val="bottom"/>
            <w:tcBorders>
              <w:top w:val="single" w:sz="8" w:color="CFF0FC"/>
            </w:tcBorders>
            <w:shd w:val="clear" w:color="auto" w:fill="CFF0FC"/>
          </w:tcPr>
          <w:p>
            <w:pPr>
              <w:spacing w:after="0"/>
              <w:rPr>
                <w:sz w:val="19"/>
                <w:szCs w:val="19"/>
                <w:color w:val="auto"/>
              </w:rPr>
            </w:pPr>
          </w:p>
        </w:tc>
        <w:tc>
          <w:tcPr>
            <w:tcW w:w="1980" w:type="dxa"/>
            <w:vAlign w:val="bottom"/>
            <w:tcBorders>
              <w:top w:val="single" w:sz="8" w:color="auto"/>
            </w:tcBorders>
            <w:shd w:val="clear" w:color="auto" w:fill="CFF0FC"/>
          </w:tcPr>
          <w:p>
            <w:pPr>
              <w:ind w:left="1780"/>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CFF0FC"/>
            </w:tcBorders>
            <w:shd w:val="clear" w:color="auto" w:fill="CFF0FC"/>
          </w:tcPr>
          <w:p>
            <w:pPr>
              <w:spacing w:after="0"/>
              <w:rPr>
                <w:sz w:val="19"/>
                <w:szCs w:val="19"/>
                <w:color w:val="auto"/>
              </w:rPr>
            </w:pPr>
          </w:p>
        </w:tc>
        <w:tc>
          <w:tcPr>
            <w:tcW w:w="1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2,424,242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year ended December 31, 2021, there were 2,424,242 pre-funded warrants exercised through a cashless exercise, resulting in the issuance of 2,423,634 shares of the Company’s common stock. There were no pre-funded warrants exercised during the year ended December 31, 2020. During the year ended December 31, 2020, 15,296 warrants to purchase common stock expired unexercised.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Stock-Based Compensation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Plans</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June 2020, the Company’s stockholders approved an amendment to the Assembly Biosciences, Inc. 2018 Stock Incentive Plan (the 2018 Plan) that increased the aggregate number of shares of common stock reserved under the 2018 Plan to 4,600,000.</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May 2021, the Company’s stockholders approved an amendment to the 2018 Plan that increased the aggregate number of shares of common stock reserved under the 2018 Plan to 6,600,000 and the Assembly Biosciences, Inc. Employee Stock Purchase Plan (the 2018 ESPP) that, among other things, increased the number of shares of common stock reserved to an aggregate of 1,300,000.</w:t>
      </w:r>
    </w:p>
    <w:p>
      <w:pPr>
        <w:spacing w:after="0" w:line="15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of December 31, 2021, the Company had awards outstanding under the following shareholder approved plans: 2010 Equity Incentive Plan (the 2010 Plan), which has been frozen; the Amended and Restated 2014 Stock Incentive Plan (the 2014 Plan); and the 2018 Plan. Shares of common stock underlying awards that are forfeited under the 2010 Plan on or after June 2, 2016 will become available for issuance under the 2014 Plan. As of December 31, 2021, the Company also had awards outstanding under the Assembly Biosciences, Inc. 2017 Inducement Award Plan (the 2017 Plan), the 2019 Inducement Award Plan (the 2019 Plan) and the Assembly Biosciences, Inc. 2020 Inducement Award Plan (the 2020 Plan).</w:t>
      </w:r>
    </w:p>
    <w:p>
      <w:pPr>
        <w:spacing w:after="0" w:line="13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issues new shares of common stock to settle options exercised or vested RSUs. The Company also issues new shares of common stock in connection with purchases of shares of common stock by eligible employees under the Company’s 2018 ESPP.</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color w:val="auto"/>
        </w:rPr>
        <w:t>Stock Plan Activity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stock option activity and related information for 2021:</w:t>
      </w:r>
    </w:p>
    <w:p>
      <w:pPr>
        <w:spacing w:after="0" w:line="23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gridSpan w:val="2"/>
            <w:vMerge w:val="restart"/>
          </w:tcPr>
          <w:p>
            <w:pPr>
              <w:jc w:val="center"/>
              <w:ind w:right="780"/>
              <w:spacing w:after="0"/>
              <w:rPr>
                <w:sz w:val="20"/>
                <w:szCs w:val="20"/>
                <w:color w:val="auto"/>
              </w:rPr>
            </w:pPr>
            <w:r>
              <w:rPr>
                <w:rFonts w:ascii="Arial" w:cs="Arial" w:eastAsia="Arial" w:hAnsi="Arial"/>
                <w:sz w:val="14"/>
                <w:szCs w:val="14"/>
                <w:b w:val="1"/>
                <w:bCs w:val="1"/>
                <w:color w:val="auto"/>
                <w:w w:val="91"/>
              </w:rPr>
              <w:t>Weighted</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0"/>
              </w:rPr>
              <w:t>Average</w:t>
            </w: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34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6"/>
              </w:rPr>
              <w:t>Exercise</w:t>
            </w: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3"/>
              </w:rPr>
              <w:t>Price</w:t>
            </w: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Term</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Value (in</w:t>
            </w:r>
          </w:p>
        </w:tc>
        <w:tc>
          <w:tcPr>
            <w:tcW w:w="0" w:type="dxa"/>
            <w:vAlign w:val="bottom"/>
          </w:tcPr>
          <w:p>
            <w:pPr>
              <w:spacing w:after="0"/>
              <w:rPr>
                <w:sz w:val="1"/>
                <w:szCs w:val="1"/>
                <w:color w:val="auto"/>
              </w:rPr>
            </w:pPr>
          </w:p>
        </w:tc>
      </w:tr>
      <w:tr>
        <w:trPr>
          <w:trHeight w:val="171"/>
        </w:trPr>
        <w:tc>
          <w:tcPr>
            <w:tcW w:w="5200" w:type="dxa"/>
            <w:vAlign w:val="bottom"/>
          </w:tcPr>
          <w:p>
            <w:pPr>
              <w:spacing w:after="0"/>
              <w:rPr>
                <w:sz w:val="14"/>
                <w:szCs w:val="14"/>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of Shares</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94"/>
              </w:rPr>
              <w:t>Per Share</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2"/>
              </w:rPr>
              <w:t>(Years)</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thousands)</w:t>
            </w:r>
          </w:p>
        </w:tc>
        <w:tc>
          <w:tcPr>
            <w:tcW w:w="0" w:type="dxa"/>
            <w:vAlign w:val="bottom"/>
          </w:tcPr>
          <w:p>
            <w:pPr>
              <w:spacing w:after="0"/>
              <w:rPr>
                <w:sz w:val="1"/>
                <w:szCs w:val="1"/>
                <w:color w:val="auto"/>
              </w:rPr>
            </w:pPr>
          </w:p>
        </w:tc>
      </w:tr>
      <w:tr>
        <w:trPr>
          <w:trHeight w:val="223"/>
        </w:trPr>
        <w:tc>
          <w:tcPr>
            <w:tcW w:w="5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as of December 31, 2020</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6,696,592</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15.70</w:t>
            </w:r>
          </w:p>
        </w:tc>
        <w:tc>
          <w:tcPr>
            <w:tcW w:w="560" w:type="dxa"/>
            <w:vAlign w:val="bottom"/>
            <w:tcBorders>
              <w:top w:val="single" w:sz="8" w:color="CFF0FC"/>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spacing w:after="0"/>
              <w:rPr>
                <w:sz w:val="20"/>
                <w:szCs w:val="20"/>
                <w:color w:val="auto"/>
              </w:rPr>
            </w:pPr>
            <w:r>
              <w:rPr>
                <w:rFonts w:ascii="Arial" w:cs="Arial" w:eastAsia="Arial" w:hAnsi="Arial"/>
                <w:sz w:val="18"/>
                <w:szCs w:val="18"/>
                <w:color w:val="auto"/>
              </w:rPr>
              <w:t>Granted</w:t>
            </w:r>
          </w:p>
        </w:tc>
        <w:tc>
          <w:tcPr>
            <w:tcW w:w="1200" w:type="dxa"/>
            <w:vAlign w:val="bottom"/>
          </w:tcPr>
          <w:p>
            <w:pPr>
              <w:jc w:val="right"/>
              <w:spacing w:after="0"/>
              <w:rPr>
                <w:sz w:val="20"/>
                <w:szCs w:val="20"/>
                <w:color w:val="auto"/>
              </w:rPr>
            </w:pPr>
            <w:r>
              <w:rPr>
                <w:rFonts w:ascii="Arial" w:cs="Arial" w:eastAsia="Arial" w:hAnsi="Arial"/>
                <w:sz w:val="18"/>
                <w:szCs w:val="18"/>
                <w:color w:val="auto"/>
              </w:rPr>
              <w:t>1,521,370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4.24</w:t>
            </w:r>
          </w:p>
        </w:tc>
        <w:tc>
          <w:tcPr>
            <w:tcW w:w="5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Forfeited</w:t>
            </w: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(2,046,861)</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18.93</w:t>
            </w:r>
          </w:p>
        </w:tc>
        <w:tc>
          <w:tcPr>
            <w:tcW w:w="5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spacing w:after="0"/>
              <w:rPr>
                <w:sz w:val="20"/>
                <w:szCs w:val="20"/>
                <w:color w:val="auto"/>
              </w:rPr>
            </w:pPr>
            <w:r>
              <w:rPr>
                <w:rFonts w:ascii="Arial" w:cs="Arial" w:eastAsia="Arial" w:hAnsi="Arial"/>
                <w:sz w:val="18"/>
                <w:szCs w:val="18"/>
                <w:color w:val="auto"/>
              </w:rPr>
              <w:t>Expired</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(9,200)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30.00</w:t>
            </w:r>
          </w:p>
        </w:tc>
        <w:tc>
          <w:tcPr>
            <w:tcW w:w="5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as of December 31, 2021</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6,161,901</w:t>
            </w:r>
          </w:p>
        </w:tc>
        <w:tc>
          <w:tcPr>
            <w:tcW w:w="1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CFF0FC"/>
            </w:tcBorders>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11.77</w:t>
            </w:r>
          </w:p>
        </w:tc>
        <w:tc>
          <w:tcPr>
            <w:tcW w:w="560" w:type="dxa"/>
            <w:vAlign w:val="bottom"/>
            <w:tcBorders>
              <w:top w:val="single" w:sz="8" w:color="CFF0FC"/>
            </w:tcBorders>
            <w:shd w:val="clear" w:color="auto" w:fill="CFF0FC"/>
          </w:tcPr>
          <w:p>
            <w:pPr>
              <w:spacing w:after="0"/>
              <w:rPr>
                <w:sz w:val="19"/>
                <w:szCs w:val="19"/>
                <w:color w:val="auto"/>
              </w:rPr>
            </w:pPr>
          </w:p>
        </w:tc>
        <w:tc>
          <w:tcPr>
            <w:tcW w:w="12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400" w:type="dxa"/>
            <w:vAlign w:val="bottom"/>
            <w:tcBorders>
              <w:top w:val="single" w:sz="8" w:color="CFF0FC"/>
            </w:tcBorders>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Pr>
          <w:p>
            <w:pPr>
              <w:spacing w:after="0"/>
              <w:rPr>
                <w:sz w:val="20"/>
                <w:szCs w:val="20"/>
                <w:color w:val="auto"/>
              </w:rPr>
            </w:pPr>
            <w:r>
              <w:rPr>
                <w:rFonts w:ascii="Arial" w:cs="Arial" w:eastAsia="Arial" w:hAnsi="Arial"/>
                <w:sz w:val="18"/>
                <w:szCs w:val="18"/>
                <w:color w:val="auto"/>
              </w:rPr>
              <w:t>Options vested and exercisable as of December 31, 2021</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3,805,841</w:t>
            </w:r>
          </w:p>
        </w:tc>
        <w:tc>
          <w:tcPr>
            <w:tcW w:w="140" w:type="dxa"/>
            <w:vAlign w:val="bottom"/>
          </w:tcPr>
          <w:p>
            <w:pPr>
              <w:spacing w:after="0"/>
              <w:rPr>
                <w:sz w:val="19"/>
                <w:szCs w:val="19"/>
                <w:color w:val="auto"/>
              </w:rPr>
            </w:pPr>
          </w:p>
        </w:tc>
        <w:tc>
          <w:tcPr>
            <w:tcW w:w="30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13.53</w:t>
            </w:r>
          </w:p>
        </w:tc>
        <w:tc>
          <w:tcPr>
            <w:tcW w:w="5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w:t>
            </w:r>
          </w:p>
        </w:tc>
        <w:tc>
          <w:tcPr>
            <w:tcW w:w="4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The weighted-average grant-date fair value of options granted was $3.05 and $10.64 during the years ended December 31, 2021 and 2020,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total intrinsic value of options exercised in 2020 was $2.0 million. There were no options exercised in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RSUs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RSU activity and related information for 2021:</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7280" w:type="dxa"/>
            <w:vAlign w:val="bottom"/>
          </w:tcPr>
          <w:p>
            <w:pPr>
              <w:spacing w:after="0"/>
              <w:rPr>
                <w:sz w:val="12"/>
                <w:szCs w:val="12"/>
                <w:color w:val="auto"/>
              </w:rPr>
            </w:pPr>
          </w:p>
        </w:tc>
        <w:tc>
          <w:tcPr>
            <w:tcW w:w="2060" w:type="dxa"/>
            <w:vAlign w:val="bottom"/>
            <w:gridSpan w:val="2"/>
            <w:vMerge w:val="restart"/>
          </w:tcPr>
          <w:p>
            <w:pPr>
              <w:jc w:val="right"/>
              <w:ind w:right="920"/>
              <w:spacing w:after="0"/>
              <w:rPr>
                <w:sz w:val="20"/>
                <w:szCs w:val="20"/>
                <w:color w:val="auto"/>
              </w:rPr>
            </w:pPr>
            <w:r>
              <w:rPr>
                <w:rFonts w:ascii="Arial" w:cs="Arial" w:eastAsia="Arial" w:hAnsi="Arial"/>
                <w:sz w:val="14"/>
                <w:szCs w:val="14"/>
                <w:b w:val="1"/>
                <w:bCs w:val="1"/>
                <w:color w:val="auto"/>
              </w:rPr>
              <w:t>Number</w:t>
            </w:r>
          </w:p>
        </w:tc>
        <w:tc>
          <w:tcPr>
            <w:tcW w:w="260" w:type="dxa"/>
            <w:vAlign w:val="bottom"/>
          </w:tcPr>
          <w:p>
            <w:pPr>
              <w:spacing w:after="0"/>
              <w:rPr>
                <w:sz w:val="12"/>
                <w:szCs w:val="12"/>
                <w:color w:val="auto"/>
              </w:rPr>
            </w:pPr>
          </w:p>
        </w:tc>
        <w:tc>
          <w:tcPr>
            <w:tcW w:w="16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4"/>
              </w:rPr>
              <w:t>Average Fair</w:t>
            </w:r>
          </w:p>
        </w:tc>
        <w:tc>
          <w:tcPr>
            <w:tcW w:w="0" w:type="dxa"/>
            <w:vAlign w:val="bottom"/>
          </w:tcPr>
          <w:p>
            <w:pPr>
              <w:spacing w:after="0"/>
              <w:rPr>
                <w:sz w:val="1"/>
                <w:szCs w:val="1"/>
                <w:color w:val="auto"/>
              </w:rPr>
            </w:pPr>
          </w:p>
        </w:tc>
      </w:tr>
      <w:tr>
        <w:trPr>
          <w:trHeight w:val="148"/>
        </w:trPr>
        <w:tc>
          <w:tcPr>
            <w:tcW w:w="7280" w:type="dxa"/>
            <w:vAlign w:val="bottom"/>
          </w:tcPr>
          <w:p>
            <w:pPr>
              <w:spacing w:after="0"/>
              <w:rPr>
                <w:sz w:val="12"/>
                <w:szCs w:val="12"/>
                <w:color w:val="auto"/>
              </w:rPr>
            </w:pPr>
          </w:p>
        </w:tc>
        <w:tc>
          <w:tcPr>
            <w:tcW w:w="20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6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4"/>
              </w:rPr>
              <w:t>Value Per RSU</w:t>
            </w:r>
          </w:p>
        </w:tc>
        <w:tc>
          <w:tcPr>
            <w:tcW w:w="0" w:type="dxa"/>
            <w:vAlign w:val="bottom"/>
          </w:tcPr>
          <w:p>
            <w:pPr>
              <w:spacing w:after="0"/>
              <w:rPr>
                <w:sz w:val="1"/>
                <w:szCs w:val="1"/>
                <w:color w:val="auto"/>
              </w:rPr>
            </w:pPr>
          </w:p>
        </w:tc>
      </w:tr>
      <w:tr>
        <w:trPr>
          <w:trHeight w:val="171"/>
        </w:trPr>
        <w:tc>
          <w:tcPr>
            <w:tcW w:w="7280" w:type="dxa"/>
            <w:vAlign w:val="bottom"/>
          </w:tcPr>
          <w:p>
            <w:pPr>
              <w:spacing w:after="0"/>
              <w:rPr>
                <w:sz w:val="14"/>
                <w:szCs w:val="14"/>
                <w:color w:val="auto"/>
              </w:rPr>
            </w:pPr>
          </w:p>
        </w:tc>
        <w:tc>
          <w:tcPr>
            <w:tcW w:w="2060" w:type="dxa"/>
            <w:vAlign w:val="bottom"/>
            <w:gridSpan w:val="2"/>
          </w:tcPr>
          <w:p>
            <w:pPr>
              <w:jc w:val="right"/>
              <w:ind w:right="940"/>
              <w:spacing w:after="0"/>
              <w:rPr>
                <w:sz w:val="20"/>
                <w:szCs w:val="20"/>
                <w:color w:val="auto"/>
              </w:rPr>
            </w:pPr>
            <w:r>
              <w:rPr>
                <w:rFonts w:ascii="Arial" w:cs="Arial" w:eastAsia="Arial" w:hAnsi="Arial"/>
                <w:sz w:val="14"/>
                <w:szCs w:val="14"/>
                <w:b w:val="1"/>
                <w:bCs w:val="1"/>
                <w:color w:val="auto"/>
              </w:rPr>
              <w:t>of RSUs</w:t>
            </w:r>
          </w:p>
        </w:tc>
        <w:tc>
          <w:tcPr>
            <w:tcW w:w="260" w:type="dxa"/>
            <w:vAlign w:val="bottom"/>
          </w:tcPr>
          <w:p>
            <w:pPr>
              <w:spacing w:after="0"/>
              <w:rPr>
                <w:sz w:val="14"/>
                <w:szCs w:val="14"/>
                <w:color w:val="auto"/>
              </w:rPr>
            </w:pPr>
          </w:p>
        </w:tc>
        <w:tc>
          <w:tcPr>
            <w:tcW w:w="16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7"/>
              </w:rPr>
              <w:t>at Grant Price</w:t>
            </w:r>
          </w:p>
        </w:tc>
        <w:tc>
          <w:tcPr>
            <w:tcW w:w="0" w:type="dxa"/>
            <w:vAlign w:val="bottom"/>
          </w:tcPr>
          <w:p>
            <w:pPr>
              <w:spacing w:after="0"/>
              <w:rPr>
                <w:sz w:val="1"/>
                <w:szCs w:val="1"/>
                <w:color w:val="auto"/>
              </w:rPr>
            </w:pPr>
          </w:p>
        </w:tc>
      </w:tr>
      <w:tr>
        <w:trPr>
          <w:trHeight w:val="223"/>
        </w:trPr>
        <w:tc>
          <w:tcPr>
            <w:tcW w:w="7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Nonvested as of December 31, 2020</w:t>
            </w:r>
          </w:p>
        </w:tc>
        <w:tc>
          <w:tcPr>
            <w:tcW w:w="1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886,868</w:t>
            </w:r>
          </w:p>
        </w:tc>
        <w:tc>
          <w:tcPr>
            <w:tcW w:w="3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20.36</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tcPr>
          <w:p>
            <w:pPr>
              <w:spacing w:after="0"/>
              <w:rPr>
                <w:sz w:val="20"/>
                <w:szCs w:val="20"/>
                <w:color w:val="auto"/>
              </w:rPr>
            </w:pPr>
            <w:r>
              <w:rPr>
                <w:rFonts w:ascii="Arial" w:cs="Arial" w:eastAsia="Arial" w:hAnsi="Arial"/>
                <w:sz w:val="18"/>
                <w:szCs w:val="18"/>
                <w:color w:val="auto"/>
              </w:rPr>
              <w:t>Granted</w:t>
            </w:r>
          </w:p>
        </w:tc>
        <w:tc>
          <w:tcPr>
            <w:tcW w:w="1760" w:type="dxa"/>
            <w:vAlign w:val="bottom"/>
          </w:tcPr>
          <w:p>
            <w:pPr>
              <w:jc w:val="right"/>
              <w:spacing w:after="0"/>
              <w:rPr>
                <w:sz w:val="20"/>
                <w:szCs w:val="20"/>
                <w:color w:val="auto"/>
              </w:rPr>
            </w:pPr>
            <w:r>
              <w:rPr>
                <w:rFonts w:ascii="Arial" w:cs="Arial" w:eastAsia="Arial" w:hAnsi="Arial"/>
                <w:sz w:val="18"/>
                <w:szCs w:val="18"/>
                <w:color w:val="auto"/>
              </w:rPr>
              <w:t>721,341</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20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(347,096)</w:t>
            </w:r>
          </w:p>
        </w:tc>
        <w:tc>
          <w:tcPr>
            <w:tcW w:w="26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tcPr>
          <w:p>
            <w:pPr>
              <w:spacing w:after="0"/>
              <w:rPr>
                <w:sz w:val="20"/>
                <w:szCs w:val="20"/>
                <w:color w:val="auto"/>
              </w:rPr>
            </w:pPr>
            <w:r>
              <w:rPr>
                <w:rFonts w:ascii="Arial" w:cs="Arial" w:eastAsia="Arial" w:hAnsi="Arial"/>
                <w:sz w:val="18"/>
                <w:szCs w:val="18"/>
                <w:color w:val="auto"/>
              </w:rPr>
              <w:t>Forfeited</w:t>
            </w:r>
          </w:p>
        </w:tc>
        <w:tc>
          <w:tcPr>
            <w:tcW w:w="2060" w:type="dxa"/>
            <w:vAlign w:val="bottom"/>
            <w:gridSpan w:val="2"/>
          </w:tcPr>
          <w:p>
            <w:pPr>
              <w:jc w:val="right"/>
              <w:ind w:right="240"/>
              <w:spacing w:after="0"/>
              <w:rPr>
                <w:sz w:val="20"/>
                <w:szCs w:val="20"/>
                <w:color w:val="auto"/>
              </w:rPr>
            </w:pPr>
            <w:r>
              <w:rPr>
                <w:rFonts w:ascii="Arial" w:cs="Arial" w:eastAsia="Arial" w:hAnsi="Arial"/>
                <w:sz w:val="18"/>
                <w:szCs w:val="18"/>
                <w:color w:val="auto"/>
              </w:rPr>
              <w:t>(290,774)</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14.64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Nonvested as of December 31, 2021</w:t>
            </w:r>
          </w:p>
        </w:tc>
        <w:tc>
          <w:tcPr>
            <w:tcW w:w="1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970,339</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CFF0FC"/>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7.04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total fair value of RSUs vested and settled during 2021 and 2020 was $3.7 million and $7.8 million, respectively. The total intrinsic value of RSUs vested and settled during 2021 and 2020 was $1.4 million and $4.4 million, respectively.</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September 2019, the Company granted 100,000 RSUs with performance-based vesting conditions to its chief executive officer. On March 31, 2021, 25,000 of these awards were forfeited back to the Company due to the expiration of the time period to complete one of the performance conditions. On July 31, 2021, an additional 25,000 of these awards were forfeited back to the Company due to the expiration of the time period to complete one of the performance conditions. The outstanding 50,000 awards with an aggregate fair value of $0.4 million vest upon performance conditions not yet deemed probable. Accordingly, no stock-based compensation expense has been recognized as of December 31, 2021.</w:t>
      </w:r>
    </w:p>
    <w:p>
      <w:pPr>
        <w:spacing w:after="0" w:line="19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July 2020, the performance condition for 45,000 RSUs granted in December 2017 to a former executive officer was met associated with the execution of an HBV business development transaction. The Company recognized $0.7 million as a cumulative catch-up adjustment of stock-based compensation expense for this award for the year ended December 31, 2020.</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July 2021, the Company granted a total of 324,214 RSUs with performance-based vesting conditions upon the achievement of clinical milestones to the majority of employees, including executive officers. The awards had a grant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85" w:name="page86"/>
    <w:bookmarkEnd w:id="85"/>
    <w:p>
      <w:pPr>
        <w:jc w:val="both"/>
        <w:ind w:right="20"/>
        <w:spacing w:after="0" w:line="277" w:lineRule="auto"/>
        <w:rPr>
          <w:sz w:val="20"/>
          <w:szCs w:val="20"/>
          <w:color w:val="auto"/>
        </w:rPr>
      </w:pPr>
      <w:r>
        <w:rPr>
          <w:rFonts w:ascii="Arial" w:cs="Arial" w:eastAsia="Arial" w:hAnsi="Arial"/>
          <w:sz w:val="18"/>
          <w:szCs w:val="18"/>
          <w:color w:val="auto"/>
        </w:rPr>
        <w:t>date fair value of $1.2 million and vest upon performance conditions not yet deemed probable. Accordingly, no stock-based compensation expense has been recognized as of December 31,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2018 ESPP provides for the purchase by employees of up to an aggregate of 1,300,000 shares of the Company’s common stock at a discount to the market price. Eligible employee may participate through payroll deductions of up to 15% of such employee’s compensation for each pay period subject to annual statutory limits and the 2018 ESPP’s limit, which the Company’s stockholders approved in May 2021 to increase from 1,000 to 2,500 shares of common stock per offering.</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Eligible employees can purchase the Company’s common stock at the end of a predetermined offering period at 85% of the lower of the fair market value at the beginning or end of the offering period. Under the 2018 ESPP, the offering periods end on the last business day occurring on or before May 14 or November 14. The ESPP is compensatory and results in stock-based compensation expense.</w:t>
      </w:r>
    </w:p>
    <w:p>
      <w:pPr>
        <w:spacing w:after="0" w:line="14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May and November 2020, employees purchased 42,266 and 44,546 shares of common stock, respectively, under the 2018 ESPP. In May and November 2021, employees purchased 42,803 and 46,017 shares of common stock, respectively, under the 2018 ESPP. As of December 31, 2021, 1,043,515 shares of common stock are available for future sale under the Company’s 2018 ESPP. Stock-based compensation expense recorded in connection with the 2018 ESPP was $0.1 million and $0.5 million for the years December 31, 2021 and 2020, respectively.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Assumptions</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used the Black-Scholes option-pricing model for determining the estimated fair value and stock-based compensation related to stock options and ESPP purchase rights.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assumptions used to estimate the fair values of stock options grants for the years presented is as follows: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30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3"/>
          </w:tcPr>
          <w:p>
            <w:pPr>
              <w:ind w:left="380"/>
              <w:spacing w:after="0"/>
              <w:rPr>
                <w:sz w:val="20"/>
                <w:szCs w:val="20"/>
                <w:color w:val="auto"/>
              </w:rPr>
            </w:pPr>
            <w:r>
              <w:rPr>
                <w:rFonts w:ascii="Arial" w:cs="Arial" w:eastAsia="Arial" w:hAnsi="Arial"/>
                <w:sz w:val="13"/>
                <w:szCs w:val="13"/>
                <w:b w:val="1"/>
                <w:bCs w:val="1"/>
                <w:color w:val="auto"/>
              </w:rPr>
              <w:t>Year Ended December 31,</w:t>
            </w:r>
          </w:p>
        </w:tc>
        <w:tc>
          <w:tcPr>
            <w:tcW w:w="9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2"/>
        </w:trPr>
        <w:tc>
          <w:tcPr>
            <w:tcW w:w="7300" w:type="dxa"/>
            <w:vAlign w:val="bottom"/>
            <w:tcBorders>
              <w:bottom w:val="single" w:sz="8" w:color="CFF0FC"/>
            </w:tcBorders>
          </w:tcPr>
          <w:p>
            <w:pPr>
              <w:spacing w:after="0"/>
              <w:rPr>
                <w:sz w:val="12"/>
                <w:szCs w:val="12"/>
                <w:color w:val="auto"/>
              </w:rPr>
            </w:pPr>
          </w:p>
        </w:tc>
        <w:tc>
          <w:tcPr>
            <w:tcW w:w="1760" w:type="dxa"/>
            <w:vAlign w:val="bottom"/>
            <w:tcBorders>
              <w:bottom w:val="single" w:sz="8" w:color="auto"/>
            </w:tcBorders>
            <w:gridSpan w:val="2"/>
          </w:tcPr>
          <w:p>
            <w:pPr>
              <w:jc w:val="right"/>
              <w:ind w:right="675"/>
              <w:spacing w:after="0" w:line="142" w:lineRule="exact"/>
              <w:rPr>
                <w:sz w:val="20"/>
                <w:szCs w:val="20"/>
                <w:color w:val="auto"/>
              </w:rPr>
            </w:pPr>
            <w:r>
              <w:rPr>
                <w:rFonts w:ascii="Arial" w:cs="Arial" w:eastAsia="Arial" w:hAnsi="Arial"/>
                <w:sz w:val="13"/>
                <w:szCs w:val="13"/>
                <w:b w:val="1"/>
                <w:bCs w:val="1"/>
                <w:color w:val="auto"/>
              </w:rPr>
              <w:t>2021</w:t>
            </w:r>
          </w:p>
        </w:tc>
        <w:tc>
          <w:tcPr>
            <w:tcW w:w="280" w:type="dxa"/>
            <w:vAlign w:val="bottom"/>
            <w:tcBorders>
              <w:bottom w:val="single" w:sz="8" w:color="CFF0FC"/>
            </w:tcBorders>
          </w:tcPr>
          <w:p>
            <w:pPr>
              <w:spacing w:after="0"/>
              <w:rPr>
                <w:sz w:val="12"/>
                <w:szCs w:val="12"/>
                <w:color w:val="auto"/>
              </w:rPr>
            </w:pPr>
          </w:p>
        </w:tc>
        <w:tc>
          <w:tcPr>
            <w:tcW w:w="178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3"/>
                <w:szCs w:val="13"/>
                <w:b w:val="1"/>
                <w:bCs w:val="1"/>
                <w:color w:val="auto"/>
                <w:w w:val="82"/>
              </w:rPr>
              <w:t>2020</w:t>
            </w:r>
          </w:p>
        </w:tc>
        <w:tc>
          <w:tcPr>
            <w:tcW w:w="120" w:type="dxa"/>
            <w:vAlign w:val="bottom"/>
            <w:tcBorders>
              <w:bottom w:val="single" w:sz="8" w:color="CFF0FC"/>
            </w:tcBorders>
          </w:tcPr>
          <w:p>
            <w:pPr>
              <w:spacing w:after="0"/>
              <w:rPr>
                <w:sz w:val="12"/>
                <w:szCs w:val="12"/>
                <w:color w:val="auto"/>
              </w:rPr>
            </w:pPr>
          </w:p>
        </w:tc>
      </w:tr>
      <w:tr>
        <w:trPr>
          <w:trHeight w:val="223"/>
        </w:trPr>
        <w:tc>
          <w:tcPr>
            <w:tcW w:w="7300" w:type="dxa"/>
            <w:vAlign w:val="bottom"/>
            <w:shd w:val="clear" w:color="auto" w:fill="CFF0FC"/>
          </w:tcPr>
          <w:p>
            <w:pPr>
              <w:spacing w:after="0"/>
              <w:rPr>
                <w:sz w:val="20"/>
                <w:szCs w:val="20"/>
                <w:color w:val="auto"/>
              </w:rPr>
            </w:pPr>
            <w:r>
              <w:rPr>
                <w:rFonts w:ascii="Arial" w:cs="Arial" w:eastAsia="Arial" w:hAnsi="Arial"/>
                <w:sz w:val="18"/>
                <w:szCs w:val="18"/>
                <w:color w:val="auto"/>
              </w:rPr>
              <w:t>Exercise price</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w:t>
            </w:r>
          </w:p>
        </w:tc>
        <w:tc>
          <w:tcPr>
            <w:tcW w:w="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 $5.79</w:t>
            </w:r>
          </w:p>
        </w:tc>
        <w:tc>
          <w:tcPr>
            <w:tcW w:w="28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89"/>
              </w:rPr>
              <w:t>$5.62 - $23.30</w:t>
            </w:r>
          </w:p>
        </w:tc>
        <w:tc>
          <w:tcPr>
            <w:tcW w:w="120" w:type="dxa"/>
            <w:vAlign w:val="bottom"/>
            <w:shd w:val="clear" w:color="auto" w:fill="CFF0FC"/>
          </w:tcPr>
          <w:p>
            <w:pPr>
              <w:spacing w:after="0"/>
              <w:rPr>
                <w:sz w:val="19"/>
                <w:szCs w:val="19"/>
                <w:color w:val="auto"/>
              </w:rPr>
            </w:pPr>
          </w:p>
        </w:tc>
      </w:tr>
      <w:tr>
        <w:trPr>
          <w:trHeight w:val="230"/>
        </w:trPr>
        <w:tc>
          <w:tcPr>
            <w:tcW w:w="7300" w:type="dxa"/>
            <w:vAlign w:val="bottom"/>
          </w:tcPr>
          <w:p>
            <w:pPr>
              <w:spacing w:after="0"/>
              <w:rPr>
                <w:sz w:val="20"/>
                <w:szCs w:val="20"/>
                <w:color w:val="auto"/>
              </w:rPr>
            </w:pPr>
            <w:r>
              <w:rPr>
                <w:rFonts w:ascii="Arial" w:cs="Arial" w:eastAsia="Arial" w:hAnsi="Arial"/>
                <w:sz w:val="18"/>
                <w:szCs w:val="18"/>
                <w:color w:val="auto"/>
              </w:rPr>
              <w:t>Expected volatility</w:t>
            </w:r>
          </w:p>
        </w:tc>
        <w:tc>
          <w:tcPr>
            <w:tcW w:w="820" w:type="dxa"/>
            <w:vAlign w:val="bottom"/>
          </w:tcPr>
          <w:p>
            <w:pPr>
              <w:jc w:val="right"/>
              <w:spacing w:after="0"/>
              <w:rPr>
                <w:sz w:val="20"/>
                <w:szCs w:val="20"/>
                <w:color w:val="auto"/>
              </w:rPr>
            </w:pPr>
            <w:r>
              <w:rPr>
                <w:rFonts w:ascii="Arial" w:cs="Arial" w:eastAsia="Arial" w:hAnsi="Arial"/>
                <w:sz w:val="18"/>
                <w:szCs w:val="18"/>
                <w:color w:val="auto"/>
              </w:rPr>
              <w:t>79.7%</w:t>
            </w:r>
          </w:p>
        </w:tc>
        <w:tc>
          <w:tcPr>
            <w:tcW w:w="940" w:type="dxa"/>
            <w:vAlign w:val="bottom"/>
          </w:tcPr>
          <w:p>
            <w:pPr>
              <w:ind w:left="20"/>
              <w:spacing w:after="0"/>
              <w:rPr>
                <w:sz w:val="20"/>
                <w:szCs w:val="20"/>
                <w:color w:val="auto"/>
              </w:rPr>
            </w:pPr>
            <w:r>
              <w:rPr>
                <w:rFonts w:ascii="Arial" w:cs="Arial" w:eastAsia="Arial" w:hAnsi="Arial"/>
                <w:sz w:val="18"/>
                <w:szCs w:val="18"/>
                <w:color w:val="auto"/>
              </w:rPr>
              <w:t>- 91.2%</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66.4%</w:t>
            </w:r>
          </w:p>
        </w:tc>
        <w:tc>
          <w:tcPr>
            <w:tcW w:w="960" w:type="dxa"/>
            <w:vAlign w:val="bottom"/>
          </w:tcPr>
          <w:p>
            <w:pPr>
              <w:ind w:left="40"/>
              <w:spacing w:after="0"/>
              <w:rPr>
                <w:sz w:val="20"/>
                <w:szCs w:val="20"/>
                <w:color w:val="auto"/>
              </w:rPr>
            </w:pPr>
            <w:r>
              <w:rPr>
                <w:rFonts w:ascii="Arial" w:cs="Arial" w:eastAsia="Arial" w:hAnsi="Arial"/>
                <w:sz w:val="18"/>
                <w:szCs w:val="18"/>
                <w:color w:val="auto"/>
              </w:rPr>
              <w:t>- 92.3%</w:t>
            </w:r>
          </w:p>
        </w:tc>
        <w:tc>
          <w:tcPr>
            <w:tcW w:w="120" w:type="dxa"/>
            <w:vAlign w:val="bottom"/>
          </w:tcPr>
          <w:p>
            <w:pPr>
              <w:spacing w:after="0"/>
              <w:rPr>
                <w:sz w:val="19"/>
                <w:szCs w:val="19"/>
                <w:color w:val="auto"/>
              </w:rPr>
            </w:pPr>
          </w:p>
        </w:tc>
      </w:tr>
      <w:tr>
        <w:trPr>
          <w:trHeight w:val="229"/>
        </w:trPr>
        <w:tc>
          <w:tcPr>
            <w:tcW w:w="7300" w:type="dxa"/>
            <w:vAlign w:val="bottom"/>
            <w:shd w:val="clear" w:color="auto" w:fill="CFF0FC"/>
          </w:tcPr>
          <w:p>
            <w:pPr>
              <w:spacing w:after="0"/>
              <w:rPr>
                <w:sz w:val="20"/>
                <w:szCs w:val="20"/>
                <w:color w:val="auto"/>
              </w:rPr>
            </w:pPr>
            <w:r>
              <w:rPr>
                <w:rFonts w:ascii="Arial" w:cs="Arial" w:eastAsia="Arial" w:hAnsi="Arial"/>
                <w:sz w:val="18"/>
                <w:szCs w:val="18"/>
                <w:color w:val="auto"/>
              </w:rPr>
              <w:t>Risk-free rate</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0.50%</w:t>
            </w:r>
          </w:p>
        </w:tc>
        <w:tc>
          <w:tcPr>
            <w:tcW w:w="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- 1.37%</w:t>
            </w:r>
          </w:p>
        </w:tc>
        <w:tc>
          <w:tcPr>
            <w:tcW w:w="2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0.26%</w:t>
            </w:r>
          </w:p>
        </w:tc>
        <w:tc>
          <w:tcPr>
            <w:tcW w:w="960" w:type="dxa"/>
            <w:vAlign w:val="bottom"/>
            <w:shd w:val="clear" w:color="auto" w:fill="CFF0FC"/>
          </w:tcPr>
          <w:p>
            <w:pPr>
              <w:ind w:left="40"/>
              <w:spacing w:after="0"/>
              <w:rPr>
                <w:sz w:val="20"/>
                <w:szCs w:val="20"/>
                <w:color w:val="auto"/>
              </w:rPr>
            </w:pPr>
            <w:r>
              <w:rPr>
                <w:rFonts w:ascii="Arial" w:cs="Arial" w:eastAsia="Arial" w:hAnsi="Arial"/>
                <w:sz w:val="18"/>
                <w:szCs w:val="18"/>
                <w:color w:val="auto"/>
              </w:rPr>
              <w:t>- 1.44%</w:t>
            </w:r>
          </w:p>
        </w:tc>
        <w:tc>
          <w:tcPr>
            <w:tcW w:w="120" w:type="dxa"/>
            <w:vAlign w:val="bottom"/>
            <w:shd w:val="clear" w:color="auto" w:fill="CFF0FC"/>
          </w:tcPr>
          <w:p>
            <w:pPr>
              <w:spacing w:after="0"/>
              <w:rPr>
                <w:sz w:val="19"/>
                <w:szCs w:val="19"/>
                <w:color w:val="auto"/>
              </w:rPr>
            </w:pPr>
          </w:p>
        </w:tc>
      </w:tr>
      <w:tr>
        <w:trPr>
          <w:trHeight w:val="230"/>
        </w:trPr>
        <w:tc>
          <w:tcPr>
            <w:tcW w:w="7300" w:type="dxa"/>
            <w:vAlign w:val="bottom"/>
          </w:tcPr>
          <w:p>
            <w:pPr>
              <w:spacing w:after="0"/>
              <w:rPr>
                <w:sz w:val="20"/>
                <w:szCs w:val="20"/>
                <w:color w:val="auto"/>
              </w:rPr>
            </w:pPr>
            <w:r>
              <w:rPr>
                <w:rFonts w:ascii="Arial" w:cs="Arial" w:eastAsia="Arial" w:hAnsi="Arial"/>
                <w:sz w:val="18"/>
                <w:szCs w:val="18"/>
                <w:color w:val="auto"/>
              </w:rPr>
              <w:t>Expected term (years)</w:t>
            </w:r>
          </w:p>
        </w:tc>
        <w:tc>
          <w:tcPr>
            <w:tcW w:w="820" w:type="dxa"/>
            <w:vAlign w:val="bottom"/>
          </w:tcPr>
          <w:p>
            <w:pPr>
              <w:jc w:val="right"/>
              <w:spacing w:after="0"/>
              <w:rPr>
                <w:sz w:val="20"/>
                <w:szCs w:val="20"/>
                <w:color w:val="auto"/>
              </w:rPr>
            </w:pPr>
            <w:r>
              <w:rPr>
                <w:rFonts w:ascii="Arial" w:cs="Arial" w:eastAsia="Arial" w:hAnsi="Arial"/>
                <w:sz w:val="18"/>
                <w:szCs w:val="18"/>
                <w:color w:val="auto"/>
              </w:rPr>
              <w:t>5.5</w:t>
            </w:r>
          </w:p>
        </w:tc>
        <w:tc>
          <w:tcPr>
            <w:tcW w:w="940" w:type="dxa"/>
            <w:vAlign w:val="bottom"/>
          </w:tcPr>
          <w:p>
            <w:pPr>
              <w:ind w:left="20"/>
              <w:spacing w:after="0"/>
              <w:rPr>
                <w:sz w:val="20"/>
                <w:szCs w:val="20"/>
                <w:color w:val="auto"/>
              </w:rPr>
            </w:pPr>
            <w:r>
              <w:rPr>
                <w:rFonts w:ascii="Arial" w:cs="Arial" w:eastAsia="Arial" w:hAnsi="Arial"/>
                <w:sz w:val="18"/>
                <w:szCs w:val="18"/>
                <w:color w:val="auto"/>
              </w:rPr>
              <w:t>- 7.5</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w:t>
            </w:r>
          </w:p>
        </w:tc>
        <w:tc>
          <w:tcPr>
            <w:tcW w:w="960" w:type="dxa"/>
            <w:vAlign w:val="bottom"/>
          </w:tcPr>
          <w:p>
            <w:pPr>
              <w:ind w:left="40"/>
              <w:spacing w:after="0"/>
              <w:rPr>
                <w:sz w:val="20"/>
                <w:szCs w:val="20"/>
                <w:color w:val="auto"/>
              </w:rPr>
            </w:pPr>
            <w:r>
              <w:rPr>
                <w:rFonts w:ascii="Arial" w:cs="Arial" w:eastAsia="Arial" w:hAnsi="Arial"/>
                <w:sz w:val="18"/>
                <w:szCs w:val="18"/>
                <w:color w:val="auto"/>
              </w:rPr>
              <w:t>- 7.5</w:t>
            </w:r>
          </w:p>
        </w:tc>
        <w:tc>
          <w:tcPr>
            <w:tcW w:w="120" w:type="dxa"/>
            <w:vAlign w:val="bottom"/>
          </w:tcPr>
          <w:p>
            <w:pPr>
              <w:spacing w:after="0"/>
              <w:rPr>
                <w:sz w:val="19"/>
                <w:szCs w:val="19"/>
                <w:color w:val="auto"/>
              </w:rPr>
            </w:pPr>
          </w:p>
        </w:tc>
      </w:tr>
      <w:tr>
        <w:trPr>
          <w:trHeight w:val="230"/>
        </w:trPr>
        <w:tc>
          <w:tcPr>
            <w:tcW w:w="7300" w:type="dxa"/>
            <w:vAlign w:val="bottom"/>
            <w:shd w:val="clear" w:color="auto" w:fill="CFF0FC"/>
          </w:tcPr>
          <w:p>
            <w:pPr>
              <w:spacing w:after="0"/>
              <w:rPr>
                <w:sz w:val="20"/>
                <w:szCs w:val="20"/>
                <w:color w:val="auto"/>
              </w:rPr>
            </w:pPr>
            <w:r>
              <w:rPr>
                <w:rFonts w:ascii="Arial" w:cs="Arial" w:eastAsia="Arial" w:hAnsi="Arial"/>
                <w:sz w:val="18"/>
                <w:szCs w:val="18"/>
                <w:color w:val="auto"/>
              </w:rPr>
              <w:t>Expected dividend yield</w:t>
            </w:r>
          </w:p>
        </w:tc>
        <w:tc>
          <w:tcPr>
            <w:tcW w:w="1760" w:type="dxa"/>
            <w:vAlign w:val="bottom"/>
            <w:gridSpan w:val="2"/>
            <w:shd w:val="clear" w:color="auto" w:fill="CFF0FC"/>
          </w:tcPr>
          <w:p>
            <w:pPr>
              <w:jc w:val="right"/>
              <w:ind w:right="675"/>
              <w:spacing w:after="0"/>
              <w:rPr>
                <w:sz w:val="20"/>
                <w:szCs w:val="20"/>
                <w:color w:val="auto"/>
              </w:rPr>
            </w:pPr>
            <w:r>
              <w:rPr>
                <w:rFonts w:ascii="Arial" w:cs="Arial" w:eastAsia="Arial" w:hAnsi="Arial"/>
                <w:sz w:val="18"/>
                <w:szCs w:val="18"/>
                <w:color w:val="auto"/>
              </w:rPr>
              <w:t>0%</w:t>
            </w:r>
          </w:p>
        </w:tc>
        <w:tc>
          <w:tcPr>
            <w:tcW w:w="28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2"/>
              </w:rPr>
              <w:t>0%</w:t>
            </w:r>
          </w:p>
        </w:tc>
        <w:tc>
          <w:tcPr>
            <w:tcW w:w="120" w:type="dxa"/>
            <w:vAlign w:val="bottom"/>
            <w:shd w:val="clear" w:color="auto" w:fill="CFF0FC"/>
          </w:tcPr>
          <w:p>
            <w:pPr>
              <w:spacing w:after="0"/>
              <w:rPr>
                <w:sz w:val="19"/>
                <w:szCs w:val="19"/>
                <w:color w:val="auto"/>
              </w:rPr>
            </w:pPr>
          </w:p>
        </w:tc>
      </w:tr>
    </w:tbl>
    <w:p>
      <w:pPr>
        <w:spacing w:after="0" w:line="2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risk-free interest rate assumption was based on the rates for U.S. Treasury zero-coupon bonds with maturities similar to those of the expected term of the stock option being valued. The expected dividend yield was zero as the Company currently does not intend to pay dividends in the foreseeable future. The weighted average expected term of options was calculated using the simplified method as prescribed by accounting guidance for stock-based compensation due to the Company’s limited history of relevant stock option exercise activity. The expected volatility was calculated based on the Company’s historical stock prices, supplemented as necessary with historical volatility of the common stock of several peer companies with characteristics similar to those of the Company.</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ESPP purchase rights were not material for any period presented.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 Expense</w:t>
      </w:r>
    </w:p>
    <w:p>
      <w:pPr>
        <w:spacing w:after="0" w:line="18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recognized stock-based compensation expense included in the consolidated statement of operations and comprehensive loss for the years presented (in thousands):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20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3"/>
                <w:szCs w:val="13"/>
                <w:b w:val="1"/>
                <w:bCs w:val="1"/>
                <w:color w:val="auto"/>
                <w:w w:val="93"/>
              </w:rPr>
              <w:t>Year Ended December 31,</w:t>
            </w:r>
          </w:p>
        </w:tc>
        <w:tc>
          <w:tcPr>
            <w:tcW w:w="11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2"/>
        </w:trPr>
        <w:tc>
          <w:tcPr>
            <w:tcW w:w="4200" w:type="dxa"/>
            <w:vAlign w:val="bottom"/>
            <w:tcBorders>
              <w:bottom w:val="single" w:sz="8" w:color="CFF0FC"/>
            </w:tcBorders>
          </w:tcPr>
          <w:p>
            <w:pPr>
              <w:spacing w:after="0"/>
              <w:rPr>
                <w:sz w:val="12"/>
                <w:szCs w:val="12"/>
                <w:color w:val="auto"/>
              </w:rPr>
            </w:pPr>
          </w:p>
        </w:tc>
        <w:tc>
          <w:tcPr>
            <w:tcW w:w="3080" w:type="dxa"/>
            <w:vAlign w:val="bottom"/>
            <w:tcBorders>
              <w:bottom w:val="single" w:sz="8" w:color="CFF0FC"/>
            </w:tcBorders>
          </w:tcPr>
          <w:p>
            <w:pPr>
              <w:spacing w:after="0"/>
              <w:rPr>
                <w:sz w:val="12"/>
                <w:szCs w:val="12"/>
                <w:color w:val="auto"/>
              </w:rPr>
            </w:pPr>
          </w:p>
        </w:tc>
        <w:tc>
          <w:tcPr>
            <w:tcW w:w="1100" w:type="dxa"/>
            <w:vAlign w:val="bottom"/>
            <w:tcBorders>
              <w:bottom w:val="single" w:sz="8" w:color="auto"/>
            </w:tcBorders>
          </w:tcPr>
          <w:p>
            <w:pPr>
              <w:jc w:val="right"/>
              <w:ind w:right="19"/>
              <w:spacing w:after="0" w:line="142" w:lineRule="exact"/>
              <w:rPr>
                <w:sz w:val="20"/>
                <w:szCs w:val="20"/>
                <w:color w:val="auto"/>
              </w:rPr>
            </w:pPr>
            <w:r>
              <w:rPr>
                <w:rFonts w:ascii="Arial" w:cs="Arial" w:eastAsia="Arial" w:hAnsi="Arial"/>
                <w:sz w:val="13"/>
                <w:szCs w:val="13"/>
                <w:b w:val="1"/>
                <w:bCs w:val="1"/>
                <w:color w:val="auto"/>
              </w:rPr>
              <w:t>2021</w:t>
            </w:r>
          </w:p>
        </w:tc>
        <w:tc>
          <w:tcPr>
            <w:tcW w:w="660" w:type="dxa"/>
            <w:vAlign w:val="bottom"/>
            <w:tcBorders>
              <w:bottom w:val="single" w:sz="8" w:color="auto"/>
            </w:tcBorders>
          </w:tcPr>
          <w:p>
            <w:pPr>
              <w:spacing w:after="0"/>
              <w:rPr>
                <w:sz w:val="12"/>
                <w:szCs w:val="12"/>
                <w:color w:val="auto"/>
              </w:rPr>
            </w:pPr>
          </w:p>
        </w:tc>
        <w:tc>
          <w:tcPr>
            <w:tcW w:w="300" w:type="dxa"/>
            <w:vAlign w:val="bottom"/>
            <w:tcBorders>
              <w:bottom w:val="single" w:sz="8" w:color="CFF0FC"/>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677"/>
              <w:spacing w:after="0" w:line="142" w:lineRule="exact"/>
              <w:rPr>
                <w:sz w:val="20"/>
                <w:szCs w:val="20"/>
                <w:color w:val="auto"/>
              </w:rPr>
            </w:pPr>
            <w:r>
              <w:rPr>
                <w:rFonts w:ascii="Arial" w:cs="Arial" w:eastAsia="Arial" w:hAnsi="Arial"/>
                <w:sz w:val="13"/>
                <w:szCs w:val="13"/>
                <w:b w:val="1"/>
                <w:bCs w:val="1"/>
                <w:color w:val="auto"/>
              </w:rPr>
              <w:t>2020</w:t>
            </w:r>
          </w:p>
        </w:tc>
        <w:tc>
          <w:tcPr>
            <w:tcW w:w="120" w:type="dxa"/>
            <w:vAlign w:val="bottom"/>
            <w:tcBorders>
              <w:bottom w:val="single" w:sz="8" w:color="CFF0FC"/>
            </w:tcBorders>
          </w:tcPr>
          <w:p>
            <w:pPr>
              <w:spacing w:after="0"/>
              <w:rPr>
                <w:sz w:val="12"/>
                <w:szCs w:val="12"/>
                <w:color w:val="auto"/>
              </w:rPr>
            </w:pPr>
          </w:p>
        </w:tc>
      </w:tr>
      <w:tr>
        <w:trPr>
          <w:trHeight w:val="223"/>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308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919"/>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548</w:t>
            </w:r>
          </w:p>
        </w:tc>
        <w:tc>
          <w:tcPr>
            <w:tcW w:w="30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4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11,380</w:t>
            </w:r>
          </w:p>
        </w:tc>
        <w:tc>
          <w:tcPr>
            <w:tcW w:w="120" w:type="dxa"/>
            <w:vAlign w:val="bottom"/>
            <w:shd w:val="clear" w:color="auto" w:fill="CFF0FC"/>
          </w:tcPr>
          <w:p>
            <w:pPr>
              <w:spacing w:after="0"/>
              <w:rPr>
                <w:sz w:val="19"/>
                <w:szCs w:val="19"/>
                <w:color w:val="auto"/>
              </w:rPr>
            </w:pPr>
          </w:p>
        </w:tc>
      </w:tr>
      <w:tr>
        <w:trPr>
          <w:trHeight w:val="230"/>
        </w:trPr>
        <w:tc>
          <w:tcPr>
            <w:tcW w:w="4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3080" w:type="dxa"/>
            <w:vAlign w:val="bottom"/>
            <w:tcBorders>
              <w:bottom w:val="single" w:sz="8" w:color="CFF0FC"/>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4,689</w:t>
            </w:r>
          </w:p>
        </w:tc>
        <w:tc>
          <w:tcPr>
            <w:tcW w:w="300" w:type="dxa"/>
            <w:vAlign w:val="bottom"/>
            <w:tcBorders>
              <w:bottom w:val="single" w:sz="8" w:color="CFF0FC"/>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10,473</w:t>
            </w:r>
          </w:p>
        </w:tc>
        <w:tc>
          <w:tcPr>
            <w:tcW w:w="120" w:type="dxa"/>
            <w:vAlign w:val="bottom"/>
            <w:tcBorders>
              <w:bottom w:val="single" w:sz="8" w:color="CFF0FC"/>
            </w:tcBorders>
          </w:tcPr>
          <w:p>
            <w:pPr>
              <w:spacing w:after="0"/>
              <w:rPr>
                <w:sz w:val="19"/>
                <w:szCs w:val="19"/>
                <w:color w:val="auto"/>
              </w:rPr>
            </w:pPr>
          </w:p>
        </w:tc>
      </w:tr>
      <w:tr>
        <w:trPr>
          <w:trHeight w:val="223"/>
        </w:trPr>
        <w:tc>
          <w:tcPr>
            <w:tcW w:w="4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stock-based compensation expense</w:t>
            </w:r>
          </w:p>
        </w:tc>
        <w:tc>
          <w:tcPr>
            <w:tcW w:w="308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919"/>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5,237</w:t>
            </w:r>
          </w:p>
        </w:tc>
        <w:tc>
          <w:tcPr>
            <w:tcW w:w="30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ind w:right="4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21,853</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42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628"/>
        </w:trPr>
        <w:tc>
          <w:tcPr>
            <w:tcW w:w="4200" w:type="dxa"/>
            <w:vAlign w:val="bottom"/>
          </w:tcPr>
          <w:p>
            <w:pPr>
              <w:spacing w:after="0"/>
              <w:rPr>
                <w:sz w:val="24"/>
                <w:szCs w:val="24"/>
                <w:color w:val="auto"/>
              </w:rPr>
            </w:pPr>
          </w:p>
        </w:tc>
        <w:tc>
          <w:tcPr>
            <w:tcW w:w="4180" w:type="dxa"/>
            <w:vAlign w:val="bottom"/>
            <w:gridSpan w:val="2"/>
          </w:tcPr>
          <w:p>
            <w:pPr>
              <w:jc w:val="right"/>
              <w:ind w:right="2499"/>
              <w:spacing w:after="0"/>
              <w:rPr>
                <w:sz w:val="20"/>
                <w:szCs w:val="20"/>
                <w:color w:val="auto"/>
              </w:rPr>
            </w:pPr>
            <w:r>
              <w:rPr>
                <w:rFonts w:ascii="Arial" w:cs="Arial" w:eastAsia="Arial" w:hAnsi="Arial"/>
                <w:sz w:val="18"/>
                <w:szCs w:val="18"/>
                <w:color w:val="auto"/>
              </w:rPr>
              <w:t>F-28</w:t>
            </w: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15"/>
        </w:trPr>
        <w:tc>
          <w:tcPr>
            <w:tcW w:w="4200" w:type="dxa"/>
            <w:vAlign w:val="bottom"/>
            <w:tcBorders>
              <w:bottom w:val="single" w:sz="8" w:color="9A9A9A"/>
            </w:tcBorders>
          </w:tcPr>
          <w:p>
            <w:pPr>
              <w:spacing w:after="0"/>
              <w:rPr>
                <w:sz w:val="10"/>
                <w:szCs w:val="10"/>
                <w:color w:val="auto"/>
              </w:rPr>
            </w:pPr>
          </w:p>
        </w:tc>
        <w:tc>
          <w:tcPr>
            <w:tcW w:w="308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86" w:name="page87"/>
    <w:bookmarkEnd w:id="86"/>
    <w:p>
      <w:pPr>
        <w:jc w:val="both"/>
        <w:spacing w:after="0" w:line="301" w:lineRule="auto"/>
        <w:rPr>
          <w:sz w:val="20"/>
          <w:szCs w:val="20"/>
          <w:color w:val="auto"/>
        </w:rPr>
      </w:pPr>
      <w:r>
        <w:rPr>
          <w:rFonts w:ascii="Arial" w:cs="Arial" w:eastAsia="Arial" w:hAnsi="Arial"/>
          <w:sz w:val="16"/>
          <w:szCs w:val="16"/>
          <w:color w:val="auto"/>
        </w:rPr>
        <w:t>Stock-based compensation expense for the year ended December 31, 2021 includes the reversal of previously recognized stock-based compensation expense related to awards forfeited by terminated employees of $4.8 million and $2.1 million included in research and development expenses and general and administrative expenses, respectively. As of December 31, 2021, there was $9.7 million of total unrecognized stock-based compensation related to outstanding equity awards which is expected to be recognized over a weighted average remaining amortization period of 1.6 years.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Collaboration Agreements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Allergan Agreement</w:t>
      </w:r>
    </w:p>
    <w:p>
      <w:pPr>
        <w:spacing w:after="0" w:line="19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January 2017, the Company and Allergan Pharmaceuticals International Limited (Allergan) entered into the Research, Development, Collaboration and License Agreement (the Allergan Agreement) to develop and commercialize select microbiome gastrointestinal disease therapies. In June 2020, following its acquisition of Allergan, AbbVie Inc. (AbbVie), on behalf of Allergan, gave written notice of termination of the Allergan Agreement, which subsequently became effective in October 2020. Upon termination, the licenses granted by the Company and its know-how reverted to the Company.</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year ended December 31, 2020, the Company recognized $48.1 million in collaboration revenue associated with the Allergan Agreement. A contract asset balance of $1.0 million was recorded as of December 31, 2020. There were no deferred revenue contract liabilities as of December 31, 2020 and no revenue, contract assets or contract liabilities recognized as of and for the year ended December 31, 2021 due to the termination of the Allergan Agreement in 2020.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BeiGene Agreement</w:t>
      </w:r>
    </w:p>
    <w:p>
      <w:pPr>
        <w:spacing w:after="0" w:line="23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July 2020, the Company and BeiGene, Ltd. (BeiGene) entered into a Collaboration Agreement (the BeiGene Agreement) to develop and commercialize the Company’s novel core inhibitor product candidates VBR, ABI-H2158 and ABI-H3733 for chronic HBV infection (the Licensed Product Candidates) in the People’s Republic of China, Hong Kong, Taiwan and Macau (the Territory). Under the agreement, the Company and BeiGene are collaborating on certain global clinical studies and both the Company and BeiGene will independently conduct other clinical studies in their own respective territories.</w:t>
      </w:r>
    </w:p>
    <w:p>
      <w:pPr>
        <w:spacing w:after="0" w:line="17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BeiGene agreed to pay all development and regulatory costs for the Licensed Product Candidates in the Territory up to an aggregate of $45.0 million. Development and regulatory costs for the Licensed Product Candidates for the Territory in excess of $45.0 million will be shared equally by the Company and BeiGene. If the Company conducts certain ancillary trials outside of the plan to develop these candidates in the Territory, BeiGene may elect to obtain access to the know-how and clinical data resulting for such ancillary trials and shall reimburse the Company proportionally for the Territory of the costs of such trials. Activities under the BeiGene Agreement will be governed by a joint steering committee (JSC) consisting of equal representatives from each party to the agreement. All decisions of the JSC are to be made by consensus with final decision-making authority granted to each party based on key areas of the collaboration for which they are responsible. During the term of the BeiGene Agreement, neither party will commercialize any competing products in the Territory. The Company will be responsible for manufacturing and supply of the candidates to be used in and outside of the Territory, although the parties may approve BeiGene to take on some or all of the commercial supply activities of the applicable Licensed Products in the Territory.</w:t>
      </w:r>
    </w:p>
    <w:p>
      <w:pPr>
        <w:spacing w:after="0" w:line="18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is not obligated to perform pre-phase 3 clinical trial development work outside the Territory on ABI-H2158 and ABI-H3733 but must provide BeiGene pre-Phase 3 clinical trial know-how and development results if and when such development efforts are completed. If, after ABI-H2158 and ABI-H3733 reach the end of Phase 2 clinical trials, the Company and BeiGene are unable to mutually agree on the terms of a Phase 3 global study, BeiGene may elect to terminate the BeiGene Agreement solely as it relates to that compound, as applicable. Such a termination would result in the Company regaining all rights to the applicable compound in the Territory. In addition, BeiGene may terminate the BeiGene Agreement for convenience at any time upon 90 days’ advance written notice to Assembly. The BeiGene Agreement also contains customary provisions for termination by either party, including in the event of breach of the BeiGene Agreement, subject to cure.</w:t>
      </w:r>
    </w:p>
    <w:p>
      <w:pPr>
        <w:spacing w:after="0" w:line="19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Pursuant to the terms of the BeiGene Agreement, the Company received an upfront cash payment of $40.0 million from BeiGene for the delivery of exclusive, royalty-bearing licenses to develop and commercialize the Licensed Product Candidates in the Territory, and the Company was eligible to receive up to approximately $500.0 million in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87" w:name="page88"/>
    <w:bookmarkEnd w:id="87"/>
    <w:p>
      <w:pPr>
        <w:jc w:val="both"/>
        <w:spacing w:after="0" w:line="255" w:lineRule="auto"/>
        <w:rPr>
          <w:sz w:val="20"/>
          <w:szCs w:val="20"/>
          <w:color w:val="auto"/>
        </w:rPr>
      </w:pPr>
      <w:r>
        <w:rPr>
          <w:rFonts w:ascii="Arial" w:cs="Arial" w:eastAsia="Arial" w:hAnsi="Arial"/>
          <w:sz w:val="18"/>
          <w:szCs w:val="18"/>
          <w:color w:val="auto"/>
        </w:rPr>
        <w:t>cash milestone payments, comprised of up to $113.8 million for development and regulatory milestones and up to $385.0 million in net sales milestones. In addition, the Company is eligible to receive tiered royalties at percentages ranging from the mid-teens to the low thirties of net sales. In September 2021, the Company discontinued development of ABI-H2158 following the observation of elevated alanine transaminase levels in the Phase 2 clinical study consistent with drug-induced hepatotoxicity. Due to the discontinuation of development of ABI-H2158, the maximum cash milestone payments the Company is eligible to receive for VBR and ABI-H3733 is $427.5 million, comprised of up to $97.5 million for development and regulatory milestones and up to $330.0 million in net sales milestones.</w:t>
      </w:r>
    </w:p>
    <w:p>
      <w:pPr>
        <w:spacing w:after="0" w:line="20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BeiGene Agreement is within the scope of the collaborative arrangements guidance as both parties are active participants and are exposed to significant risks and rewards dependent on the success of commercializing the Licensed Product Candidates in the Territory but that the unit of account related to the delivery of Licensed Product Candidates is within the scope of the contract with customers guidance. The remaining units of account related to participation on the JSC and subcommittees, clinical supply and other in Territory and global development activities (the Collaboration Activities) are within the scope of the collaborative arrangements guidance. Commercial supply will be evaluated as a separate contract when the agreement is executed and a purchase order is received from BeiGene.</w:t>
      </w:r>
    </w:p>
    <w:p>
      <w:pPr>
        <w:spacing w:after="0" w:line="20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identified the following material promises related to the contract with customers unit of account under the BeiGene Agreement: 1) the transfer of the VBR License, 2) the transfer of the ABI-H2158 License, and 3) the transfer of the ABI-H3733 License. The Company concluded each of these licenses to be functional as they have significant standalone functionality and grants BeiGene the right to use the Company’s intellectual property as it exists on the effective date of the license. The ABI-H2158 and ABI-H3733 Licenses have a continuing technology transfer obligation that is considered to be an attribute of these licenses. The agreed upon prices for the clinical and commercial supply of the Licensed Product Candidates to BeiGene do not represent material rights, and therefore are not performance obligations, and such pricing on an aggregate basis represents the SSP an entity would typically pay for such a product in that region or market. There are also no minimum purchase commitments.</w:t>
      </w:r>
    </w:p>
    <w:p>
      <w:pPr>
        <w:spacing w:after="0" w:line="19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estimated the SSP of the Licenses using an income-based valuation approach for the estimated value a licensor of the compounds would receive considering the stage of the compound’s development. The Company believes a change in the assumptions used to determine its best estimate of SSP would not have a significant value or significant impact on the allocation of consideration received.</w:t>
      </w:r>
    </w:p>
    <w:p>
      <w:pPr>
        <w:spacing w:after="0" w:line="15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transaction price at the inception of the agreement was limited to the $40.0 million upfront payment. The variable consideration related to the remaining development and commercialization milestone payments has not been included in the transaction price as these were fully constrained as of December 31, 2021 and 2020. As part of the Company’s evaluation of the development and commercialization milestones constraint, the Company determined the achievement of such milestones are contingent upon success in future clinical trials and regulatory approvals which are not within its control and uncertain at this stage. Any variable consideration related to sales-based milestones (including royalties) will be recognized when the related sales occur as they were determined to relate predominantly to the Licensed Product Candidates granted to BeiGene. The Company will reevaluate the transaction price in each reporting period as uncertain events are resolved or other changes in circumstances occur.</w:t>
      </w:r>
    </w:p>
    <w:p>
      <w:pPr>
        <w:spacing w:after="0" w:line="19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During the year ended December 31, 2020, the Company recognized $31.0 million as collaboration revenue for the amount allocated to the VBR License as substantial completion of the license technology transfer had occurred. The remaining transaction price allocated to the ABI-H2158 and ABI-H3733 Licenses of $9.0 million was recorded as a long-term deferred revenue contract liability on the consolidated balance sheet as of December 31, 2020. Following the discontinuation of development of ABI-H2158 in September 2021, the obligation related to the technology transfer associated with the license of ABI-H2158 was considered to be complete. Accordingly, the Company recognized $6.3 million as collaboration revenue for the amount allocated to ABI-H2158 during the year ended December 31, 2021. The remaining transaction price allocated to the ABI-H3733 License of $2.7 million was recorded as a long-term deferred revenue contract liability on the consolidated balance sheet as of December 31, 2021. Revenue for the remaining performance obligation will be recognized when the Company provides pre-Phase 3 clinical study know-how and development results for ABI-H3733 to BeiGene or a termination of the BeiGene Agreement for ABI-H3733.</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88" w:name="page89"/>
    <w:bookmarkEnd w:id="88"/>
    <w:p>
      <w:pPr>
        <w:jc w:val="both"/>
        <w:ind w:right="20"/>
        <w:spacing w:after="0" w:line="263" w:lineRule="auto"/>
        <w:rPr>
          <w:sz w:val="20"/>
          <w:szCs w:val="20"/>
          <w:color w:val="auto"/>
        </w:rPr>
      </w:pPr>
      <w:r>
        <w:rPr>
          <w:rFonts w:ascii="Arial" w:cs="Arial" w:eastAsia="Arial" w:hAnsi="Arial"/>
          <w:sz w:val="18"/>
          <w:szCs w:val="18"/>
          <w:color w:val="auto"/>
        </w:rPr>
        <w:t>Payments to, or reimbursements from, BeiGene related to the Collaboration Activities will be accounted for as an increase to or reduction of research and development expenses when incurred or realized, respectively. During the years ended December 31, 2021 and 2020, the Company did not recognize any increase or reduction of research and development expense under the BeiGene Agreement.</w:t>
      </w:r>
    </w:p>
    <w:p>
      <w:pPr>
        <w:spacing w:after="0" w:line="19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incurred $3.5 million in incremental costs of obtaining the BeiGene Agreement. These contract costs have been capitalized and are being recognized consistent with the pattern of recognition of revenue associated with the Licensed Product Candidates. As of December 31, 2021 and 2020, the remaining unamortized contract costs are $0.2 million and $0.8 million, respectively, and are included in other assets on the consolidated balance sheet.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Arbutus Agreement</w:t>
      </w:r>
    </w:p>
    <w:p>
      <w:pPr>
        <w:spacing w:after="0" w:line="23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August 2020, the Company and Arbutus Biopharma Corporation (Arbutus) entered into a Collaboration Agreement (Arbutus Agreement) to conduct a randomized, multi-center, open-label Phase 2 clinical trial to explore the safety, PK and antiviral activity of the triple combination of VBR, AB-729 and an NrtI compared to the double combinations of VBR with an NrtI and AB-729 with an NrtI. Assembly and Arbutus will share responsibility for the costs of the trial equally, excluding manufacturing supply which will be the burden of each company to supply their respective drugs VBR and AB-729.</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Arbutus Agreement is within the scope of the collaborative arrangements guidance as both parties are active participants and are exposed to significant risks and rewards dependent on the success of the collaborative activity. Arbutus is not a customer as it does not obtain an output from the collaborative activities as they were not provided an exclusive license to VBR or the ability to manufacture VBR, and the Company does not consider performing such collaborative activities to be a part of its ongoing activities.</w:t>
      </w:r>
    </w:p>
    <w:p>
      <w:pPr>
        <w:spacing w:after="0" w:line="160"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revenue from contracts with customers guidance was considered by analogy in determining the unit of account, and the recognition and measurement of such unit of account for collaborative activities under the Arbutus Agreement and concluded there is one activity, to run an open-label Phase 2 clinical trial, which is akin to performance obligation related to collaborative activities. Reimbursements and cost-sharing portions of this performance obligation will be reflected as a reduction of research and development expense when realized in the Company’s consolidated statements of operations, as the Company does not consider performing research and development services for reimbursement to be a part of its ongoing major or central operations. The Company recognized a reduction of research and development expense of $2.0 million and $0.2 million under the Arbutus Agreement during the years ended December 31, 2021 and 2020, respectively.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Antios Agreement</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July 2021, the Company and Antios Therapeutics, Inc. (Antios) entered into a Clinical Trial Collaboration Agreement (the Antios Agreement) to collaborate on a clinical trial of a combination therapy using either or both of the Company’s core inhibitors, VBR and ABI-H2158, and Antios’s active site polymerase inhibitor nucleotide ATI-2173 for the treatment of HBV. Assembly and Antios will individually be responsible for the study’s manufacturing costs but will equally share the remaining costs of the study. The Antios Agreement does not bind either party to conducting a collaboration trial or collaboration trial cohort unless and until a Joint Development Committee (the JDC) formed by both parties decides to initiate a collaboration trial or collaboration trial cohort. Due to the discontinuation of development of ABI-H2158 in September 2021, any study under the Antios Agreement would be with VBR.</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Antios Agreement is within the scope of the collaborative arrangements guidance as both parties are active participants and are exposed to significant risks and rewards dependent on the success of the collaborative activity. Antios is not a customer as it does not obtain an output from the collaborative activities as they were not provided an exclusive license to ABI-H2158 or VBR or the ability to manufacture ABI-H2158 or VBR, and the Company does not consider performing such collaborative activities to be a part of its ongoing activities.</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color w:val="auto"/>
        </w:rPr>
        <w:t>In October 2021, the JDC agreed to initiate a collaboration trial cohort to evaluate a triple combination treatment in patients with chronic HBV infection.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costs incurred during the year ended December 31, 2021.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auto"/>
        </w:rPr>
        <w:t>Note 11 – Milestones and Research Agreements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HBV Research Agreement with Indiana University</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Since September 2013, the Company has been party to an exclusive License Agreement dated September 3, 2013 with Indiana University Research and Technology Corporation (IURTC) from whom it has licensed aspects of the Company’s HBV program held by IURTC. The license agreement requires the Company to make milestone payments based upon the successful accomplishment of clinical and regulatory milestones. The aggregate amount of all performance milestone payments under the IURTC license agreement, should all milestones through development be met, is $0.8 million, with a portion related to the first performance milestone having been paid. The Company is obligated to pay IURTC royalty payments based on net sales of the licensed technology as well as a portion of any sublicensing revenue Assembly receives. The Company is also required to pay diligence maintenance fees each year to the extent that the royalty, sublicensing, and milestone payments to IURTC are less than the diligence maintenance fee for that year. A performance milestone totaling $0.1 million was determined to have occurred under this agreement and was paid during the year ended December 31, 2020. Additionally, the Company paid IURTC $0.7 million as a sublicensing fee during the year ended December 31, 2020. No milestone payments were incurred or accrued under the License Agreement during the year ended December 31, 2021. The milestone and license fees are included in research and development expenses in the consolidated statements of operations and comprehensive loss.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Microbiome Targeted Colonic Delivery Platform</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November 2013, the Company entered into a License and Collaboration Agreement with Therabiome, LLC (Therabiome), for all intellectual property and know-how owned or controlled by Therabiome relating to the oral delivery of pharmaceutical drugs to specific sites in the intestine, using a pH sensitive controlled release capsule-in-capsule technology. The Company will be solely responsible for all research and development activities with respect to any product it develops under the license.</w:t>
      </w:r>
    </w:p>
    <w:p>
      <w:pPr>
        <w:spacing w:after="0" w:line="16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was obligated to pay Therabiome clinical and regulatory milestones for each product or therapy advanced from the platform for U.S. regulatory milestones. In addition, the Company was obligated to pay Therabiome lesser amounts for foreign regulatory milestones, which varied by country and region. The Company was also required to pay Therabiome royalties on annual net sales of a product in the low to mid-single digit percentages plus, once annual net sales exceeded certain thresholds, a one-time cash payment upon reaching such thresholds.</w:t>
      </w:r>
    </w:p>
    <w:p>
      <w:pPr>
        <w:spacing w:after="0" w:line="13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Therabiome was obligated to pay the Company royalties on annual net sales of any product Therabiome was permitted to develop using the intellectual property in the low double to mid-double-digit percentages, depending on the level of development or involvement the Company had in the product.</w:t>
      </w:r>
    </w:p>
    <w:p>
      <w:pPr>
        <w:spacing w:after="0" w:line="8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No amounts were incurred or accrued for this agreement as of and for the years ended December 31, 2021 and 2020. In connection with the wind-down of the Microbiome program, the License and Collaboration Agreement with Therabiome was terminated in January 2021, and the termination became effective in April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Door Agreement</w:t>
      </w:r>
    </w:p>
    <w:p>
      <w:pPr>
        <w:spacing w:after="0" w:line="19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November 2020, the Company and Door Pharmaceuticals, LLC (Door Pharma) entered into an exclusive, two-year Collaboration Agreement and Sublicense Agreement (collectively, the Door Pharma Agreement) focused on the development of a novel class of HBV inhibitors. Under the terms of the agreement, Door Pharma will build upon its previous efforts to lead and conduct new discovery research, which the Company will fund. In return for an up-front payment of $1.8 million, success-based milestones up to $35.0 million, exercise and annual fees ranging from $0.1 million to $2.0 million and royalties in the low to mid-single digits, the Company will be granted an exclusive option to license compounds arising from the collaboration and will be responsible for the continued development and commercialization of optioned compounds.</w:t>
      </w:r>
    </w:p>
    <w:p>
      <w:pPr>
        <w:spacing w:after="0" w:line="13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years ended December 31, 2021 and 2020, the Company incurred research and development funding of $1.8 million and $0.3 million, respectively. Additionally, a performance milestone totaling $0.2 million was determined to have occurred under this agreement and was paid during the year ended December 31, 2021.</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90" w:name="page91"/>
    <w:bookmarkEnd w:id="90"/>
    <w:p>
      <w:pPr>
        <w:jc w:val="both"/>
        <w:spacing w:after="0" w:line="259" w:lineRule="auto"/>
        <w:rPr>
          <w:sz w:val="20"/>
          <w:szCs w:val="20"/>
          <w:color w:val="auto"/>
        </w:rPr>
      </w:pPr>
      <w:r>
        <w:rPr>
          <w:rFonts w:ascii="Arial" w:cs="Arial" w:eastAsia="Arial" w:hAnsi="Arial"/>
          <w:sz w:val="18"/>
          <w:szCs w:val="18"/>
          <w:color w:val="auto"/>
        </w:rPr>
        <w:t>Under the consolidation accounting standard, the Company determined that Door Pharma is a VIE. The Company does not have the power to direct the activities that most significantly affect the economic performance of Door Pharma and as such the Company is not the primary beneficiary and consolidation is not required. As of December 31, 2021, the Company has not provided financial or other support to Door Pharma that was not contractually required.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80" w:type="dxa"/>
            <w:vAlign w:val="bottom"/>
          </w:tcPr>
          <w:p>
            <w:pPr>
              <w:spacing w:after="0"/>
              <w:rPr>
                <w:sz w:val="20"/>
                <w:szCs w:val="20"/>
                <w:color w:val="auto"/>
              </w:rPr>
            </w:pPr>
            <w:r>
              <w:rPr>
                <w:rFonts w:ascii="Arial" w:cs="Arial" w:eastAsia="Arial" w:hAnsi="Arial"/>
                <w:sz w:val="18"/>
                <w:szCs w:val="18"/>
                <w:b w:val="1"/>
                <w:bCs w:val="1"/>
                <w:color w:val="auto"/>
              </w:rPr>
              <w:t>Note 12 - Income Taxes</w:t>
            </w:r>
          </w:p>
        </w:tc>
        <w:tc>
          <w:tcPr>
            <w:tcW w:w="1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5480" w:type="dxa"/>
            <w:vAlign w:val="bottom"/>
          </w:tcPr>
          <w:p>
            <w:pPr>
              <w:spacing w:after="0"/>
              <w:rPr>
                <w:sz w:val="20"/>
                <w:szCs w:val="20"/>
                <w:color w:val="auto"/>
              </w:rPr>
            </w:pPr>
            <w:r>
              <w:rPr>
                <w:rFonts w:ascii="Arial" w:cs="Arial" w:eastAsia="Arial" w:hAnsi="Arial"/>
                <w:sz w:val="18"/>
                <w:szCs w:val="18"/>
                <w:color w:val="auto"/>
              </w:rPr>
              <w:t>Income tax benefit is as follows (in thousands):</w:t>
            </w:r>
          </w:p>
        </w:tc>
        <w:tc>
          <w:tcPr>
            <w:tcW w:w="1800" w:type="dxa"/>
            <w:vAlign w:val="bottom"/>
          </w:tcPr>
          <w:p>
            <w:pPr>
              <w:spacing w:after="0"/>
              <w:rPr>
                <w:sz w:val="24"/>
                <w:szCs w:val="24"/>
                <w:color w:val="auto"/>
              </w:rPr>
            </w:pPr>
          </w:p>
        </w:tc>
        <w:tc>
          <w:tcPr>
            <w:tcW w:w="2040" w:type="dxa"/>
            <w:vAlign w:val="bottom"/>
            <w:gridSpan w:val="3"/>
            <w:vMerge w:val="restart"/>
          </w:tcPr>
          <w:p>
            <w:pPr>
              <w:jc w:val="right"/>
              <w:ind w:right="190"/>
              <w:spacing w:after="0"/>
              <w:rPr>
                <w:sz w:val="20"/>
                <w:szCs w:val="20"/>
                <w:color w:val="auto"/>
              </w:rPr>
            </w:pPr>
            <w:r>
              <w:rPr>
                <w:rFonts w:ascii="Arial" w:cs="Arial" w:eastAsia="Arial" w:hAnsi="Arial"/>
                <w:sz w:val="18"/>
                <w:szCs w:val="18"/>
                <w:b w:val="1"/>
                <w:bCs w:val="1"/>
                <w:color w:val="auto"/>
              </w:rPr>
              <w:t>As of December 31,</w:t>
            </w: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480" w:type="dxa"/>
            <w:vAlign w:val="bottom"/>
          </w:tcPr>
          <w:p>
            <w:pPr>
              <w:spacing w:after="0"/>
              <w:rPr>
                <w:sz w:val="19"/>
                <w:szCs w:val="19"/>
                <w:color w:val="auto"/>
              </w:rPr>
            </w:pPr>
          </w:p>
        </w:tc>
        <w:tc>
          <w:tcPr>
            <w:tcW w:w="180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gridSpan w:val="3"/>
            <w:vMerge w:val="continue"/>
          </w:tcPr>
          <w:p>
            <w:pPr>
              <w:spacing w:after="0"/>
              <w:rPr>
                <w:sz w:val="19"/>
                <w:szCs w:val="19"/>
                <w:color w:val="auto"/>
              </w:rPr>
            </w:pPr>
          </w:p>
        </w:tc>
        <w:tc>
          <w:tcPr>
            <w:tcW w:w="18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bottom w:val="single" w:sz="8" w:color="CFF0FC"/>
            </w:tcBorders>
          </w:tcPr>
          <w:p>
            <w:pPr>
              <w:spacing w:after="0"/>
              <w:rPr>
                <w:sz w:val="19"/>
                <w:szCs w:val="19"/>
                <w:color w:val="auto"/>
              </w:rPr>
            </w:pPr>
          </w:p>
        </w:tc>
        <w:tc>
          <w:tcPr>
            <w:tcW w:w="18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880" w:type="dxa"/>
            <w:vAlign w:val="bottom"/>
            <w:tcBorders>
              <w:bottom w:val="single" w:sz="8" w:color="auto"/>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Federal:</w:t>
            </w:r>
          </w:p>
        </w:tc>
        <w:tc>
          <w:tcPr>
            <w:tcW w:w="18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tcPr>
          <w:p>
            <w:pPr>
              <w:ind w:left="100"/>
              <w:spacing w:after="0"/>
              <w:rPr>
                <w:sz w:val="20"/>
                <w:szCs w:val="20"/>
                <w:color w:val="auto"/>
              </w:rPr>
            </w:pPr>
            <w:r>
              <w:rPr>
                <w:rFonts w:ascii="Arial" w:cs="Arial" w:eastAsia="Arial" w:hAnsi="Arial"/>
                <w:sz w:val="18"/>
                <w:szCs w:val="18"/>
                <w:color w:val="auto"/>
              </w:rPr>
              <w:t>Current</w:t>
            </w:r>
          </w:p>
        </w:tc>
        <w:tc>
          <w:tcPr>
            <w:tcW w:w="18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920" w:type="dxa"/>
            <w:vAlign w:val="bottom"/>
            <w:gridSpan w:val="2"/>
          </w:tcPr>
          <w:p>
            <w:pPr>
              <w:ind w:left="1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480" w:type="dxa"/>
            <w:vAlign w:val="bottom"/>
            <w:shd w:val="clear" w:color="auto" w:fill="CFF0FC"/>
          </w:tcPr>
          <w:p>
            <w:pPr>
              <w:ind w:left="100"/>
              <w:spacing w:after="0"/>
              <w:rPr>
                <w:sz w:val="20"/>
                <w:szCs w:val="20"/>
                <w:color w:val="auto"/>
              </w:rPr>
            </w:pPr>
            <w:r>
              <w:rPr>
                <w:rFonts w:ascii="Arial" w:cs="Arial" w:eastAsia="Arial" w:hAnsi="Arial"/>
                <w:sz w:val="18"/>
                <w:szCs w:val="18"/>
                <w:color w:val="auto"/>
              </w:rPr>
              <w:t>Deferred</w:t>
            </w:r>
          </w:p>
        </w:tc>
        <w:tc>
          <w:tcPr>
            <w:tcW w:w="18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1,160</w:t>
            </w: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920" w:type="dxa"/>
            <w:vAlign w:val="bottom"/>
            <w:gridSpan w:val="2"/>
            <w:shd w:val="clear" w:color="auto" w:fill="CFF0FC"/>
          </w:tcPr>
          <w:p>
            <w:pPr>
              <w:ind w:left="1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480" w:type="dxa"/>
            <w:vAlign w:val="bottom"/>
          </w:tcPr>
          <w:p>
            <w:pPr>
              <w:spacing w:after="0"/>
              <w:rPr>
                <w:sz w:val="19"/>
                <w:szCs w:val="19"/>
                <w:color w:val="auto"/>
              </w:rPr>
            </w:pPr>
          </w:p>
        </w:tc>
        <w:tc>
          <w:tcPr>
            <w:tcW w:w="1800" w:type="dxa"/>
            <w:vAlign w:val="bottom"/>
            <w:tcBorders>
              <w:top w:val="single" w:sz="8" w:color="auto"/>
            </w:tcBorders>
          </w:tcPr>
          <w:p>
            <w:pPr>
              <w:jc w:val="right"/>
              <w:ind w:right="16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1,160</w:t>
            </w:r>
          </w:p>
        </w:tc>
        <w:tc>
          <w:tcPr>
            <w:tcW w:w="280" w:type="dxa"/>
            <w:vAlign w:val="bottom"/>
          </w:tcPr>
          <w:p>
            <w:pPr>
              <w:spacing w:after="0"/>
              <w:rPr>
                <w:sz w:val="19"/>
                <w:szCs w:val="19"/>
                <w:color w:val="auto"/>
              </w:rPr>
            </w:pPr>
          </w:p>
        </w:tc>
        <w:tc>
          <w:tcPr>
            <w:tcW w:w="880" w:type="dxa"/>
            <w:vAlign w:val="bottom"/>
            <w:tcBorders>
              <w:top w:val="single" w:sz="8" w:color="auto"/>
            </w:tcBorders>
          </w:tcPr>
          <w:p>
            <w:pPr>
              <w:jc w:val="right"/>
              <w:ind w:right="690"/>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tcBorders>
          </w:tcPr>
          <w:p>
            <w:pPr>
              <w:ind w:left="162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State:</w:t>
            </w:r>
          </w:p>
        </w:tc>
        <w:tc>
          <w:tcPr>
            <w:tcW w:w="18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tcPr>
          <w:p>
            <w:pPr>
              <w:ind w:left="100"/>
              <w:spacing w:after="0"/>
              <w:rPr>
                <w:sz w:val="20"/>
                <w:szCs w:val="20"/>
                <w:color w:val="auto"/>
              </w:rPr>
            </w:pPr>
            <w:r>
              <w:rPr>
                <w:rFonts w:ascii="Arial" w:cs="Arial" w:eastAsia="Arial" w:hAnsi="Arial"/>
                <w:sz w:val="18"/>
                <w:szCs w:val="18"/>
                <w:color w:val="auto"/>
              </w:rPr>
              <w:t>Current</w:t>
            </w:r>
          </w:p>
        </w:tc>
        <w:tc>
          <w:tcPr>
            <w:tcW w:w="18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920" w:type="dxa"/>
            <w:vAlign w:val="bottom"/>
            <w:gridSpan w:val="2"/>
          </w:tcPr>
          <w:p>
            <w:pPr>
              <w:ind w:left="1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480" w:type="dxa"/>
            <w:vAlign w:val="bottom"/>
            <w:shd w:val="clear" w:color="auto" w:fill="CFF0FC"/>
          </w:tcPr>
          <w:p>
            <w:pPr>
              <w:ind w:left="100"/>
              <w:spacing w:after="0"/>
              <w:rPr>
                <w:sz w:val="20"/>
                <w:szCs w:val="20"/>
                <w:color w:val="auto"/>
              </w:rPr>
            </w:pPr>
            <w:r>
              <w:rPr>
                <w:rFonts w:ascii="Arial" w:cs="Arial" w:eastAsia="Arial" w:hAnsi="Arial"/>
                <w:sz w:val="18"/>
                <w:szCs w:val="18"/>
                <w:color w:val="auto"/>
              </w:rPr>
              <w:t>Deferred</w:t>
            </w:r>
          </w:p>
        </w:tc>
        <w:tc>
          <w:tcPr>
            <w:tcW w:w="18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1,371</w:t>
            </w: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920" w:type="dxa"/>
            <w:vAlign w:val="bottom"/>
            <w:gridSpan w:val="2"/>
            <w:shd w:val="clear" w:color="auto" w:fill="CFF0FC"/>
          </w:tcPr>
          <w:p>
            <w:pPr>
              <w:ind w:left="1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480" w:type="dxa"/>
            <w:vAlign w:val="bottom"/>
            <w:tcBorders>
              <w:bottom w:val="single" w:sz="8" w:color="CFF0FC"/>
            </w:tcBorders>
          </w:tcPr>
          <w:p>
            <w:pPr>
              <w:spacing w:after="0"/>
              <w:rPr>
                <w:sz w:val="19"/>
                <w:szCs w:val="19"/>
                <w:color w:val="auto"/>
              </w:rPr>
            </w:pPr>
          </w:p>
        </w:tc>
        <w:tc>
          <w:tcPr>
            <w:tcW w:w="1800" w:type="dxa"/>
            <w:vAlign w:val="bottom"/>
            <w:tcBorders>
              <w:top w:val="single" w:sz="8" w:color="auto"/>
              <w:bottom w:val="single" w:sz="8" w:color="auto"/>
            </w:tcBorders>
          </w:tcPr>
          <w:p>
            <w:pPr>
              <w:jc w:val="right"/>
              <w:ind w:right="16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1,371</w:t>
            </w:r>
          </w:p>
        </w:tc>
        <w:tc>
          <w:tcPr>
            <w:tcW w:w="280" w:type="dxa"/>
            <w:vAlign w:val="bottom"/>
            <w:tcBorders>
              <w:bottom w:val="single" w:sz="8" w:color="CFF0FC"/>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bottom w:val="single" w:sz="8" w:color="auto"/>
            </w:tcBorders>
          </w:tcPr>
          <w:p>
            <w:pPr>
              <w:ind w:left="162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tax benefit</w:t>
            </w:r>
          </w:p>
        </w:tc>
        <w:tc>
          <w:tcPr>
            <w:tcW w:w="1800" w:type="dxa"/>
            <w:vAlign w:val="bottom"/>
            <w:tcBorders>
              <w:bottom w:val="single" w:sz="8" w:color="auto"/>
            </w:tcBorders>
            <w:shd w:val="clear" w:color="auto" w:fill="CFF0FC"/>
          </w:tcPr>
          <w:p>
            <w:pPr>
              <w:jc w:val="right"/>
              <w:ind w:right="16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2,531</w:t>
            </w:r>
          </w:p>
        </w:tc>
        <w:tc>
          <w:tcPr>
            <w:tcW w:w="28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69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shd w:val="clear" w:color="auto" w:fill="CFF0FC"/>
          </w:tcPr>
          <w:p>
            <w:pPr>
              <w:ind w:left="162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60" w:type="dxa"/>
            <w:vAlign w:val="bottom"/>
            <w:gridSpan w:val="4"/>
          </w:tcPr>
          <w:p>
            <w:pPr>
              <w:spacing w:after="0"/>
              <w:rPr>
                <w:sz w:val="20"/>
                <w:szCs w:val="20"/>
                <w:color w:val="auto"/>
              </w:rPr>
            </w:pPr>
            <w:r>
              <w:rPr>
                <w:rFonts w:ascii="Arial" w:cs="Arial" w:eastAsia="Arial" w:hAnsi="Arial"/>
                <w:sz w:val="18"/>
                <w:szCs w:val="18"/>
                <w:color w:val="auto"/>
              </w:rPr>
              <w:t>The effective tax rate of our provision for income taxes differs from the federal statutory rate as follows:</w:t>
            </w:r>
          </w:p>
        </w:tc>
        <w:tc>
          <w:tcPr>
            <w:tcW w:w="1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5400" w:type="dxa"/>
            <w:vAlign w:val="bottom"/>
          </w:tcPr>
          <w:p>
            <w:pPr>
              <w:spacing w:after="0"/>
              <w:rPr>
                <w:sz w:val="24"/>
                <w:szCs w:val="24"/>
                <w:color w:val="auto"/>
              </w:rPr>
            </w:pPr>
          </w:p>
        </w:tc>
        <w:tc>
          <w:tcPr>
            <w:tcW w:w="3860" w:type="dxa"/>
            <w:vAlign w:val="bottom"/>
            <w:tcBorders>
              <w:bottom w:val="single" w:sz="8" w:color="auto"/>
            </w:tcBorders>
            <w:gridSpan w:val="3"/>
          </w:tcPr>
          <w:p>
            <w:pPr>
              <w:ind w:left="2080"/>
              <w:spacing w:after="0"/>
              <w:rPr>
                <w:sz w:val="20"/>
                <w:szCs w:val="20"/>
                <w:color w:val="auto"/>
              </w:rPr>
            </w:pPr>
            <w:r>
              <w:rPr>
                <w:rFonts w:ascii="Arial" w:cs="Arial" w:eastAsia="Arial" w:hAnsi="Arial"/>
                <w:sz w:val="18"/>
                <w:szCs w:val="18"/>
                <w:b w:val="1"/>
                <w:bCs w:val="1"/>
                <w:color w:val="auto"/>
              </w:rPr>
              <w:t>As of December 31,</w:t>
            </w:r>
          </w:p>
        </w:tc>
        <w:tc>
          <w:tcPr>
            <w:tcW w:w="180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400" w:type="dxa"/>
            <w:vAlign w:val="bottom"/>
            <w:tcBorders>
              <w:bottom w:val="single" w:sz="8" w:color="CFF0FC"/>
            </w:tcBorders>
          </w:tcPr>
          <w:p>
            <w:pPr>
              <w:spacing w:after="0"/>
              <w:rPr>
                <w:sz w:val="19"/>
                <w:szCs w:val="19"/>
                <w:color w:val="auto"/>
              </w:rPr>
            </w:pPr>
          </w:p>
        </w:tc>
        <w:tc>
          <w:tcPr>
            <w:tcW w:w="2660" w:type="dxa"/>
            <w:vAlign w:val="bottom"/>
            <w:tcBorders>
              <w:bottom w:val="single" w:sz="8" w:color="auto"/>
            </w:tcBorders>
          </w:tcPr>
          <w:p>
            <w:pPr>
              <w:jc w:val="right"/>
              <w:ind w:right="1050"/>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107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Statutory federal income tax rate</w:t>
            </w:r>
          </w:p>
        </w:tc>
        <w:tc>
          <w:tcPr>
            <w:tcW w:w="30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21.0%</w:t>
            </w:r>
          </w:p>
        </w:tc>
        <w:tc>
          <w:tcPr>
            <w:tcW w:w="860" w:type="dxa"/>
            <w:vAlign w:val="bottom"/>
            <w:shd w:val="clear" w:color="auto" w:fill="CFF0FC"/>
          </w:tcPr>
          <w:p>
            <w:pPr>
              <w:spacing w:after="0"/>
              <w:rPr>
                <w:sz w:val="19"/>
                <w:szCs w:val="19"/>
                <w:color w:val="auto"/>
              </w:rPr>
            </w:pPr>
          </w:p>
        </w:tc>
        <w:tc>
          <w:tcPr>
            <w:tcW w:w="1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State taxes, net of federal tax benefit</w:t>
            </w:r>
          </w:p>
        </w:tc>
        <w:tc>
          <w:tcPr>
            <w:tcW w:w="2660" w:type="dxa"/>
            <w:vAlign w:val="bottom"/>
          </w:tcPr>
          <w:p>
            <w:pPr>
              <w:jc w:val="right"/>
              <w:spacing w:after="0"/>
              <w:rPr>
                <w:sz w:val="20"/>
                <w:szCs w:val="20"/>
                <w:color w:val="auto"/>
              </w:rPr>
            </w:pPr>
            <w:r>
              <w:rPr>
                <w:rFonts w:ascii="Arial" w:cs="Arial" w:eastAsia="Arial" w:hAnsi="Arial"/>
                <w:sz w:val="18"/>
                <w:szCs w:val="18"/>
                <w:color w:val="auto"/>
              </w:rPr>
              <w:t>5.8</w:t>
            </w: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6.1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tax credits</w:t>
            </w:r>
          </w:p>
        </w:tc>
        <w:tc>
          <w:tcPr>
            <w:tcW w:w="2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3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Return to provision adjustments</w:t>
            </w:r>
          </w:p>
        </w:tc>
        <w:tc>
          <w:tcPr>
            <w:tcW w:w="3000" w:type="dxa"/>
            <w:vAlign w:val="bottom"/>
            <w:gridSpan w:val="2"/>
          </w:tcPr>
          <w:p>
            <w:pPr>
              <w:jc w:val="right"/>
              <w:ind w:right="280"/>
              <w:spacing w:after="0"/>
              <w:rPr>
                <w:sz w:val="20"/>
                <w:szCs w:val="20"/>
                <w:color w:val="auto"/>
              </w:rPr>
            </w:pPr>
            <w:r>
              <w:rPr>
                <w:rFonts w:ascii="Arial" w:cs="Arial" w:eastAsia="Arial" w:hAnsi="Arial"/>
                <w:sz w:val="18"/>
                <w:szCs w:val="18"/>
                <w:color w:val="auto"/>
              </w:rPr>
              <w:t>(0.2)</w:t>
            </w:r>
          </w:p>
        </w:tc>
        <w:tc>
          <w:tcPr>
            <w:tcW w:w="8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30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(0.6)</w:t>
            </w:r>
          </w:p>
        </w:tc>
        <w:tc>
          <w:tcPr>
            <w:tcW w:w="860" w:type="dxa"/>
            <w:vAlign w:val="bottom"/>
            <w:shd w:val="clear" w:color="auto" w:fill="CFF0FC"/>
          </w:tcPr>
          <w:p>
            <w:pPr>
              <w:spacing w:after="0"/>
              <w:rPr>
                <w:sz w:val="19"/>
                <w:szCs w:val="19"/>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tcPr>
          <w:p>
            <w:pPr>
              <w:spacing w:after="0"/>
              <w:rPr>
                <w:sz w:val="20"/>
                <w:szCs w:val="20"/>
                <w:color w:val="auto"/>
              </w:rPr>
            </w:pPr>
            <w:r>
              <w:rPr>
                <w:rFonts w:ascii="Arial" w:cs="Arial" w:eastAsia="Arial" w:hAnsi="Arial"/>
                <w:sz w:val="18"/>
                <w:szCs w:val="18"/>
                <w:color w:val="auto"/>
              </w:rPr>
              <w:t>Uncertain tax positions</w:t>
            </w:r>
          </w:p>
        </w:tc>
        <w:tc>
          <w:tcPr>
            <w:tcW w:w="3000" w:type="dxa"/>
            <w:vAlign w:val="bottom"/>
            <w:gridSpan w:val="2"/>
          </w:tcPr>
          <w:p>
            <w:pPr>
              <w:jc w:val="right"/>
              <w:ind w:right="280"/>
              <w:spacing w:after="0"/>
              <w:rPr>
                <w:sz w:val="20"/>
                <w:szCs w:val="20"/>
                <w:color w:val="auto"/>
              </w:rPr>
            </w:pPr>
            <w:r>
              <w:rPr>
                <w:rFonts w:ascii="Arial" w:cs="Arial" w:eastAsia="Arial" w:hAnsi="Arial"/>
                <w:sz w:val="18"/>
                <w:szCs w:val="18"/>
                <w:color w:val="auto"/>
              </w:rPr>
              <w:t>(0.5)</w:t>
            </w:r>
          </w:p>
        </w:tc>
        <w:tc>
          <w:tcPr>
            <w:tcW w:w="8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Impairment of goodwill</w:t>
            </w:r>
          </w:p>
        </w:tc>
        <w:tc>
          <w:tcPr>
            <w:tcW w:w="30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(2.0)</w:t>
            </w:r>
          </w:p>
        </w:tc>
        <w:tc>
          <w:tcPr>
            <w:tcW w:w="860" w:type="dxa"/>
            <w:vAlign w:val="bottom"/>
            <w:shd w:val="clear" w:color="auto" w:fill="CFF0FC"/>
          </w:tcPr>
          <w:p>
            <w:pPr>
              <w:spacing w:after="0"/>
              <w:rPr>
                <w:sz w:val="19"/>
                <w:szCs w:val="19"/>
                <w:color w:val="auto"/>
              </w:rPr>
            </w:pPr>
          </w:p>
        </w:tc>
        <w:tc>
          <w:tcPr>
            <w:tcW w:w="19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3000" w:type="dxa"/>
            <w:vAlign w:val="bottom"/>
            <w:gridSpan w:val="2"/>
          </w:tcPr>
          <w:p>
            <w:pPr>
              <w:jc w:val="right"/>
              <w:ind w:right="280"/>
              <w:spacing w:after="0"/>
              <w:rPr>
                <w:sz w:val="20"/>
                <w:szCs w:val="20"/>
                <w:color w:val="auto"/>
              </w:rPr>
            </w:pPr>
            <w:r>
              <w:rPr>
                <w:rFonts w:ascii="Arial" w:cs="Arial" w:eastAsia="Arial" w:hAnsi="Arial"/>
                <w:sz w:val="18"/>
                <w:szCs w:val="18"/>
                <w:color w:val="auto"/>
              </w:rPr>
              <w:t>(4.5)</w:t>
            </w:r>
          </w:p>
        </w:tc>
        <w:tc>
          <w:tcPr>
            <w:tcW w:w="8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0.7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Change in valuation allowance</w:t>
            </w:r>
          </w:p>
        </w:tc>
        <w:tc>
          <w:tcPr>
            <w:tcW w:w="30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(19.4)</w:t>
            </w:r>
          </w:p>
        </w:tc>
        <w:tc>
          <w:tcPr>
            <w:tcW w:w="860" w:type="dxa"/>
            <w:vAlign w:val="bottom"/>
            <w:shd w:val="clear" w:color="auto" w:fill="CFF0FC"/>
          </w:tcPr>
          <w:p>
            <w:pPr>
              <w:spacing w:after="0"/>
              <w:rPr>
                <w:sz w:val="19"/>
                <w:szCs w:val="19"/>
                <w:color w:val="auto"/>
              </w:rPr>
            </w:pPr>
          </w:p>
        </w:tc>
        <w:tc>
          <w:tcPr>
            <w:tcW w:w="19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Arial" w:cs="Arial" w:eastAsia="Arial" w:hAnsi="Arial"/>
                <w:sz w:val="18"/>
                <w:szCs w:val="18"/>
                <w:color w:val="auto"/>
              </w:rPr>
              <w:t>Income taxes benefit</w:t>
            </w:r>
          </w:p>
        </w:tc>
        <w:tc>
          <w:tcPr>
            <w:tcW w:w="26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400" w:type="dxa"/>
            <w:vAlign w:val="bottom"/>
            <w:vMerge w:val="continue"/>
          </w:tcPr>
          <w:p>
            <w:pPr>
              <w:spacing w:after="0"/>
              <w:rPr>
                <w:sz w:val="19"/>
                <w:szCs w:val="19"/>
                <w:color w:val="auto"/>
              </w:rPr>
            </w:pPr>
          </w:p>
        </w:tc>
        <w:tc>
          <w:tcPr>
            <w:tcW w:w="3000" w:type="dxa"/>
            <w:vAlign w:val="bottom"/>
            <w:gridSpan w:val="2"/>
          </w:tcPr>
          <w:p>
            <w:pPr>
              <w:jc w:val="right"/>
              <w:ind w:right="180"/>
              <w:spacing w:after="0"/>
              <w:rPr>
                <w:sz w:val="20"/>
                <w:szCs w:val="20"/>
                <w:color w:val="auto"/>
              </w:rPr>
            </w:pPr>
            <w:r>
              <w:rPr>
                <w:rFonts w:ascii="Arial" w:cs="Arial" w:eastAsia="Arial" w:hAnsi="Arial"/>
                <w:sz w:val="18"/>
                <w:szCs w:val="18"/>
                <w:color w:val="auto"/>
              </w:rPr>
              <w:t>1.9%</w:t>
            </w:r>
          </w:p>
        </w:tc>
        <w:tc>
          <w:tcPr>
            <w:tcW w:w="860" w:type="dxa"/>
            <w:vAlign w:val="bottom"/>
          </w:tcPr>
          <w:p>
            <w:pPr>
              <w:spacing w:after="0"/>
              <w:rPr>
                <w:sz w:val="19"/>
                <w:szCs w:val="19"/>
                <w:color w:val="auto"/>
              </w:rPr>
            </w:pPr>
          </w:p>
        </w:tc>
        <w:tc>
          <w:tcPr>
            <w:tcW w:w="198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2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5400" w:type="dxa"/>
            <w:vAlign w:val="bottom"/>
          </w:tcPr>
          <w:p>
            <w:pPr>
              <w:spacing w:after="0"/>
              <w:rPr>
                <w:sz w:val="24"/>
                <w:szCs w:val="24"/>
                <w:color w:val="auto"/>
              </w:rPr>
            </w:pPr>
          </w:p>
        </w:tc>
        <w:tc>
          <w:tcPr>
            <w:tcW w:w="3860" w:type="dxa"/>
            <w:vAlign w:val="bottom"/>
            <w:gridSpan w:val="3"/>
          </w:tcPr>
          <w:p>
            <w:pPr>
              <w:ind w:left="60"/>
              <w:spacing w:after="0"/>
              <w:rPr>
                <w:sz w:val="20"/>
                <w:szCs w:val="20"/>
                <w:color w:val="auto"/>
              </w:rPr>
            </w:pPr>
            <w:r>
              <w:rPr>
                <w:rFonts w:ascii="Arial" w:cs="Arial" w:eastAsia="Arial" w:hAnsi="Arial"/>
                <w:sz w:val="18"/>
                <w:szCs w:val="18"/>
                <w:color w:val="auto"/>
              </w:rPr>
              <w:t>F-33</w:t>
            </w:r>
          </w:p>
        </w:tc>
        <w:tc>
          <w:tcPr>
            <w:tcW w:w="1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400" w:type="dxa"/>
            <w:vAlign w:val="bottom"/>
            <w:tcBorders>
              <w:bottom w:val="single" w:sz="8" w:color="9A9A9A"/>
            </w:tcBorders>
          </w:tcPr>
          <w:p>
            <w:pPr>
              <w:spacing w:after="0"/>
              <w:rPr>
                <w:sz w:val="10"/>
                <w:szCs w:val="10"/>
                <w:color w:val="auto"/>
              </w:rPr>
            </w:pPr>
          </w:p>
        </w:tc>
        <w:tc>
          <w:tcPr>
            <w:tcW w:w="26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color w:val="auto"/>
        </w:rPr>
        <w:t>Significant components of the Company’s deferred taxes are as follows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80" w:type="dxa"/>
            <w:vAlign w:val="bottom"/>
          </w:tcPr>
          <w:p>
            <w:pPr>
              <w:spacing w:after="0"/>
              <w:rPr>
                <w:sz w:val="20"/>
                <w:szCs w:val="20"/>
                <w:color w:val="auto"/>
              </w:rPr>
            </w:pPr>
          </w:p>
        </w:tc>
        <w:tc>
          <w:tcPr>
            <w:tcW w:w="178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4"/>
          </w:tcPr>
          <w:p>
            <w:pPr>
              <w:jc w:val="right"/>
              <w:ind w:right="190"/>
              <w:spacing w:after="0"/>
              <w:rPr>
                <w:sz w:val="20"/>
                <w:szCs w:val="20"/>
                <w:color w:val="auto"/>
              </w:rPr>
            </w:pPr>
            <w:r>
              <w:rPr>
                <w:rFonts w:ascii="Arial" w:cs="Arial" w:eastAsia="Arial" w:hAnsi="Arial"/>
                <w:sz w:val="18"/>
                <w:szCs w:val="18"/>
                <w:b w:val="1"/>
                <w:bCs w:val="1"/>
                <w:color w:val="auto"/>
              </w:rPr>
              <w:t>As of December 31,</w:t>
            </w:r>
          </w:p>
        </w:tc>
        <w:tc>
          <w:tcPr>
            <w:tcW w:w="1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480" w:type="dxa"/>
            <w:vAlign w:val="bottom"/>
            <w:tcBorders>
              <w:bottom w:val="single" w:sz="8" w:color="CFF0FC"/>
            </w:tcBorders>
          </w:tcPr>
          <w:p>
            <w:pPr>
              <w:spacing w:after="0"/>
              <w:rPr>
                <w:sz w:val="19"/>
                <w:szCs w:val="19"/>
                <w:color w:val="auto"/>
              </w:rPr>
            </w:pPr>
          </w:p>
        </w:tc>
        <w:tc>
          <w:tcPr>
            <w:tcW w:w="17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900" w:type="dxa"/>
            <w:vAlign w:val="bottom"/>
            <w:tcBorders>
              <w:bottom w:val="single" w:sz="8" w:color="auto"/>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10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FF0FC"/>
            </w:tcBorders>
          </w:tcPr>
          <w:p>
            <w:pPr>
              <w:spacing w:after="0"/>
              <w:rPr>
                <w:sz w:val="19"/>
                <w:szCs w:val="19"/>
                <w:color w:val="auto"/>
              </w:rPr>
            </w:pPr>
          </w:p>
        </w:tc>
      </w:tr>
      <w:tr>
        <w:trPr>
          <w:trHeight w:val="223"/>
        </w:trPr>
        <w:tc>
          <w:tcPr>
            <w:tcW w:w="54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Deferred tax assets:</w:t>
            </w:r>
          </w:p>
        </w:tc>
        <w:tc>
          <w:tcPr>
            <w:tcW w:w="17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480" w:type="dxa"/>
            <w:vAlign w:val="bottom"/>
          </w:tcPr>
          <w:p>
            <w:pPr>
              <w:ind w:left="260"/>
              <w:spacing w:after="0"/>
              <w:rPr>
                <w:sz w:val="20"/>
                <w:szCs w:val="20"/>
                <w:color w:val="auto"/>
              </w:rPr>
            </w:pPr>
            <w:r>
              <w:rPr>
                <w:rFonts w:ascii="Arial" w:cs="Arial" w:eastAsia="Arial" w:hAnsi="Arial"/>
                <w:sz w:val="18"/>
                <w:szCs w:val="18"/>
                <w:color w:val="auto"/>
              </w:rPr>
              <w:t>Federal and state-operating loss carryforwards</w:t>
            </w:r>
          </w:p>
        </w:tc>
        <w:tc>
          <w:tcPr>
            <w:tcW w:w="1780" w:type="dxa"/>
            <w:vAlign w:val="bottom"/>
          </w:tcPr>
          <w:p>
            <w:pPr>
              <w:jc w:val="right"/>
              <w:ind w:right="15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133,671</w:t>
            </w:r>
          </w:p>
        </w:tc>
        <w:tc>
          <w:tcPr>
            <w:tcW w:w="180" w:type="dxa"/>
            <w:vAlign w:val="bottom"/>
          </w:tcPr>
          <w:p>
            <w:pPr>
              <w:spacing w:after="0"/>
              <w:rPr>
                <w:sz w:val="19"/>
                <w:szCs w:val="19"/>
                <w:color w:val="auto"/>
              </w:rPr>
            </w:pPr>
          </w:p>
        </w:tc>
        <w:tc>
          <w:tcPr>
            <w:tcW w:w="980" w:type="dxa"/>
            <w:vAlign w:val="bottom"/>
            <w:gridSpan w:val="2"/>
          </w:tcPr>
          <w:p>
            <w:pPr>
              <w:jc w:val="right"/>
              <w:ind w:right="690"/>
              <w:spacing w:after="0"/>
              <w:rPr>
                <w:sz w:val="20"/>
                <w:szCs w:val="20"/>
                <w:color w:val="auto"/>
              </w:rPr>
            </w:pPr>
            <w:r>
              <w:rPr>
                <w:rFonts w:ascii="Arial" w:cs="Arial" w:eastAsia="Arial" w:hAnsi="Arial"/>
                <w:sz w:val="18"/>
                <w:szCs w:val="18"/>
                <w:color w:val="auto"/>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108,236</w:t>
            </w:r>
          </w:p>
        </w:tc>
        <w:tc>
          <w:tcPr>
            <w:tcW w:w="100" w:type="dxa"/>
            <w:vAlign w:val="bottom"/>
          </w:tcPr>
          <w:p>
            <w:pPr>
              <w:spacing w:after="0"/>
              <w:rPr>
                <w:sz w:val="19"/>
                <w:szCs w:val="19"/>
                <w:color w:val="auto"/>
              </w:rPr>
            </w:pPr>
          </w:p>
        </w:tc>
      </w:tr>
      <w:tr>
        <w:trPr>
          <w:trHeight w:val="229"/>
        </w:trPr>
        <w:tc>
          <w:tcPr>
            <w:tcW w:w="5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w:t>
            </w:r>
          </w:p>
        </w:tc>
        <w:tc>
          <w:tcPr>
            <w:tcW w:w="17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11,082</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16,563</w:t>
            </w:r>
          </w:p>
        </w:tc>
        <w:tc>
          <w:tcPr>
            <w:tcW w:w="100" w:type="dxa"/>
            <w:vAlign w:val="bottom"/>
            <w:shd w:val="clear" w:color="auto" w:fill="CFF0FC"/>
          </w:tcPr>
          <w:p>
            <w:pPr>
              <w:spacing w:after="0"/>
              <w:rPr>
                <w:sz w:val="19"/>
                <w:szCs w:val="19"/>
                <w:color w:val="auto"/>
              </w:rPr>
            </w:pPr>
          </w:p>
        </w:tc>
      </w:tr>
      <w:tr>
        <w:trPr>
          <w:trHeight w:val="230"/>
        </w:trPr>
        <w:tc>
          <w:tcPr>
            <w:tcW w:w="5480" w:type="dxa"/>
            <w:vAlign w:val="bottom"/>
          </w:tcPr>
          <w:p>
            <w:pPr>
              <w:ind w:left="260"/>
              <w:spacing w:after="0"/>
              <w:rPr>
                <w:sz w:val="20"/>
                <w:szCs w:val="20"/>
                <w:color w:val="auto"/>
              </w:rPr>
            </w:pPr>
            <w:r>
              <w:rPr>
                <w:rFonts w:ascii="Arial" w:cs="Arial" w:eastAsia="Arial" w:hAnsi="Arial"/>
                <w:sz w:val="18"/>
                <w:szCs w:val="18"/>
                <w:color w:val="auto"/>
              </w:rPr>
              <w:t>Operating lease liabilities</w:t>
            </w:r>
          </w:p>
        </w:tc>
        <w:tc>
          <w:tcPr>
            <w:tcW w:w="17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1,656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2,600</w:t>
            </w:r>
          </w:p>
        </w:tc>
        <w:tc>
          <w:tcPr>
            <w:tcW w:w="100" w:type="dxa"/>
            <w:vAlign w:val="bottom"/>
          </w:tcPr>
          <w:p>
            <w:pPr>
              <w:spacing w:after="0"/>
              <w:rPr>
                <w:sz w:val="19"/>
                <w:szCs w:val="19"/>
                <w:color w:val="auto"/>
              </w:rPr>
            </w:pPr>
          </w:p>
        </w:tc>
      </w:tr>
      <w:tr>
        <w:trPr>
          <w:trHeight w:val="229"/>
        </w:trPr>
        <w:tc>
          <w:tcPr>
            <w:tcW w:w="5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 credits</w:t>
            </w:r>
          </w:p>
        </w:tc>
        <w:tc>
          <w:tcPr>
            <w:tcW w:w="17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11,106</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8,872</w:t>
            </w:r>
          </w:p>
        </w:tc>
        <w:tc>
          <w:tcPr>
            <w:tcW w:w="100" w:type="dxa"/>
            <w:vAlign w:val="bottom"/>
            <w:shd w:val="clear" w:color="auto" w:fill="CFF0FC"/>
          </w:tcPr>
          <w:p>
            <w:pPr>
              <w:spacing w:after="0"/>
              <w:rPr>
                <w:sz w:val="19"/>
                <w:szCs w:val="19"/>
                <w:color w:val="auto"/>
              </w:rPr>
            </w:pPr>
          </w:p>
        </w:tc>
      </w:tr>
      <w:tr>
        <w:trPr>
          <w:trHeight w:val="229"/>
        </w:trPr>
        <w:tc>
          <w:tcPr>
            <w:tcW w:w="5480" w:type="dxa"/>
            <w:vAlign w:val="bottom"/>
            <w:tcBorders>
              <w:bottom w:val="single" w:sz="8" w:color="CDF2FF"/>
            </w:tcBorders>
          </w:tcPr>
          <w:p>
            <w:pPr>
              <w:ind w:left="260"/>
              <w:spacing w:after="0"/>
              <w:rPr>
                <w:sz w:val="20"/>
                <w:szCs w:val="20"/>
                <w:color w:val="auto"/>
              </w:rPr>
            </w:pPr>
            <w:r>
              <w:rPr>
                <w:rFonts w:ascii="Arial" w:cs="Arial" w:eastAsia="Arial" w:hAnsi="Arial"/>
                <w:sz w:val="18"/>
                <w:szCs w:val="18"/>
                <w:color w:val="auto"/>
              </w:rPr>
              <w:t>Other</w:t>
            </w:r>
          </w:p>
        </w:tc>
        <w:tc>
          <w:tcPr>
            <w:tcW w:w="17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1,125</w:t>
            </w:r>
          </w:p>
        </w:tc>
        <w:tc>
          <w:tcPr>
            <w:tcW w:w="180" w:type="dxa"/>
            <w:vAlign w:val="bottom"/>
            <w:tcBorders>
              <w:bottom w:val="single" w:sz="8" w:color="CDF2FF"/>
            </w:tcBorders>
          </w:tcPr>
          <w:p>
            <w:pPr>
              <w:spacing w:after="0"/>
              <w:rPr>
                <w:sz w:val="19"/>
                <w:szCs w:val="19"/>
                <w:color w:val="auto"/>
              </w:rPr>
            </w:pPr>
          </w:p>
        </w:tc>
        <w:tc>
          <w:tcPr>
            <w:tcW w:w="100" w:type="dxa"/>
            <w:vAlign w:val="bottom"/>
            <w:tcBorders>
              <w:bottom w:val="single" w:sz="8" w:color="CDF2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2,317</w:t>
            </w:r>
          </w:p>
        </w:tc>
        <w:tc>
          <w:tcPr>
            <w:tcW w:w="100" w:type="dxa"/>
            <w:vAlign w:val="bottom"/>
            <w:tcBorders>
              <w:bottom w:val="single" w:sz="8" w:color="CDF2FF"/>
            </w:tcBorders>
          </w:tcPr>
          <w:p>
            <w:pPr>
              <w:spacing w:after="0"/>
              <w:rPr>
                <w:sz w:val="19"/>
                <w:szCs w:val="19"/>
                <w:color w:val="auto"/>
              </w:rPr>
            </w:pPr>
          </w:p>
        </w:tc>
      </w:tr>
      <w:tr>
        <w:trPr>
          <w:trHeight w:val="223"/>
        </w:trPr>
        <w:tc>
          <w:tcPr>
            <w:tcW w:w="5480" w:type="dxa"/>
            <w:vAlign w:val="bottom"/>
            <w:shd w:val="clear" w:color="auto" w:fill="CDF2FF"/>
          </w:tcPr>
          <w:p>
            <w:pPr>
              <w:spacing w:after="0"/>
              <w:rPr>
                <w:sz w:val="20"/>
                <w:szCs w:val="20"/>
                <w:color w:val="auto"/>
              </w:rPr>
            </w:pPr>
            <w:r>
              <w:rPr>
                <w:rFonts w:ascii="Arial" w:cs="Arial" w:eastAsia="Arial" w:hAnsi="Arial"/>
                <w:sz w:val="18"/>
                <w:szCs w:val="18"/>
                <w:color w:val="auto"/>
              </w:rPr>
              <w:t>Total deferred tax assets</w:t>
            </w:r>
          </w:p>
        </w:tc>
        <w:tc>
          <w:tcPr>
            <w:tcW w:w="1780" w:type="dxa"/>
            <w:vAlign w:val="bottom"/>
            <w:shd w:val="clear" w:color="auto" w:fill="CDF2FF"/>
          </w:tcPr>
          <w:p>
            <w:pPr>
              <w:spacing w:after="0"/>
              <w:rPr>
                <w:sz w:val="19"/>
                <w:szCs w:val="19"/>
                <w:color w:val="auto"/>
              </w:rPr>
            </w:pPr>
          </w:p>
        </w:tc>
        <w:tc>
          <w:tcPr>
            <w:tcW w:w="900" w:type="dxa"/>
            <w:vAlign w:val="bottom"/>
            <w:shd w:val="clear" w:color="auto" w:fill="CDF2FF"/>
          </w:tcPr>
          <w:p>
            <w:pPr>
              <w:jc w:val="right"/>
              <w:spacing w:after="0"/>
              <w:rPr>
                <w:sz w:val="20"/>
                <w:szCs w:val="20"/>
                <w:color w:val="auto"/>
              </w:rPr>
            </w:pPr>
            <w:r>
              <w:rPr>
                <w:rFonts w:ascii="Arial" w:cs="Arial" w:eastAsia="Arial" w:hAnsi="Arial"/>
                <w:sz w:val="18"/>
                <w:szCs w:val="18"/>
                <w:color w:val="auto"/>
              </w:rPr>
              <w:t>158,640</w:t>
            </w:r>
          </w:p>
        </w:tc>
        <w:tc>
          <w:tcPr>
            <w:tcW w:w="180" w:type="dxa"/>
            <w:vAlign w:val="bottom"/>
            <w:shd w:val="clear" w:color="auto" w:fill="CDF2FF"/>
          </w:tcPr>
          <w:p>
            <w:pPr>
              <w:spacing w:after="0"/>
              <w:rPr>
                <w:sz w:val="19"/>
                <w:szCs w:val="19"/>
                <w:color w:val="auto"/>
              </w:rPr>
            </w:pPr>
          </w:p>
        </w:tc>
        <w:tc>
          <w:tcPr>
            <w:tcW w:w="100" w:type="dxa"/>
            <w:vAlign w:val="bottom"/>
            <w:shd w:val="clear" w:color="auto" w:fill="CDF2FF"/>
          </w:tcPr>
          <w:p>
            <w:pPr>
              <w:spacing w:after="0"/>
              <w:rPr>
                <w:sz w:val="19"/>
                <w:szCs w:val="19"/>
                <w:color w:val="auto"/>
              </w:rPr>
            </w:pPr>
          </w:p>
        </w:tc>
        <w:tc>
          <w:tcPr>
            <w:tcW w:w="880" w:type="dxa"/>
            <w:vAlign w:val="bottom"/>
            <w:shd w:val="clear" w:color="auto" w:fill="CDF2FF"/>
          </w:tcPr>
          <w:p>
            <w:pPr>
              <w:spacing w:after="0"/>
              <w:rPr>
                <w:sz w:val="19"/>
                <w:szCs w:val="19"/>
                <w:color w:val="auto"/>
              </w:rPr>
            </w:pPr>
          </w:p>
        </w:tc>
        <w:tc>
          <w:tcPr>
            <w:tcW w:w="1820" w:type="dxa"/>
            <w:vAlign w:val="bottom"/>
            <w:shd w:val="clear" w:color="auto" w:fill="CDF2FF"/>
          </w:tcPr>
          <w:p>
            <w:pPr>
              <w:jc w:val="right"/>
              <w:spacing w:after="0"/>
              <w:rPr>
                <w:sz w:val="20"/>
                <w:szCs w:val="20"/>
                <w:color w:val="auto"/>
              </w:rPr>
            </w:pPr>
            <w:r>
              <w:rPr>
                <w:rFonts w:ascii="Arial" w:cs="Arial" w:eastAsia="Arial" w:hAnsi="Arial"/>
                <w:sz w:val="18"/>
                <w:szCs w:val="18"/>
                <w:color w:val="auto"/>
              </w:rPr>
              <w:t>138,588</w:t>
            </w:r>
          </w:p>
        </w:tc>
        <w:tc>
          <w:tcPr>
            <w:tcW w:w="100" w:type="dxa"/>
            <w:vAlign w:val="bottom"/>
            <w:shd w:val="clear" w:color="auto" w:fill="CDF2FF"/>
          </w:tcPr>
          <w:p>
            <w:pPr>
              <w:spacing w:after="0"/>
              <w:rPr>
                <w:sz w:val="19"/>
                <w:szCs w:val="19"/>
                <w:color w:val="auto"/>
              </w:rPr>
            </w:pPr>
          </w:p>
        </w:tc>
      </w:tr>
      <w:tr>
        <w:trPr>
          <w:trHeight w:val="229"/>
        </w:trPr>
        <w:tc>
          <w:tcPr>
            <w:tcW w:w="5480" w:type="dxa"/>
            <w:vAlign w:val="bottom"/>
          </w:tcPr>
          <w:p>
            <w:pPr>
              <w:spacing w:after="0"/>
              <w:rPr>
                <w:sz w:val="20"/>
                <w:szCs w:val="20"/>
                <w:color w:val="auto"/>
              </w:rPr>
            </w:pPr>
            <w:r>
              <w:rPr>
                <w:rFonts w:ascii="Arial" w:cs="Arial" w:eastAsia="Arial" w:hAnsi="Arial"/>
                <w:sz w:val="18"/>
                <w:szCs w:val="18"/>
                <w:color w:val="auto"/>
              </w:rPr>
              <w:t>Valuation allowance</w:t>
            </w:r>
          </w:p>
        </w:tc>
        <w:tc>
          <w:tcPr>
            <w:tcW w:w="178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(157,095)</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920" w:type="dxa"/>
            <w:vAlign w:val="bottom"/>
            <w:gridSpan w:val="2"/>
          </w:tcPr>
          <w:p>
            <w:pPr>
              <w:jc w:val="right"/>
              <w:ind w:right="40"/>
              <w:spacing w:after="0"/>
              <w:rPr>
                <w:sz w:val="20"/>
                <w:szCs w:val="20"/>
                <w:color w:val="auto"/>
              </w:rPr>
            </w:pPr>
            <w:r>
              <w:rPr>
                <w:rFonts w:ascii="Arial" w:cs="Arial" w:eastAsia="Arial" w:hAnsi="Arial"/>
                <w:sz w:val="18"/>
                <w:szCs w:val="18"/>
                <w:color w:val="auto"/>
              </w:rPr>
              <w:t>(131,332)</w:t>
            </w:r>
          </w:p>
        </w:tc>
      </w:tr>
      <w:tr>
        <w:trPr>
          <w:trHeight w:val="223"/>
        </w:trPr>
        <w:tc>
          <w:tcPr>
            <w:tcW w:w="5480" w:type="dxa"/>
            <w:vAlign w:val="bottom"/>
            <w:tcBorders>
              <w:top w:val="single" w:sz="8" w:color="CDF2FF"/>
            </w:tcBorders>
            <w:shd w:val="clear" w:color="auto" w:fill="CDF2FF"/>
          </w:tcPr>
          <w:p>
            <w:pPr>
              <w:spacing w:after="0"/>
              <w:rPr>
                <w:sz w:val="20"/>
                <w:szCs w:val="20"/>
                <w:color w:val="auto"/>
              </w:rPr>
            </w:pPr>
            <w:r>
              <w:rPr>
                <w:rFonts w:ascii="Arial" w:cs="Arial" w:eastAsia="Arial" w:hAnsi="Arial"/>
                <w:sz w:val="18"/>
                <w:szCs w:val="18"/>
                <w:color w:val="auto"/>
              </w:rPr>
              <w:t>Deferred tax asset, net of valuation allowance</w:t>
            </w:r>
          </w:p>
        </w:tc>
        <w:tc>
          <w:tcPr>
            <w:tcW w:w="1780" w:type="dxa"/>
            <w:vAlign w:val="bottom"/>
            <w:tcBorders>
              <w:top w:val="single" w:sz="8" w:color="auto"/>
              <w:bottom w:val="single" w:sz="8" w:color="auto"/>
            </w:tcBorders>
            <w:shd w:val="clear" w:color="auto" w:fill="CDF2FF"/>
          </w:tcPr>
          <w:p>
            <w:pPr>
              <w:jc w:val="right"/>
              <w:ind w:right="15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DF2FF"/>
          </w:tcPr>
          <w:p>
            <w:pPr>
              <w:jc w:val="right"/>
              <w:spacing w:after="0"/>
              <w:rPr>
                <w:sz w:val="20"/>
                <w:szCs w:val="20"/>
                <w:color w:val="auto"/>
              </w:rPr>
            </w:pPr>
            <w:r>
              <w:rPr>
                <w:rFonts w:ascii="Arial" w:cs="Arial" w:eastAsia="Arial" w:hAnsi="Arial"/>
                <w:sz w:val="18"/>
                <w:szCs w:val="18"/>
                <w:color w:val="auto"/>
              </w:rPr>
              <w:t>1,545</w:t>
            </w:r>
          </w:p>
        </w:tc>
        <w:tc>
          <w:tcPr>
            <w:tcW w:w="180" w:type="dxa"/>
            <w:vAlign w:val="bottom"/>
            <w:tcBorders>
              <w:top w:val="single" w:sz="8" w:color="CDF2FF"/>
            </w:tcBorders>
            <w:shd w:val="clear" w:color="auto" w:fill="CDF2FF"/>
          </w:tcPr>
          <w:p>
            <w:pPr>
              <w:spacing w:after="0"/>
              <w:rPr>
                <w:sz w:val="19"/>
                <w:szCs w:val="19"/>
                <w:color w:val="auto"/>
              </w:rPr>
            </w:pPr>
          </w:p>
        </w:tc>
        <w:tc>
          <w:tcPr>
            <w:tcW w:w="100" w:type="dxa"/>
            <w:vAlign w:val="bottom"/>
            <w:tcBorders>
              <w:top w:val="single" w:sz="8" w:color="CDF2FF"/>
            </w:tcBorders>
            <w:shd w:val="clear" w:color="auto" w:fill="CDF2FF"/>
          </w:tcPr>
          <w:p>
            <w:pPr>
              <w:spacing w:after="0"/>
              <w:rPr>
                <w:sz w:val="19"/>
                <w:szCs w:val="19"/>
                <w:color w:val="auto"/>
              </w:rPr>
            </w:pPr>
          </w:p>
        </w:tc>
        <w:tc>
          <w:tcPr>
            <w:tcW w:w="880" w:type="dxa"/>
            <w:vAlign w:val="bottom"/>
            <w:tcBorders>
              <w:top w:val="single" w:sz="8" w:color="auto"/>
              <w:bottom w:val="single" w:sz="8" w:color="auto"/>
            </w:tcBorders>
            <w:shd w:val="clear" w:color="auto" w:fill="CDF2FF"/>
          </w:tcPr>
          <w:p>
            <w:pPr>
              <w:jc w:val="right"/>
              <w:ind w:right="690"/>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bottom w:val="single" w:sz="8" w:color="auto"/>
            </w:tcBorders>
            <w:shd w:val="clear" w:color="auto" w:fill="CDF2FF"/>
          </w:tcPr>
          <w:p>
            <w:pPr>
              <w:jc w:val="right"/>
              <w:spacing w:after="0"/>
              <w:rPr>
                <w:sz w:val="20"/>
                <w:szCs w:val="20"/>
                <w:color w:val="auto"/>
              </w:rPr>
            </w:pPr>
            <w:r>
              <w:rPr>
                <w:rFonts w:ascii="Arial" w:cs="Arial" w:eastAsia="Arial" w:hAnsi="Arial"/>
                <w:sz w:val="18"/>
                <w:szCs w:val="18"/>
                <w:color w:val="auto"/>
              </w:rPr>
              <w:t>7,256</w:t>
            </w:r>
          </w:p>
        </w:tc>
        <w:tc>
          <w:tcPr>
            <w:tcW w:w="100" w:type="dxa"/>
            <w:vAlign w:val="bottom"/>
            <w:tcBorders>
              <w:top w:val="single" w:sz="8" w:color="CDF2FF"/>
            </w:tcBorders>
            <w:shd w:val="clear" w:color="auto" w:fill="CDF2FF"/>
          </w:tcPr>
          <w:p>
            <w:pPr>
              <w:spacing w:after="0"/>
              <w:rPr>
                <w:sz w:val="19"/>
                <w:szCs w:val="19"/>
                <w:color w:val="auto"/>
              </w:rPr>
            </w:pPr>
          </w:p>
        </w:tc>
      </w:tr>
      <w:tr>
        <w:trPr>
          <w:trHeight w:val="223"/>
        </w:trPr>
        <w:tc>
          <w:tcPr>
            <w:tcW w:w="54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480" w:type="dxa"/>
            <w:vAlign w:val="bottom"/>
            <w:shd w:val="clear" w:color="auto" w:fill="CDF2FF"/>
          </w:tcPr>
          <w:p>
            <w:pPr>
              <w:spacing w:after="0"/>
              <w:rPr>
                <w:sz w:val="20"/>
                <w:szCs w:val="20"/>
                <w:color w:val="auto"/>
              </w:rPr>
            </w:pPr>
            <w:r>
              <w:rPr>
                <w:rFonts w:ascii="Arial" w:cs="Arial" w:eastAsia="Arial" w:hAnsi="Arial"/>
                <w:sz w:val="18"/>
                <w:szCs w:val="18"/>
                <w:b w:val="1"/>
                <w:bCs w:val="1"/>
                <w:color w:val="auto"/>
              </w:rPr>
              <w:t>Deferred tax liabilities:</w:t>
            </w:r>
          </w:p>
        </w:tc>
        <w:tc>
          <w:tcPr>
            <w:tcW w:w="1780" w:type="dxa"/>
            <w:vAlign w:val="bottom"/>
            <w:shd w:val="clear" w:color="auto" w:fill="CDF2FF"/>
          </w:tcPr>
          <w:p>
            <w:pPr>
              <w:spacing w:after="0"/>
              <w:rPr>
                <w:sz w:val="19"/>
                <w:szCs w:val="19"/>
                <w:color w:val="auto"/>
              </w:rPr>
            </w:pPr>
          </w:p>
        </w:tc>
        <w:tc>
          <w:tcPr>
            <w:tcW w:w="900" w:type="dxa"/>
            <w:vAlign w:val="bottom"/>
            <w:shd w:val="clear" w:color="auto" w:fill="CDF2FF"/>
          </w:tcPr>
          <w:p>
            <w:pPr>
              <w:spacing w:after="0"/>
              <w:rPr>
                <w:sz w:val="19"/>
                <w:szCs w:val="19"/>
                <w:color w:val="auto"/>
              </w:rPr>
            </w:pPr>
          </w:p>
        </w:tc>
        <w:tc>
          <w:tcPr>
            <w:tcW w:w="180" w:type="dxa"/>
            <w:vAlign w:val="bottom"/>
            <w:shd w:val="clear" w:color="auto" w:fill="CDF2FF"/>
          </w:tcPr>
          <w:p>
            <w:pPr>
              <w:spacing w:after="0"/>
              <w:rPr>
                <w:sz w:val="19"/>
                <w:szCs w:val="19"/>
                <w:color w:val="auto"/>
              </w:rPr>
            </w:pPr>
          </w:p>
        </w:tc>
        <w:tc>
          <w:tcPr>
            <w:tcW w:w="100" w:type="dxa"/>
            <w:vAlign w:val="bottom"/>
            <w:shd w:val="clear" w:color="auto" w:fill="CDF2FF"/>
          </w:tcPr>
          <w:p>
            <w:pPr>
              <w:spacing w:after="0"/>
              <w:rPr>
                <w:sz w:val="19"/>
                <w:szCs w:val="19"/>
                <w:color w:val="auto"/>
              </w:rPr>
            </w:pPr>
          </w:p>
        </w:tc>
        <w:tc>
          <w:tcPr>
            <w:tcW w:w="880" w:type="dxa"/>
            <w:vAlign w:val="bottom"/>
            <w:shd w:val="clear" w:color="auto" w:fill="CDF2FF"/>
          </w:tcPr>
          <w:p>
            <w:pPr>
              <w:spacing w:after="0"/>
              <w:rPr>
                <w:sz w:val="19"/>
                <w:szCs w:val="19"/>
                <w:color w:val="auto"/>
              </w:rPr>
            </w:pPr>
          </w:p>
        </w:tc>
        <w:tc>
          <w:tcPr>
            <w:tcW w:w="1820" w:type="dxa"/>
            <w:vAlign w:val="bottom"/>
            <w:shd w:val="clear" w:color="auto" w:fill="CDF2FF"/>
          </w:tcPr>
          <w:p>
            <w:pPr>
              <w:spacing w:after="0"/>
              <w:rPr>
                <w:sz w:val="19"/>
                <w:szCs w:val="19"/>
                <w:color w:val="auto"/>
              </w:rPr>
            </w:pPr>
          </w:p>
        </w:tc>
        <w:tc>
          <w:tcPr>
            <w:tcW w:w="100" w:type="dxa"/>
            <w:vAlign w:val="bottom"/>
            <w:shd w:val="clear" w:color="auto" w:fill="CDF2FF"/>
          </w:tcPr>
          <w:p>
            <w:pPr>
              <w:spacing w:after="0"/>
              <w:rPr>
                <w:sz w:val="19"/>
                <w:szCs w:val="19"/>
                <w:color w:val="auto"/>
              </w:rPr>
            </w:pPr>
          </w:p>
        </w:tc>
      </w:tr>
      <w:tr>
        <w:trPr>
          <w:trHeight w:val="229"/>
        </w:trPr>
        <w:tc>
          <w:tcPr>
            <w:tcW w:w="5480" w:type="dxa"/>
            <w:vAlign w:val="bottom"/>
          </w:tcPr>
          <w:p>
            <w:pPr>
              <w:ind w:left="260"/>
              <w:spacing w:after="0"/>
              <w:rPr>
                <w:sz w:val="20"/>
                <w:szCs w:val="20"/>
                <w:color w:val="auto"/>
              </w:rPr>
            </w:pPr>
            <w:r>
              <w:rPr>
                <w:rFonts w:ascii="Arial" w:cs="Arial" w:eastAsia="Arial" w:hAnsi="Arial"/>
                <w:sz w:val="18"/>
                <w:szCs w:val="18"/>
                <w:color w:val="auto"/>
              </w:rPr>
              <w:t>In-process research and development</w:t>
            </w:r>
          </w:p>
        </w:tc>
        <w:tc>
          <w:tcPr>
            <w:tcW w:w="1780" w:type="dxa"/>
            <w:vAlign w:val="bottom"/>
          </w:tcPr>
          <w:p>
            <w:pPr>
              <w:jc w:val="right"/>
              <w:ind w:right="15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90"/>
              <w:spacing w:after="0"/>
              <w:rPr>
                <w:sz w:val="20"/>
                <w:szCs w:val="20"/>
                <w:color w:val="auto"/>
              </w:rPr>
            </w:pPr>
            <w:r>
              <w:rPr>
                <w:rFonts w:ascii="Arial" w:cs="Arial" w:eastAsia="Arial" w:hAnsi="Arial"/>
                <w:sz w:val="18"/>
                <w:szCs w:val="18"/>
                <w:color w:val="auto"/>
              </w:rPr>
              <w:t>$</w:t>
            </w:r>
          </w:p>
        </w:tc>
        <w:tc>
          <w:tcPr>
            <w:tcW w:w="1920" w:type="dxa"/>
            <w:vAlign w:val="bottom"/>
            <w:gridSpan w:val="2"/>
          </w:tcPr>
          <w:p>
            <w:pPr>
              <w:jc w:val="right"/>
              <w:ind w:right="40"/>
              <w:spacing w:after="0"/>
              <w:rPr>
                <w:sz w:val="20"/>
                <w:szCs w:val="20"/>
                <w:color w:val="auto"/>
              </w:rPr>
            </w:pPr>
            <w:r>
              <w:rPr>
                <w:rFonts w:ascii="Arial" w:cs="Arial" w:eastAsia="Arial" w:hAnsi="Arial"/>
                <w:sz w:val="18"/>
                <w:szCs w:val="18"/>
                <w:color w:val="auto"/>
              </w:rPr>
              <w:t>(7,443)</w:t>
            </w:r>
          </w:p>
        </w:tc>
      </w:tr>
      <w:tr>
        <w:trPr>
          <w:trHeight w:val="230"/>
        </w:trPr>
        <w:tc>
          <w:tcPr>
            <w:tcW w:w="5480" w:type="dxa"/>
            <w:vAlign w:val="bottom"/>
            <w:shd w:val="clear" w:color="auto" w:fill="CDF2FF"/>
          </w:tcPr>
          <w:p>
            <w:pPr>
              <w:ind w:left="260"/>
              <w:spacing w:after="0"/>
              <w:rPr>
                <w:sz w:val="20"/>
                <w:szCs w:val="20"/>
                <w:color w:val="auto"/>
              </w:rPr>
            </w:pPr>
            <w:r>
              <w:rPr>
                <w:rFonts w:ascii="Arial" w:cs="Arial" w:eastAsia="Arial" w:hAnsi="Arial"/>
                <w:sz w:val="18"/>
                <w:szCs w:val="18"/>
                <w:color w:val="auto"/>
              </w:rPr>
              <w:t>Operating lease right-of-use assets</w:t>
            </w:r>
          </w:p>
        </w:tc>
        <w:tc>
          <w:tcPr>
            <w:tcW w:w="1780" w:type="dxa"/>
            <w:vAlign w:val="bottom"/>
            <w:shd w:val="clear" w:color="auto" w:fill="CDF2FF"/>
          </w:tcPr>
          <w:p>
            <w:pPr>
              <w:spacing w:after="0"/>
              <w:rPr>
                <w:sz w:val="19"/>
                <w:szCs w:val="19"/>
                <w:color w:val="auto"/>
              </w:rPr>
            </w:pPr>
          </w:p>
        </w:tc>
        <w:tc>
          <w:tcPr>
            <w:tcW w:w="1080" w:type="dxa"/>
            <w:vAlign w:val="bottom"/>
            <w:gridSpan w:val="2"/>
            <w:shd w:val="clear" w:color="auto" w:fill="CDF2FF"/>
          </w:tcPr>
          <w:p>
            <w:pPr>
              <w:jc w:val="right"/>
              <w:ind w:right="120"/>
              <w:spacing w:after="0"/>
              <w:rPr>
                <w:sz w:val="20"/>
                <w:szCs w:val="20"/>
                <w:color w:val="auto"/>
              </w:rPr>
            </w:pPr>
            <w:r>
              <w:rPr>
                <w:rFonts w:ascii="Arial" w:cs="Arial" w:eastAsia="Arial" w:hAnsi="Arial"/>
                <w:sz w:val="18"/>
                <w:szCs w:val="18"/>
                <w:color w:val="auto"/>
              </w:rPr>
              <w:t>(1,545)</w:t>
            </w:r>
          </w:p>
        </w:tc>
        <w:tc>
          <w:tcPr>
            <w:tcW w:w="100" w:type="dxa"/>
            <w:vAlign w:val="bottom"/>
            <w:shd w:val="clear" w:color="auto" w:fill="CDF2FF"/>
          </w:tcPr>
          <w:p>
            <w:pPr>
              <w:spacing w:after="0"/>
              <w:rPr>
                <w:sz w:val="19"/>
                <w:szCs w:val="19"/>
                <w:color w:val="auto"/>
              </w:rPr>
            </w:pPr>
          </w:p>
        </w:tc>
        <w:tc>
          <w:tcPr>
            <w:tcW w:w="880" w:type="dxa"/>
            <w:vAlign w:val="bottom"/>
            <w:shd w:val="clear" w:color="auto" w:fill="CDF2FF"/>
          </w:tcPr>
          <w:p>
            <w:pPr>
              <w:spacing w:after="0"/>
              <w:rPr>
                <w:sz w:val="19"/>
                <w:szCs w:val="19"/>
                <w:color w:val="auto"/>
              </w:rPr>
            </w:pPr>
          </w:p>
        </w:tc>
        <w:tc>
          <w:tcPr>
            <w:tcW w:w="1920" w:type="dxa"/>
            <w:vAlign w:val="bottom"/>
            <w:gridSpan w:val="2"/>
            <w:shd w:val="clear" w:color="auto" w:fill="CDF2FF"/>
          </w:tcPr>
          <w:p>
            <w:pPr>
              <w:jc w:val="right"/>
              <w:ind w:right="40"/>
              <w:spacing w:after="0"/>
              <w:rPr>
                <w:sz w:val="20"/>
                <w:szCs w:val="20"/>
                <w:color w:val="auto"/>
              </w:rPr>
            </w:pPr>
            <w:r>
              <w:rPr>
                <w:rFonts w:ascii="Arial" w:cs="Arial" w:eastAsia="Arial" w:hAnsi="Arial"/>
                <w:sz w:val="18"/>
                <w:szCs w:val="18"/>
                <w:color w:val="auto"/>
              </w:rPr>
              <w:t>(2,344)</w:t>
            </w:r>
          </w:p>
        </w:tc>
      </w:tr>
      <w:tr>
        <w:trPr>
          <w:trHeight w:val="223"/>
        </w:trPr>
        <w:tc>
          <w:tcPr>
            <w:tcW w:w="5480" w:type="dxa"/>
            <w:vAlign w:val="bottom"/>
            <w:tcBorders>
              <w:bottom w:val="single" w:sz="8" w:color="CDF2FF"/>
            </w:tcBorders>
          </w:tcPr>
          <w:p>
            <w:pPr>
              <w:spacing w:after="0"/>
              <w:rPr>
                <w:sz w:val="20"/>
                <w:szCs w:val="20"/>
                <w:color w:val="auto"/>
              </w:rPr>
            </w:pPr>
            <w:r>
              <w:rPr>
                <w:rFonts w:ascii="Arial" w:cs="Arial" w:eastAsia="Arial" w:hAnsi="Arial"/>
                <w:sz w:val="18"/>
                <w:szCs w:val="18"/>
                <w:color w:val="auto"/>
              </w:rPr>
              <w:t>Total deferred tax liabilities</w:t>
            </w:r>
          </w:p>
        </w:tc>
        <w:tc>
          <w:tcPr>
            <w:tcW w:w="178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(1,545)</w:t>
            </w:r>
          </w:p>
        </w:tc>
        <w:tc>
          <w:tcPr>
            <w:tcW w:w="180" w:type="dxa"/>
            <w:vAlign w:val="bottom"/>
            <w:tcBorders>
              <w:bottom w:val="single" w:sz="8" w:color="CDF2FF"/>
            </w:tcBorders>
          </w:tcPr>
          <w:p>
            <w:pPr>
              <w:spacing w:after="0"/>
              <w:rPr>
                <w:sz w:val="19"/>
                <w:szCs w:val="19"/>
                <w:color w:val="auto"/>
              </w:rPr>
            </w:pPr>
          </w:p>
        </w:tc>
        <w:tc>
          <w:tcPr>
            <w:tcW w:w="100" w:type="dxa"/>
            <w:vAlign w:val="bottom"/>
            <w:tcBorders>
              <w:bottom w:val="single" w:sz="8" w:color="CDF2FF"/>
            </w:tcBorders>
          </w:tcPr>
          <w:p>
            <w:pPr>
              <w:spacing w:after="0"/>
              <w:rPr>
                <w:sz w:val="19"/>
                <w:szCs w:val="19"/>
                <w:color w:val="auto"/>
              </w:rPr>
            </w:pPr>
          </w:p>
        </w:tc>
        <w:tc>
          <w:tcPr>
            <w:tcW w:w="880" w:type="dxa"/>
            <w:vAlign w:val="bottom"/>
            <w:tcBorders>
              <w:top w:val="single" w:sz="8" w:color="auto"/>
              <w:bottom w:val="single" w:sz="8" w:color="auto"/>
            </w:tcBorders>
          </w:tcPr>
          <w:p>
            <w:pPr>
              <w:spacing w:after="0"/>
              <w:rPr>
                <w:sz w:val="19"/>
                <w:szCs w:val="19"/>
                <w:color w:val="auto"/>
              </w:rPr>
            </w:pPr>
          </w:p>
        </w:tc>
        <w:tc>
          <w:tcPr>
            <w:tcW w:w="1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(9,787)</w:t>
            </w:r>
          </w:p>
        </w:tc>
        <w:tc>
          <w:tcPr>
            <w:tcW w:w="100" w:type="dxa"/>
            <w:vAlign w:val="bottom"/>
            <w:tcBorders>
              <w:bottom w:val="single" w:sz="8" w:color="CDF2FF"/>
            </w:tcBorders>
          </w:tcPr>
          <w:p>
            <w:pPr>
              <w:spacing w:after="0"/>
              <w:rPr>
                <w:sz w:val="19"/>
                <w:szCs w:val="19"/>
                <w:color w:val="auto"/>
              </w:rPr>
            </w:pPr>
          </w:p>
        </w:tc>
      </w:tr>
      <w:tr>
        <w:trPr>
          <w:trHeight w:val="223"/>
        </w:trPr>
        <w:tc>
          <w:tcPr>
            <w:tcW w:w="5480" w:type="dxa"/>
            <w:vAlign w:val="bottom"/>
            <w:tcBorders>
              <w:bottom w:val="single" w:sz="8" w:color="CDF2FF"/>
            </w:tcBorders>
            <w:shd w:val="clear" w:color="auto" w:fill="CDF2FF"/>
          </w:tcPr>
          <w:p>
            <w:pPr>
              <w:spacing w:after="0"/>
              <w:rPr>
                <w:sz w:val="20"/>
                <w:szCs w:val="20"/>
                <w:color w:val="auto"/>
              </w:rPr>
            </w:pPr>
            <w:r>
              <w:rPr>
                <w:rFonts w:ascii="Arial" w:cs="Arial" w:eastAsia="Arial" w:hAnsi="Arial"/>
                <w:sz w:val="18"/>
                <w:szCs w:val="18"/>
                <w:color w:val="auto"/>
              </w:rPr>
              <w:t>Net deferred tax liability</w:t>
            </w:r>
          </w:p>
        </w:tc>
        <w:tc>
          <w:tcPr>
            <w:tcW w:w="1780" w:type="dxa"/>
            <w:vAlign w:val="bottom"/>
            <w:tcBorders>
              <w:bottom w:val="single" w:sz="8" w:color="auto"/>
            </w:tcBorders>
            <w:shd w:val="clear" w:color="auto" w:fill="CDF2FF"/>
          </w:tcPr>
          <w:p>
            <w:pPr>
              <w:jc w:val="right"/>
              <w:ind w:right="15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DF2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DF2FF"/>
            </w:tcBorders>
            <w:shd w:val="clear" w:color="auto" w:fill="CDF2FF"/>
          </w:tcPr>
          <w:p>
            <w:pPr>
              <w:spacing w:after="0"/>
              <w:rPr>
                <w:sz w:val="19"/>
                <w:szCs w:val="19"/>
                <w:color w:val="auto"/>
              </w:rPr>
            </w:pPr>
          </w:p>
        </w:tc>
        <w:tc>
          <w:tcPr>
            <w:tcW w:w="100" w:type="dxa"/>
            <w:vAlign w:val="bottom"/>
            <w:tcBorders>
              <w:bottom w:val="single" w:sz="8" w:color="CDF2FF"/>
            </w:tcBorders>
            <w:shd w:val="clear" w:color="auto" w:fill="CDF2FF"/>
          </w:tcPr>
          <w:p>
            <w:pPr>
              <w:spacing w:after="0"/>
              <w:rPr>
                <w:sz w:val="19"/>
                <w:szCs w:val="19"/>
                <w:color w:val="auto"/>
              </w:rPr>
            </w:pPr>
          </w:p>
        </w:tc>
        <w:tc>
          <w:tcPr>
            <w:tcW w:w="880" w:type="dxa"/>
            <w:vAlign w:val="bottom"/>
            <w:tcBorders>
              <w:bottom w:val="single" w:sz="8" w:color="auto"/>
            </w:tcBorders>
            <w:shd w:val="clear" w:color="auto" w:fill="CDF2FF"/>
          </w:tcPr>
          <w:p>
            <w:pPr>
              <w:jc w:val="right"/>
              <w:ind w:right="69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shd w:val="clear" w:color="auto" w:fill="CDF2FF"/>
          </w:tcPr>
          <w:p>
            <w:pPr>
              <w:jc w:val="right"/>
              <w:spacing w:after="0"/>
              <w:rPr>
                <w:sz w:val="20"/>
                <w:szCs w:val="20"/>
                <w:color w:val="auto"/>
              </w:rPr>
            </w:pPr>
            <w:r>
              <w:rPr>
                <w:rFonts w:ascii="Arial" w:cs="Arial" w:eastAsia="Arial" w:hAnsi="Arial"/>
                <w:sz w:val="18"/>
                <w:szCs w:val="18"/>
                <w:color w:val="auto"/>
              </w:rPr>
              <w:t>(2,531)</w:t>
            </w:r>
          </w:p>
        </w:tc>
        <w:tc>
          <w:tcPr>
            <w:tcW w:w="100" w:type="dxa"/>
            <w:vAlign w:val="bottom"/>
            <w:tcBorders>
              <w:bottom w:val="single" w:sz="8" w:color="CDF2FF"/>
            </w:tcBorders>
            <w:shd w:val="clear" w:color="auto" w:fill="CDF2FF"/>
          </w:tcPr>
          <w:p>
            <w:pPr>
              <w:spacing w:after="0"/>
              <w:rPr>
                <w:sz w:val="19"/>
                <w:szCs w:val="19"/>
                <w:color w:val="auto"/>
              </w:rPr>
            </w:pPr>
          </w:p>
        </w:tc>
      </w:tr>
      <w:tr>
        <w:trPr>
          <w:trHeight w:val="20"/>
        </w:trPr>
        <w:tc>
          <w:tcPr>
            <w:tcW w:w="548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 maintains a valuation allowance on deferred tax assets due to the uncertainty regarding the ability to utilize these deferred tax assets in the future. The valuation allowance increased by $25.8 million and $22.8 million for the years ended December 31, 2021 and 2020, respectively, primarily due to an increase in the Company’s federal and state-operating loss carryforwards. The in-process research and development deferred tax liability was recorded in connection with the merger with Assembly Pharmaceuticals, Inc. in 2014 and relates to the difference between the carrying amount of in-process research and development for financial statement purposes relative to the amount used for income tax purposes. The impairment of the Company’s in-process research and development asset resulted in the deferred tax liability related to this indefinite-lived intangible asset no longer being considered a source of income when assessing the realizability of the Company’s deferred tax assets. This resulted in the recognition of a $2.5 million income tax benefit with a corresponding reduction to the Company’s valuation allowance during the year ended December 31, 2021.</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Net operating loss and tax credit carryforwards as of December 31, 2021 are as follows (in thousands):</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80" w:type="dxa"/>
            <w:vAlign w:val="bottom"/>
            <w:tcBorders>
              <w:bottom w:val="single" w:sz="8" w:color="CDF2FF"/>
            </w:tcBorders>
          </w:tcPr>
          <w:p>
            <w:pPr>
              <w:spacing w:after="0"/>
              <w:rPr>
                <w:sz w:val="20"/>
                <w:szCs w:val="20"/>
                <w:color w:val="auto"/>
              </w:rPr>
            </w:pPr>
          </w:p>
        </w:tc>
        <w:tc>
          <w:tcPr>
            <w:tcW w:w="1860" w:type="dxa"/>
            <w:vAlign w:val="bottom"/>
            <w:tcBorders>
              <w:bottom w:val="single" w:sz="8" w:color="auto"/>
            </w:tcBorders>
          </w:tcPr>
          <w:p>
            <w:pPr>
              <w:jc w:val="right"/>
              <w:ind w:right="138"/>
              <w:spacing w:after="0"/>
              <w:rPr>
                <w:sz w:val="20"/>
                <w:szCs w:val="20"/>
                <w:color w:val="auto"/>
              </w:rPr>
            </w:pPr>
            <w:r>
              <w:rPr>
                <w:rFonts w:ascii="Arial" w:cs="Arial" w:eastAsia="Arial" w:hAnsi="Arial"/>
                <w:sz w:val="18"/>
                <w:szCs w:val="18"/>
                <w:b w:val="1"/>
                <w:bCs w:val="1"/>
                <w:color w:val="auto"/>
              </w:rPr>
              <w:t>Amount</w:t>
            </w:r>
          </w:p>
        </w:tc>
        <w:tc>
          <w:tcPr>
            <w:tcW w:w="820" w:type="dxa"/>
            <w:vAlign w:val="bottom"/>
            <w:tcBorders>
              <w:bottom w:val="single" w:sz="8" w:color="auto"/>
            </w:tcBorders>
          </w:tcPr>
          <w:p>
            <w:pPr>
              <w:spacing w:after="0"/>
              <w:rPr>
                <w:sz w:val="20"/>
                <w:szCs w:val="20"/>
                <w:color w:val="auto"/>
              </w:rPr>
            </w:pPr>
          </w:p>
        </w:tc>
        <w:tc>
          <w:tcPr>
            <w:tcW w:w="280" w:type="dxa"/>
            <w:vAlign w:val="bottom"/>
            <w:tcBorders>
              <w:bottom w:val="single" w:sz="8" w:color="CDF2FF"/>
            </w:tcBorders>
          </w:tcPr>
          <w:p>
            <w:pPr>
              <w:spacing w:after="0"/>
              <w:rPr>
                <w:sz w:val="20"/>
                <w:szCs w:val="20"/>
                <w:color w:val="auto"/>
              </w:rPr>
            </w:pPr>
          </w:p>
        </w:tc>
        <w:tc>
          <w:tcPr>
            <w:tcW w:w="2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Expiration Years</w:t>
            </w:r>
          </w:p>
        </w:tc>
      </w:tr>
      <w:tr>
        <w:trPr>
          <w:trHeight w:val="223"/>
        </w:trPr>
        <w:tc>
          <w:tcPr>
            <w:tcW w:w="5480" w:type="dxa"/>
            <w:vAlign w:val="bottom"/>
            <w:shd w:val="clear" w:color="auto" w:fill="CDF2FF"/>
          </w:tcPr>
          <w:p>
            <w:pPr>
              <w:spacing w:after="0"/>
              <w:rPr>
                <w:sz w:val="20"/>
                <w:szCs w:val="20"/>
                <w:color w:val="auto"/>
              </w:rPr>
            </w:pPr>
            <w:r>
              <w:rPr>
                <w:rFonts w:ascii="Arial" w:cs="Arial" w:eastAsia="Arial" w:hAnsi="Arial"/>
                <w:sz w:val="18"/>
                <w:szCs w:val="18"/>
                <w:color w:val="auto"/>
              </w:rPr>
              <w:t>Net operating losses, federal (post December 31, 2017)</w:t>
            </w:r>
          </w:p>
        </w:tc>
        <w:tc>
          <w:tcPr>
            <w:tcW w:w="1860" w:type="dxa"/>
            <w:vAlign w:val="bottom"/>
            <w:shd w:val="clear" w:color="auto" w:fill="CDF2FF"/>
          </w:tcPr>
          <w:p>
            <w:pPr>
              <w:jc w:val="right"/>
              <w:ind w:right="1698"/>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DF2FF"/>
          </w:tcPr>
          <w:p>
            <w:pPr>
              <w:jc w:val="right"/>
              <w:spacing w:after="0"/>
              <w:rPr>
                <w:sz w:val="20"/>
                <w:szCs w:val="20"/>
                <w:color w:val="auto"/>
              </w:rPr>
            </w:pPr>
            <w:r>
              <w:rPr>
                <w:rFonts w:ascii="Arial" w:cs="Arial" w:eastAsia="Arial" w:hAnsi="Arial"/>
                <w:sz w:val="18"/>
                <w:szCs w:val="18"/>
                <w:color w:val="auto"/>
              </w:rPr>
              <w:t>346,847</w:t>
            </w:r>
          </w:p>
        </w:tc>
        <w:tc>
          <w:tcPr>
            <w:tcW w:w="280" w:type="dxa"/>
            <w:vAlign w:val="bottom"/>
            <w:shd w:val="clear" w:color="auto" w:fill="CDF2FF"/>
          </w:tcPr>
          <w:p>
            <w:pPr>
              <w:spacing w:after="0"/>
              <w:rPr>
                <w:sz w:val="19"/>
                <w:szCs w:val="19"/>
                <w:color w:val="auto"/>
              </w:rPr>
            </w:pPr>
          </w:p>
        </w:tc>
        <w:tc>
          <w:tcPr>
            <w:tcW w:w="2800" w:type="dxa"/>
            <w:vAlign w:val="bottom"/>
            <w:shd w:val="clear" w:color="auto" w:fill="CDF2FF"/>
          </w:tcPr>
          <w:p>
            <w:pPr>
              <w:jc w:val="center"/>
              <w:spacing w:after="0"/>
              <w:rPr>
                <w:sz w:val="20"/>
                <w:szCs w:val="20"/>
                <w:color w:val="auto"/>
              </w:rPr>
            </w:pPr>
            <w:r>
              <w:rPr>
                <w:rFonts w:ascii="Arial" w:cs="Arial" w:eastAsia="Arial" w:hAnsi="Arial"/>
                <w:sz w:val="18"/>
                <w:szCs w:val="18"/>
                <w:color w:val="auto"/>
                <w:w w:val="95"/>
              </w:rPr>
              <w:t>Indefinite</w:t>
            </w:r>
          </w:p>
        </w:tc>
      </w:tr>
      <w:tr>
        <w:trPr>
          <w:trHeight w:val="230"/>
        </w:trPr>
        <w:tc>
          <w:tcPr>
            <w:tcW w:w="5480" w:type="dxa"/>
            <w:vAlign w:val="bottom"/>
          </w:tcPr>
          <w:p>
            <w:pPr>
              <w:spacing w:after="0"/>
              <w:rPr>
                <w:sz w:val="20"/>
                <w:szCs w:val="20"/>
                <w:color w:val="auto"/>
              </w:rPr>
            </w:pPr>
            <w:r>
              <w:rPr>
                <w:rFonts w:ascii="Arial" w:cs="Arial" w:eastAsia="Arial" w:hAnsi="Arial"/>
                <w:sz w:val="18"/>
                <w:szCs w:val="18"/>
                <w:color w:val="auto"/>
              </w:rPr>
              <w:t>Net operating losses, federal (pre January 1, 2018)</w:t>
            </w:r>
          </w:p>
        </w:tc>
        <w:tc>
          <w:tcPr>
            <w:tcW w:w="18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123,552</w:t>
            </w:r>
          </w:p>
        </w:tc>
        <w:tc>
          <w:tcPr>
            <w:tcW w:w="280" w:type="dxa"/>
            <w:vAlign w:val="bottom"/>
          </w:tcPr>
          <w:p>
            <w:pPr>
              <w:spacing w:after="0"/>
              <w:rPr>
                <w:sz w:val="19"/>
                <w:szCs w:val="19"/>
                <w:color w:val="auto"/>
              </w:rPr>
            </w:pPr>
          </w:p>
        </w:tc>
        <w:tc>
          <w:tcPr>
            <w:tcW w:w="2800" w:type="dxa"/>
            <w:vAlign w:val="bottom"/>
          </w:tcPr>
          <w:p>
            <w:pPr>
              <w:jc w:val="center"/>
              <w:spacing w:after="0"/>
              <w:rPr>
                <w:sz w:val="20"/>
                <w:szCs w:val="20"/>
                <w:color w:val="auto"/>
              </w:rPr>
            </w:pPr>
            <w:r>
              <w:rPr>
                <w:rFonts w:ascii="Arial" w:cs="Arial" w:eastAsia="Arial" w:hAnsi="Arial"/>
                <w:sz w:val="18"/>
                <w:szCs w:val="18"/>
                <w:color w:val="auto"/>
                <w:w w:val="89"/>
              </w:rPr>
              <w:t>2027 - 2037</w:t>
            </w:r>
          </w:p>
        </w:tc>
      </w:tr>
      <w:tr>
        <w:trPr>
          <w:trHeight w:val="229"/>
        </w:trPr>
        <w:tc>
          <w:tcPr>
            <w:tcW w:w="5480" w:type="dxa"/>
            <w:vAlign w:val="bottom"/>
            <w:shd w:val="clear" w:color="auto" w:fill="CDF2FF"/>
          </w:tcPr>
          <w:p>
            <w:pPr>
              <w:spacing w:after="0"/>
              <w:rPr>
                <w:sz w:val="20"/>
                <w:szCs w:val="20"/>
                <w:color w:val="auto"/>
              </w:rPr>
            </w:pPr>
            <w:r>
              <w:rPr>
                <w:rFonts w:ascii="Arial" w:cs="Arial" w:eastAsia="Arial" w:hAnsi="Arial"/>
                <w:sz w:val="18"/>
                <w:szCs w:val="18"/>
                <w:color w:val="auto"/>
              </w:rPr>
              <w:t>Net operating loss, state (Indefinite)</w:t>
            </w:r>
          </w:p>
        </w:tc>
        <w:tc>
          <w:tcPr>
            <w:tcW w:w="1860" w:type="dxa"/>
            <w:vAlign w:val="bottom"/>
            <w:shd w:val="clear" w:color="auto" w:fill="CDF2FF"/>
          </w:tcPr>
          <w:p>
            <w:pPr>
              <w:spacing w:after="0"/>
              <w:rPr>
                <w:sz w:val="19"/>
                <w:szCs w:val="19"/>
                <w:color w:val="auto"/>
              </w:rPr>
            </w:pPr>
          </w:p>
        </w:tc>
        <w:tc>
          <w:tcPr>
            <w:tcW w:w="820" w:type="dxa"/>
            <w:vAlign w:val="bottom"/>
            <w:shd w:val="clear" w:color="auto" w:fill="CDF2FF"/>
          </w:tcPr>
          <w:p>
            <w:pPr>
              <w:jc w:val="right"/>
              <w:spacing w:after="0"/>
              <w:rPr>
                <w:sz w:val="20"/>
                <w:szCs w:val="20"/>
                <w:color w:val="auto"/>
              </w:rPr>
            </w:pPr>
            <w:r>
              <w:rPr>
                <w:rFonts w:ascii="Arial" w:cs="Arial" w:eastAsia="Arial" w:hAnsi="Arial"/>
                <w:sz w:val="18"/>
                <w:szCs w:val="18"/>
                <w:color w:val="auto"/>
              </w:rPr>
              <w:t>880</w:t>
            </w:r>
          </w:p>
        </w:tc>
        <w:tc>
          <w:tcPr>
            <w:tcW w:w="280" w:type="dxa"/>
            <w:vAlign w:val="bottom"/>
            <w:shd w:val="clear" w:color="auto" w:fill="CDF2FF"/>
          </w:tcPr>
          <w:p>
            <w:pPr>
              <w:spacing w:after="0"/>
              <w:rPr>
                <w:sz w:val="19"/>
                <w:szCs w:val="19"/>
                <w:color w:val="auto"/>
              </w:rPr>
            </w:pPr>
          </w:p>
        </w:tc>
        <w:tc>
          <w:tcPr>
            <w:tcW w:w="2800" w:type="dxa"/>
            <w:vAlign w:val="bottom"/>
            <w:shd w:val="clear" w:color="auto" w:fill="CDF2FF"/>
          </w:tcPr>
          <w:p>
            <w:pPr>
              <w:jc w:val="center"/>
              <w:spacing w:after="0"/>
              <w:rPr>
                <w:sz w:val="20"/>
                <w:szCs w:val="20"/>
                <w:color w:val="auto"/>
              </w:rPr>
            </w:pPr>
            <w:r>
              <w:rPr>
                <w:rFonts w:ascii="Arial" w:cs="Arial" w:eastAsia="Arial" w:hAnsi="Arial"/>
                <w:sz w:val="18"/>
                <w:szCs w:val="18"/>
                <w:color w:val="auto"/>
                <w:w w:val="95"/>
              </w:rPr>
              <w:t>Indefinite</w:t>
            </w:r>
          </w:p>
        </w:tc>
      </w:tr>
      <w:tr>
        <w:trPr>
          <w:trHeight w:val="230"/>
        </w:trPr>
        <w:tc>
          <w:tcPr>
            <w:tcW w:w="5480" w:type="dxa"/>
            <w:vAlign w:val="bottom"/>
          </w:tcPr>
          <w:p>
            <w:pPr>
              <w:spacing w:after="0"/>
              <w:rPr>
                <w:sz w:val="20"/>
                <w:szCs w:val="20"/>
                <w:color w:val="auto"/>
              </w:rPr>
            </w:pPr>
            <w:r>
              <w:rPr>
                <w:rFonts w:ascii="Arial" w:cs="Arial" w:eastAsia="Arial" w:hAnsi="Arial"/>
                <w:sz w:val="18"/>
                <w:szCs w:val="18"/>
                <w:color w:val="auto"/>
              </w:rPr>
              <w:t>Net operating loss, state (Definite)</w:t>
            </w:r>
          </w:p>
        </w:tc>
        <w:tc>
          <w:tcPr>
            <w:tcW w:w="18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545,256</w:t>
            </w:r>
          </w:p>
        </w:tc>
        <w:tc>
          <w:tcPr>
            <w:tcW w:w="280" w:type="dxa"/>
            <w:vAlign w:val="bottom"/>
          </w:tcPr>
          <w:p>
            <w:pPr>
              <w:spacing w:after="0"/>
              <w:rPr>
                <w:sz w:val="19"/>
                <w:szCs w:val="19"/>
                <w:color w:val="auto"/>
              </w:rPr>
            </w:pPr>
          </w:p>
        </w:tc>
        <w:tc>
          <w:tcPr>
            <w:tcW w:w="2800" w:type="dxa"/>
            <w:vAlign w:val="bottom"/>
          </w:tcPr>
          <w:p>
            <w:pPr>
              <w:jc w:val="center"/>
              <w:spacing w:after="0"/>
              <w:rPr>
                <w:sz w:val="20"/>
                <w:szCs w:val="20"/>
                <w:color w:val="auto"/>
              </w:rPr>
            </w:pPr>
            <w:r>
              <w:rPr>
                <w:rFonts w:ascii="Arial" w:cs="Arial" w:eastAsia="Arial" w:hAnsi="Arial"/>
                <w:sz w:val="18"/>
                <w:szCs w:val="18"/>
                <w:color w:val="auto"/>
                <w:w w:val="89"/>
              </w:rPr>
              <w:t>2031 - 2041</w:t>
            </w:r>
          </w:p>
        </w:tc>
      </w:tr>
      <w:tr>
        <w:trPr>
          <w:trHeight w:val="230"/>
        </w:trPr>
        <w:tc>
          <w:tcPr>
            <w:tcW w:w="5480" w:type="dxa"/>
            <w:vAlign w:val="bottom"/>
            <w:shd w:val="clear" w:color="auto" w:fill="CDF2FF"/>
          </w:tcPr>
          <w:p>
            <w:pPr>
              <w:spacing w:after="0"/>
              <w:rPr>
                <w:sz w:val="20"/>
                <w:szCs w:val="20"/>
                <w:color w:val="auto"/>
              </w:rPr>
            </w:pPr>
            <w:r>
              <w:rPr>
                <w:rFonts w:ascii="Arial" w:cs="Arial" w:eastAsia="Arial" w:hAnsi="Arial"/>
                <w:sz w:val="18"/>
                <w:szCs w:val="18"/>
                <w:color w:val="auto"/>
              </w:rPr>
              <w:t>Research and development tax credits, federal</w:t>
            </w:r>
          </w:p>
        </w:tc>
        <w:tc>
          <w:tcPr>
            <w:tcW w:w="1860" w:type="dxa"/>
            <w:vAlign w:val="bottom"/>
            <w:shd w:val="clear" w:color="auto" w:fill="CDF2FF"/>
          </w:tcPr>
          <w:p>
            <w:pPr>
              <w:spacing w:after="0"/>
              <w:rPr>
                <w:sz w:val="19"/>
                <w:szCs w:val="19"/>
                <w:color w:val="auto"/>
              </w:rPr>
            </w:pPr>
          </w:p>
        </w:tc>
        <w:tc>
          <w:tcPr>
            <w:tcW w:w="820" w:type="dxa"/>
            <w:vAlign w:val="bottom"/>
            <w:shd w:val="clear" w:color="auto" w:fill="CDF2FF"/>
          </w:tcPr>
          <w:p>
            <w:pPr>
              <w:jc w:val="right"/>
              <w:spacing w:after="0"/>
              <w:rPr>
                <w:sz w:val="20"/>
                <w:szCs w:val="20"/>
                <w:color w:val="auto"/>
              </w:rPr>
            </w:pPr>
            <w:r>
              <w:rPr>
                <w:rFonts w:ascii="Arial" w:cs="Arial" w:eastAsia="Arial" w:hAnsi="Arial"/>
                <w:sz w:val="18"/>
                <w:szCs w:val="18"/>
                <w:color w:val="auto"/>
              </w:rPr>
              <w:t>10,845</w:t>
            </w:r>
          </w:p>
        </w:tc>
        <w:tc>
          <w:tcPr>
            <w:tcW w:w="280" w:type="dxa"/>
            <w:vAlign w:val="bottom"/>
            <w:shd w:val="clear" w:color="auto" w:fill="CDF2FF"/>
          </w:tcPr>
          <w:p>
            <w:pPr>
              <w:spacing w:after="0"/>
              <w:rPr>
                <w:sz w:val="19"/>
                <w:szCs w:val="19"/>
                <w:color w:val="auto"/>
              </w:rPr>
            </w:pPr>
          </w:p>
        </w:tc>
        <w:tc>
          <w:tcPr>
            <w:tcW w:w="2800" w:type="dxa"/>
            <w:vAlign w:val="bottom"/>
            <w:shd w:val="clear" w:color="auto" w:fill="CDF2FF"/>
          </w:tcPr>
          <w:p>
            <w:pPr>
              <w:jc w:val="center"/>
              <w:spacing w:after="0"/>
              <w:rPr>
                <w:sz w:val="20"/>
                <w:szCs w:val="20"/>
                <w:color w:val="auto"/>
              </w:rPr>
            </w:pPr>
            <w:r>
              <w:rPr>
                <w:rFonts w:ascii="Arial" w:cs="Arial" w:eastAsia="Arial" w:hAnsi="Arial"/>
                <w:sz w:val="18"/>
                <w:szCs w:val="18"/>
                <w:color w:val="auto"/>
                <w:w w:val="89"/>
              </w:rPr>
              <w:t>2028 - 2041</w:t>
            </w:r>
          </w:p>
        </w:tc>
      </w:tr>
      <w:tr>
        <w:trPr>
          <w:trHeight w:val="230"/>
        </w:trPr>
        <w:tc>
          <w:tcPr>
            <w:tcW w:w="5480" w:type="dxa"/>
            <w:vAlign w:val="bottom"/>
          </w:tcPr>
          <w:p>
            <w:pPr>
              <w:spacing w:after="0"/>
              <w:rPr>
                <w:sz w:val="20"/>
                <w:szCs w:val="20"/>
                <w:color w:val="auto"/>
              </w:rPr>
            </w:pPr>
            <w:r>
              <w:rPr>
                <w:rFonts w:ascii="Arial" w:cs="Arial" w:eastAsia="Arial" w:hAnsi="Arial"/>
                <w:sz w:val="18"/>
                <w:szCs w:val="18"/>
                <w:color w:val="auto"/>
              </w:rPr>
              <w:t>Research and development tax credits, state</w:t>
            </w:r>
          </w:p>
        </w:tc>
        <w:tc>
          <w:tcPr>
            <w:tcW w:w="18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4,174</w:t>
            </w:r>
          </w:p>
        </w:tc>
        <w:tc>
          <w:tcPr>
            <w:tcW w:w="280" w:type="dxa"/>
            <w:vAlign w:val="bottom"/>
          </w:tcPr>
          <w:p>
            <w:pPr>
              <w:spacing w:after="0"/>
              <w:rPr>
                <w:sz w:val="20"/>
                <w:szCs w:val="20"/>
                <w:color w:val="auto"/>
              </w:rPr>
            </w:pPr>
          </w:p>
        </w:tc>
        <w:tc>
          <w:tcPr>
            <w:tcW w:w="2800" w:type="dxa"/>
            <w:vAlign w:val="bottom"/>
          </w:tcPr>
          <w:p>
            <w:pPr>
              <w:jc w:val="center"/>
              <w:spacing w:after="0"/>
              <w:rPr>
                <w:sz w:val="20"/>
                <w:szCs w:val="20"/>
                <w:color w:val="auto"/>
              </w:rPr>
            </w:pPr>
            <w:r>
              <w:rPr>
                <w:rFonts w:ascii="Arial" w:cs="Arial" w:eastAsia="Arial" w:hAnsi="Arial"/>
                <w:sz w:val="18"/>
                <w:szCs w:val="18"/>
                <w:color w:val="auto"/>
                <w:w w:val="95"/>
              </w:rPr>
              <w:t>Indefinite</w:t>
            </w:r>
          </w:p>
        </w:tc>
      </w:tr>
    </w:tbl>
    <w:p>
      <w:pPr>
        <w:spacing w:after="0" w:line="21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Pursuant to Internal Revenue Code (IRC), Section 382 and 383, use of the Company’s U.S. federal and state net operating loss and research and development income tax credit carryforwards may be limited in the event of a cumulative change in ownership of more than 50.0% within a three-year period. The Company has performed an ownership change study through December 31, 2020 and has determined that a “change in ownership” as defined by IRC Section 382 and the rules and regulations promulgated thereunder, did occur in December 2010, January 2013 and October 2014. The Company has adjusted its net operating loss carryovers to appropriately reflect any attributes which will expire due to the limitation. The Company has not performed any additional analysis for IRC Sections 382 and 383 and there is a risk that additional changes in ownership could have occurred since December 31, 2020. If a change in ownership were to have occurred, additional net operating loss and tax credit carryforwards could be eliminated or restricted. If eliminated, the related asset would be removed from the deferred tax asset schedule with a corresponding reduction in the valuation allowance.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color w:val="auto"/>
        </w:rPr>
        <w:t>The following table summarizes activity related to the Company’s gross unrecognized tax benefits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78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3"/>
          </w:tcPr>
          <w:p>
            <w:pPr>
              <w:jc w:val="right"/>
              <w:ind w:right="207"/>
              <w:spacing w:after="0"/>
              <w:rPr>
                <w:sz w:val="20"/>
                <w:szCs w:val="20"/>
                <w:color w:val="auto"/>
              </w:rPr>
            </w:pPr>
            <w:r>
              <w:rPr>
                <w:rFonts w:ascii="Arial" w:cs="Arial" w:eastAsia="Arial" w:hAnsi="Arial"/>
                <w:sz w:val="18"/>
                <w:szCs w:val="18"/>
                <w:b w:val="1"/>
                <w:bCs w:val="1"/>
                <w:color w:val="auto"/>
              </w:rPr>
              <w:t>As of December 31,</w:t>
            </w:r>
          </w:p>
        </w:tc>
        <w:tc>
          <w:tcPr>
            <w:tcW w:w="18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4380" w:type="dxa"/>
            <w:vAlign w:val="bottom"/>
            <w:tcBorders>
              <w:bottom w:val="single" w:sz="8" w:color="CDF2FF"/>
            </w:tcBorders>
          </w:tcPr>
          <w:p>
            <w:pPr>
              <w:spacing w:after="0"/>
              <w:rPr>
                <w:sz w:val="19"/>
                <w:szCs w:val="19"/>
                <w:color w:val="auto"/>
              </w:rPr>
            </w:pPr>
          </w:p>
        </w:tc>
        <w:tc>
          <w:tcPr>
            <w:tcW w:w="1100" w:type="dxa"/>
            <w:vAlign w:val="bottom"/>
            <w:tcBorders>
              <w:bottom w:val="single" w:sz="8" w:color="CDF2FF"/>
            </w:tcBorders>
          </w:tcPr>
          <w:p>
            <w:pPr>
              <w:spacing w:after="0"/>
              <w:rPr>
                <w:sz w:val="19"/>
                <w:szCs w:val="19"/>
                <w:color w:val="auto"/>
              </w:rPr>
            </w:pPr>
          </w:p>
        </w:tc>
        <w:tc>
          <w:tcPr>
            <w:tcW w:w="1780" w:type="dxa"/>
            <w:vAlign w:val="bottom"/>
            <w:tcBorders>
              <w:bottom w:val="single" w:sz="8" w:color="auto"/>
            </w:tcBorders>
          </w:tcPr>
          <w:p>
            <w:pPr>
              <w:jc w:val="right"/>
              <w:ind w:right="181"/>
              <w:spacing w:after="0"/>
              <w:rPr>
                <w:sz w:val="20"/>
                <w:szCs w:val="20"/>
                <w:color w:val="auto"/>
              </w:rPr>
            </w:pPr>
            <w:r>
              <w:rPr>
                <w:rFonts w:ascii="Arial" w:cs="Arial" w:eastAsia="Arial" w:hAnsi="Arial"/>
                <w:sz w:val="18"/>
                <w:szCs w:val="18"/>
                <w:b w:val="1"/>
                <w:bCs w:val="1"/>
                <w:color w:val="auto"/>
              </w:rPr>
              <w:t>2021</w:t>
            </w:r>
          </w:p>
        </w:tc>
        <w:tc>
          <w:tcPr>
            <w:tcW w:w="900" w:type="dxa"/>
            <w:vAlign w:val="bottom"/>
            <w:tcBorders>
              <w:bottom w:val="single" w:sz="8" w:color="auto"/>
            </w:tcBorders>
          </w:tcPr>
          <w:p>
            <w:pPr>
              <w:spacing w:after="0"/>
              <w:rPr>
                <w:sz w:val="19"/>
                <w:szCs w:val="19"/>
                <w:color w:val="auto"/>
              </w:rPr>
            </w:pPr>
          </w:p>
        </w:tc>
        <w:tc>
          <w:tcPr>
            <w:tcW w:w="280" w:type="dxa"/>
            <w:vAlign w:val="bottom"/>
            <w:tcBorders>
              <w:bottom w:val="single" w:sz="8" w:color="CDF2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109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DF2FF"/>
            </w:tcBorders>
          </w:tcPr>
          <w:p>
            <w:pPr>
              <w:spacing w:after="0"/>
              <w:rPr>
                <w:sz w:val="19"/>
                <w:szCs w:val="19"/>
                <w:color w:val="auto"/>
              </w:rPr>
            </w:pPr>
          </w:p>
        </w:tc>
      </w:tr>
      <w:tr>
        <w:trPr>
          <w:trHeight w:val="223"/>
        </w:trPr>
        <w:tc>
          <w:tcPr>
            <w:tcW w:w="4380" w:type="dxa"/>
            <w:vAlign w:val="bottom"/>
            <w:shd w:val="clear" w:color="auto" w:fill="CDF2FF"/>
          </w:tcPr>
          <w:p>
            <w:pPr>
              <w:spacing w:after="0"/>
              <w:rPr>
                <w:sz w:val="20"/>
                <w:szCs w:val="20"/>
                <w:color w:val="auto"/>
              </w:rPr>
            </w:pPr>
            <w:r>
              <w:rPr>
                <w:rFonts w:ascii="Arial" w:cs="Arial" w:eastAsia="Arial" w:hAnsi="Arial"/>
                <w:sz w:val="18"/>
                <w:szCs w:val="18"/>
                <w:color w:val="auto"/>
              </w:rPr>
              <w:t>Balances as of beginning of year</w:t>
            </w:r>
          </w:p>
        </w:tc>
        <w:tc>
          <w:tcPr>
            <w:tcW w:w="1100" w:type="dxa"/>
            <w:vAlign w:val="bottom"/>
            <w:shd w:val="clear" w:color="auto" w:fill="CDF2FF"/>
          </w:tcPr>
          <w:p>
            <w:pPr>
              <w:spacing w:after="0"/>
              <w:rPr>
                <w:sz w:val="19"/>
                <w:szCs w:val="19"/>
                <w:color w:val="auto"/>
              </w:rPr>
            </w:pPr>
          </w:p>
        </w:tc>
        <w:tc>
          <w:tcPr>
            <w:tcW w:w="1780" w:type="dxa"/>
            <w:vAlign w:val="bottom"/>
            <w:shd w:val="clear" w:color="auto" w:fill="CDF2FF"/>
          </w:tcPr>
          <w:p>
            <w:pPr>
              <w:jc w:val="right"/>
              <w:ind w:right="1621"/>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DF2FF"/>
          </w:tcPr>
          <w:p>
            <w:pPr>
              <w:jc w:val="right"/>
              <w:spacing w:after="0"/>
              <w:rPr>
                <w:sz w:val="20"/>
                <w:szCs w:val="20"/>
                <w:color w:val="auto"/>
              </w:rPr>
            </w:pPr>
            <w:r>
              <w:rPr>
                <w:rFonts w:ascii="Arial" w:cs="Arial" w:eastAsia="Arial" w:hAnsi="Arial"/>
                <w:sz w:val="18"/>
                <w:szCs w:val="18"/>
                <w:color w:val="auto"/>
              </w:rPr>
              <w:t>2,655</w:t>
            </w:r>
          </w:p>
        </w:tc>
        <w:tc>
          <w:tcPr>
            <w:tcW w:w="280" w:type="dxa"/>
            <w:vAlign w:val="bottom"/>
            <w:shd w:val="clear" w:color="auto" w:fill="CDF2FF"/>
          </w:tcPr>
          <w:p>
            <w:pPr>
              <w:spacing w:after="0"/>
              <w:rPr>
                <w:sz w:val="19"/>
                <w:szCs w:val="19"/>
                <w:color w:val="auto"/>
              </w:rPr>
            </w:pPr>
          </w:p>
        </w:tc>
        <w:tc>
          <w:tcPr>
            <w:tcW w:w="880" w:type="dxa"/>
            <w:vAlign w:val="bottom"/>
            <w:shd w:val="clear" w:color="auto" w:fill="CDF2FF"/>
          </w:tcPr>
          <w:p>
            <w:pPr>
              <w:jc w:val="right"/>
              <w:ind w:right="727"/>
              <w:spacing w:after="0"/>
              <w:rPr>
                <w:sz w:val="20"/>
                <w:szCs w:val="20"/>
                <w:color w:val="auto"/>
              </w:rPr>
            </w:pPr>
            <w:r>
              <w:rPr>
                <w:rFonts w:ascii="Arial" w:cs="Arial" w:eastAsia="Arial" w:hAnsi="Arial"/>
                <w:sz w:val="15"/>
                <w:szCs w:val="15"/>
                <w:color w:val="auto"/>
                <w:w w:val="71"/>
              </w:rPr>
              <w:t>$</w:t>
            </w:r>
          </w:p>
        </w:tc>
        <w:tc>
          <w:tcPr>
            <w:tcW w:w="1800" w:type="dxa"/>
            <w:vAlign w:val="bottom"/>
            <w:shd w:val="clear" w:color="auto" w:fill="CDF2FF"/>
          </w:tcPr>
          <w:p>
            <w:pPr>
              <w:jc w:val="right"/>
              <w:spacing w:after="0"/>
              <w:rPr>
                <w:sz w:val="20"/>
                <w:szCs w:val="20"/>
                <w:color w:val="auto"/>
              </w:rPr>
            </w:pPr>
            <w:r>
              <w:rPr>
                <w:rFonts w:ascii="Arial" w:cs="Arial" w:eastAsia="Arial" w:hAnsi="Arial"/>
                <w:sz w:val="18"/>
                <w:szCs w:val="18"/>
                <w:color w:val="auto"/>
              </w:rPr>
              <w:t>6,070</w:t>
            </w:r>
          </w:p>
        </w:tc>
        <w:tc>
          <w:tcPr>
            <w:tcW w:w="120" w:type="dxa"/>
            <w:vAlign w:val="bottom"/>
            <w:shd w:val="clear" w:color="auto" w:fill="CDF2FF"/>
          </w:tcPr>
          <w:p>
            <w:pPr>
              <w:spacing w:after="0"/>
              <w:rPr>
                <w:sz w:val="19"/>
                <w:szCs w:val="19"/>
                <w:color w:val="auto"/>
              </w:rPr>
            </w:pPr>
          </w:p>
        </w:tc>
      </w:tr>
      <w:tr>
        <w:trPr>
          <w:trHeight w:val="229"/>
        </w:trPr>
        <w:tc>
          <w:tcPr>
            <w:tcW w:w="4380" w:type="dxa"/>
            <w:vAlign w:val="bottom"/>
          </w:tcPr>
          <w:p>
            <w:pPr>
              <w:spacing w:after="0"/>
              <w:rPr>
                <w:sz w:val="20"/>
                <w:szCs w:val="20"/>
                <w:color w:val="auto"/>
              </w:rPr>
            </w:pPr>
            <w:r>
              <w:rPr>
                <w:rFonts w:ascii="Arial" w:cs="Arial" w:eastAsia="Arial" w:hAnsi="Arial"/>
                <w:sz w:val="18"/>
                <w:szCs w:val="18"/>
                <w:color w:val="auto"/>
              </w:rPr>
              <w:t>Increases related to prior year tax positions</w:t>
            </w:r>
          </w:p>
        </w:tc>
        <w:tc>
          <w:tcPr>
            <w:tcW w:w="11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4380" w:type="dxa"/>
            <w:vAlign w:val="bottom"/>
            <w:shd w:val="clear" w:color="auto" w:fill="CDF2FF"/>
          </w:tcPr>
          <w:p>
            <w:pPr>
              <w:spacing w:after="0"/>
              <w:rPr>
                <w:sz w:val="20"/>
                <w:szCs w:val="20"/>
                <w:color w:val="auto"/>
              </w:rPr>
            </w:pPr>
            <w:r>
              <w:rPr>
                <w:rFonts w:ascii="Arial" w:cs="Arial" w:eastAsia="Arial" w:hAnsi="Arial"/>
                <w:sz w:val="18"/>
                <w:szCs w:val="18"/>
                <w:color w:val="auto"/>
              </w:rPr>
              <w:t>Decreases related to prior year tax positions</w:t>
            </w:r>
          </w:p>
        </w:tc>
        <w:tc>
          <w:tcPr>
            <w:tcW w:w="1100" w:type="dxa"/>
            <w:vAlign w:val="bottom"/>
            <w:shd w:val="clear" w:color="auto" w:fill="CDF2FF"/>
          </w:tcPr>
          <w:p>
            <w:pPr>
              <w:spacing w:after="0"/>
              <w:rPr>
                <w:sz w:val="19"/>
                <w:szCs w:val="19"/>
                <w:color w:val="auto"/>
              </w:rPr>
            </w:pPr>
          </w:p>
        </w:tc>
        <w:tc>
          <w:tcPr>
            <w:tcW w:w="1780" w:type="dxa"/>
            <w:vAlign w:val="bottom"/>
            <w:shd w:val="clear" w:color="auto" w:fill="CDF2FF"/>
          </w:tcPr>
          <w:p>
            <w:pPr>
              <w:spacing w:after="0"/>
              <w:rPr>
                <w:sz w:val="19"/>
                <w:szCs w:val="19"/>
                <w:color w:val="auto"/>
              </w:rPr>
            </w:pPr>
          </w:p>
        </w:tc>
        <w:tc>
          <w:tcPr>
            <w:tcW w:w="1180" w:type="dxa"/>
            <w:vAlign w:val="bottom"/>
            <w:gridSpan w:val="2"/>
            <w:shd w:val="clear" w:color="auto" w:fill="CDF2FF"/>
          </w:tcPr>
          <w:p>
            <w:pPr>
              <w:jc w:val="right"/>
              <w:ind w:right="220"/>
              <w:spacing w:after="0"/>
              <w:rPr>
                <w:sz w:val="20"/>
                <w:szCs w:val="20"/>
                <w:color w:val="auto"/>
              </w:rPr>
            </w:pPr>
            <w:r>
              <w:rPr>
                <w:rFonts w:ascii="Arial" w:cs="Arial" w:eastAsia="Arial" w:hAnsi="Arial"/>
                <w:sz w:val="18"/>
                <w:szCs w:val="18"/>
                <w:color w:val="auto"/>
              </w:rPr>
              <w:t>(82)</w:t>
            </w:r>
          </w:p>
        </w:tc>
        <w:tc>
          <w:tcPr>
            <w:tcW w:w="880" w:type="dxa"/>
            <w:vAlign w:val="bottom"/>
            <w:shd w:val="clear" w:color="auto" w:fill="CDF2FF"/>
          </w:tcPr>
          <w:p>
            <w:pPr>
              <w:spacing w:after="0"/>
              <w:rPr>
                <w:sz w:val="19"/>
                <w:szCs w:val="19"/>
                <w:color w:val="auto"/>
              </w:rPr>
            </w:pPr>
          </w:p>
        </w:tc>
        <w:tc>
          <w:tcPr>
            <w:tcW w:w="1920" w:type="dxa"/>
            <w:vAlign w:val="bottom"/>
            <w:gridSpan w:val="2"/>
            <w:shd w:val="clear" w:color="auto" w:fill="CDF2FF"/>
          </w:tcPr>
          <w:p>
            <w:pPr>
              <w:jc w:val="right"/>
              <w:ind w:right="60"/>
              <w:spacing w:after="0"/>
              <w:rPr>
                <w:sz w:val="20"/>
                <w:szCs w:val="20"/>
                <w:color w:val="auto"/>
              </w:rPr>
            </w:pPr>
            <w:r>
              <w:rPr>
                <w:rFonts w:ascii="Arial" w:cs="Arial" w:eastAsia="Arial" w:hAnsi="Arial"/>
                <w:sz w:val="18"/>
                <w:szCs w:val="18"/>
                <w:color w:val="auto"/>
              </w:rPr>
              <w:t>(4,162)</w:t>
            </w:r>
          </w:p>
        </w:tc>
      </w:tr>
      <w:tr>
        <w:trPr>
          <w:trHeight w:val="229"/>
        </w:trPr>
        <w:tc>
          <w:tcPr>
            <w:tcW w:w="4380" w:type="dxa"/>
            <w:vAlign w:val="bottom"/>
            <w:tcBorders>
              <w:bottom w:val="single" w:sz="8" w:color="CDF2FF"/>
            </w:tcBorders>
          </w:tcPr>
          <w:p>
            <w:pPr>
              <w:spacing w:after="0"/>
              <w:rPr>
                <w:sz w:val="20"/>
                <w:szCs w:val="20"/>
                <w:color w:val="auto"/>
              </w:rPr>
            </w:pPr>
            <w:r>
              <w:rPr>
                <w:rFonts w:ascii="Arial" w:cs="Arial" w:eastAsia="Arial" w:hAnsi="Arial"/>
                <w:sz w:val="18"/>
                <w:szCs w:val="18"/>
                <w:color w:val="auto"/>
              </w:rPr>
              <w:t>Increases related to current year tax positions</w:t>
            </w:r>
          </w:p>
        </w:tc>
        <w:tc>
          <w:tcPr>
            <w:tcW w:w="1100" w:type="dxa"/>
            <w:vAlign w:val="bottom"/>
            <w:tcBorders>
              <w:bottom w:val="single" w:sz="8" w:color="CDF2FF"/>
            </w:tcBorders>
          </w:tcPr>
          <w:p>
            <w:pPr>
              <w:spacing w:after="0"/>
              <w:rPr>
                <w:sz w:val="19"/>
                <w:szCs w:val="19"/>
                <w:color w:val="auto"/>
              </w:rPr>
            </w:pPr>
          </w:p>
        </w:tc>
        <w:tc>
          <w:tcPr>
            <w:tcW w:w="17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w:t>
            </w:r>
          </w:p>
        </w:tc>
        <w:tc>
          <w:tcPr>
            <w:tcW w:w="280" w:type="dxa"/>
            <w:vAlign w:val="bottom"/>
            <w:tcBorders>
              <w:bottom w:val="single" w:sz="8" w:color="CDF2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w:t>
            </w:r>
          </w:p>
        </w:tc>
        <w:tc>
          <w:tcPr>
            <w:tcW w:w="120" w:type="dxa"/>
            <w:vAlign w:val="bottom"/>
            <w:tcBorders>
              <w:bottom w:val="single" w:sz="8" w:color="CDF2FF"/>
            </w:tcBorders>
          </w:tcPr>
          <w:p>
            <w:pPr>
              <w:spacing w:after="0"/>
              <w:rPr>
                <w:sz w:val="19"/>
                <w:szCs w:val="19"/>
                <w:color w:val="auto"/>
              </w:rPr>
            </w:pPr>
          </w:p>
        </w:tc>
      </w:tr>
      <w:tr>
        <w:trPr>
          <w:trHeight w:val="223"/>
        </w:trPr>
        <w:tc>
          <w:tcPr>
            <w:tcW w:w="4380" w:type="dxa"/>
            <w:vAlign w:val="bottom"/>
            <w:tcBorders>
              <w:bottom w:val="single" w:sz="8" w:color="CDF2FF"/>
            </w:tcBorders>
            <w:shd w:val="clear" w:color="auto" w:fill="CDF2FF"/>
          </w:tcPr>
          <w:p>
            <w:pPr>
              <w:spacing w:after="0"/>
              <w:rPr>
                <w:sz w:val="20"/>
                <w:szCs w:val="20"/>
                <w:color w:val="auto"/>
              </w:rPr>
            </w:pPr>
            <w:r>
              <w:rPr>
                <w:rFonts w:ascii="Arial" w:cs="Arial" w:eastAsia="Arial" w:hAnsi="Arial"/>
                <w:sz w:val="18"/>
                <w:szCs w:val="18"/>
                <w:color w:val="auto"/>
              </w:rPr>
              <w:t>Balances as of end of year</w:t>
            </w:r>
          </w:p>
        </w:tc>
        <w:tc>
          <w:tcPr>
            <w:tcW w:w="1100" w:type="dxa"/>
            <w:vAlign w:val="bottom"/>
            <w:tcBorders>
              <w:bottom w:val="single" w:sz="8" w:color="CDF2FF"/>
            </w:tcBorders>
            <w:shd w:val="clear" w:color="auto" w:fill="CDF2FF"/>
          </w:tcPr>
          <w:p>
            <w:pPr>
              <w:spacing w:after="0"/>
              <w:rPr>
                <w:sz w:val="19"/>
                <w:szCs w:val="19"/>
                <w:color w:val="auto"/>
              </w:rPr>
            </w:pPr>
          </w:p>
        </w:tc>
        <w:tc>
          <w:tcPr>
            <w:tcW w:w="1780" w:type="dxa"/>
            <w:vAlign w:val="bottom"/>
            <w:tcBorders>
              <w:bottom w:val="single" w:sz="8" w:color="auto"/>
            </w:tcBorders>
            <w:shd w:val="clear" w:color="auto" w:fill="CDF2FF"/>
          </w:tcPr>
          <w:p>
            <w:pPr>
              <w:jc w:val="right"/>
              <w:ind w:right="1621"/>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DF2FF"/>
          </w:tcPr>
          <w:p>
            <w:pPr>
              <w:jc w:val="right"/>
              <w:spacing w:after="0"/>
              <w:rPr>
                <w:sz w:val="20"/>
                <w:szCs w:val="20"/>
                <w:color w:val="auto"/>
              </w:rPr>
            </w:pPr>
            <w:r>
              <w:rPr>
                <w:rFonts w:ascii="Arial" w:cs="Arial" w:eastAsia="Arial" w:hAnsi="Arial"/>
                <w:sz w:val="18"/>
                <w:szCs w:val="18"/>
                <w:color w:val="auto"/>
              </w:rPr>
              <w:t>3,237</w:t>
            </w:r>
          </w:p>
        </w:tc>
        <w:tc>
          <w:tcPr>
            <w:tcW w:w="280" w:type="dxa"/>
            <w:vAlign w:val="bottom"/>
            <w:tcBorders>
              <w:bottom w:val="single" w:sz="8" w:color="CDF2FF"/>
            </w:tcBorders>
            <w:shd w:val="clear" w:color="auto" w:fill="CDF2FF"/>
          </w:tcPr>
          <w:p>
            <w:pPr>
              <w:spacing w:after="0"/>
              <w:rPr>
                <w:sz w:val="19"/>
                <w:szCs w:val="19"/>
                <w:color w:val="auto"/>
              </w:rPr>
            </w:pPr>
          </w:p>
        </w:tc>
        <w:tc>
          <w:tcPr>
            <w:tcW w:w="880" w:type="dxa"/>
            <w:vAlign w:val="bottom"/>
            <w:tcBorders>
              <w:bottom w:val="single" w:sz="8" w:color="auto"/>
            </w:tcBorders>
            <w:shd w:val="clear" w:color="auto" w:fill="CDF2FF"/>
          </w:tcPr>
          <w:p>
            <w:pPr>
              <w:jc w:val="right"/>
              <w:ind w:right="727"/>
              <w:spacing w:after="0"/>
              <w:rPr>
                <w:sz w:val="20"/>
                <w:szCs w:val="20"/>
                <w:color w:val="auto"/>
              </w:rPr>
            </w:pPr>
            <w:r>
              <w:rPr>
                <w:rFonts w:ascii="Arial" w:cs="Arial" w:eastAsia="Arial" w:hAnsi="Arial"/>
                <w:sz w:val="15"/>
                <w:szCs w:val="15"/>
                <w:color w:val="auto"/>
                <w:w w:val="71"/>
              </w:rPr>
              <w:t>$</w:t>
            </w:r>
          </w:p>
        </w:tc>
        <w:tc>
          <w:tcPr>
            <w:tcW w:w="1800" w:type="dxa"/>
            <w:vAlign w:val="bottom"/>
            <w:tcBorders>
              <w:bottom w:val="single" w:sz="8" w:color="auto"/>
            </w:tcBorders>
            <w:shd w:val="clear" w:color="auto" w:fill="CDF2FF"/>
          </w:tcPr>
          <w:p>
            <w:pPr>
              <w:jc w:val="right"/>
              <w:spacing w:after="0"/>
              <w:rPr>
                <w:sz w:val="20"/>
                <w:szCs w:val="20"/>
                <w:color w:val="auto"/>
              </w:rPr>
            </w:pPr>
            <w:r>
              <w:rPr>
                <w:rFonts w:ascii="Arial" w:cs="Arial" w:eastAsia="Arial" w:hAnsi="Arial"/>
                <w:sz w:val="18"/>
                <w:szCs w:val="18"/>
                <w:color w:val="auto"/>
              </w:rPr>
              <w:t>2,655</w:t>
            </w:r>
          </w:p>
        </w:tc>
        <w:tc>
          <w:tcPr>
            <w:tcW w:w="120" w:type="dxa"/>
            <w:vAlign w:val="bottom"/>
            <w:tcBorders>
              <w:bottom w:val="single" w:sz="8" w:color="CDF2FF"/>
            </w:tcBorders>
            <w:shd w:val="clear" w:color="auto" w:fill="CDF2FF"/>
          </w:tcPr>
          <w:p>
            <w:pPr>
              <w:spacing w:after="0"/>
              <w:rPr>
                <w:sz w:val="19"/>
                <w:szCs w:val="19"/>
                <w:color w:val="auto"/>
              </w:rPr>
            </w:pPr>
          </w:p>
        </w:tc>
      </w:tr>
      <w:tr>
        <w:trPr>
          <w:trHeight w:val="20"/>
        </w:trPr>
        <w:tc>
          <w:tcPr>
            <w:tcW w:w="4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unrecognized tax benefits, if recognized, would not have an impact on the Company’s effective tax rate assuming the Company continues to maintain a full valuation allowance position. Based on prior year’s operations and experience, the Company does not expect a significant change to its unrecognized tax benefits over the next twelve months. The unrecognized tax benefits may increase or change during the next year for unexpected or unusual items for items that arise in the ordinary course of business. In subsequent periods, any interest and penalties related to uncertain tax positions will be recognized as a component of income tax expense.</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files income tax returns in the U.S. federal, California and other state and foreign jurisdictions and is not currently under examination by federal, state, or local taxing authorities for any open tax years. Due to net operating loss carryforwards, all years effectively remain open for income tax examination by tax authorities in the U.S. and states in which the Company files tax returns.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Leases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Leases</w:t>
      </w:r>
    </w:p>
    <w:p>
      <w:pPr>
        <w:spacing w:after="0" w:line="19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leases office and laboratory space in South San Francisco, California under a sub-sublease that expires in December 2023. The sub-sublease contains scheduled rent increases over the lease term. The Company also leases office space in Carmel, Indiana under a lease agreement that expires in August 2023. In February 2021, the Company subleased substantially all of the office space under lease in Carmel, Indiana for the remainder of its term. The Company also leased office and laboratory space in Groton, Connecticut that supported the Microbiome program under a lease that expired in June 2021. Due to the wind-down of the Microbiome program, the lease was not renewed. The Company’s China subsidiary leased office space and lab space in Shanghai, which the Company let expire in March 2021 and December 2020, respectively. The Company’s also leased office space in Beijing under a lease agreement which the Company let expire in December 2021. The Company’s China subsidiary leases registrational offices in Shanghai and Beijing under leases which expire in May 2022 and October 2022, respectively. Certain lease contracts contain renewal clauses that the Company assesses on a case-by-case basis. The Company also leases certain laboratory equipment accounted for as operating leases expiring at various dates, with the final lease expiring in 2024. In February 2021, the Company purchased substantially all of the leased equipment used for the Microbiome program from its leasing agency and sold this equipment to third parties (see Note 7).</w:t>
      </w:r>
    </w:p>
    <w:p>
      <w:pPr>
        <w:spacing w:after="0" w:line="14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When the Company cannot determine the implicit rate in its leasing arrangements, the Company uses its incremental borrowing rate as the discount rate when measuring operating lease liabilities. The incremental borrowing rate represents an estimate of the interest rate the Company would incur at lease commencement to borrow an amount equal to the lease payments on a collateralized basis over the term of a lease within a particular currency environment.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2021, the Company had operating lease liabilities of $6.5 million and right-of-use assets of $6.0 million.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color w:val="auto"/>
        </w:rPr>
        <w:t>The following summarizes quantitative information about the Company’s operating leases (in thousands):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2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gridSpan w:val="4"/>
          </w:tcPr>
          <w:p>
            <w:pPr>
              <w:jc w:val="right"/>
              <w:ind w:right="149"/>
              <w:spacing w:after="0"/>
              <w:rPr>
                <w:sz w:val="20"/>
                <w:szCs w:val="20"/>
                <w:color w:val="auto"/>
              </w:rPr>
            </w:pPr>
            <w:r>
              <w:rPr>
                <w:rFonts w:ascii="Arial" w:cs="Arial" w:eastAsia="Arial" w:hAnsi="Arial"/>
                <w:sz w:val="13"/>
                <w:szCs w:val="13"/>
                <w:b w:val="1"/>
                <w:bCs w:val="1"/>
                <w:color w:val="auto"/>
              </w:rPr>
              <w:t>Year Ended December 31,</w:t>
            </w:r>
          </w:p>
        </w:tc>
        <w:tc>
          <w:tcPr>
            <w:tcW w:w="14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2"/>
        </w:trPr>
        <w:tc>
          <w:tcPr>
            <w:tcW w:w="5280" w:type="dxa"/>
            <w:vAlign w:val="bottom"/>
            <w:tcBorders>
              <w:bottom w:val="single" w:sz="8" w:color="CFF0FC"/>
            </w:tcBorders>
          </w:tcPr>
          <w:p>
            <w:pPr>
              <w:spacing w:after="0"/>
              <w:rPr>
                <w:sz w:val="12"/>
                <w:szCs w:val="12"/>
                <w:color w:val="auto"/>
              </w:rPr>
            </w:pPr>
          </w:p>
        </w:tc>
        <w:tc>
          <w:tcPr>
            <w:tcW w:w="1160" w:type="dxa"/>
            <w:vAlign w:val="bottom"/>
            <w:tcBorders>
              <w:bottom w:val="single" w:sz="8" w:color="CFF0FC"/>
            </w:tcBorders>
          </w:tcPr>
          <w:p>
            <w:pPr>
              <w:spacing w:after="0"/>
              <w:rPr>
                <w:sz w:val="12"/>
                <w:szCs w:val="12"/>
                <w:color w:val="auto"/>
              </w:rPr>
            </w:pPr>
          </w:p>
        </w:tc>
        <w:tc>
          <w:tcPr>
            <w:tcW w:w="1420" w:type="dxa"/>
            <w:vAlign w:val="bottom"/>
            <w:tcBorders>
              <w:bottom w:val="single" w:sz="8" w:color="auto"/>
            </w:tcBorders>
          </w:tcPr>
          <w:p>
            <w:pPr>
              <w:jc w:val="right"/>
              <w:ind w:right="124"/>
              <w:spacing w:after="0" w:line="142" w:lineRule="exact"/>
              <w:rPr>
                <w:sz w:val="20"/>
                <w:szCs w:val="20"/>
                <w:color w:val="auto"/>
              </w:rPr>
            </w:pPr>
            <w:r>
              <w:rPr>
                <w:rFonts w:ascii="Arial" w:cs="Arial" w:eastAsia="Arial" w:hAnsi="Arial"/>
                <w:sz w:val="13"/>
                <w:szCs w:val="13"/>
                <w:b w:val="1"/>
                <w:bCs w:val="1"/>
                <w:color w:val="auto"/>
              </w:rPr>
              <w:t>2021</w:t>
            </w:r>
          </w:p>
        </w:tc>
        <w:tc>
          <w:tcPr>
            <w:tcW w:w="760" w:type="dxa"/>
            <w:vAlign w:val="bottom"/>
            <w:tcBorders>
              <w:bottom w:val="single" w:sz="8" w:color="auto"/>
            </w:tcBorders>
          </w:tcPr>
          <w:p>
            <w:pPr>
              <w:spacing w:after="0"/>
              <w:rPr>
                <w:sz w:val="12"/>
                <w:szCs w:val="12"/>
                <w:color w:val="auto"/>
              </w:rPr>
            </w:pPr>
          </w:p>
        </w:tc>
        <w:tc>
          <w:tcPr>
            <w:tcW w:w="320" w:type="dxa"/>
            <w:vAlign w:val="bottom"/>
            <w:tcBorders>
              <w:bottom w:val="single" w:sz="8" w:color="CFF0FC"/>
            </w:tcBorders>
          </w:tcPr>
          <w:p>
            <w:pPr>
              <w:spacing w:after="0"/>
              <w:rPr>
                <w:sz w:val="12"/>
                <w:szCs w:val="12"/>
                <w:color w:val="auto"/>
              </w:rPr>
            </w:pPr>
          </w:p>
        </w:tc>
        <w:tc>
          <w:tcPr>
            <w:tcW w:w="20" w:type="dxa"/>
            <w:vAlign w:val="bottom"/>
            <w:tcBorders>
              <w:bottom w:val="single" w:sz="8" w:color="CFF0FC"/>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ind w:right="896"/>
              <w:spacing w:after="0" w:line="142" w:lineRule="exact"/>
              <w:rPr>
                <w:sz w:val="20"/>
                <w:szCs w:val="20"/>
                <w:color w:val="auto"/>
              </w:rPr>
            </w:pPr>
            <w:r>
              <w:rPr>
                <w:rFonts w:ascii="Arial" w:cs="Arial" w:eastAsia="Arial" w:hAnsi="Arial"/>
                <w:sz w:val="13"/>
                <w:szCs w:val="13"/>
                <w:b w:val="1"/>
                <w:bCs w:val="1"/>
                <w:color w:val="auto"/>
              </w:rPr>
              <w:t>2020</w:t>
            </w:r>
          </w:p>
        </w:tc>
        <w:tc>
          <w:tcPr>
            <w:tcW w:w="120" w:type="dxa"/>
            <w:vAlign w:val="bottom"/>
            <w:tcBorders>
              <w:bottom w:val="single" w:sz="8" w:color="CFF0FC"/>
            </w:tcBorders>
          </w:tcPr>
          <w:p>
            <w:pPr>
              <w:spacing w:after="0"/>
              <w:rPr>
                <w:sz w:val="12"/>
                <w:szCs w:val="12"/>
                <w:color w:val="auto"/>
              </w:rPr>
            </w:pPr>
          </w:p>
        </w:tc>
      </w:tr>
      <w:tr>
        <w:trPr>
          <w:trHeight w:val="223"/>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Lease cost</w:t>
            </w:r>
          </w:p>
        </w:tc>
        <w:tc>
          <w:tcPr>
            <w:tcW w:w="116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5280" w:type="dxa"/>
            <w:vAlign w:val="bottom"/>
          </w:tcPr>
          <w:p>
            <w:pPr>
              <w:ind w:left="260"/>
              <w:spacing w:after="0"/>
              <w:rPr>
                <w:sz w:val="20"/>
                <w:szCs w:val="20"/>
                <w:color w:val="auto"/>
              </w:rPr>
            </w:pPr>
            <w:r>
              <w:rPr>
                <w:rFonts w:ascii="Arial" w:cs="Arial" w:eastAsia="Arial" w:hAnsi="Arial"/>
                <w:sz w:val="18"/>
                <w:szCs w:val="18"/>
                <w:color w:val="auto"/>
              </w:rPr>
              <w:t>Operating lease cost</w:t>
            </w:r>
          </w:p>
        </w:tc>
        <w:tc>
          <w:tcPr>
            <w:tcW w:w="2580" w:type="dxa"/>
            <w:vAlign w:val="bottom"/>
            <w:gridSpan w:val="2"/>
          </w:tcPr>
          <w:p>
            <w:pPr>
              <w:jc w:val="right"/>
              <w:ind w:right="1244"/>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3,840</w:t>
            </w:r>
          </w:p>
        </w:tc>
        <w:tc>
          <w:tcPr>
            <w:tcW w:w="320" w:type="dxa"/>
            <w:vAlign w:val="bottom"/>
          </w:tcPr>
          <w:p>
            <w:pPr>
              <w:spacing w:after="0"/>
              <w:rPr>
                <w:sz w:val="19"/>
                <w:szCs w:val="19"/>
                <w:color w:val="auto"/>
              </w:rPr>
            </w:pPr>
          </w:p>
        </w:tc>
        <w:tc>
          <w:tcPr>
            <w:tcW w:w="740" w:type="dxa"/>
            <w:vAlign w:val="bottom"/>
            <w:gridSpan w:val="2"/>
          </w:tcPr>
          <w:p>
            <w:pPr>
              <w:jc w:val="right"/>
              <w:ind w:right="609"/>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5,214</w:t>
            </w:r>
          </w:p>
        </w:tc>
        <w:tc>
          <w:tcPr>
            <w:tcW w:w="120" w:type="dxa"/>
            <w:vAlign w:val="bottom"/>
          </w:tcPr>
          <w:p>
            <w:pPr>
              <w:spacing w:after="0"/>
              <w:rPr>
                <w:sz w:val="19"/>
                <w:szCs w:val="19"/>
                <w:color w:val="auto"/>
              </w:rPr>
            </w:pPr>
          </w:p>
        </w:tc>
      </w:tr>
      <w:tr>
        <w:trPr>
          <w:trHeight w:val="229"/>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Short-term lease cost</w:t>
            </w:r>
          </w:p>
        </w:tc>
        <w:tc>
          <w:tcPr>
            <w:tcW w:w="116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w:t>
            </w: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w:t>
            </w:r>
          </w:p>
        </w:tc>
        <w:tc>
          <w:tcPr>
            <w:tcW w:w="120" w:type="dxa"/>
            <w:vAlign w:val="bottom"/>
            <w:shd w:val="clear" w:color="auto" w:fill="CFF0FC"/>
          </w:tcPr>
          <w:p>
            <w:pPr>
              <w:spacing w:after="0"/>
              <w:rPr>
                <w:sz w:val="19"/>
                <w:szCs w:val="19"/>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Variable lease cost</w:t>
            </w:r>
          </w:p>
        </w:tc>
        <w:tc>
          <w:tcPr>
            <w:tcW w:w="1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1,317</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1,468</w:t>
            </w:r>
          </w:p>
        </w:tc>
        <w:tc>
          <w:tcPr>
            <w:tcW w:w="120" w:type="dxa"/>
            <w:vAlign w:val="bottom"/>
          </w:tcPr>
          <w:p>
            <w:pPr>
              <w:spacing w:after="0"/>
              <w:rPr>
                <w:sz w:val="19"/>
                <w:szCs w:val="19"/>
                <w:color w:val="auto"/>
              </w:rPr>
            </w:pPr>
          </w:p>
        </w:tc>
      </w:tr>
      <w:tr>
        <w:trPr>
          <w:trHeight w:val="229"/>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Sublease income</w:t>
            </w:r>
          </w:p>
        </w:tc>
        <w:tc>
          <w:tcPr>
            <w:tcW w:w="116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(142)</w:t>
            </w:r>
          </w:p>
        </w:tc>
        <w:tc>
          <w:tcPr>
            <w:tcW w:w="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Total lease cost, net</w:t>
            </w:r>
          </w:p>
        </w:tc>
        <w:tc>
          <w:tcPr>
            <w:tcW w:w="1160" w:type="dxa"/>
            <w:vAlign w:val="bottom"/>
          </w:tcPr>
          <w:p>
            <w:pPr>
              <w:spacing w:after="0"/>
              <w:rPr>
                <w:sz w:val="19"/>
                <w:szCs w:val="19"/>
                <w:color w:val="auto"/>
              </w:rPr>
            </w:pPr>
          </w:p>
        </w:tc>
        <w:tc>
          <w:tcPr>
            <w:tcW w:w="1420" w:type="dxa"/>
            <w:vAlign w:val="bottom"/>
            <w:tcBorders>
              <w:top w:val="single" w:sz="8" w:color="auto"/>
              <w:bottom w:val="single" w:sz="8" w:color="auto"/>
            </w:tcBorders>
          </w:tcPr>
          <w:p>
            <w:pPr>
              <w:jc w:val="right"/>
              <w:ind w:right="1244"/>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5,283</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609"/>
              <w:spacing w:after="0"/>
              <w:rPr>
                <w:sz w:val="20"/>
                <w:szCs w:val="20"/>
                <w:color w:val="auto"/>
              </w:rPr>
            </w:pPr>
            <w:r>
              <w:rPr>
                <w:rFonts w:ascii="Arial" w:cs="Arial" w:eastAsia="Arial" w:hAnsi="Arial"/>
                <w:sz w:val="10"/>
                <w:szCs w:val="10"/>
                <w:color w:val="auto"/>
                <w:w w:val="7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7,083</w:t>
            </w:r>
          </w:p>
        </w:tc>
        <w:tc>
          <w:tcPr>
            <w:tcW w:w="120" w:type="dxa"/>
            <w:vAlign w:val="bottom"/>
          </w:tcPr>
          <w:p>
            <w:pPr>
              <w:spacing w:after="0"/>
              <w:rPr>
                <w:sz w:val="19"/>
                <w:szCs w:val="19"/>
                <w:color w:val="auto"/>
              </w:rPr>
            </w:pPr>
          </w:p>
        </w:tc>
      </w:tr>
      <w:tr>
        <w:trPr>
          <w:trHeight w:val="20"/>
        </w:trPr>
        <w:tc>
          <w:tcPr>
            <w:tcW w:w="5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26"/>
        </w:trPr>
        <w:tc>
          <w:tcPr>
            <w:tcW w:w="5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4"/>
          </w:tcPr>
          <w:p>
            <w:pPr>
              <w:jc w:val="right"/>
              <w:ind w:right="149"/>
              <w:spacing w:after="0"/>
              <w:rPr>
                <w:sz w:val="20"/>
                <w:szCs w:val="20"/>
                <w:color w:val="auto"/>
              </w:rPr>
            </w:pPr>
            <w:r>
              <w:rPr>
                <w:rFonts w:ascii="Arial" w:cs="Arial" w:eastAsia="Arial" w:hAnsi="Arial"/>
                <w:sz w:val="13"/>
                <w:szCs w:val="13"/>
                <w:b w:val="1"/>
                <w:bCs w:val="1"/>
                <w:color w:val="auto"/>
              </w:rPr>
              <w:t>Year Ended December 31,</w:t>
            </w:r>
          </w:p>
        </w:tc>
        <w:tc>
          <w:tcPr>
            <w:tcW w:w="14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2"/>
        </w:trPr>
        <w:tc>
          <w:tcPr>
            <w:tcW w:w="5280" w:type="dxa"/>
            <w:vAlign w:val="bottom"/>
            <w:tcBorders>
              <w:bottom w:val="single" w:sz="8" w:color="CFF0FC"/>
            </w:tcBorders>
          </w:tcPr>
          <w:p>
            <w:pPr>
              <w:spacing w:after="0"/>
              <w:rPr>
                <w:sz w:val="12"/>
                <w:szCs w:val="12"/>
                <w:color w:val="auto"/>
              </w:rPr>
            </w:pPr>
          </w:p>
        </w:tc>
        <w:tc>
          <w:tcPr>
            <w:tcW w:w="1160" w:type="dxa"/>
            <w:vAlign w:val="bottom"/>
            <w:tcBorders>
              <w:bottom w:val="single" w:sz="8" w:color="CFF0FC"/>
            </w:tcBorders>
          </w:tcPr>
          <w:p>
            <w:pPr>
              <w:spacing w:after="0"/>
              <w:rPr>
                <w:sz w:val="12"/>
                <w:szCs w:val="12"/>
                <w:color w:val="auto"/>
              </w:rPr>
            </w:pPr>
          </w:p>
        </w:tc>
        <w:tc>
          <w:tcPr>
            <w:tcW w:w="1420" w:type="dxa"/>
            <w:vAlign w:val="bottom"/>
            <w:tcBorders>
              <w:bottom w:val="single" w:sz="8" w:color="auto"/>
            </w:tcBorders>
          </w:tcPr>
          <w:p>
            <w:pPr>
              <w:jc w:val="right"/>
              <w:ind w:right="124"/>
              <w:spacing w:after="0" w:line="142" w:lineRule="exact"/>
              <w:rPr>
                <w:sz w:val="20"/>
                <w:szCs w:val="20"/>
                <w:color w:val="auto"/>
              </w:rPr>
            </w:pPr>
            <w:r>
              <w:rPr>
                <w:rFonts w:ascii="Arial" w:cs="Arial" w:eastAsia="Arial" w:hAnsi="Arial"/>
                <w:sz w:val="13"/>
                <w:szCs w:val="13"/>
                <w:b w:val="1"/>
                <w:bCs w:val="1"/>
                <w:color w:val="auto"/>
              </w:rPr>
              <w:t>2021</w:t>
            </w:r>
          </w:p>
        </w:tc>
        <w:tc>
          <w:tcPr>
            <w:tcW w:w="760" w:type="dxa"/>
            <w:vAlign w:val="bottom"/>
            <w:tcBorders>
              <w:bottom w:val="single" w:sz="8" w:color="auto"/>
            </w:tcBorders>
          </w:tcPr>
          <w:p>
            <w:pPr>
              <w:spacing w:after="0"/>
              <w:rPr>
                <w:sz w:val="12"/>
                <w:szCs w:val="12"/>
                <w:color w:val="auto"/>
              </w:rPr>
            </w:pPr>
          </w:p>
        </w:tc>
        <w:tc>
          <w:tcPr>
            <w:tcW w:w="320" w:type="dxa"/>
            <w:vAlign w:val="bottom"/>
            <w:tcBorders>
              <w:bottom w:val="single" w:sz="8" w:color="CFF0FC"/>
            </w:tcBorders>
          </w:tcPr>
          <w:p>
            <w:pPr>
              <w:spacing w:after="0"/>
              <w:rPr>
                <w:sz w:val="12"/>
                <w:szCs w:val="12"/>
                <w:color w:val="auto"/>
              </w:rPr>
            </w:pPr>
          </w:p>
        </w:tc>
        <w:tc>
          <w:tcPr>
            <w:tcW w:w="20" w:type="dxa"/>
            <w:vAlign w:val="bottom"/>
            <w:tcBorders>
              <w:bottom w:val="single" w:sz="8" w:color="CFF0FC"/>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ind w:right="896"/>
              <w:spacing w:after="0" w:line="142" w:lineRule="exact"/>
              <w:rPr>
                <w:sz w:val="20"/>
                <w:szCs w:val="20"/>
                <w:color w:val="auto"/>
              </w:rPr>
            </w:pPr>
            <w:r>
              <w:rPr>
                <w:rFonts w:ascii="Arial" w:cs="Arial" w:eastAsia="Arial" w:hAnsi="Arial"/>
                <w:sz w:val="13"/>
                <w:szCs w:val="13"/>
                <w:b w:val="1"/>
                <w:bCs w:val="1"/>
                <w:color w:val="auto"/>
              </w:rPr>
              <w:t>2020</w:t>
            </w:r>
          </w:p>
        </w:tc>
        <w:tc>
          <w:tcPr>
            <w:tcW w:w="120" w:type="dxa"/>
            <w:vAlign w:val="bottom"/>
            <w:tcBorders>
              <w:bottom w:val="single" w:sz="8" w:color="CFF0FC"/>
            </w:tcBorders>
          </w:tcPr>
          <w:p>
            <w:pPr>
              <w:spacing w:after="0"/>
              <w:rPr>
                <w:sz w:val="12"/>
                <w:szCs w:val="12"/>
                <w:color w:val="auto"/>
              </w:rPr>
            </w:pPr>
          </w:p>
        </w:tc>
      </w:tr>
      <w:tr>
        <w:trPr>
          <w:trHeight w:val="223"/>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Operating cash flows from operating leases</w:t>
            </w:r>
          </w:p>
        </w:tc>
        <w:tc>
          <w:tcPr>
            <w:tcW w:w="1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1244"/>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3,786</w:t>
            </w: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609"/>
              <w:spacing w:after="0"/>
              <w:rPr>
                <w:sz w:val="20"/>
                <w:szCs w:val="20"/>
                <w:color w:val="auto"/>
              </w:rPr>
            </w:pPr>
            <w:r>
              <w:rPr>
                <w:rFonts w:ascii="Arial" w:cs="Arial" w:eastAsia="Arial" w:hAnsi="Arial"/>
                <w:sz w:val="10"/>
                <w:szCs w:val="10"/>
                <w:color w:val="auto"/>
                <w:w w:val="71"/>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4,513</w:t>
            </w:r>
          </w:p>
        </w:tc>
        <w:tc>
          <w:tcPr>
            <w:tcW w:w="120" w:type="dxa"/>
            <w:vAlign w:val="bottom"/>
            <w:shd w:val="clear" w:color="auto" w:fill="CFF0FC"/>
          </w:tcPr>
          <w:p>
            <w:pPr>
              <w:spacing w:after="0"/>
              <w:rPr>
                <w:sz w:val="19"/>
                <w:szCs w:val="19"/>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ROU assets exchanged for new operating lease liabilities</w:t>
            </w:r>
          </w:p>
        </w:tc>
        <w:tc>
          <w:tcPr>
            <w:tcW w:w="2580" w:type="dxa"/>
            <w:vAlign w:val="bottom"/>
            <w:gridSpan w:val="2"/>
          </w:tcPr>
          <w:p>
            <w:pPr>
              <w:jc w:val="right"/>
              <w:ind w:right="1244"/>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126</w:t>
            </w:r>
          </w:p>
        </w:tc>
        <w:tc>
          <w:tcPr>
            <w:tcW w:w="320" w:type="dxa"/>
            <w:vAlign w:val="bottom"/>
          </w:tcPr>
          <w:p>
            <w:pPr>
              <w:spacing w:after="0"/>
              <w:rPr>
                <w:sz w:val="20"/>
                <w:szCs w:val="20"/>
                <w:color w:val="auto"/>
              </w:rPr>
            </w:pPr>
          </w:p>
        </w:tc>
        <w:tc>
          <w:tcPr>
            <w:tcW w:w="740" w:type="dxa"/>
            <w:vAlign w:val="bottom"/>
            <w:gridSpan w:val="2"/>
          </w:tcPr>
          <w:p>
            <w:pPr>
              <w:jc w:val="right"/>
              <w:ind w:right="609"/>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1,302</w:t>
            </w:r>
          </w:p>
        </w:tc>
        <w:tc>
          <w:tcPr>
            <w:tcW w:w="120" w:type="dxa"/>
            <w:vAlign w:val="bottom"/>
          </w:tcPr>
          <w:p>
            <w:pPr>
              <w:spacing w:after="0"/>
              <w:rPr>
                <w:sz w:val="20"/>
                <w:szCs w:val="20"/>
                <w:color w:val="auto"/>
              </w:rPr>
            </w:pPr>
          </w:p>
        </w:tc>
      </w:tr>
    </w:tbl>
    <w:p>
      <w:pPr>
        <w:spacing w:after="0" w:line="20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2021, the weighted-average remaining lease term for operating leases was 1.9 years and the weighted-average discount rate for operating leases was 9.7%.</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2021, the maturities of the Company’s operating lease liabilities were as follows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28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3,643</w:t>
            </w:r>
          </w:p>
        </w:tc>
        <w:tc>
          <w:tcPr>
            <w:tcW w:w="120" w:type="dxa"/>
            <w:vAlign w:val="bottom"/>
            <w:shd w:val="clear" w:color="auto" w:fill="CFF0FC"/>
          </w:tcPr>
          <w:p>
            <w:pPr>
              <w:spacing w:after="0"/>
              <w:rPr>
                <w:sz w:val="19"/>
                <w:szCs w:val="19"/>
                <w:color w:val="auto"/>
              </w:rPr>
            </w:pPr>
          </w:p>
        </w:tc>
      </w:tr>
      <w:tr>
        <w:trPr>
          <w:trHeight w:val="230"/>
        </w:trPr>
        <w:tc>
          <w:tcPr>
            <w:tcW w:w="8280" w:type="dxa"/>
            <w:vAlign w:val="bottom"/>
          </w:tcPr>
          <w:p>
            <w:pPr>
              <w:spacing w:after="0"/>
              <w:rPr>
                <w:sz w:val="20"/>
                <w:szCs w:val="20"/>
                <w:color w:val="auto"/>
              </w:rPr>
            </w:pPr>
            <w:r>
              <w:rPr>
                <w:rFonts w:ascii="Arial" w:cs="Arial" w:eastAsia="Arial" w:hAnsi="Arial"/>
                <w:sz w:val="18"/>
                <w:szCs w:val="18"/>
                <w:color w:val="auto"/>
              </w:rPr>
              <w:t>2023</w:t>
            </w:r>
          </w:p>
        </w:tc>
        <w:tc>
          <w:tcPr>
            <w:tcW w:w="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3,491</w:t>
            </w:r>
          </w:p>
        </w:tc>
        <w:tc>
          <w:tcPr>
            <w:tcW w:w="120" w:type="dxa"/>
            <w:vAlign w:val="bottom"/>
          </w:tcPr>
          <w:p>
            <w:pPr>
              <w:spacing w:after="0"/>
              <w:rPr>
                <w:sz w:val="19"/>
                <w:szCs w:val="19"/>
                <w:color w:val="auto"/>
              </w:rPr>
            </w:pPr>
          </w:p>
        </w:tc>
      </w:tr>
      <w:tr>
        <w:trPr>
          <w:trHeight w:val="229"/>
        </w:trPr>
        <w:tc>
          <w:tcPr>
            <w:tcW w:w="828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20" w:type="dxa"/>
            <w:vAlign w:val="bottom"/>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FF0FC"/>
          </w:tcPr>
          <w:p>
            <w:pPr>
              <w:spacing w:after="0"/>
              <w:rPr>
                <w:sz w:val="19"/>
                <w:szCs w:val="19"/>
                <w:color w:val="auto"/>
              </w:rPr>
            </w:pPr>
          </w:p>
        </w:tc>
      </w:tr>
      <w:tr>
        <w:trPr>
          <w:trHeight w:val="223"/>
        </w:trPr>
        <w:tc>
          <w:tcPr>
            <w:tcW w:w="828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7,144</w:t>
            </w:r>
          </w:p>
        </w:tc>
        <w:tc>
          <w:tcPr>
            <w:tcW w:w="120" w:type="dxa"/>
            <w:vAlign w:val="bottom"/>
          </w:tcPr>
          <w:p>
            <w:pPr>
              <w:spacing w:after="0"/>
              <w:rPr>
                <w:sz w:val="19"/>
                <w:szCs w:val="19"/>
                <w:color w:val="auto"/>
              </w:rPr>
            </w:pPr>
          </w:p>
        </w:tc>
      </w:tr>
      <w:tr>
        <w:trPr>
          <w:trHeight w:val="229"/>
        </w:trPr>
        <w:tc>
          <w:tcPr>
            <w:tcW w:w="8280" w:type="dxa"/>
            <w:vAlign w:val="bottom"/>
            <w:shd w:val="clear" w:color="auto" w:fill="CFF0FC"/>
          </w:tcPr>
          <w:p>
            <w:pPr>
              <w:spacing w:after="0"/>
              <w:rPr>
                <w:sz w:val="20"/>
                <w:szCs w:val="20"/>
                <w:color w:val="auto"/>
              </w:rPr>
            </w:pPr>
            <w:r>
              <w:rPr>
                <w:rFonts w:ascii="Arial" w:cs="Arial" w:eastAsia="Arial" w:hAnsi="Arial"/>
                <w:sz w:val="18"/>
                <w:szCs w:val="18"/>
                <w:color w:val="auto"/>
              </w:rPr>
              <w:t>Less: present value discount</w:t>
            </w:r>
          </w:p>
        </w:tc>
        <w:tc>
          <w:tcPr>
            <w:tcW w:w="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(668)</w:t>
            </w:r>
          </w:p>
        </w:tc>
      </w:tr>
      <w:tr>
        <w:trPr>
          <w:trHeight w:val="223"/>
        </w:trPr>
        <w:tc>
          <w:tcPr>
            <w:tcW w:w="8280" w:type="dxa"/>
            <w:vAlign w:val="bottom"/>
          </w:tcPr>
          <w:p>
            <w:pPr>
              <w:spacing w:after="0"/>
              <w:rPr>
                <w:sz w:val="20"/>
                <w:szCs w:val="20"/>
                <w:color w:val="auto"/>
              </w:rPr>
            </w:pPr>
            <w:r>
              <w:rPr>
                <w:rFonts w:ascii="Arial" w:cs="Arial" w:eastAsia="Arial" w:hAnsi="Arial"/>
                <w:sz w:val="18"/>
                <w:szCs w:val="18"/>
                <w:color w:val="auto"/>
              </w:rPr>
              <w:t>Operating lease liabilities</w:t>
            </w:r>
          </w:p>
        </w:tc>
        <w:tc>
          <w:tcPr>
            <w:tcW w:w="20" w:type="dxa"/>
            <w:vAlign w:val="bottom"/>
            <w:tcBorders>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1087"/>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6,476</w:t>
            </w:r>
          </w:p>
        </w:tc>
        <w:tc>
          <w:tcPr>
            <w:tcW w:w="120" w:type="dxa"/>
            <w:vAlign w:val="bottom"/>
          </w:tcPr>
          <w:p>
            <w:pPr>
              <w:spacing w:after="0"/>
              <w:rPr>
                <w:sz w:val="19"/>
                <w:szCs w:val="19"/>
                <w:color w:val="auto"/>
              </w:rPr>
            </w:pPr>
          </w:p>
        </w:tc>
      </w:tr>
      <w:tr>
        <w:trPr>
          <w:trHeight w:val="20"/>
        </w:trPr>
        <w:tc>
          <w:tcPr>
            <w:tcW w:w="8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Employee Benefit Plan</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January 2018, the Company established a defined contribution 401(k) plan (the Plan) for all employees who are at least 21 years of age. Employees are eligible to participate in the Plan upon commencement of employment. Under the terms of the Plan, employees may make voluntary contributions as a percentage of compensation. The Plan also permits the Company to make discretionary matching contributions. In both 2021 and 2020, the Company made discretionary matching contributions of $0.9 million.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240"/>
          </w:cols>
          <w:pgMar w:left="320" w:top="530" w:right="3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4.2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COMPANY’S SECURITIES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PURSUANT TO SECTION 12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 AS AMENDED</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Assembly Biosciences, Inc. (Assembly, the Company, we, us and our) had one class of securities registered under Section 12 of the Securities Exchange Act of 1934, as amended: our common stock.</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following description of our capital stock does not purport to be complete and is subject to, and qualified in its entirety by, our Fifth Amended and Restated Certificate of Incorporation (our Certificate of Incorporation) and our amended and restated bylaws (our Bylaws), each of which is filed or incorporated by reference as an exhibit to the Annual Report on Form 10-K with which this Exhibit 4.2 is filed or incorporated by reference.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 Stock</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authorized capital stock consists of 100,000,000 shares of common stock, par value $0.001 per share, and 5,000,000 shares of preferred stock, par value $0.001 per share.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holders of our common stock are entitled to one vote per share on all matters to be voted on by the stockholders, and there are no cumulative voting rights.</w:t>
      </w:r>
    </w:p>
    <w:p>
      <w:pPr>
        <w:spacing w:after="0" w:line="13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holders of common stock are entitled to receive ratable dividends, if any, payable when and as declared by our board of directors or any authorized committee thereof out of assets or funds legally available therefor, subject to any preferential rights that may be applicable to any outstanding preferred stock. In the event of a liquidation, dissolution or winding up of our company, after payment in full of all outstanding debts and other liabilities, the holders of common stock are entitled to share ratably in all remaining assets, subject to prior distribution rights of preferred stock, if any, then outstanding. No shares of common stock have preemptive rights or other subscription rights to purchase additional shares of common stock. There are no redemption or sinking fund provisions applicable to the common stock.</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Listing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on The Nasdaq Global Select Market under the symbol “ASMB.”</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 Agent and Registrar</w:t>
      </w:r>
    </w:p>
    <w:p>
      <w:pPr>
        <w:spacing w:after="0" w:line="19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transfer agent and registrar for our common stock is American Stock Transfer &amp; Trust Company, LLC. The transfer agent and registrar’s address is 6201 15th Avenue, Brooklyn, New York 11219.</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8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board of directors is authorized to issue up to 5,000,000 shares of preferred stock in one or more series without stockholder approval. Our board of directors may determine the rights, preferences, privileges and restrictions, including voting rights, dividend rights, conversion rights, redemption privileges and liquidation preferences, of each series of preferred stock. The purpose of authorizing our board of directors to issue preferred stock in one or more series and determine the number of shares in the series and its rights and preferences is to eliminate delays associated with a stockholder vote on specific issuances. The existence of authorized but unissued shares of preferred stock may enable our board of directors to render more difficult or to discourage an attempt to obtain control of us by means of a merger, tender offer, proxy contest or otherwise. The rights of holders of our common stock described above will be subject to, and may be adversely affected by, the rights of any preferred stock that we may designate and issue in the future.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of our Certificate of Incorporation and Bylaws and Delaware Anti-Takeover Law</w:t>
      </w:r>
    </w:p>
    <w:p>
      <w:pPr>
        <w:spacing w:after="0" w:line="18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Certain provisions of the Delaware General Corporation Law (the DGCL), our Certificate of Incorporation and our Bylaws could have the effect of delaying, deferring or discouraging another party from acquiring control of us. These provisions, which are summarized below, are expected to discourage certain types of coercive takeover practices and inadequate takeover bids and, as a consequence, they might also inhibit temporary fluctuations in the market price of our common stock that often result from actual or rumored hostile takeover attempts. These provisions are also designed in part to encourage anyone seeking to acquire control of us or considering unsolicited tender offers or other unilateral takeover proposals to first negotiate with our board of directors rather than pursue non-negotiated takeover attempts. These provisions might also have the effect of preventing changes in our management. It is possible that these provisions could make it more difficult to accomplish transactions that stockholders might otherwise deem to be in their best interests. However, we believe that the advantages gained by protecting our ability to negotiate with any unsolicited and potentially unfriendly acquirer outweigh the disadvantages of discouraging such proposals, including those priced above the then-current market value of our common stock, because, among other reasons, the negotiation of such proposals could improve their terms.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Delaware Anti-Takeover Law</w:t>
      </w:r>
    </w:p>
    <w:p>
      <w:pPr>
        <w:spacing w:after="0" w:line="19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subject to the provisions of Section 203 of the DGCL (Section 203). In general, Section 203 prohibits a publicly held Delaware corporation from engaging in a “business combination” with an “interested stockholder” for a three-year period following the time that this stockholder becomes an interested stockholder, unless the business combination is approved in a prescribed manner. A “business combination” includes, among other things, a merger, asset or stock sale or other transaction resulting in a financial benefit to the interested stockholder. An “interested stockholder” is a person who, together with such person’s affiliates and associates, owns, or did own within three years prior to such determination, 15% or more of the corporation’s voting stock. Under Section 203, a business combination between a corporation and an interested stockholder is prohibited unless it satisfies one of the following conditions:</w:t>
      </w:r>
    </w:p>
    <w:p>
      <w:pPr>
        <w:spacing w:after="0" w:line="85" w:lineRule="exact"/>
        <w:rPr>
          <w:sz w:val="20"/>
          <w:szCs w:val="20"/>
          <w:color w:val="auto"/>
        </w:rPr>
      </w:pPr>
    </w:p>
    <w:p>
      <w:pPr>
        <w:ind w:left="740" w:hanging="368"/>
        <w:spacing w:after="0"/>
        <w:tabs>
          <w:tab w:leader="none" w:pos="740" w:val="left"/>
        </w:tabs>
        <w:numPr>
          <w:ilvl w:val="0"/>
          <w:numId w:val="37"/>
        </w:numPr>
        <w:rPr>
          <w:rFonts w:ascii="Arial" w:cs="Arial" w:eastAsia="Arial" w:hAnsi="Arial"/>
          <w:sz w:val="26"/>
          <w:szCs w:val="26"/>
          <w:color w:val="auto"/>
          <w:vertAlign w:val="superscript"/>
        </w:rPr>
      </w:pPr>
      <w:r>
        <w:rPr>
          <w:rFonts w:ascii="Arial" w:cs="Arial" w:eastAsia="Arial" w:hAnsi="Arial"/>
          <w:sz w:val="16"/>
          <w:szCs w:val="16"/>
          <w:color w:val="auto"/>
        </w:rPr>
        <w:t>before the stockholder became interested, the board of directors of the corporation approved either the business combination or the transaction</w:t>
      </w:r>
    </w:p>
    <w:p>
      <w:pPr>
        <w:sectPr>
          <w:pgSz w:w="11900" w:h="16838" w:orient="portrait"/>
          <w:cols w:equalWidth="0" w:num="1">
            <w:col w:w="11240"/>
          </w:cols>
          <w:pgMar w:left="320" w:top="351" w:right="339" w:bottom="0" w:gutter="0" w:footer="0" w:header="0"/>
        </w:sectPr>
      </w:pPr>
    </w:p>
    <w:bookmarkStart w:id="95" w:name="page96"/>
    <w:bookmarkEnd w:id="95"/>
    <w:p>
      <w:pPr>
        <w:spacing w:after="0"/>
        <w:rPr>
          <w:sz w:val="20"/>
          <w:szCs w:val="20"/>
          <w:color w:val="auto"/>
        </w:rPr>
      </w:pPr>
      <w:r>
        <w:rPr>
          <w:rFonts w:ascii="Arial" w:cs="Arial" w:eastAsia="Arial" w:hAnsi="Arial"/>
          <w:sz w:val="16"/>
          <w:szCs w:val="16"/>
          <w:color w:val="auto"/>
        </w:rPr>
        <w:t>that resulted in the stockholder becoming an interested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376555</wp:posOffset>
            </wp:positionV>
            <wp:extent cx="71748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399"/>
          </w:cols>
          <w:pgMar w:left="1060" w:top="125" w:right="1440" w:bottom="1440" w:gutter="0" w:footer="0" w:header="0"/>
        </w:sectPr>
      </w:pPr>
    </w:p>
    <w:bookmarkStart w:id="96" w:name="page97"/>
    <w:bookmarkEnd w:id="96"/>
    <w:p>
      <w:pPr>
        <w:jc w:val="both"/>
        <w:ind w:left="740" w:hanging="368"/>
        <w:spacing w:after="0" w:line="238" w:lineRule="auto"/>
        <w:tabs>
          <w:tab w:leader="none" w:pos="740" w:val="left"/>
        </w:tabs>
        <w:numPr>
          <w:ilvl w:val="0"/>
          <w:numId w:val="38"/>
        </w:numPr>
        <w:rPr>
          <w:rFonts w:ascii="Arial" w:cs="Arial" w:eastAsia="Arial" w:hAnsi="Arial"/>
          <w:sz w:val="26"/>
          <w:szCs w:val="26"/>
          <w:color w:val="auto"/>
          <w:vertAlign w:val="superscript"/>
        </w:rPr>
      </w:pPr>
      <w:r>
        <w:rPr>
          <w:rFonts w:ascii="Arial" w:cs="Arial" w:eastAsia="Arial" w:hAnsi="Arial"/>
          <w:sz w:val="16"/>
          <w:szCs w:val="16"/>
          <w:color w:val="auto"/>
        </w:rPr>
        <w:t>upon consummation of the transaction that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or</w:t>
      </w:r>
    </w:p>
    <w:p>
      <w:pPr>
        <w:spacing w:after="0" w:line="162" w:lineRule="exact"/>
        <w:rPr>
          <w:rFonts w:ascii="Arial" w:cs="Arial" w:eastAsia="Arial" w:hAnsi="Arial"/>
          <w:sz w:val="26"/>
          <w:szCs w:val="26"/>
          <w:color w:val="auto"/>
          <w:vertAlign w:val="superscript"/>
        </w:rPr>
      </w:pPr>
    </w:p>
    <w:p>
      <w:pPr>
        <w:jc w:val="both"/>
        <w:ind w:left="740" w:hanging="368"/>
        <w:spacing w:after="0" w:line="212" w:lineRule="auto"/>
        <w:tabs>
          <w:tab w:leader="none" w:pos="740" w:val="left"/>
        </w:tabs>
        <w:numPr>
          <w:ilvl w:val="0"/>
          <w:numId w:val="38"/>
        </w:numPr>
        <w:rPr>
          <w:rFonts w:ascii="Arial" w:cs="Arial" w:eastAsia="Arial" w:hAnsi="Arial"/>
          <w:sz w:val="29"/>
          <w:szCs w:val="29"/>
          <w:color w:val="auto"/>
          <w:vertAlign w:val="superscript"/>
        </w:rPr>
      </w:pPr>
      <w:r>
        <w:rPr>
          <w:rFonts w:ascii="Arial" w:cs="Arial" w:eastAsia="Arial" w:hAnsi="Arial"/>
          <w:sz w:val="18"/>
          <w:szCs w:val="18"/>
          <w:color w:val="auto"/>
        </w:rPr>
        <w:t>at or after the time the stockholder became interested, the business combination was approved by the board of directors of the corporation and authorized at an annual or special meeting of the stockholders by the affirmative vote of at least two-thirds of the outstanding voting stock that is not owned by the interested stockholder.</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Charter Documents</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Certificate of Incorporation and our Bylaws include a number of provisions that may have the effect of deterring hostile takeovers or delaying or preventing changes in control or management of our company. First, our Certificate of Incorporation and our Bylaws provide that all stockholder action must be effected at a duly called meeting of stockholders and not by a consent in writing. Further, our Bylaws limit who may call special meetings of the stockholders. Our Certificate of Incorporation does not include a provision for cumulative voting for directors. Under cumulative voting, a minority stockholder holding a sufficient percentage of a class of shares may be able to ensure the election of one or more directors. Our Bylaws provide that the number of directors on our board, which may range from three to ten directors, shall be exclusively fixed by our board, which has set the number of directors at seven. Newly created directorships resulting from any increase in our authorized number of directors and any vacancies in our board resulting from death, resignation, retirement, disqualification or other cause (including removal from office by a vote of the stockholders) will be filled by a majority of our board then in office. Finally, our Bylaws establish procedures and other terms and conditions, including advance notice procedures, regarding special meeting requests by stockholders holding in the aggregate at least 25% of our outstanding common stock, nomination of candidates for election as directors and stockholder proposals. These and other provisions of our Certificate of Incorporation, our Bylaws and Delaware law could discourage potential acquisition proposals and could delay or prevent a change in control or management of our company.</w:t>
      </w:r>
    </w:p>
    <w:p>
      <w:pPr>
        <w:spacing w:after="0" w:line="12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Bylaws also provide that the Court of Chancery of the State of Delaware (or if such court does not have jurisdiction, the Superior Court of Delaware, or if such other court does not have jurisdiction, the United States District Court for the District of Delaware) will be the exclusive forum for: any derivative action or proceeding brought on our behalf; any action asserting a breach of fiduciary duty; any action asserting a claim against us arising pursuant to the DGCL, our Certificate of Incorporation or our Bylaws; or any action asserting a claim against us that is governed by the internal affairs doctrine. This provision will not apply to litigation brought to enforce any liability or duty created by: the Securities Act of 1933, as amended; the Securities Exchange Act of 1934, as amended; or the rules and regulations thereunder. The enforceability of similar choice of forum provisions in other companies’ organizational documents has been challenged in legal proceedings and, while the Delaware Supreme Court has upheld the validity of certain choice of forum provisions, it is possible that, in connection with one or more actions or proceedings described above, a court could find the choice of forum provisions contained in our Bylaws to be inapplicable or unenforceable.</w:t>
      </w:r>
    </w:p>
    <w:p>
      <w:pPr>
        <w:sectPr>
          <w:pgSz w:w="11900" w:h="16838" w:orient="portrait"/>
          <w:cols w:equalWidth="0" w:num="1">
            <w:col w:w="11240"/>
          </w:cols>
          <w:pgMar w:left="320" w:top="530" w:right="339" w:bottom="1440" w:gutter="0" w:footer="0" w:header="0"/>
        </w:sectPr>
      </w:pPr>
    </w:p>
    <w:bookmarkStart w:id="97" w:name="page98"/>
    <w:bookmarkEnd w:id="97"/>
    <w:p>
      <w:pPr>
        <w:jc w:val="right"/>
        <w:ind w:right="20"/>
        <w:spacing w:after="0"/>
        <w:rPr>
          <w:sz w:val="20"/>
          <w:szCs w:val="20"/>
          <w:color w:val="auto"/>
        </w:rPr>
      </w:pPr>
      <w:r>
        <w:rPr>
          <w:rFonts w:ascii="Arial" w:cs="Arial" w:eastAsia="Arial" w:hAnsi="Arial"/>
          <w:sz w:val="22"/>
          <w:szCs w:val="22"/>
          <w:b w:val="1"/>
          <w:bCs w:val="1"/>
          <w:color w:val="auto"/>
        </w:rPr>
        <w:t>Exhibit 10.27</w:t>
      </w: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STOCK APPRECIATION RIGHT AWARD AGREEMENT</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FOR NON-U.S. GRANTEES</w:t>
      </w:r>
    </w:p>
    <w:p>
      <w:pPr>
        <w:jc w:val="center"/>
        <w:ind w:right="20"/>
        <w:spacing w:after="0" w:line="230" w:lineRule="auto"/>
        <w:rPr>
          <w:sz w:val="20"/>
          <w:szCs w:val="20"/>
          <w:color w:val="auto"/>
        </w:rPr>
      </w:pPr>
      <w:r>
        <w:rPr>
          <w:rFonts w:ascii="Arial" w:cs="Arial" w:eastAsia="Arial" w:hAnsi="Arial"/>
          <w:sz w:val="22"/>
          <w:szCs w:val="22"/>
          <w:b w:val="1"/>
          <w:bCs w:val="1"/>
          <w:color w:val="auto"/>
        </w:rPr>
        <w:t>UNDER THE ASSEMBLY BIOSCIENCES, INC.</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2018 STOCK INCENTIVE PLAN</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40" w:type="dxa"/>
            <w:vAlign w:val="bottom"/>
          </w:tcPr>
          <w:p>
            <w:pPr>
              <w:spacing w:after="0"/>
              <w:rPr>
                <w:sz w:val="20"/>
                <w:szCs w:val="20"/>
                <w:color w:val="auto"/>
              </w:rPr>
            </w:pPr>
            <w:r>
              <w:rPr>
                <w:rFonts w:ascii="Arial" w:cs="Arial" w:eastAsia="Arial" w:hAnsi="Arial"/>
                <w:sz w:val="22"/>
                <w:szCs w:val="22"/>
                <w:color w:val="auto"/>
              </w:rPr>
              <w:t>Name of Grantee:</w:t>
            </w:r>
          </w:p>
        </w:tc>
        <w:tc>
          <w:tcPr>
            <w:tcW w:w="400" w:type="dxa"/>
            <w:vAlign w:val="bottom"/>
          </w:tcPr>
          <w:p>
            <w:pPr>
              <w:spacing w:after="0"/>
              <w:rPr>
                <w:sz w:val="21"/>
                <w:szCs w:val="21"/>
                <w:color w:val="auto"/>
              </w:rPr>
            </w:pPr>
          </w:p>
        </w:tc>
        <w:tc>
          <w:tcPr>
            <w:tcW w:w="3740" w:type="dxa"/>
            <w:vAlign w:val="bottom"/>
            <w:tcBorders>
              <w:bottom w:val="single" w:sz="8" w:color="auto"/>
            </w:tcBorders>
          </w:tcPr>
          <w:p>
            <w:pPr>
              <w:spacing w:after="0"/>
              <w:rPr>
                <w:sz w:val="21"/>
                <w:szCs w:val="21"/>
                <w:color w:val="auto"/>
              </w:rPr>
            </w:pPr>
          </w:p>
        </w:tc>
        <w:tc>
          <w:tcPr>
            <w:tcW w:w="3660" w:type="dxa"/>
            <w:vAlign w:val="bottom"/>
          </w:tcPr>
          <w:p>
            <w:pPr>
              <w:spacing w:after="0"/>
              <w:rPr>
                <w:sz w:val="21"/>
                <w:szCs w:val="21"/>
                <w:color w:val="auto"/>
              </w:rPr>
            </w:pPr>
          </w:p>
        </w:tc>
      </w:tr>
      <w:tr>
        <w:trPr>
          <w:trHeight w:val="463"/>
        </w:trPr>
        <w:tc>
          <w:tcPr>
            <w:tcW w:w="3340" w:type="dxa"/>
            <w:vAlign w:val="bottom"/>
          </w:tcPr>
          <w:p>
            <w:pPr>
              <w:spacing w:after="0"/>
              <w:rPr>
                <w:sz w:val="20"/>
                <w:szCs w:val="20"/>
                <w:color w:val="auto"/>
              </w:rPr>
            </w:pPr>
            <w:r>
              <w:rPr>
                <w:rFonts w:ascii="Arial" w:cs="Arial" w:eastAsia="Arial" w:hAnsi="Arial"/>
                <w:sz w:val="22"/>
                <w:szCs w:val="22"/>
                <w:color w:val="auto"/>
              </w:rPr>
              <w:t>No. of SARs:</w:t>
            </w:r>
          </w:p>
        </w:tc>
        <w:tc>
          <w:tcPr>
            <w:tcW w:w="7800" w:type="dxa"/>
            <w:vAlign w:val="bottom"/>
            <w:gridSpan w:val="3"/>
          </w:tcPr>
          <w:p>
            <w:pPr>
              <w:ind w:left="400"/>
              <w:spacing w:after="0"/>
              <w:rPr>
                <w:sz w:val="20"/>
                <w:szCs w:val="20"/>
                <w:color w:val="auto"/>
              </w:rPr>
            </w:pPr>
            <w:r>
              <w:rPr>
                <w:rFonts w:ascii="Arial" w:cs="Arial" w:eastAsia="Arial" w:hAnsi="Arial"/>
                <w:sz w:val="22"/>
                <w:szCs w:val="22"/>
                <w:color w:val="auto"/>
              </w:rPr>
              <w:t>[●]</w:t>
            </w:r>
          </w:p>
        </w:tc>
      </w:tr>
      <w:tr>
        <w:trPr>
          <w:trHeight w:val="459"/>
        </w:trPr>
        <w:tc>
          <w:tcPr>
            <w:tcW w:w="3340" w:type="dxa"/>
            <w:vAlign w:val="bottom"/>
          </w:tcPr>
          <w:p>
            <w:pPr>
              <w:spacing w:after="0"/>
              <w:rPr>
                <w:sz w:val="20"/>
                <w:szCs w:val="20"/>
                <w:color w:val="auto"/>
              </w:rPr>
            </w:pPr>
            <w:r>
              <w:rPr>
                <w:rFonts w:ascii="Arial" w:cs="Arial" w:eastAsia="Arial" w:hAnsi="Arial"/>
                <w:sz w:val="22"/>
                <w:szCs w:val="22"/>
                <w:color w:val="auto"/>
              </w:rPr>
              <w:t>Exercise Price per Share:</w:t>
            </w:r>
          </w:p>
        </w:tc>
        <w:tc>
          <w:tcPr>
            <w:tcW w:w="7800" w:type="dxa"/>
            <w:vAlign w:val="bottom"/>
            <w:gridSpan w:val="3"/>
          </w:tcPr>
          <w:p>
            <w:pPr>
              <w:ind w:left="400"/>
              <w:spacing w:after="0"/>
              <w:rPr>
                <w:sz w:val="20"/>
                <w:szCs w:val="20"/>
                <w:color w:val="auto"/>
              </w:rPr>
            </w:pPr>
            <w:r>
              <w:rPr>
                <w:rFonts w:ascii="Arial" w:cs="Arial" w:eastAsia="Arial" w:hAnsi="Arial"/>
                <w:sz w:val="22"/>
                <w:szCs w:val="22"/>
                <w:color w:val="auto"/>
              </w:rPr>
              <w:t>[●]</w:t>
            </w:r>
          </w:p>
        </w:tc>
      </w:tr>
      <w:tr>
        <w:trPr>
          <w:trHeight w:val="459"/>
        </w:trPr>
        <w:tc>
          <w:tcPr>
            <w:tcW w:w="3340" w:type="dxa"/>
            <w:vAlign w:val="bottom"/>
          </w:tcPr>
          <w:p>
            <w:pPr>
              <w:spacing w:after="0"/>
              <w:rPr>
                <w:sz w:val="20"/>
                <w:szCs w:val="20"/>
                <w:color w:val="auto"/>
              </w:rPr>
            </w:pPr>
            <w:r>
              <w:rPr>
                <w:rFonts w:ascii="Arial" w:cs="Arial" w:eastAsia="Arial" w:hAnsi="Arial"/>
                <w:sz w:val="22"/>
                <w:szCs w:val="22"/>
                <w:color w:val="auto"/>
              </w:rPr>
              <w:t>Grant Date:</w:t>
            </w:r>
          </w:p>
        </w:tc>
        <w:tc>
          <w:tcPr>
            <w:tcW w:w="7800" w:type="dxa"/>
            <w:vAlign w:val="bottom"/>
            <w:gridSpan w:val="3"/>
          </w:tcPr>
          <w:p>
            <w:pPr>
              <w:ind w:left="400"/>
              <w:spacing w:after="0"/>
              <w:rPr>
                <w:sz w:val="20"/>
                <w:szCs w:val="20"/>
                <w:color w:val="auto"/>
              </w:rPr>
            </w:pPr>
            <w:r>
              <w:rPr>
                <w:rFonts w:ascii="Arial" w:cs="Arial" w:eastAsia="Arial" w:hAnsi="Arial"/>
                <w:sz w:val="22"/>
                <w:szCs w:val="22"/>
                <w:color w:val="auto"/>
              </w:rPr>
              <w:t>[●]</w:t>
            </w:r>
          </w:p>
        </w:tc>
      </w:tr>
      <w:tr>
        <w:trPr>
          <w:trHeight w:val="459"/>
        </w:trPr>
        <w:tc>
          <w:tcPr>
            <w:tcW w:w="3340" w:type="dxa"/>
            <w:vAlign w:val="bottom"/>
          </w:tcPr>
          <w:p>
            <w:pPr>
              <w:spacing w:after="0"/>
              <w:rPr>
                <w:sz w:val="20"/>
                <w:szCs w:val="20"/>
                <w:color w:val="auto"/>
              </w:rPr>
            </w:pPr>
            <w:r>
              <w:rPr>
                <w:rFonts w:ascii="Arial" w:cs="Arial" w:eastAsia="Arial" w:hAnsi="Arial"/>
                <w:sz w:val="22"/>
                <w:szCs w:val="22"/>
                <w:color w:val="auto"/>
              </w:rPr>
              <w:t>Expiration Date:</w:t>
            </w:r>
          </w:p>
        </w:tc>
        <w:tc>
          <w:tcPr>
            <w:tcW w:w="7800" w:type="dxa"/>
            <w:vAlign w:val="bottom"/>
            <w:gridSpan w:val="3"/>
          </w:tcPr>
          <w:p>
            <w:pPr>
              <w:ind w:left="400"/>
              <w:spacing w:after="0"/>
              <w:rPr>
                <w:sz w:val="20"/>
                <w:szCs w:val="20"/>
                <w:color w:val="auto"/>
              </w:rPr>
            </w:pPr>
            <w:r>
              <w:rPr>
                <w:rFonts w:ascii="Arial" w:cs="Arial" w:eastAsia="Arial" w:hAnsi="Arial"/>
                <w:sz w:val="22"/>
                <w:szCs w:val="22"/>
                <w:color w:val="auto"/>
              </w:rPr>
              <w:t>[●]</w:t>
            </w:r>
          </w:p>
        </w:tc>
      </w:tr>
      <w:tr>
        <w:trPr>
          <w:trHeight w:val="428"/>
        </w:trPr>
        <w:tc>
          <w:tcPr>
            <w:tcW w:w="3340" w:type="dxa"/>
            <w:vAlign w:val="bottom"/>
          </w:tcPr>
          <w:p>
            <w:pPr>
              <w:spacing w:after="0"/>
              <w:rPr>
                <w:sz w:val="20"/>
                <w:szCs w:val="20"/>
                <w:color w:val="auto"/>
              </w:rPr>
            </w:pPr>
            <w:r>
              <w:rPr>
                <w:rFonts w:ascii="Arial" w:cs="Arial" w:eastAsia="Arial" w:hAnsi="Arial"/>
                <w:sz w:val="22"/>
                <w:szCs w:val="22"/>
                <w:color w:val="auto"/>
              </w:rPr>
              <w:t>Post-Termination Exercise Period</w:t>
            </w:r>
          </w:p>
        </w:tc>
        <w:tc>
          <w:tcPr>
            <w:tcW w:w="400" w:type="dxa"/>
            <w:vAlign w:val="bottom"/>
          </w:tcPr>
          <w:p>
            <w:pPr>
              <w:spacing w:after="0"/>
              <w:rPr>
                <w:sz w:val="24"/>
                <w:szCs w:val="24"/>
                <w:color w:val="auto"/>
              </w:rPr>
            </w:pPr>
          </w:p>
        </w:tc>
        <w:tc>
          <w:tcPr>
            <w:tcW w:w="7400" w:type="dxa"/>
            <w:vAlign w:val="bottom"/>
            <w:gridSpan w:val="2"/>
          </w:tcPr>
          <w:p>
            <w:pPr>
              <w:ind w:left="800"/>
              <w:spacing w:after="0"/>
              <w:rPr>
                <w:sz w:val="20"/>
                <w:szCs w:val="20"/>
                <w:color w:val="auto"/>
              </w:rPr>
            </w:pPr>
            <w:r>
              <w:rPr>
                <w:rFonts w:ascii="Arial" w:cs="Arial" w:eastAsia="Arial" w:hAnsi="Arial"/>
                <w:sz w:val="22"/>
                <w:szCs w:val="22"/>
                <w:color w:val="auto"/>
                <w:w w:val="88"/>
              </w:rPr>
              <w:t>Except as provided in Section 2, Vested SARs may be exercised for up to 90</w:t>
            </w:r>
          </w:p>
        </w:tc>
      </w:tr>
      <w:tr>
        <w:trPr>
          <w:trHeight w:val="274"/>
        </w:trPr>
        <w:tc>
          <w:tcPr>
            <w:tcW w:w="33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400" w:type="dxa"/>
            <w:vAlign w:val="bottom"/>
            <w:gridSpan w:val="2"/>
          </w:tcPr>
          <w:p>
            <w:pPr>
              <w:ind w:left="800"/>
              <w:spacing w:after="0"/>
              <w:rPr>
                <w:sz w:val="20"/>
                <w:szCs w:val="20"/>
                <w:color w:val="auto"/>
              </w:rPr>
            </w:pPr>
            <w:r>
              <w:rPr>
                <w:rFonts w:ascii="Arial" w:cs="Arial" w:eastAsia="Arial" w:hAnsi="Arial"/>
                <w:sz w:val="22"/>
                <w:szCs w:val="22"/>
                <w:color w:val="auto"/>
              </w:rPr>
              <w:t>days after termination of Continuous Service.</w:t>
            </w:r>
          </w:p>
        </w:tc>
      </w:tr>
    </w:tbl>
    <w:p>
      <w:pPr>
        <w:spacing w:after="0" w:line="200" w:lineRule="exact"/>
        <w:rPr>
          <w:sz w:val="20"/>
          <w:szCs w:val="20"/>
          <w:color w:val="auto"/>
        </w:rPr>
      </w:pPr>
    </w:p>
    <w:p>
      <w:pPr>
        <w:spacing w:after="0" w:line="201" w:lineRule="exact"/>
        <w:rPr>
          <w:sz w:val="20"/>
          <w:szCs w:val="20"/>
          <w:color w:val="auto"/>
        </w:rPr>
      </w:pPr>
    </w:p>
    <w:p>
      <w:pPr>
        <w:ind w:right="60" w:firstLine="864"/>
        <w:spacing w:after="0" w:line="245" w:lineRule="auto"/>
        <w:rPr>
          <w:sz w:val="20"/>
          <w:szCs w:val="20"/>
          <w:color w:val="auto"/>
        </w:rPr>
      </w:pPr>
      <w:r>
        <w:rPr>
          <w:rFonts w:ascii="Arial" w:cs="Arial" w:eastAsia="Arial" w:hAnsi="Arial"/>
          <w:sz w:val="21"/>
          <w:szCs w:val="21"/>
          <w:color w:val="auto"/>
        </w:rPr>
        <w:t>Pursuant to the Assembly Biosciences, Inc. 2018 Stock Incentive Plan as amended through the date hereof (the "</w:t>
      </w:r>
      <w:r>
        <w:rPr>
          <w:rFonts w:ascii="Arial" w:cs="Arial" w:eastAsia="Arial" w:hAnsi="Arial"/>
          <w:sz w:val="21"/>
          <w:szCs w:val="21"/>
          <w:u w:val="single" w:color="auto"/>
          <w:color w:val="auto"/>
        </w:rPr>
        <w:t>Plan</w:t>
      </w:r>
      <w:r>
        <w:rPr>
          <w:rFonts w:ascii="Arial" w:cs="Arial" w:eastAsia="Arial" w:hAnsi="Arial"/>
          <w:sz w:val="21"/>
          <w:szCs w:val="21"/>
          <w:color w:val="auto"/>
        </w:rPr>
        <w:t>"), Assembly Biosciences, Inc. (the "</w:t>
      </w:r>
      <w:r>
        <w:rPr>
          <w:rFonts w:ascii="Arial" w:cs="Arial" w:eastAsia="Arial" w:hAnsi="Arial"/>
          <w:sz w:val="21"/>
          <w:szCs w:val="21"/>
          <w:u w:val="single" w:color="auto"/>
          <w:color w:val="auto"/>
        </w:rPr>
        <w:t>Company</w:t>
      </w:r>
      <w:r>
        <w:rPr>
          <w:rFonts w:ascii="Arial" w:cs="Arial" w:eastAsia="Arial" w:hAnsi="Arial"/>
          <w:sz w:val="21"/>
          <w:szCs w:val="21"/>
          <w:color w:val="auto"/>
        </w:rPr>
        <w:t>") hereby grants to the Grantee named above the number of SARs (as defined in the Plan) specified above. This Stock Appreciation Right Award Agreement for Non-U.S. Grantees (the "</w:t>
      </w:r>
      <w:r>
        <w:rPr>
          <w:rFonts w:ascii="Arial" w:cs="Arial" w:eastAsia="Arial" w:hAnsi="Arial"/>
          <w:sz w:val="21"/>
          <w:szCs w:val="21"/>
          <w:u w:val="single" w:color="auto"/>
          <w:color w:val="auto"/>
        </w:rPr>
        <w:t>SAR Agreement</w:t>
      </w:r>
      <w:r>
        <w:rPr>
          <w:rFonts w:ascii="Arial" w:cs="Arial" w:eastAsia="Arial" w:hAnsi="Arial"/>
          <w:sz w:val="21"/>
          <w:szCs w:val="21"/>
          <w:color w:val="auto"/>
        </w:rPr>
        <w:t>"), including any special terms and conditions for the Grantee's country as set forth in the appendix attached hereto (the "</w:t>
      </w:r>
      <w:r>
        <w:rPr>
          <w:rFonts w:ascii="Arial" w:cs="Arial" w:eastAsia="Arial" w:hAnsi="Arial"/>
          <w:sz w:val="21"/>
          <w:szCs w:val="21"/>
          <w:u w:val="single" w:color="auto"/>
          <w:color w:val="auto"/>
        </w:rPr>
        <w:t>Appendix</w:t>
      </w:r>
      <w:r>
        <w:rPr>
          <w:rFonts w:ascii="Arial" w:cs="Arial" w:eastAsia="Arial" w:hAnsi="Arial"/>
          <w:sz w:val="21"/>
          <w:szCs w:val="21"/>
          <w:color w:val="auto"/>
        </w:rPr>
        <w:t>," and together with the SAR Agreement, the "</w:t>
      </w:r>
      <w:r>
        <w:rPr>
          <w:rFonts w:ascii="Arial" w:cs="Arial" w:eastAsia="Arial" w:hAnsi="Arial"/>
          <w:sz w:val="21"/>
          <w:szCs w:val="21"/>
          <w:u w:val="single" w:color="auto"/>
          <w:color w:val="auto"/>
        </w:rPr>
        <w:t>Agreement</w:t>
      </w:r>
      <w:r>
        <w:rPr>
          <w:rFonts w:ascii="Arial" w:cs="Arial" w:eastAsia="Arial" w:hAnsi="Arial"/>
          <w:sz w:val="21"/>
          <w:szCs w:val="21"/>
          <w:color w:val="auto"/>
        </w:rPr>
        <w:t>"), shall give the Grantee the right to exercise on or prior to the Expiration Date specified above all or part of the number of SARs specified above at the Exercise Price per Share specified above, and to receive a cash payment in accordance with Paragraph 2 of this SAR Agreement, subject to the terms and conditions set forth in the Agreement and in the Plan. Each of the SARs granted herein relates to the value of one share of Common Stock (as defined in the Plan).</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22"/>
          <w:szCs w:val="22"/>
          <w:color w:val="auto"/>
        </w:rPr>
        <w:t>Capitalized terms not defined herein but defined in the Plan have the same definitions as in the Plan.</w:t>
      </w:r>
    </w:p>
    <w:p>
      <w:pPr>
        <w:spacing w:after="0" w:line="206" w:lineRule="exact"/>
        <w:rPr>
          <w:sz w:val="20"/>
          <w:szCs w:val="20"/>
          <w:color w:val="auto"/>
        </w:rPr>
      </w:pPr>
    </w:p>
    <w:p>
      <w:pPr>
        <w:ind w:right="120" w:firstLine="872"/>
        <w:spacing w:after="0"/>
        <w:tabs>
          <w:tab w:leader="none" w:pos="1674" w:val="left"/>
        </w:tabs>
        <w:numPr>
          <w:ilvl w:val="0"/>
          <w:numId w:val="39"/>
        </w:numPr>
        <w:rPr>
          <w:rFonts w:ascii="Arial" w:cs="Arial" w:eastAsia="Arial" w:hAnsi="Arial"/>
          <w:sz w:val="22"/>
          <w:szCs w:val="22"/>
          <w:color w:val="auto"/>
        </w:rPr>
      </w:pPr>
      <w:r>
        <w:rPr>
          <w:rFonts w:ascii="Arial" w:cs="Arial" w:eastAsia="Arial" w:hAnsi="Arial"/>
          <w:sz w:val="22"/>
          <w:szCs w:val="22"/>
          <w:u w:val="single" w:color="auto"/>
          <w:color w:val="auto"/>
        </w:rPr>
        <w:t>Exercisability Schedule</w:t>
      </w:r>
      <w:r>
        <w:rPr>
          <w:rFonts w:ascii="Arial" w:cs="Arial" w:eastAsia="Arial" w:hAnsi="Arial"/>
          <w:sz w:val="22"/>
          <w:szCs w:val="22"/>
          <w:color w:val="auto"/>
        </w:rPr>
        <w:t>. No portion of these SARs may be exercised until such portion shall have become exercisable. Except as set forth below, and subject to the discretion of the Administrator to accelerate the exercisability schedule hereunder, these SARs shall be exercisable on the dates indicated below.</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940" w:type="dxa"/>
            <w:vAlign w:val="bottom"/>
            <w:gridSpan w:val="3"/>
          </w:tcPr>
          <w:p>
            <w:pPr>
              <w:jc w:val="center"/>
              <w:ind w:left="872"/>
              <w:spacing w:after="0"/>
              <w:rPr>
                <w:sz w:val="20"/>
                <w:szCs w:val="20"/>
                <w:color w:val="auto"/>
              </w:rPr>
            </w:pPr>
            <w:r>
              <w:rPr>
                <w:rFonts w:ascii="Arial" w:cs="Arial" w:eastAsia="Arial" w:hAnsi="Arial"/>
                <w:sz w:val="22"/>
                <w:szCs w:val="22"/>
                <w:color w:val="auto"/>
                <w:w w:val="90"/>
              </w:rPr>
              <w:t>[Incremental (Aggregate Number)</w:t>
            </w:r>
          </w:p>
        </w:tc>
        <w:tc>
          <w:tcPr>
            <w:tcW w:w="12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2380" w:type="dxa"/>
            <w:vAlign w:val="bottom"/>
          </w:tcPr>
          <w:p>
            <w:pPr>
              <w:spacing w:after="0"/>
              <w:rPr>
                <w:sz w:val="21"/>
                <w:szCs w:val="21"/>
                <w:color w:val="auto"/>
              </w:rPr>
            </w:pPr>
          </w:p>
        </w:tc>
      </w:tr>
      <w:tr>
        <w:trPr>
          <w:trHeight w:val="224"/>
        </w:trPr>
        <w:tc>
          <w:tcPr>
            <w:tcW w:w="5940" w:type="dxa"/>
            <w:vAlign w:val="bottom"/>
            <w:gridSpan w:val="3"/>
          </w:tcPr>
          <w:p>
            <w:pPr>
              <w:jc w:val="center"/>
              <w:ind w:left="852"/>
              <w:spacing w:after="0" w:line="224" w:lineRule="exact"/>
              <w:rPr>
                <w:sz w:val="20"/>
                <w:szCs w:val="20"/>
                <w:color w:val="auto"/>
              </w:rPr>
            </w:pPr>
            <w:r>
              <w:rPr>
                <w:rFonts w:ascii="Arial" w:cs="Arial" w:eastAsia="Arial" w:hAnsi="Arial"/>
                <w:sz w:val="22"/>
                <w:szCs w:val="22"/>
                <w:color w:val="auto"/>
                <w:w w:val="89"/>
              </w:rPr>
              <w:t>of] SARs Exercisable</w:t>
            </w:r>
          </w:p>
        </w:tc>
        <w:tc>
          <w:tcPr>
            <w:tcW w:w="5320" w:type="dxa"/>
            <w:vAlign w:val="bottom"/>
            <w:gridSpan w:val="3"/>
          </w:tcPr>
          <w:p>
            <w:pPr>
              <w:jc w:val="center"/>
              <w:ind w:right="1100"/>
              <w:spacing w:after="0" w:line="224" w:lineRule="exact"/>
              <w:rPr>
                <w:sz w:val="20"/>
                <w:szCs w:val="20"/>
                <w:color w:val="auto"/>
              </w:rPr>
            </w:pPr>
            <w:r>
              <w:rPr>
                <w:rFonts w:ascii="Arial" w:cs="Arial" w:eastAsia="Arial" w:hAnsi="Arial"/>
                <w:sz w:val="22"/>
                <w:szCs w:val="22"/>
                <w:color w:val="auto"/>
                <w:w w:val="91"/>
              </w:rPr>
              <w:t>Exercisability Date</w:t>
            </w:r>
          </w:p>
        </w:tc>
      </w:tr>
      <w:tr>
        <w:trPr>
          <w:trHeight w:val="20"/>
        </w:trPr>
        <w:tc>
          <w:tcPr>
            <w:tcW w:w="252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490"/>
        </w:trPr>
        <w:tc>
          <w:tcPr>
            <w:tcW w:w="2520" w:type="dxa"/>
            <w:vAlign w:val="bottom"/>
          </w:tcPr>
          <w:p>
            <w:pPr>
              <w:spacing w:after="0"/>
              <w:rPr>
                <w:sz w:val="24"/>
                <w:szCs w:val="24"/>
                <w:color w:val="auto"/>
              </w:rPr>
            </w:pPr>
          </w:p>
        </w:tc>
        <w:tc>
          <w:tcPr>
            <w:tcW w:w="1860" w:type="dxa"/>
            <w:vAlign w:val="bottom"/>
          </w:tcPr>
          <w:p>
            <w:pPr>
              <w:jc w:val="center"/>
              <w:spacing w:after="0"/>
              <w:rPr>
                <w:sz w:val="20"/>
                <w:szCs w:val="20"/>
                <w:color w:val="auto"/>
              </w:rPr>
            </w:pPr>
            <w:r>
              <w:rPr>
                <w:rFonts w:ascii="Arial" w:cs="Arial" w:eastAsia="Arial" w:hAnsi="Arial"/>
                <w:sz w:val="22"/>
                <w:szCs w:val="22"/>
                <w:color w:val="auto"/>
              </w:rPr>
              <w:t>[●]</w:t>
            </w:r>
          </w:p>
        </w:tc>
        <w:tc>
          <w:tcPr>
            <w:tcW w:w="1560" w:type="dxa"/>
            <w:vAlign w:val="bottom"/>
          </w:tcPr>
          <w:p>
            <w:pPr>
              <w:spacing w:after="0"/>
              <w:rPr>
                <w:sz w:val="24"/>
                <w:szCs w:val="24"/>
                <w:color w:val="auto"/>
              </w:rPr>
            </w:pPr>
          </w:p>
        </w:tc>
        <w:tc>
          <w:tcPr>
            <w:tcW w:w="5320" w:type="dxa"/>
            <w:vAlign w:val="bottom"/>
            <w:gridSpan w:val="3"/>
          </w:tcPr>
          <w:p>
            <w:pPr>
              <w:jc w:val="center"/>
              <w:ind w:right="1100"/>
              <w:spacing w:after="0"/>
              <w:rPr>
                <w:sz w:val="20"/>
                <w:szCs w:val="20"/>
                <w:color w:val="auto"/>
              </w:rPr>
            </w:pPr>
            <w:r>
              <w:rPr>
                <w:rFonts w:ascii="Arial" w:cs="Arial" w:eastAsia="Arial" w:hAnsi="Arial"/>
                <w:sz w:val="22"/>
                <w:szCs w:val="22"/>
                <w:color w:val="auto"/>
                <w:w w:val="89"/>
              </w:rPr>
              <w:t>[performance milestones]</w:t>
            </w:r>
          </w:p>
        </w:tc>
      </w:tr>
      <w:tr>
        <w:trPr>
          <w:trHeight w:val="847"/>
        </w:trPr>
        <w:tc>
          <w:tcPr>
            <w:tcW w:w="252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98" w:name="page99"/>
    <w:bookmarkEnd w:id="98"/>
    <w:p>
      <w:pPr>
        <w:ind w:right="60" w:firstLine="864"/>
        <w:spacing w:after="0" w:line="248" w:lineRule="auto"/>
        <w:rPr>
          <w:sz w:val="20"/>
          <w:szCs w:val="20"/>
          <w:color w:val="auto"/>
        </w:rPr>
      </w:pPr>
      <w:r>
        <w:rPr>
          <w:rFonts w:ascii="Arial" w:cs="Arial" w:eastAsia="Arial" w:hAnsi="Arial"/>
          <w:sz w:val="21"/>
          <w:szCs w:val="21"/>
          <w:color w:val="auto"/>
        </w:rPr>
        <w:t>Once exercisable, these SARs shall continue to be exercisable at any time or times prior to the close of business (being 5 p.m. U.S. ET) on the Expiration Date, subject to the provisions hereof and of the Plan. The number of SARs that become exercisable on any exercisability date shall be rounded down to nearest whole number. Each installment shall take into effect prior rounding so that each annual installment including the last installment is approximately the same. Upon the termination of the Grantee's Continuous Service for any reason other than for Cause within 6 months following the occurrence of a Corporate Transaction, all unvested SARs shall immediately vest.</w:t>
      </w:r>
    </w:p>
    <w:p>
      <w:pPr>
        <w:spacing w:after="0" w:line="217" w:lineRule="exact"/>
        <w:rPr>
          <w:sz w:val="20"/>
          <w:szCs w:val="20"/>
          <w:color w:val="auto"/>
        </w:rPr>
      </w:pPr>
    </w:p>
    <w:p>
      <w:pPr>
        <w:ind w:right="80" w:firstLine="872"/>
        <w:spacing w:after="0" w:line="279" w:lineRule="auto"/>
        <w:tabs>
          <w:tab w:leader="none" w:pos="1674" w:val="left"/>
        </w:tabs>
        <w:numPr>
          <w:ilvl w:val="0"/>
          <w:numId w:val="40"/>
        </w:numPr>
        <w:rPr>
          <w:rFonts w:ascii="Arial" w:cs="Arial" w:eastAsia="Arial" w:hAnsi="Arial"/>
          <w:sz w:val="19"/>
          <w:szCs w:val="19"/>
          <w:color w:val="auto"/>
        </w:rPr>
      </w:pPr>
      <w:r>
        <w:rPr>
          <w:rFonts w:ascii="Arial" w:cs="Arial" w:eastAsia="Arial" w:hAnsi="Arial"/>
          <w:sz w:val="19"/>
          <w:szCs w:val="19"/>
          <w:u w:val="single" w:color="auto"/>
          <w:color w:val="auto"/>
        </w:rPr>
        <w:t>Forfeiture of Stock Appreciation Rights</w:t>
      </w:r>
      <w:r>
        <w:rPr>
          <w:rFonts w:ascii="Arial" w:cs="Arial" w:eastAsia="Arial" w:hAnsi="Arial"/>
          <w:sz w:val="19"/>
          <w:szCs w:val="19"/>
          <w:color w:val="auto"/>
        </w:rPr>
        <w:t>. In the event the Grantee's Continuous Service terminates for any reason, the Grantee's right to vest in the SARs will cease as of the date of termination of the Grantee's Continuous Service, and any SARs that were not already exercisable on the date of such termination shall be forfeited on that date. Furthermore, the Grantee's Post-Termination Exercise Period will be measured by reference to the date of such termination in accordance with the Plan, provided, however, that in case the Grantee's Continuous Service terminates for Cause, the Grantee's right to exercise the SARs shall terminate immediately upon the date of the Grantee's termination of Continuous Service.</w:t>
      </w:r>
    </w:p>
    <w:p>
      <w:pPr>
        <w:spacing w:after="0" w:line="150" w:lineRule="exact"/>
        <w:rPr>
          <w:rFonts w:ascii="Arial" w:cs="Arial" w:eastAsia="Arial" w:hAnsi="Arial"/>
          <w:sz w:val="19"/>
          <w:szCs w:val="19"/>
          <w:color w:val="auto"/>
        </w:rPr>
      </w:pPr>
    </w:p>
    <w:p>
      <w:pPr>
        <w:ind w:firstLine="872"/>
        <w:spacing w:after="0" w:line="272" w:lineRule="auto"/>
        <w:tabs>
          <w:tab w:leader="none" w:pos="1674" w:val="left"/>
        </w:tabs>
        <w:numPr>
          <w:ilvl w:val="0"/>
          <w:numId w:val="40"/>
        </w:numPr>
        <w:rPr>
          <w:rFonts w:ascii="Arial" w:cs="Arial" w:eastAsia="Arial" w:hAnsi="Arial"/>
          <w:sz w:val="19"/>
          <w:szCs w:val="19"/>
          <w:color w:val="auto"/>
        </w:rPr>
      </w:pPr>
      <w:r>
        <w:rPr>
          <w:rFonts w:ascii="Arial" w:cs="Arial" w:eastAsia="Arial" w:hAnsi="Arial"/>
          <w:sz w:val="19"/>
          <w:szCs w:val="19"/>
          <w:u w:val="single" w:color="auto"/>
          <w:color w:val="auto"/>
        </w:rPr>
        <w:t>Certain Tax Matters</w:t>
      </w:r>
      <w:r>
        <w:rPr>
          <w:rFonts w:ascii="Arial" w:cs="Arial" w:eastAsia="Arial" w:hAnsi="Arial"/>
          <w:sz w:val="19"/>
          <w:szCs w:val="19"/>
          <w:color w:val="auto"/>
        </w:rPr>
        <w:t>. Regardless of any action taken by the Company or, if different, the Related Entity employing the Grantee or to which the Grantee is otherwise providing services (the "</w:t>
      </w:r>
      <w:r>
        <w:rPr>
          <w:rFonts w:ascii="Arial" w:cs="Arial" w:eastAsia="Arial" w:hAnsi="Arial"/>
          <w:sz w:val="19"/>
          <w:szCs w:val="19"/>
          <w:u w:val="single" w:color="auto"/>
          <w:color w:val="auto"/>
        </w:rPr>
        <w:t>Service Recipient</w:t>
      </w:r>
      <w:r>
        <w:rPr>
          <w:rFonts w:ascii="Arial" w:cs="Arial" w:eastAsia="Arial" w:hAnsi="Arial"/>
          <w:sz w:val="19"/>
          <w:szCs w:val="19"/>
          <w:color w:val="auto"/>
        </w:rPr>
        <w:t>"), the ultimate liability for all income tax, social insurance, payroll tax, fringe benefits tax, payment on account or other tax-related items related to the Grantee's participation in the Plan and legally applicable to the Grantee or deemed by the Company or the Service Recipient, in their discretion, to be an appropriate charge to the Grantee even if legally applicable to the Company or the Service Recipient ("</w:t>
      </w:r>
      <w:r>
        <w:rPr>
          <w:rFonts w:ascii="Arial" w:cs="Arial" w:eastAsia="Arial" w:hAnsi="Arial"/>
          <w:sz w:val="19"/>
          <w:szCs w:val="19"/>
          <w:u w:val="single" w:color="auto"/>
          <w:color w:val="auto"/>
        </w:rPr>
        <w:t>Tax-Related Items</w:t>
      </w:r>
      <w:r>
        <w:rPr>
          <w:rFonts w:ascii="Arial" w:cs="Arial" w:eastAsia="Arial" w:hAnsi="Arial"/>
          <w:sz w:val="19"/>
          <w:szCs w:val="19"/>
          <w:color w:val="auto"/>
        </w:rPr>
        <w:t>") is and remains the Grantee's responsibility and may exceed the amount actually withheld, if any, by the Company or the Service Recipient. The Grantee further acknowledges that the Company and/or the Service Recipient (i) make no representations or undertakings regarding the treatment of any Tax-Related Items in connection with any aspect of the SARs, including, but not limited to, the grant, vesting or exercise of the SARs and the receipt of any cash payment in settlement of the SARs; and (ii) do not commit to and are under no obligation to structure the terms of the grant or any aspect of the SARs to reduce or eliminate the Grantee's liability for Tax-Related Items or achieve any particular tax result. Further, if the Grantee is subject to Tax-Related Items in more than one jurisdiction, the Company and/or the Service Recipient (or former service recipient, as applicable) may be required to withhold or account for Tax-Related Items in more than one jurisdiction.</w:t>
      </w:r>
    </w:p>
    <w:p>
      <w:pPr>
        <w:spacing w:after="0" w:line="156" w:lineRule="exact"/>
        <w:rPr>
          <w:sz w:val="20"/>
          <w:szCs w:val="20"/>
          <w:color w:val="auto"/>
        </w:rPr>
      </w:pPr>
    </w:p>
    <w:p>
      <w:pPr>
        <w:ind w:right="20" w:firstLine="864"/>
        <w:spacing w:after="0" w:line="252" w:lineRule="auto"/>
        <w:rPr>
          <w:sz w:val="20"/>
          <w:szCs w:val="20"/>
          <w:color w:val="auto"/>
        </w:rPr>
      </w:pPr>
      <w:r>
        <w:rPr>
          <w:rFonts w:ascii="Arial" w:cs="Arial" w:eastAsia="Arial" w:hAnsi="Arial"/>
          <w:sz w:val="21"/>
          <w:szCs w:val="21"/>
          <w:color w:val="auto"/>
        </w:rPr>
        <w:t>The Grantee agrees to make adequate arrangements satisfactory to the Company and/or the Service Recipient, as applicable, prior to any relevant tax withholding event, to satisfy all Tax-Related Items. In this regard, the Grantee authorizes the Company and/or the Service Recipient, or their respective agents, at their discretion, to satisfy any applicable withholding obligations with regard to all Tax-Related Items by one or a combination of the following:</w:t>
      </w:r>
    </w:p>
    <w:p>
      <w:pPr>
        <w:spacing w:after="0" w:line="201" w:lineRule="exact"/>
        <w:rPr>
          <w:sz w:val="20"/>
          <w:szCs w:val="20"/>
          <w:color w:val="auto"/>
        </w:rPr>
      </w:pPr>
    </w:p>
    <w:p>
      <w:pPr>
        <w:ind w:left="880" w:right="160" w:firstLine="1586"/>
        <w:spacing w:after="0" w:line="250" w:lineRule="auto"/>
        <w:tabs>
          <w:tab w:leader="none" w:pos="3362" w:val="left"/>
        </w:tabs>
        <w:numPr>
          <w:ilvl w:val="0"/>
          <w:numId w:val="41"/>
        </w:numPr>
        <w:rPr>
          <w:rFonts w:ascii="Arial" w:cs="Arial" w:eastAsia="Arial" w:hAnsi="Arial"/>
          <w:sz w:val="22"/>
          <w:szCs w:val="22"/>
          <w:color w:val="auto"/>
        </w:rPr>
      </w:pPr>
      <w:r>
        <w:rPr>
          <w:rFonts w:ascii="Arial" w:cs="Arial" w:eastAsia="Arial" w:hAnsi="Arial"/>
          <w:sz w:val="22"/>
          <w:szCs w:val="22"/>
          <w:color w:val="auto"/>
        </w:rPr>
        <w:t>withholding from the Grantee's wages or other cash compensation paid to the Grantee by the Company and/or the Service Recipient; or</w:t>
      </w: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334" w:right="379" w:bottom="1440" w:gutter="0" w:footer="0" w:header="0"/>
        </w:sectPr>
      </w:pPr>
    </w:p>
    <w:bookmarkStart w:id="99" w:name="page100"/>
    <w:bookmarkEnd w:id="99"/>
    <w:p>
      <w:pPr>
        <w:ind w:left="3360" w:hanging="894"/>
        <w:spacing w:after="0"/>
        <w:tabs>
          <w:tab w:leader="none" w:pos="3360" w:val="left"/>
        </w:tabs>
        <w:numPr>
          <w:ilvl w:val="0"/>
          <w:numId w:val="42"/>
        </w:numPr>
        <w:rPr>
          <w:rFonts w:ascii="Arial" w:cs="Arial" w:eastAsia="Arial" w:hAnsi="Arial"/>
          <w:sz w:val="21"/>
          <w:szCs w:val="21"/>
          <w:color w:val="auto"/>
        </w:rPr>
      </w:pPr>
      <w:r>
        <w:rPr>
          <w:rFonts w:ascii="Arial" w:cs="Arial" w:eastAsia="Arial" w:hAnsi="Arial"/>
          <w:sz w:val="21"/>
          <w:szCs w:val="21"/>
          <w:color w:val="auto"/>
        </w:rPr>
        <w:t>withholding from the cash payment due to the Grantee upon exercise of the SARs.</w:t>
      </w:r>
    </w:p>
    <w:p>
      <w:pPr>
        <w:spacing w:after="0" w:line="218" w:lineRule="exact"/>
        <w:rPr>
          <w:sz w:val="20"/>
          <w:szCs w:val="20"/>
          <w:color w:val="auto"/>
        </w:rPr>
      </w:pPr>
    </w:p>
    <w:p>
      <w:pPr>
        <w:ind w:firstLine="864"/>
        <w:spacing w:after="0" w:line="257" w:lineRule="auto"/>
        <w:rPr>
          <w:sz w:val="20"/>
          <w:szCs w:val="20"/>
          <w:color w:val="auto"/>
        </w:rPr>
      </w:pPr>
      <w:r>
        <w:rPr>
          <w:rFonts w:ascii="Arial" w:cs="Arial" w:eastAsia="Arial" w:hAnsi="Arial"/>
          <w:sz w:val="21"/>
          <w:szCs w:val="21"/>
          <w:color w:val="auto"/>
        </w:rPr>
        <w:t>The Company or Service Recipient may withhold or account for Tax-Related Items by considering applicable minimum statutory withholding rates or other applicable withholding rates, including maximum applicable rates in the Grantee's jurisdiction(s), in which case the Grantee may receive a refund of any over-withheld amount in cash.</w:t>
      </w:r>
    </w:p>
    <w:p>
      <w:pPr>
        <w:spacing w:after="0" w:line="210" w:lineRule="exact"/>
        <w:rPr>
          <w:sz w:val="20"/>
          <w:szCs w:val="20"/>
          <w:color w:val="auto"/>
        </w:rPr>
      </w:pPr>
    </w:p>
    <w:p>
      <w:pPr>
        <w:ind w:firstLine="864"/>
        <w:spacing w:after="0" w:line="287" w:lineRule="auto"/>
        <w:rPr>
          <w:sz w:val="20"/>
          <w:szCs w:val="20"/>
          <w:color w:val="auto"/>
        </w:rPr>
      </w:pPr>
      <w:r>
        <w:rPr>
          <w:rFonts w:ascii="Arial" w:cs="Arial" w:eastAsia="Arial" w:hAnsi="Arial"/>
          <w:sz w:val="19"/>
          <w:szCs w:val="19"/>
          <w:color w:val="auto"/>
        </w:rPr>
        <w:t>Finally, the Grantee agrees to pay to the Company or the Service Recipient any amount of Tax-Related Items that the Company or the Service Recipient may be required to withhold as a result of the Grantee's participation in the Plan that cannot be satisfied by the means previously described. The Company may refuse to deliver the cash payment at exercise if the Grantee fails to comply with his or her obligations in connection with the Tax-Related Items as described in this Section 3.</w:t>
      </w:r>
    </w:p>
    <w:p>
      <w:pPr>
        <w:spacing w:after="0" w:line="170" w:lineRule="exact"/>
        <w:rPr>
          <w:sz w:val="20"/>
          <w:szCs w:val="20"/>
          <w:color w:val="auto"/>
        </w:rPr>
      </w:pPr>
    </w:p>
    <w:p>
      <w:pPr>
        <w:ind w:right="160" w:firstLine="872"/>
        <w:spacing w:after="0" w:line="271" w:lineRule="auto"/>
        <w:tabs>
          <w:tab w:leader="none" w:pos="1674" w:val="left"/>
        </w:tabs>
        <w:numPr>
          <w:ilvl w:val="0"/>
          <w:numId w:val="43"/>
        </w:numPr>
        <w:rPr>
          <w:rFonts w:ascii="Arial" w:cs="Arial" w:eastAsia="Arial" w:hAnsi="Arial"/>
          <w:sz w:val="19"/>
          <w:szCs w:val="19"/>
          <w:color w:val="auto"/>
        </w:rPr>
      </w:pPr>
      <w:r>
        <w:rPr>
          <w:rFonts w:ascii="Arial" w:cs="Arial" w:eastAsia="Arial" w:hAnsi="Arial"/>
          <w:sz w:val="19"/>
          <w:szCs w:val="19"/>
          <w:u w:val="single" w:color="auto"/>
          <w:color w:val="auto"/>
        </w:rPr>
        <w:t>Rights Prior to Exercisability</w:t>
      </w:r>
      <w:r>
        <w:rPr>
          <w:rFonts w:ascii="Arial" w:cs="Arial" w:eastAsia="Arial" w:hAnsi="Arial"/>
          <w:sz w:val="19"/>
          <w:szCs w:val="19"/>
          <w:color w:val="auto"/>
        </w:rPr>
        <w:t>. The SARs represent a right to payment in cash from the Company upon exercise if the conditions of this Agreement are met and do not give the Grantee ownership of any Common Stock. The Grantee shall not have any rights of a stockholder with respect to the shares of Common Stock underlying the SARs (including, without limitation, any voting rights or any right to dividends paid with respect to the shares of Common Stock underlying the</w:t>
      </w:r>
    </w:p>
    <w:p>
      <w:pPr>
        <w:spacing w:after="0" w:line="3" w:lineRule="exact"/>
        <w:rPr>
          <w:rFonts w:ascii="Arial" w:cs="Arial" w:eastAsia="Arial" w:hAnsi="Arial"/>
          <w:sz w:val="19"/>
          <w:szCs w:val="19"/>
          <w:color w:val="auto"/>
        </w:rPr>
      </w:pPr>
    </w:p>
    <w:p>
      <w:pPr>
        <w:ind w:right="100"/>
        <w:spacing w:after="0" w:line="308" w:lineRule="auto"/>
        <w:rPr>
          <w:rFonts w:ascii="Arial" w:cs="Arial" w:eastAsia="Arial" w:hAnsi="Arial"/>
          <w:sz w:val="19"/>
          <w:szCs w:val="19"/>
          <w:color w:val="auto"/>
        </w:rPr>
      </w:pPr>
      <w:r>
        <w:rPr>
          <w:rFonts w:ascii="Arial" w:cs="Arial" w:eastAsia="Arial" w:hAnsi="Arial"/>
          <w:sz w:val="19"/>
          <w:szCs w:val="19"/>
          <w:color w:val="auto"/>
        </w:rPr>
        <w:t>SARs). No assets have been set aside by the Company or otherwise to pay the amounts promised by this Agreement, the right to payment is unsecured, and the Grantee is a general creditor of the Company for payment under this Agreement.</w:t>
      </w:r>
    </w:p>
    <w:p>
      <w:pPr>
        <w:spacing w:after="0" w:line="123" w:lineRule="exact"/>
        <w:rPr>
          <w:rFonts w:ascii="Arial" w:cs="Arial" w:eastAsia="Arial" w:hAnsi="Arial"/>
          <w:sz w:val="19"/>
          <w:szCs w:val="19"/>
          <w:color w:val="auto"/>
        </w:rPr>
      </w:pPr>
    </w:p>
    <w:p>
      <w:pPr>
        <w:ind w:left="1680" w:hanging="808"/>
        <w:spacing w:after="0"/>
        <w:tabs>
          <w:tab w:leader="none" w:pos="1680" w:val="left"/>
        </w:tabs>
        <w:numPr>
          <w:ilvl w:val="0"/>
          <w:numId w:val="43"/>
        </w:numPr>
        <w:rPr>
          <w:rFonts w:ascii="Arial" w:cs="Arial" w:eastAsia="Arial" w:hAnsi="Arial"/>
          <w:sz w:val="22"/>
          <w:szCs w:val="22"/>
          <w:color w:val="auto"/>
        </w:rPr>
      </w:pPr>
      <w:r>
        <w:rPr>
          <w:rFonts w:ascii="Arial" w:cs="Arial" w:eastAsia="Arial" w:hAnsi="Arial"/>
          <w:sz w:val="22"/>
          <w:szCs w:val="22"/>
          <w:u w:val="single" w:color="auto"/>
          <w:color w:val="auto"/>
        </w:rPr>
        <w:t>Nature of Grant</w:t>
      </w:r>
      <w:r>
        <w:rPr>
          <w:rFonts w:ascii="Arial" w:cs="Arial" w:eastAsia="Arial" w:hAnsi="Arial"/>
          <w:sz w:val="22"/>
          <w:szCs w:val="22"/>
          <w:color w:val="auto"/>
        </w:rPr>
        <w:t>: In accepting the SARs, the Grantee understands, acknowledges and agrees that:</w:t>
      </w:r>
    </w:p>
    <w:p>
      <w:pPr>
        <w:spacing w:after="0" w:line="206" w:lineRule="exact"/>
        <w:rPr>
          <w:rFonts w:ascii="Arial" w:cs="Arial" w:eastAsia="Arial" w:hAnsi="Arial"/>
          <w:sz w:val="22"/>
          <w:szCs w:val="22"/>
          <w:color w:val="auto"/>
        </w:rPr>
      </w:pPr>
    </w:p>
    <w:p>
      <w:pPr>
        <w:ind w:left="880" w:right="120" w:firstLine="1586"/>
        <w:spacing w:after="0" w:line="328" w:lineRule="auto"/>
        <w:tabs>
          <w:tab w:leader="none" w:pos="3362" w:val="left"/>
        </w:tabs>
        <w:numPr>
          <w:ilvl w:val="1"/>
          <w:numId w:val="43"/>
        </w:numPr>
        <w:rPr>
          <w:rFonts w:ascii="Arial" w:cs="Arial" w:eastAsia="Arial" w:hAnsi="Arial"/>
          <w:sz w:val="19"/>
          <w:szCs w:val="19"/>
          <w:color w:val="auto"/>
        </w:rPr>
      </w:pPr>
      <w:r>
        <w:rPr>
          <w:rFonts w:ascii="Arial" w:cs="Arial" w:eastAsia="Arial" w:hAnsi="Arial"/>
          <w:sz w:val="19"/>
          <w:szCs w:val="19"/>
          <w:color w:val="auto"/>
        </w:rPr>
        <w:t>the Plan is established voluntarily by the Company, it is discretionary in nature and it may be modified, amended, suspended or terminated by the Company at any time, to the extent permitted in the Plan;</w:t>
      </w:r>
    </w:p>
    <w:p>
      <w:pPr>
        <w:spacing w:after="0" w:line="104" w:lineRule="exact"/>
        <w:rPr>
          <w:rFonts w:ascii="Arial" w:cs="Arial" w:eastAsia="Arial" w:hAnsi="Arial"/>
          <w:sz w:val="19"/>
          <w:szCs w:val="19"/>
          <w:color w:val="auto"/>
        </w:rPr>
      </w:pPr>
    </w:p>
    <w:p>
      <w:pPr>
        <w:ind w:left="880" w:right="20" w:firstLine="1586"/>
        <w:spacing w:after="0"/>
        <w:tabs>
          <w:tab w:leader="none" w:pos="3374" w:val="left"/>
        </w:tabs>
        <w:numPr>
          <w:ilvl w:val="1"/>
          <w:numId w:val="43"/>
        </w:numPr>
        <w:rPr>
          <w:rFonts w:ascii="Arial" w:cs="Arial" w:eastAsia="Arial" w:hAnsi="Arial"/>
          <w:sz w:val="22"/>
          <w:szCs w:val="22"/>
          <w:color w:val="auto"/>
        </w:rPr>
      </w:pPr>
      <w:r>
        <w:rPr>
          <w:rFonts w:ascii="Arial" w:cs="Arial" w:eastAsia="Arial" w:hAnsi="Arial"/>
          <w:sz w:val="22"/>
          <w:szCs w:val="22"/>
          <w:color w:val="auto"/>
        </w:rPr>
        <w:t>the grant of the SARs is exceptional, voluntary and occasional and does not create any contractual or other right to receive future grants of SARs, benefits in lieu of SARs or other Awards, even if SARs have been awarded in the past;</w:t>
      </w:r>
    </w:p>
    <w:p>
      <w:pPr>
        <w:spacing w:after="0" w:line="186" w:lineRule="exact"/>
        <w:rPr>
          <w:rFonts w:ascii="Arial" w:cs="Arial" w:eastAsia="Arial" w:hAnsi="Arial"/>
          <w:sz w:val="22"/>
          <w:szCs w:val="22"/>
          <w:color w:val="auto"/>
        </w:rPr>
      </w:pPr>
    </w:p>
    <w:p>
      <w:pPr>
        <w:ind w:left="880" w:right="200" w:firstLine="1586"/>
        <w:spacing w:after="0" w:line="250" w:lineRule="auto"/>
        <w:tabs>
          <w:tab w:leader="none" w:pos="3362" w:val="left"/>
        </w:tabs>
        <w:numPr>
          <w:ilvl w:val="1"/>
          <w:numId w:val="43"/>
        </w:numPr>
        <w:rPr>
          <w:rFonts w:ascii="Arial" w:cs="Arial" w:eastAsia="Arial" w:hAnsi="Arial"/>
          <w:sz w:val="22"/>
          <w:szCs w:val="22"/>
          <w:color w:val="auto"/>
        </w:rPr>
      </w:pPr>
      <w:r>
        <w:rPr>
          <w:rFonts w:ascii="Arial" w:cs="Arial" w:eastAsia="Arial" w:hAnsi="Arial"/>
          <w:sz w:val="22"/>
          <w:szCs w:val="22"/>
          <w:color w:val="auto"/>
        </w:rPr>
        <w:t>all decisions with respect to future awards of SARs or other Awards, if any, will be at the sole discretion of the Company;</w:t>
      </w:r>
    </w:p>
    <w:p>
      <w:pPr>
        <w:spacing w:after="0" w:line="174" w:lineRule="exact"/>
        <w:rPr>
          <w:rFonts w:ascii="Arial" w:cs="Arial" w:eastAsia="Arial" w:hAnsi="Arial"/>
          <w:sz w:val="22"/>
          <w:szCs w:val="22"/>
          <w:color w:val="auto"/>
        </w:rPr>
      </w:pPr>
    </w:p>
    <w:p>
      <w:pPr>
        <w:ind w:left="3360" w:hanging="894"/>
        <w:spacing w:after="0"/>
        <w:tabs>
          <w:tab w:leader="none" w:pos="3360" w:val="left"/>
        </w:tabs>
        <w:numPr>
          <w:ilvl w:val="1"/>
          <w:numId w:val="43"/>
        </w:numPr>
        <w:rPr>
          <w:rFonts w:ascii="Arial" w:cs="Arial" w:eastAsia="Arial" w:hAnsi="Arial"/>
          <w:sz w:val="22"/>
          <w:szCs w:val="22"/>
          <w:color w:val="auto"/>
        </w:rPr>
      </w:pPr>
      <w:r>
        <w:rPr>
          <w:rFonts w:ascii="Arial" w:cs="Arial" w:eastAsia="Arial" w:hAnsi="Arial"/>
          <w:sz w:val="22"/>
          <w:szCs w:val="22"/>
          <w:color w:val="auto"/>
        </w:rPr>
        <w:t>the Grantee is voluntarily participating in the Plan;</w:t>
      </w:r>
    </w:p>
    <w:p>
      <w:pPr>
        <w:spacing w:after="0" w:line="206" w:lineRule="exact"/>
        <w:rPr>
          <w:rFonts w:ascii="Arial" w:cs="Arial" w:eastAsia="Arial" w:hAnsi="Arial"/>
          <w:sz w:val="22"/>
          <w:szCs w:val="22"/>
          <w:color w:val="auto"/>
        </w:rPr>
      </w:pPr>
    </w:p>
    <w:p>
      <w:pPr>
        <w:ind w:left="880" w:right="100" w:firstLine="1586"/>
        <w:spacing w:after="0" w:line="250" w:lineRule="auto"/>
        <w:tabs>
          <w:tab w:leader="none" w:pos="3362" w:val="left"/>
        </w:tabs>
        <w:numPr>
          <w:ilvl w:val="1"/>
          <w:numId w:val="43"/>
        </w:numPr>
        <w:rPr>
          <w:rFonts w:ascii="Arial" w:cs="Arial" w:eastAsia="Arial" w:hAnsi="Arial"/>
          <w:sz w:val="22"/>
          <w:szCs w:val="22"/>
          <w:color w:val="auto"/>
        </w:rPr>
      </w:pPr>
      <w:r>
        <w:rPr>
          <w:rFonts w:ascii="Arial" w:cs="Arial" w:eastAsia="Arial" w:hAnsi="Arial"/>
          <w:sz w:val="22"/>
          <w:szCs w:val="22"/>
          <w:color w:val="auto"/>
        </w:rPr>
        <w:t>the grant of the SARs, and the income from and value of same, are not intended to replace any pension rights or compensation;</w:t>
      </w:r>
    </w:p>
    <w:p>
      <w:pPr>
        <w:spacing w:after="0" w:line="174" w:lineRule="exact"/>
        <w:rPr>
          <w:rFonts w:ascii="Arial" w:cs="Arial" w:eastAsia="Arial" w:hAnsi="Arial"/>
          <w:sz w:val="22"/>
          <w:szCs w:val="22"/>
          <w:color w:val="auto"/>
        </w:rPr>
      </w:pPr>
    </w:p>
    <w:p>
      <w:pPr>
        <w:ind w:left="880" w:right="100" w:firstLine="1586"/>
        <w:spacing w:after="0"/>
        <w:tabs>
          <w:tab w:leader="none" w:pos="3338" w:val="left"/>
        </w:tabs>
        <w:numPr>
          <w:ilvl w:val="1"/>
          <w:numId w:val="43"/>
        </w:numPr>
        <w:rPr>
          <w:rFonts w:ascii="Arial" w:cs="Arial" w:eastAsia="Arial" w:hAnsi="Arial"/>
          <w:sz w:val="22"/>
          <w:szCs w:val="22"/>
          <w:color w:val="auto"/>
        </w:rPr>
      </w:pPr>
      <w:r>
        <w:rPr>
          <w:rFonts w:ascii="Arial" w:cs="Arial" w:eastAsia="Arial" w:hAnsi="Arial"/>
          <w:sz w:val="22"/>
          <w:szCs w:val="22"/>
          <w:color w:val="auto"/>
        </w:rPr>
        <w:t>unless otherwise agreed with the Company, the SARs, and the income from and value of same, are not granted as consideration for, or in connection with, the service the Grantee may provide as a director of a Related Entity;</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00" w:name="page101"/>
    <w:bookmarkEnd w:id="100"/>
    <w:p>
      <w:pPr>
        <w:ind w:left="8" w:right="160" w:firstLine="1586"/>
        <w:spacing w:after="0" w:line="238" w:lineRule="auto"/>
        <w:tabs>
          <w:tab w:leader="none" w:pos="2503" w:val="left"/>
        </w:tabs>
        <w:numPr>
          <w:ilvl w:val="1"/>
          <w:numId w:val="44"/>
        </w:numPr>
        <w:rPr>
          <w:rFonts w:ascii="Arial" w:cs="Arial" w:eastAsia="Arial" w:hAnsi="Arial"/>
          <w:sz w:val="22"/>
          <w:szCs w:val="22"/>
          <w:color w:val="auto"/>
        </w:rPr>
      </w:pPr>
      <w:r>
        <w:rPr>
          <w:rFonts w:ascii="Arial" w:cs="Arial" w:eastAsia="Arial" w:hAnsi="Arial"/>
          <w:sz w:val="22"/>
          <w:szCs w:val="22"/>
          <w:color w:val="auto"/>
        </w:rPr>
        <w:t>the SARs, and the income from and value of same, are not part of normal or expected compensation or salary for any purpose, including for purposes of calculating any severance, resignation, termination, redundancy, dismissal, end of service payments, bonuses, holiday pay, long-service awards, pension or retirement or welfare benefits or similar mandatory payments;</w:t>
      </w:r>
    </w:p>
    <w:p>
      <w:pPr>
        <w:spacing w:after="0" w:line="184" w:lineRule="exact"/>
        <w:rPr>
          <w:rFonts w:ascii="Arial" w:cs="Arial" w:eastAsia="Arial" w:hAnsi="Arial"/>
          <w:sz w:val="22"/>
          <w:szCs w:val="22"/>
          <w:color w:val="auto"/>
        </w:rPr>
      </w:pPr>
    </w:p>
    <w:p>
      <w:pPr>
        <w:ind w:left="8" w:right="280" w:firstLine="1586"/>
        <w:spacing w:after="0" w:line="287" w:lineRule="auto"/>
        <w:tabs>
          <w:tab w:leader="none" w:pos="2503" w:val="left"/>
        </w:tabs>
        <w:numPr>
          <w:ilvl w:val="1"/>
          <w:numId w:val="44"/>
        </w:numPr>
        <w:rPr>
          <w:rFonts w:ascii="Arial" w:cs="Arial" w:eastAsia="Arial" w:hAnsi="Arial"/>
          <w:sz w:val="19"/>
          <w:szCs w:val="19"/>
          <w:color w:val="auto"/>
        </w:rPr>
      </w:pPr>
      <w:r>
        <w:rPr>
          <w:rFonts w:ascii="Arial" w:cs="Arial" w:eastAsia="Arial" w:hAnsi="Arial"/>
          <w:sz w:val="19"/>
          <w:szCs w:val="19"/>
          <w:color w:val="auto"/>
        </w:rPr>
        <w:t>no claim or entitlement to compensation or damages shall arise from forfeiture of the SARs resulting from the termination of the Grantee's Continuous Service (for any reason whatsoever, whether or not later found to be invalid or in breach of employment laws in the jurisdiction where the Grantee is employed or otherwise providing services or the terms of the Grantee's employment or service agreement, if any);</w:t>
      </w:r>
    </w:p>
    <w:p>
      <w:pPr>
        <w:spacing w:after="0" w:line="142" w:lineRule="exact"/>
        <w:rPr>
          <w:rFonts w:ascii="Arial" w:cs="Arial" w:eastAsia="Arial" w:hAnsi="Arial"/>
          <w:sz w:val="19"/>
          <w:szCs w:val="19"/>
          <w:color w:val="auto"/>
        </w:rPr>
      </w:pPr>
    </w:p>
    <w:p>
      <w:pPr>
        <w:ind w:left="8" w:right="480" w:firstLine="1586"/>
        <w:spacing w:after="0" w:line="250" w:lineRule="auto"/>
        <w:tabs>
          <w:tab w:leader="none" w:pos="2455" w:val="left"/>
        </w:tabs>
        <w:numPr>
          <w:ilvl w:val="1"/>
          <w:numId w:val="44"/>
        </w:numPr>
        <w:rPr>
          <w:rFonts w:ascii="Arial" w:cs="Arial" w:eastAsia="Arial" w:hAnsi="Arial"/>
          <w:sz w:val="22"/>
          <w:szCs w:val="22"/>
          <w:color w:val="auto"/>
        </w:rPr>
      </w:pPr>
      <w:r>
        <w:rPr>
          <w:rFonts w:ascii="Arial" w:cs="Arial" w:eastAsia="Arial" w:hAnsi="Arial"/>
          <w:sz w:val="22"/>
          <w:szCs w:val="22"/>
          <w:color w:val="auto"/>
        </w:rPr>
        <w:t>the future value of the shares of Common Stock underlying the SARs is unknown and cannot be predicted with certainty;</w:t>
      </w:r>
    </w:p>
    <w:p>
      <w:pPr>
        <w:spacing w:after="0" w:line="174" w:lineRule="exact"/>
        <w:rPr>
          <w:rFonts w:ascii="Arial" w:cs="Arial" w:eastAsia="Arial" w:hAnsi="Arial"/>
          <w:sz w:val="22"/>
          <w:szCs w:val="22"/>
          <w:color w:val="auto"/>
        </w:rPr>
      </w:pPr>
    </w:p>
    <w:p>
      <w:pPr>
        <w:ind w:left="2448" w:hanging="854"/>
        <w:spacing w:after="0"/>
        <w:tabs>
          <w:tab w:leader="none" w:pos="2448" w:val="left"/>
        </w:tabs>
        <w:numPr>
          <w:ilvl w:val="1"/>
          <w:numId w:val="44"/>
        </w:numPr>
        <w:rPr>
          <w:rFonts w:ascii="Arial" w:cs="Arial" w:eastAsia="Arial" w:hAnsi="Arial"/>
          <w:sz w:val="19"/>
          <w:szCs w:val="19"/>
          <w:color w:val="auto"/>
        </w:rPr>
      </w:pPr>
      <w:r>
        <w:rPr>
          <w:rFonts w:ascii="Arial" w:cs="Arial" w:eastAsia="Arial" w:hAnsi="Arial"/>
          <w:sz w:val="19"/>
          <w:szCs w:val="19"/>
          <w:color w:val="auto"/>
        </w:rPr>
        <w:t>if the underlying shares of Common Stock do not increase in value, the SARs will have no</w:t>
      </w:r>
    </w:p>
    <w:p>
      <w:pPr>
        <w:spacing w:after="0" w:line="42" w:lineRule="exact"/>
        <w:rPr>
          <w:rFonts w:ascii="Arial" w:cs="Arial" w:eastAsia="Arial" w:hAnsi="Arial"/>
          <w:sz w:val="19"/>
          <w:szCs w:val="19"/>
          <w:color w:val="auto"/>
        </w:rPr>
      </w:pPr>
    </w:p>
    <w:p>
      <w:pPr>
        <w:ind w:left="8"/>
        <w:spacing w:after="0"/>
        <w:rPr>
          <w:rFonts w:ascii="Arial" w:cs="Arial" w:eastAsia="Arial" w:hAnsi="Arial"/>
          <w:sz w:val="19"/>
          <w:szCs w:val="19"/>
          <w:color w:val="auto"/>
        </w:rPr>
      </w:pPr>
      <w:r>
        <w:rPr>
          <w:rFonts w:ascii="Arial" w:cs="Arial" w:eastAsia="Arial" w:hAnsi="Arial"/>
          <w:sz w:val="22"/>
          <w:szCs w:val="22"/>
          <w:color w:val="auto"/>
        </w:rPr>
        <w:t>value; and</w:t>
      </w:r>
    </w:p>
    <w:p>
      <w:pPr>
        <w:spacing w:after="0" w:line="188" w:lineRule="exact"/>
        <w:rPr>
          <w:rFonts w:ascii="Arial" w:cs="Arial" w:eastAsia="Arial" w:hAnsi="Arial"/>
          <w:sz w:val="19"/>
          <w:szCs w:val="19"/>
          <w:color w:val="auto"/>
        </w:rPr>
      </w:pPr>
    </w:p>
    <w:p>
      <w:pPr>
        <w:jc w:val="both"/>
        <w:ind w:left="8" w:right="40" w:firstLine="1586"/>
        <w:spacing w:after="0" w:line="297" w:lineRule="auto"/>
        <w:tabs>
          <w:tab w:leader="none" w:pos="2503" w:val="left"/>
        </w:tabs>
        <w:numPr>
          <w:ilvl w:val="1"/>
          <w:numId w:val="44"/>
        </w:numPr>
        <w:rPr>
          <w:rFonts w:ascii="Arial" w:cs="Arial" w:eastAsia="Arial" w:hAnsi="Arial"/>
          <w:sz w:val="19"/>
          <w:szCs w:val="19"/>
          <w:color w:val="auto"/>
        </w:rPr>
      </w:pPr>
      <w:r>
        <w:rPr>
          <w:rFonts w:ascii="Arial" w:cs="Arial" w:eastAsia="Arial" w:hAnsi="Arial"/>
          <w:sz w:val="19"/>
          <w:szCs w:val="19"/>
          <w:color w:val="auto"/>
        </w:rPr>
        <w:t>neither the Company, the Service Recipient nor any other Related Entity will be liable for any foreign exchange rate fluctuation between the Grantee's local currency and the United States Dollar that may affect the value of the SARs or of any amounts due to the Grantee pursuant to the exercise of the SARs</w:t>
      </w:r>
    </w:p>
    <w:p>
      <w:pPr>
        <w:spacing w:after="0" w:line="133" w:lineRule="exact"/>
        <w:rPr>
          <w:rFonts w:ascii="Arial" w:cs="Arial" w:eastAsia="Arial" w:hAnsi="Arial"/>
          <w:sz w:val="19"/>
          <w:szCs w:val="19"/>
          <w:color w:val="auto"/>
        </w:rPr>
      </w:pPr>
    </w:p>
    <w:p>
      <w:pPr>
        <w:ind w:left="808" w:hanging="808"/>
        <w:spacing w:after="0"/>
        <w:tabs>
          <w:tab w:leader="none" w:pos="808" w:val="left"/>
        </w:tabs>
        <w:numPr>
          <w:ilvl w:val="0"/>
          <w:numId w:val="45"/>
        </w:numPr>
        <w:rPr>
          <w:rFonts w:ascii="Arial" w:cs="Arial" w:eastAsia="Arial" w:hAnsi="Arial"/>
          <w:sz w:val="22"/>
          <w:szCs w:val="22"/>
          <w:color w:val="auto"/>
        </w:rPr>
      </w:pPr>
      <w:r>
        <w:rPr>
          <w:rFonts w:ascii="Arial" w:cs="Arial" w:eastAsia="Arial" w:hAnsi="Arial"/>
          <w:sz w:val="22"/>
          <w:szCs w:val="22"/>
          <w:u w:val="single" w:color="auto"/>
          <w:color w:val="auto"/>
        </w:rPr>
        <w:t>Data Privacy</w:t>
      </w:r>
      <w:r>
        <w:rPr>
          <w:rFonts w:ascii="Arial" w:cs="Arial" w:eastAsia="Arial" w:hAnsi="Arial"/>
          <w:sz w:val="22"/>
          <w:szCs w:val="22"/>
          <w:color w:val="auto"/>
        </w:rPr>
        <w:t>.</w:t>
      </w:r>
    </w:p>
    <w:p>
      <w:pPr>
        <w:spacing w:after="0" w:line="206" w:lineRule="exact"/>
        <w:rPr>
          <w:sz w:val="20"/>
          <w:szCs w:val="20"/>
          <w:color w:val="auto"/>
        </w:rPr>
      </w:pPr>
    </w:p>
    <w:p>
      <w:pPr>
        <w:ind w:left="8" w:firstLine="1594"/>
        <w:spacing w:after="0" w:line="287" w:lineRule="auto"/>
        <w:rPr>
          <w:sz w:val="20"/>
          <w:szCs w:val="20"/>
          <w:color w:val="auto"/>
        </w:rPr>
      </w:pPr>
      <w:r>
        <w:rPr>
          <w:rFonts w:ascii="Arial" w:cs="Arial" w:eastAsia="Arial" w:hAnsi="Arial"/>
          <w:sz w:val="19"/>
          <w:szCs w:val="19"/>
          <w:b w:val="1"/>
          <w:bCs w:val="1"/>
          <w:i w:val="1"/>
          <w:iCs w:val="1"/>
          <w:color w:val="auto"/>
        </w:rPr>
        <w:t>The Grantee hereby explicitly and unambiguously consents to the collection, use and transfer, in electronic or other form, of his or her personal data as described in this Agreement and any other SARs grant materials by and among, as applicable, the Service Recipient, the Company, and any other subsidiaries and affiliates of the Company for the exclusive purpose of implementing, administering and managing the Plan.</w:t>
      </w:r>
    </w:p>
    <w:p>
      <w:pPr>
        <w:spacing w:after="0" w:line="143" w:lineRule="exact"/>
        <w:rPr>
          <w:sz w:val="20"/>
          <w:szCs w:val="20"/>
          <w:color w:val="auto"/>
        </w:rPr>
      </w:pPr>
    </w:p>
    <w:p>
      <w:pPr>
        <w:ind w:left="8" w:firstLine="1594"/>
        <w:spacing w:after="0" w:line="277" w:lineRule="auto"/>
        <w:rPr>
          <w:sz w:val="20"/>
          <w:szCs w:val="20"/>
          <w:color w:val="auto"/>
        </w:rPr>
      </w:pPr>
      <w:r>
        <w:rPr>
          <w:rFonts w:ascii="Arial" w:cs="Arial" w:eastAsia="Arial" w:hAnsi="Arial"/>
          <w:sz w:val="19"/>
          <w:szCs w:val="19"/>
          <w:b w:val="1"/>
          <w:bCs w:val="1"/>
          <w:i w:val="1"/>
          <w:iCs w:val="1"/>
          <w:color w:val="auto"/>
        </w:rPr>
        <w:t>The Grantee understands that the Company and the Service Recipient may hold certain personal information about the Grantee, including, but not limited to, the Grantee's name, home address and telephone number, e-mail address, date of birth, social insurance number (to the extent permitted under applicable local law), passport or other identification number (e.g., resident registration number), salary, nationality, job title, any shares of Company common stock or directorships held in the Company, details of all SARs or equivalent benefits awarded, cancelled, purchased, exercised, vested, unvested or outstanding in the Grantee's favor ("Data"), for the exclusive purpose of implementing, administering and managing the Plan.</w:t>
      </w:r>
    </w:p>
    <w:p>
      <w:pPr>
        <w:spacing w:after="0" w:line="152" w:lineRule="exact"/>
        <w:rPr>
          <w:sz w:val="20"/>
          <w:szCs w:val="20"/>
          <w:color w:val="auto"/>
        </w:rPr>
      </w:pPr>
    </w:p>
    <w:p>
      <w:pPr>
        <w:ind w:left="8" w:right="60" w:firstLine="1594"/>
        <w:spacing w:after="0" w:line="307" w:lineRule="auto"/>
        <w:rPr>
          <w:sz w:val="20"/>
          <w:szCs w:val="20"/>
          <w:color w:val="auto"/>
        </w:rPr>
      </w:pPr>
      <w:r>
        <w:rPr>
          <w:rFonts w:ascii="Arial" w:cs="Arial" w:eastAsia="Arial" w:hAnsi="Arial"/>
          <w:sz w:val="18"/>
          <w:szCs w:val="18"/>
          <w:b w:val="1"/>
          <w:bCs w:val="1"/>
          <w:i w:val="1"/>
          <w:iCs w:val="1"/>
          <w:color w:val="auto"/>
        </w:rPr>
        <w:t>The Grantee understands that Data will be transferred to such service provider(s) as may be selected by the Company to assist with the implementation, administration and management of the Plan. The recipients of Data may be located in the United States or elsewhere, and each recipient's country may have different data privacy laws and protections than the Grantee's country. The Grantee may request a list with the names</w:t>
      </w:r>
    </w:p>
    <w:p>
      <w:pPr>
        <w:spacing w:after="0" w:line="345" w:lineRule="exact"/>
        <w:rPr>
          <w:sz w:val="20"/>
          <w:szCs w:val="20"/>
          <w:color w:val="auto"/>
        </w:rPr>
      </w:pPr>
    </w:p>
    <w:p>
      <w:pPr>
        <w:ind w:left="4708"/>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62865</wp:posOffset>
            </wp:positionV>
            <wp:extent cx="71748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48"/>
          </w:cols>
          <w:pgMar w:left="1192" w:top="334" w:right="359" w:bottom="1440" w:gutter="0" w:footer="0" w:header="0"/>
        </w:sectPr>
      </w:pPr>
    </w:p>
    <w:bookmarkStart w:id="101" w:name="page102"/>
    <w:bookmarkEnd w:id="101"/>
    <w:p>
      <w:pPr>
        <w:ind w:left="860"/>
        <w:spacing w:after="0"/>
        <w:rPr>
          <w:sz w:val="20"/>
          <w:szCs w:val="20"/>
          <w:color w:val="auto"/>
        </w:rPr>
      </w:pPr>
      <w:r>
        <w:rPr>
          <w:rFonts w:ascii="Arial" w:cs="Arial" w:eastAsia="Arial" w:hAnsi="Arial"/>
          <w:sz w:val="18"/>
          <w:szCs w:val="18"/>
          <w:b w:val="1"/>
          <w:bCs w:val="1"/>
          <w:i w:val="1"/>
          <w:iCs w:val="1"/>
          <w:color w:val="auto"/>
        </w:rPr>
        <w:t>and addresses of any potential recipients of Data by contacting the Grantee's local human resources representative.</w:t>
      </w:r>
    </w:p>
    <w:p>
      <w:pPr>
        <w:spacing w:after="0" w:line="252" w:lineRule="exact"/>
        <w:rPr>
          <w:sz w:val="20"/>
          <w:szCs w:val="20"/>
          <w:color w:val="auto"/>
        </w:rPr>
      </w:pPr>
    </w:p>
    <w:p>
      <w:pPr>
        <w:ind w:left="860" w:firstLine="1594"/>
        <w:spacing w:after="0" w:line="271" w:lineRule="auto"/>
        <w:rPr>
          <w:sz w:val="20"/>
          <w:szCs w:val="20"/>
          <w:color w:val="auto"/>
        </w:rPr>
      </w:pPr>
      <w:r>
        <w:rPr>
          <w:rFonts w:ascii="Arial" w:cs="Arial" w:eastAsia="Arial" w:hAnsi="Arial"/>
          <w:sz w:val="19"/>
          <w:szCs w:val="19"/>
          <w:b w:val="1"/>
          <w:bCs w:val="1"/>
          <w:i w:val="1"/>
          <w:iCs w:val="1"/>
          <w:color w:val="auto"/>
        </w:rPr>
        <w:t>The Grantee authorizes the Company and any other possible recipients which may assist the Company (presently or in the future) with implementing, administering and managing the Plan to receive, possess, use, retain and transfer Data, in electronic or other form, for the sole purpose of implementing, administering and managing the Grantee's SARs, including any requisite transfer of such Data as may be required to a broker, escrow agent or other third party with whom Grantee may elect to deposit any payment received upon exercise of the SARs. The Grantee understands that Data will be held only as long as is necessary to implement, administer and manage the Grantee's participation in the Plan. The Grantee may, at any time, view Data, request information about the storage and processing of Data, require any necessary amendments to Data or refuse or withdraw the consents herein, without cost, by contacting the Grantee's local human resources representative. Further, the Grantee is providing the consents herein on a purely voluntary basis. If the Grantee does not consent, or if the Grantee later seeks to revoke consent, the Grantee's employment or service with the Service Recipient will not be affected; the only consequence of refusing or withdrawing consent is that the Company would not be able to grant SARs or other awards under the Plan to the Grantee or administer or maintain such awards. Therefore, the Grantee understand that refusing or withdrawing consent may affect the Grantee's ability to participate in the Plan. For more information on the consequences of refusal to consent or withdrawal of consent, the Grantee may contact his or her local human resources representative.</w:t>
      </w:r>
    </w:p>
    <w:p>
      <w:pPr>
        <w:spacing w:after="0" w:line="157" w:lineRule="exact"/>
        <w:rPr>
          <w:sz w:val="20"/>
          <w:szCs w:val="20"/>
          <w:color w:val="auto"/>
        </w:rPr>
      </w:pPr>
    </w:p>
    <w:p>
      <w:pPr>
        <w:ind w:left="-20" w:right="260" w:firstLine="872"/>
        <w:spacing w:after="0"/>
        <w:tabs>
          <w:tab w:leader="none" w:pos="1654" w:val="left"/>
        </w:tabs>
        <w:numPr>
          <w:ilvl w:val="0"/>
          <w:numId w:val="46"/>
        </w:numPr>
        <w:rPr>
          <w:rFonts w:ascii="Arial" w:cs="Arial" w:eastAsia="Arial" w:hAnsi="Arial"/>
          <w:sz w:val="22"/>
          <w:szCs w:val="22"/>
          <w:color w:val="auto"/>
        </w:rPr>
      </w:pPr>
      <w:r>
        <w:rPr>
          <w:rFonts w:ascii="Arial" w:cs="Arial" w:eastAsia="Arial" w:hAnsi="Arial"/>
          <w:sz w:val="22"/>
          <w:szCs w:val="22"/>
          <w:u w:val="single" w:color="auto"/>
          <w:color w:val="auto"/>
        </w:rPr>
        <w:t>Investment Representation</w:t>
      </w:r>
      <w:r>
        <w:rPr>
          <w:rFonts w:ascii="Arial" w:cs="Arial" w:eastAsia="Arial" w:hAnsi="Arial"/>
          <w:sz w:val="22"/>
          <w:szCs w:val="22"/>
          <w:color w:val="auto"/>
        </w:rPr>
        <w:t>. The Grantee represents and warrants to the Company that the Grantee has read this Agreement carefully, and to the extent the Grantee believes it necessary, has discussed this Agreement and its impact and limitations upon the Grantee with counsel.</w:t>
      </w:r>
    </w:p>
    <w:p>
      <w:pPr>
        <w:spacing w:after="0" w:line="186" w:lineRule="exact"/>
        <w:rPr>
          <w:rFonts w:ascii="Arial" w:cs="Arial" w:eastAsia="Arial" w:hAnsi="Arial"/>
          <w:sz w:val="22"/>
          <w:szCs w:val="22"/>
          <w:color w:val="auto"/>
        </w:rPr>
      </w:pPr>
    </w:p>
    <w:p>
      <w:pPr>
        <w:ind w:left="-20" w:right="500" w:firstLine="872"/>
        <w:spacing w:after="0" w:line="287" w:lineRule="auto"/>
        <w:tabs>
          <w:tab w:leader="none" w:pos="1654" w:val="left"/>
        </w:tabs>
        <w:numPr>
          <w:ilvl w:val="0"/>
          <w:numId w:val="46"/>
        </w:numPr>
        <w:rPr>
          <w:rFonts w:ascii="Arial" w:cs="Arial" w:eastAsia="Arial" w:hAnsi="Arial"/>
          <w:sz w:val="19"/>
          <w:szCs w:val="19"/>
          <w:color w:val="auto"/>
        </w:rPr>
      </w:pPr>
      <w:r>
        <w:rPr>
          <w:rFonts w:ascii="Arial" w:cs="Arial" w:eastAsia="Arial" w:hAnsi="Arial"/>
          <w:sz w:val="19"/>
          <w:szCs w:val="19"/>
          <w:u w:val="single" w:color="auto"/>
          <w:color w:val="auto"/>
        </w:rPr>
        <w:t>No Advice Regarding Grant</w:t>
      </w:r>
      <w:r>
        <w:rPr>
          <w:rFonts w:ascii="Arial" w:cs="Arial" w:eastAsia="Arial" w:hAnsi="Arial"/>
          <w:sz w:val="19"/>
          <w:szCs w:val="19"/>
          <w:color w:val="auto"/>
        </w:rPr>
        <w:t>. The Company is not providing any tax, legal or financial advice, nor is the Company making any recommendations regarding the Grantee's participation in the Plan or the Grantee's exercise of the SARs. The Grantee understands and acknowledges that he or she should consult with his or her own personal tax, legal and financial advisors regarding the Grantee's participation in the Plan before taking any action related to the Plan.</w:t>
      </w:r>
    </w:p>
    <w:p>
      <w:pPr>
        <w:spacing w:after="0" w:line="142" w:lineRule="exact"/>
        <w:rPr>
          <w:rFonts w:ascii="Arial" w:cs="Arial" w:eastAsia="Arial" w:hAnsi="Arial"/>
          <w:sz w:val="19"/>
          <w:szCs w:val="19"/>
          <w:color w:val="auto"/>
        </w:rPr>
      </w:pPr>
    </w:p>
    <w:p>
      <w:pPr>
        <w:ind w:left="-20" w:right="20" w:firstLine="872"/>
        <w:spacing w:after="0" w:line="297" w:lineRule="auto"/>
        <w:tabs>
          <w:tab w:leader="none" w:pos="1654" w:val="left"/>
        </w:tabs>
        <w:numPr>
          <w:ilvl w:val="0"/>
          <w:numId w:val="46"/>
        </w:numPr>
        <w:rPr>
          <w:rFonts w:ascii="Arial" w:cs="Arial" w:eastAsia="Arial" w:hAnsi="Arial"/>
          <w:sz w:val="19"/>
          <w:szCs w:val="19"/>
          <w:color w:val="auto"/>
        </w:rPr>
      </w:pPr>
      <w:r>
        <w:rPr>
          <w:rFonts w:ascii="Arial" w:cs="Arial" w:eastAsia="Arial" w:hAnsi="Arial"/>
          <w:sz w:val="19"/>
          <w:szCs w:val="19"/>
          <w:u w:val="single" w:color="auto"/>
          <w:color w:val="auto"/>
        </w:rPr>
        <w:t>Transferability</w:t>
      </w:r>
      <w:r>
        <w:rPr>
          <w:rFonts w:ascii="Arial" w:cs="Arial" w:eastAsia="Arial" w:hAnsi="Arial"/>
          <w:sz w:val="19"/>
          <w:szCs w:val="19"/>
          <w:color w:val="auto"/>
        </w:rPr>
        <w:t>. The right to the SARs granted under this Agreement may not be sold, exchanged, transferred, pledged, hypothecated, encumbered or otherwise disposed of except as provided in the Plan. The Company shall have the right to assign to any of its affiliates any of its rights, or to delegate to any of its affiliates any of its obligations under this Agreement.</w:t>
      </w:r>
    </w:p>
    <w:p>
      <w:pPr>
        <w:spacing w:after="0" w:line="133" w:lineRule="exact"/>
        <w:rPr>
          <w:rFonts w:ascii="Arial" w:cs="Arial" w:eastAsia="Arial" w:hAnsi="Arial"/>
          <w:sz w:val="19"/>
          <w:szCs w:val="19"/>
          <w:color w:val="auto"/>
        </w:rPr>
      </w:pPr>
    </w:p>
    <w:p>
      <w:pPr>
        <w:ind w:left="-20" w:right="40" w:firstLine="872"/>
        <w:spacing w:after="0" w:line="250" w:lineRule="auto"/>
        <w:tabs>
          <w:tab w:leader="none" w:pos="1762" w:val="left"/>
        </w:tabs>
        <w:numPr>
          <w:ilvl w:val="0"/>
          <w:numId w:val="46"/>
        </w:numPr>
        <w:rPr>
          <w:rFonts w:ascii="Arial" w:cs="Arial" w:eastAsia="Arial" w:hAnsi="Arial"/>
          <w:sz w:val="22"/>
          <w:szCs w:val="22"/>
          <w:color w:val="auto"/>
        </w:rPr>
      </w:pPr>
      <w:r>
        <w:rPr>
          <w:rFonts w:ascii="Arial" w:cs="Arial" w:eastAsia="Arial" w:hAnsi="Arial"/>
          <w:sz w:val="22"/>
          <w:szCs w:val="22"/>
          <w:u w:val="single" w:color="auto"/>
          <w:color w:val="auto"/>
        </w:rPr>
        <w:t>Binding Effect</w:t>
      </w:r>
      <w:r>
        <w:rPr>
          <w:rFonts w:ascii="Arial" w:cs="Arial" w:eastAsia="Arial" w:hAnsi="Arial"/>
          <w:sz w:val="22"/>
          <w:szCs w:val="22"/>
          <w:color w:val="auto"/>
        </w:rPr>
        <w:t>. This Agreement shall inure to the benefit of and be binding upon the parties hereto and their respective heirs, executors, administrators, successors and assigns.</w:t>
      </w:r>
    </w:p>
    <w:p>
      <w:pPr>
        <w:spacing w:after="0" w:line="174" w:lineRule="exact"/>
        <w:rPr>
          <w:rFonts w:ascii="Arial" w:cs="Arial" w:eastAsia="Arial" w:hAnsi="Arial"/>
          <w:sz w:val="22"/>
          <w:szCs w:val="22"/>
          <w:color w:val="auto"/>
        </w:rPr>
      </w:pPr>
    </w:p>
    <w:p>
      <w:pPr>
        <w:ind w:left="-20" w:right="140" w:firstLine="872"/>
        <w:spacing w:after="0" w:line="250" w:lineRule="auto"/>
        <w:tabs>
          <w:tab w:leader="none" w:pos="1754" w:val="left"/>
        </w:tabs>
        <w:numPr>
          <w:ilvl w:val="0"/>
          <w:numId w:val="46"/>
        </w:numPr>
        <w:rPr>
          <w:rFonts w:ascii="Arial" w:cs="Arial" w:eastAsia="Arial" w:hAnsi="Arial"/>
          <w:sz w:val="22"/>
          <w:szCs w:val="22"/>
          <w:color w:val="auto"/>
        </w:rPr>
      </w:pPr>
      <w:r>
        <w:rPr>
          <w:rFonts w:ascii="Arial" w:cs="Arial" w:eastAsia="Arial" w:hAnsi="Arial"/>
          <w:sz w:val="22"/>
          <w:szCs w:val="22"/>
          <w:u w:val="single" w:color="auto"/>
          <w:color w:val="auto"/>
        </w:rPr>
        <w:t>Gender and Number</w:t>
      </w:r>
      <w:r>
        <w:rPr>
          <w:rFonts w:ascii="Arial" w:cs="Arial" w:eastAsia="Arial" w:hAnsi="Arial"/>
          <w:sz w:val="22"/>
          <w:szCs w:val="22"/>
          <w:color w:val="auto"/>
        </w:rPr>
        <w:t>. All terms used in this Agreement shall be deemed to refer to the masculine, feminine, neuter, singular or plural as the context may require.</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62865</wp:posOffset>
            </wp:positionV>
            <wp:extent cx="71748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40" w:top="334" w:right="359" w:bottom="1440" w:gutter="0" w:footer="0" w:header="0"/>
        </w:sectPr>
      </w:pPr>
    </w:p>
    <w:bookmarkStart w:id="102" w:name="page103"/>
    <w:bookmarkEnd w:id="102"/>
    <w:p>
      <w:pPr>
        <w:jc w:val="both"/>
        <w:ind w:right="160" w:firstLine="872"/>
        <w:spacing w:after="0" w:line="257" w:lineRule="auto"/>
        <w:tabs>
          <w:tab w:leader="none" w:pos="1782" w:val="left"/>
        </w:tabs>
        <w:numPr>
          <w:ilvl w:val="0"/>
          <w:numId w:val="47"/>
        </w:numPr>
        <w:rPr>
          <w:rFonts w:ascii="Arial" w:cs="Arial" w:eastAsia="Arial" w:hAnsi="Arial"/>
          <w:sz w:val="21"/>
          <w:szCs w:val="21"/>
          <w:color w:val="auto"/>
        </w:rPr>
      </w:pPr>
      <w:r>
        <w:rPr>
          <w:rFonts w:ascii="Arial" w:cs="Arial" w:eastAsia="Arial" w:hAnsi="Arial"/>
          <w:sz w:val="21"/>
          <w:szCs w:val="21"/>
          <w:u w:val="single" w:color="auto"/>
          <w:color w:val="auto"/>
        </w:rPr>
        <w:t>Terms and Conditions of Plan</w:t>
      </w:r>
      <w:r>
        <w:rPr>
          <w:rFonts w:ascii="Arial" w:cs="Arial" w:eastAsia="Arial" w:hAnsi="Arial"/>
          <w:sz w:val="21"/>
          <w:szCs w:val="21"/>
          <w:color w:val="auto"/>
        </w:rPr>
        <w:t>. The terms and conditions included in the Plan are incorporated by reference herein, and to the extent that any conflict may exist between any term or provision of this Agreement and any term or provision of the Plan as in effect from time to time, such term or provision of the Plan shall control.</w:t>
      </w:r>
    </w:p>
    <w:p>
      <w:pPr>
        <w:spacing w:after="0" w:line="169" w:lineRule="exact"/>
        <w:rPr>
          <w:rFonts w:ascii="Arial" w:cs="Arial" w:eastAsia="Arial" w:hAnsi="Arial"/>
          <w:sz w:val="21"/>
          <w:szCs w:val="21"/>
          <w:color w:val="auto"/>
        </w:rPr>
      </w:pPr>
    </w:p>
    <w:p>
      <w:pPr>
        <w:ind w:right="20" w:firstLine="872"/>
        <w:spacing w:after="0" w:line="249" w:lineRule="auto"/>
        <w:tabs>
          <w:tab w:leader="none" w:pos="1782" w:val="left"/>
        </w:tabs>
        <w:numPr>
          <w:ilvl w:val="0"/>
          <w:numId w:val="47"/>
        </w:numPr>
        <w:rPr>
          <w:rFonts w:ascii="Arial" w:cs="Arial" w:eastAsia="Arial" w:hAnsi="Arial"/>
          <w:sz w:val="21"/>
          <w:szCs w:val="21"/>
          <w:color w:val="auto"/>
        </w:rPr>
      </w:pPr>
      <w:r>
        <w:rPr>
          <w:rFonts w:ascii="Arial" w:cs="Arial" w:eastAsia="Arial" w:hAnsi="Arial"/>
          <w:sz w:val="21"/>
          <w:szCs w:val="21"/>
          <w:u w:val="single" w:color="auto"/>
          <w:color w:val="auto"/>
        </w:rPr>
        <w:t>Appendix</w:t>
      </w:r>
      <w:r>
        <w:rPr>
          <w:rFonts w:ascii="Arial" w:cs="Arial" w:eastAsia="Arial" w:hAnsi="Arial"/>
          <w:sz w:val="21"/>
          <w:szCs w:val="21"/>
          <w:color w:val="auto"/>
        </w:rPr>
        <w:t>. Notwithstanding any terms or conditions in this SAR Agreement, the SARs shall be subject to any special terms and conditions set forth in any Appendix for the Grantee's country. Moreover, if the Grantee relocates to one of the countries included in the Appendix, the special terms and conditions for such country will apply to the Grantee, to the extent the Company determines that the application of such terms and conditions is necessary or advisable for legal or administrative reasons. The Appendix constitutes part of this SAR Agreement.</w:t>
      </w:r>
    </w:p>
    <w:p>
      <w:pPr>
        <w:spacing w:after="0" w:line="178" w:lineRule="exact"/>
        <w:rPr>
          <w:rFonts w:ascii="Arial" w:cs="Arial" w:eastAsia="Arial" w:hAnsi="Arial"/>
          <w:sz w:val="21"/>
          <w:szCs w:val="21"/>
          <w:color w:val="auto"/>
        </w:rPr>
      </w:pPr>
    </w:p>
    <w:p>
      <w:pPr>
        <w:jc w:val="both"/>
        <w:ind w:right="340" w:firstLine="872"/>
        <w:spacing w:after="0" w:line="238" w:lineRule="auto"/>
        <w:tabs>
          <w:tab w:leader="none" w:pos="1782" w:val="left"/>
        </w:tabs>
        <w:numPr>
          <w:ilvl w:val="0"/>
          <w:numId w:val="47"/>
        </w:numPr>
        <w:rPr>
          <w:rFonts w:ascii="Arial" w:cs="Arial" w:eastAsia="Arial" w:hAnsi="Arial"/>
          <w:sz w:val="22"/>
          <w:szCs w:val="22"/>
          <w:color w:val="auto"/>
        </w:rPr>
      </w:pPr>
      <w:r>
        <w:rPr>
          <w:rFonts w:ascii="Arial" w:cs="Arial" w:eastAsia="Arial" w:hAnsi="Arial"/>
          <w:sz w:val="22"/>
          <w:szCs w:val="22"/>
          <w:u w:val="single" w:color="auto"/>
          <w:color w:val="auto"/>
        </w:rPr>
        <w:t>Imposition of Other Requirements</w:t>
      </w:r>
      <w:r>
        <w:rPr>
          <w:rFonts w:ascii="Arial" w:cs="Arial" w:eastAsia="Arial" w:hAnsi="Arial"/>
          <w:sz w:val="22"/>
          <w:szCs w:val="22"/>
          <w:color w:val="auto"/>
        </w:rPr>
        <w:t>. The Company reserves the right to impose other requirements on the Grantee's participation in the Plan and the SARs to the extent the Company determines it is necessary or advisable for legal or administrative reasons, and to require the Grantee to sign any additional agreements or undertakings that may be necessary to accomplish the foregoing.</w:t>
      </w:r>
    </w:p>
    <w:p>
      <w:pPr>
        <w:spacing w:after="0" w:line="184" w:lineRule="exact"/>
        <w:rPr>
          <w:rFonts w:ascii="Arial" w:cs="Arial" w:eastAsia="Arial" w:hAnsi="Arial"/>
          <w:sz w:val="22"/>
          <w:szCs w:val="22"/>
          <w:color w:val="auto"/>
        </w:rPr>
      </w:pPr>
    </w:p>
    <w:p>
      <w:pPr>
        <w:ind w:firstLine="872"/>
        <w:spacing w:after="0" w:line="287" w:lineRule="auto"/>
        <w:tabs>
          <w:tab w:leader="none" w:pos="1782" w:val="left"/>
        </w:tabs>
        <w:numPr>
          <w:ilvl w:val="0"/>
          <w:numId w:val="47"/>
        </w:numPr>
        <w:rPr>
          <w:rFonts w:ascii="Arial" w:cs="Arial" w:eastAsia="Arial" w:hAnsi="Arial"/>
          <w:sz w:val="19"/>
          <w:szCs w:val="19"/>
          <w:color w:val="auto"/>
        </w:rPr>
      </w:pPr>
      <w:r>
        <w:rPr>
          <w:rFonts w:ascii="Arial" w:cs="Arial" w:eastAsia="Arial" w:hAnsi="Arial"/>
          <w:sz w:val="19"/>
          <w:szCs w:val="19"/>
          <w:u w:val="single" w:color="auto"/>
          <w:color w:val="auto"/>
        </w:rPr>
        <w:t>Certain Remedies</w:t>
      </w:r>
      <w:r>
        <w:rPr>
          <w:rFonts w:ascii="Arial" w:cs="Arial" w:eastAsia="Arial" w:hAnsi="Arial"/>
          <w:sz w:val="19"/>
          <w:szCs w:val="19"/>
          <w:color w:val="auto"/>
        </w:rPr>
        <w:t>. Without intending to limit the remedies available to the Company, the Grantee agrees that damages at law will be an insufficient remedy in the event the Grantee violates the terms of this Agreement. The Grantee agrees that the Company may apply for and have injunctive or other equitable relief in any court of competent jurisdiction to restrain the breach or threatened breach of, or otherwise specifically to enforce, any of the provisions hereof.</w:t>
      </w:r>
    </w:p>
    <w:p>
      <w:pPr>
        <w:spacing w:after="0" w:line="142" w:lineRule="exact"/>
        <w:rPr>
          <w:rFonts w:ascii="Arial" w:cs="Arial" w:eastAsia="Arial" w:hAnsi="Arial"/>
          <w:sz w:val="19"/>
          <w:szCs w:val="19"/>
          <w:color w:val="auto"/>
        </w:rPr>
      </w:pPr>
    </w:p>
    <w:p>
      <w:pPr>
        <w:ind w:right="60" w:firstLine="872"/>
        <w:spacing w:after="0"/>
        <w:tabs>
          <w:tab w:leader="none" w:pos="1782" w:val="left"/>
        </w:tabs>
        <w:numPr>
          <w:ilvl w:val="0"/>
          <w:numId w:val="47"/>
        </w:numPr>
        <w:rPr>
          <w:rFonts w:ascii="Arial" w:cs="Arial" w:eastAsia="Arial" w:hAnsi="Arial"/>
          <w:sz w:val="22"/>
          <w:szCs w:val="22"/>
          <w:color w:val="auto"/>
        </w:rPr>
      </w:pPr>
      <w:r>
        <w:rPr>
          <w:rFonts w:ascii="Arial" w:cs="Arial" w:eastAsia="Arial" w:hAnsi="Arial"/>
          <w:sz w:val="22"/>
          <w:szCs w:val="22"/>
          <w:u w:val="single" w:color="auto"/>
          <w:color w:val="auto"/>
        </w:rPr>
        <w:t>Waiver</w:t>
      </w:r>
      <w:r>
        <w:rPr>
          <w:rFonts w:ascii="Arial" w:cs="Arial" w:eastAsia="Arial" w:hAnsi="Arial"/>
          <w:sz w:val="22"/>
          <w:szCs w:val="22"/>
          <w:color w:val="auto"/>
        </w:rPr>
        <w:t>. The waiver by either party of compliance with any provision of this Agreement by the other party shall not operate or be construed as a waiver of any other provision of this Agreement, or of any subsequent breach by such party of a provision of this Agreement.</w:t>
      </w:r>
    </w:p>
    <w:p>
      <w:pPr>
        <w:spacing w:after="0" w:line="186" w:lineRule="exact"/>
        <w:rPr>
          <w:rFonts w:ascii="Arial" w:cs="Arial" w:eastAsia="Arial" w:hAnsi="Arial"/>
          <w:sz w:val="22"/>
          <w:szCs w:val="22"/>
          <w:color w:val="auto"/>
        </w:rPr>
      </w:pPr>
    </w:p>
    <w:p>
      <w:pPr>
        <w:ind w:right="200" w:firstLine="872"/>
        <w:spacing w:after="0" w:line="234" w:lineRule="auto"/>
        <w:tabs>
          <w:tab w:leader="none" w:pos="1782" w:val="left"/>
        </w:tabs>
        <w:numPr>
          <w:ilvl w:val="0"/>
          <w:numId w:val="47"/>
        </w:numPr>
        <w:rPr>
          <w:rFonts w:ascii="Arial" w:cs="Arial" w:eastAsia="Arial" w:hAnsi="Arial"/>
          <w:sz w:val="22"/>
          <w:szCs w:val="22"/>
          <w:color w:val="auto"/>
        </w:rPr>
      </w:pPr>
      <w:r>
        <w:rPr>
          <w:rFonts w:ascii="Arial" w:cs="Arial" w:eastAsia="Arial" w:hAnsi="Arial"/>
          <w:sz w:val="22"/>
          <w:szCs w:val="22"/>
          <w:u w:val="single" w:color="auto"/>
          <w:color w:val="auto"/>
        </w:rPr>
        <w:t>No Restriction on Right of Company to Effect Corporate Changes</w:t>
      </w:r>
      <w:r>
        <w:rPr>
          <w:rFonts w:ascii="Arial" w:cs="Arial" w:eastAsia="Arial" w:hAnsi="Arial"/>
          <w:sz w:val="22"/>
          <w:szCs w:val="22"/>
          <w:color w:val="auto"/>
        </w:rPr>
        <w:t>. Neither the Plan nor this Agreement shall affect in any way the right or power of the Company or its stockholders to make or authorize any or all adjustments, recapitalizations, reorganizations or other changes in the capital structure or business of the Company, or any merger or consolidation of the Company, or any issue of stock or of options, warrants or rights to purchase stock or of bonds, debentures, preferred or prior preference stocks whose rights are superior to or affect the Common Stock or the rights thereof or which are convertible into or exchangeable for Common Stock, or the dissolution or liquidation of the Company, or any sale or transfer of all or any part of the assets or business of the Company, or any other corporate act or proceeding, whether of a similar character or otherwise.</w:t>
      </w:r>
    </w:p>
    <w:p>
      <w:pPr>
        <w:spacing w:after="0" w:line="186" w:lineRule="exact"/>
        <w:rPr>
          <w:rFonts w:ascii="Arial" w:cs="Arial" w:eastAsia="Arial" w:hAnsi="Arial"/>
          <w:sz w:val="22"/>
          <w:szCs w:val="22"/>
          <w:color w:val="auto"/>
        </w:rPr>
      </w:pPr>
    </w:p>
    <w:p>
      <w:pPr>
        <w:ind w:right="320" w:firstLine="872"/>
        <w:spacing w:after="0" w:line="282" w:lineRule="auto"/>
        <w:tabs>
          <w:tab w:leader="none" w:pos="1782" w:val="left"/>
        </w:tabs>
        <w:numPr>
          <w:ilvl w:val="0"/>
          <w:numId w:val="47"/>
        </w:numPr>
        <w:rPr>
          <w:rFonts w:ascii="Arial" w:cs="Arial" w:eastAsia="Arial" w:hAnsi="Arial"/>
          <w:sz w:val="19"/>
          <w:szCs w:val="19"/>
          <w:color w:val="auto"/>
        </w:rPr>
      </w:pPr>
      <w:r>
        <w:rPr>
          <w:rFonts w:ascii="Arial" w:cs="Arial" w:eastAsia="Arial" w:hAnsi="Arial"/>
          <w:sz w:val="19"/>
          <w:szCs w:val="19"/>
          <w:u w:val="single" w:color="auto"/>
          <w:color w:val="auto"/>
        </w:rPr>
        <w:t>Entire Agreement</w:t>
      </w:r>
      <w:r>
        <w:rPr>
          <w:rFonts w:ascii="Arial" w:cs="Arial" w:eastAsia="Arial" w:hAnsi="Arial"/>
          <w:sz w:val="19"/>
          <w:szCs w:val="19"/>
          <w:color w:val="auto"/>
        </w:rPr>
        <w:t>. This Agreement (including the Plan, which is incorporated herein by reference and all additional riders incorporated herein) sets forth all of the promises, agreements, conditions and understandings between the parties hereto with respect to the Award, and there are no promises, agreements, conditions, understandings, warranties or representations, oral or written, express or implied, between them with respect to the SARs other than as set forth therein or herein. This Agreement supersedes and replaces any and all prior agreements between</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03" w:name="page104"/>
    <w:bookmarkEnd w:id="103"/>
    <w:p>
      <w:pPr>
        <w:ind w:right="340"/>
        <w:spacing w:after="0" w:line="297" w:lineRule="auto"/>
        <w:rPr>
          <w:sz w:val="20"/>
          <w:szCs w:val="20"/>
          <w:color w:val="auto"/>
        </w:rPr>
      </w:pPr>
      <w:r>
        <w:rPr>
          <w:rFonts w:ascii="Arial" w:cs="Arial" w:eastAsia="Arial" w:hAnsi="Arial"/>
          <w:sz w:val="19"/>
          <w:szCs w:val="19"/>
          <w:color w:val="auto"/>
        </w:rPr>
        <w:t>the parties hereto with respect to SARs. This Agreement is, and is intended by the parties to be, an integration of any and all prior agreements or understandings, oral or written, with respect to the SARs. Subject to Section 14, no modification, amendment or waiver of any of the provisions of this Agreement shall be effective unless approved in writing by both parties.</w:t>
      </w:r>
    </w:p>
    <w:p>
      <w:pPr>
        <w:spacing w:after="0" w:line="134" w:lineRule="exact"/>
        <w:rPr>
          <w:sz w:val="20"/>
          <w:szCs w:val="20"/>
          <w:color w:val="auto"/>
        </w:rPr>
      </w:pPr>
    </w:p>
    <w:p>
      <w:pPr>
        <w:ind w:right="140" w:firstLine="872"/>
        <w:spacing w:after="0"/>
        <w:tabs>
          <w:tab w:leader="none" w:pos="1782" w:val="left"/>
        </w:tabs>
        <w:numPr>
          <w:ilvl w:val="0"/>
          <w:numId w:val="48"/>
        </w:numPr>
        <w:rPr>
          <w:rFonts w:ascii="Arial" w:cs="Arial" w:eastAsia="Arial" w:hAnsi="Arial"/>
          <w:sz w:val="22"/>
          <w:szCs w:val="22"/>
          <w:color w:val="auto"/>
        </w:rPr>
      </w:pPr>
      <w:r>
        <w:rPr>
          <w:rFonts w:ascii="Arial" w:cs="Arial" w:eastAsia="Arial" w:hAnsi="Arial"/>
          <w:sz w:val="22"/>
          <w:szCs w:val="22"/>
          <w:u w:val="single" w:color="auto"/>
          <w:color w:val="auto"/>
        </w:rPr>
        <w:t>Invalid or Unenforceable Provision</w:t>
      </w:r>
      <w:r>
        <w:rPr>
          <w:rFonts w:ascii="Arial" w:cs="Arial" w:eastAsia="Arial" w:hAnsi="Arial"/>
          <w:sz w:val="22"/>
          <w:szCs w:val="22"/>
          <w:color w:val="auto"/>
        </w:rPr>
        <w:t>. The invalidity or unenforceability of any particular provision of this Agreement shall not affect the other provisions hereof, and this Agreement shall be construed in all respects as if such invalid or unenforceable provision was omitted.</w:t>
      </w:r>
    </w:p>
    <w:p>
      <w:pPr>
        <w:spacing w:after="0" w:line="186" w:lineRule="exact"/>
        <w:rPr>
          <w:rFonts w:ascii="Arial" w:cs="Arial" w:eastAsia="Arial" w:hAnsi="Arial"/>
          <w:sz w:val="22"/>
          <w:szCs w:val="22"/>
          <w:color w:val="auto"/>
        </w:rPr>
      </w:pPr>
    </w:p>
    <w:p>
      <w:pPr>
        <w:ind w:right="80" w:firstLine="872"/>
        <w:spacing w:after="0" w:line="245" w:lineRule="auto"/>
        <w:tabs>
          <w:tab w:leader="none" w:pos="1782" w:val="left"/>
        </w:tabs>
        <w:numPr>
          <w:ilvl w:val="0"/>
          <w:numId w:val="48"/>
        </w:numPr>
        <w:rPr>
          <w:rFonts w:ascii="Arial" w:cs="Arial" w:eastAsia="Arial" w:hAnsi="Arial"/>
          <w:sz w:val="21"/>
          <w:szCs w:val="21"/>
          <w:color w:val="auto"/>
        </w:rPr>
      </w:pPr>
      <w:r>
        <w:rPr>
          <w:rFonts w:ascii="Arial" w:cs="Arial" w:eastAsia="Arial" w:hAnsi="Arial"/>
          <w:sz w:val="21"/>
          <w:szCs w:val="21"/>
          <w:u w:val="single" w:color="auto"/>
          <w:color w:val="auto"/>
        </w:rPr>
        <w:t>Governing Law and Venue</w:t>
      </w:r>
      <w:r>
        <w:rPr>
          <w:rFonts w:ascii="Arial" w:cs="Arial" w:eastAsia="Arial" w:hAnsi="Arial"/>
          <w:sz w:val="21"/>
          <w:szCs w:val="21"/>
          <w:color w:val="auto"/>
        </w:rPr>
        <w:t>. This Agreement shall be construed and enforced in accordance with the laws of Delaware, without giving effect to principles of conflicts of laws. Any and all disputes relating to, concerning or arising from this Agreement, or relating to, concerning or arising from the relationship between the parties evidenced by the SARs or this Agreement, shall be brought and heard exclusively in the United States District Court for the District of Delaware or the Delaware Superior Court, New Castle County. Each of the parties hereby represents and agrees that such party is subject to the personal jurisdiction of said courts; hereby irrevocably consents to the jurisdiction of such courts in any legal or equitable proceedings related to, concerning or arising from such dispute, and waives, to the fullest extent permitted by law, any objection which such party may now or hereafter have that the laying of the venue of any legal or equitable proceedings related to, concerning or arising from such dispute which is brought in such courts is improper or that such proceedings have been brought in an inconvenient forum.</w:t>
      </w:r>
    </w:p>
    <w:p>
      <w:pPr>
        <w:spacing w:after="0" w:line="180" w:lineRule="exact"/>
        <w:rPr>
          <w:rFonts w:ascii="Arial" w:cs="Arial" w:eastAsia="Arial" w:hAnsi="Arial"/>
          <w:sz w:val="21"/>
          <w:szCs w:val="21"/>
          <w:color w:val="auto"/>
        </w:rPr>
      </w:pPr>
    </w:p>
    <w:p>
      <w:pPr>
        <w:ind w:right="80" w:firstLine="872"/>
        <w:spacing w:after="0" w:line="287" w:lineRule="auto"/>
        <w:tabs>
          <w:tab w:leader="none" w:pos="1782" w:val="left"/>
        </w:tabs>
        <w:numPr>
          <w:ilvl w:val="0"/>
          <w:numId w:val="48"/>
        </w:numPr>
        <w:rPr>
          <w:rFonts w:ascii="Arial" w:cs="Arial" w:eastAsia="Arial" w:hAnsi="Arial"/>
          <w:sz w:val="19"/>
          <w:szCs w:val="19"/>
          <w:color w:val="auto"/>
        </w:rPr>
      </w:pPr>
      <w:r>
        <w:rPr>
          <w:rFonts w:ascii="Arial" w:cs="Arial" w:eastAsia="Arial" w:hAnsi="Arial"/>
          <w:sz w:val="19"/>
          <w:szCs w:val="19"/>
          <w:u w:val="single" w:color="auto"/>
          <w:color w:val="auto"/>
        </w:rPr>
        <w:t>No Right to Continued Service</w:t>
      </w:r>
      <w:r>
        <w:rPr>
          <w:rFonts w:ascii="Arial" w:cs="Arial" w:eastAsia="Arial" w:hAnsi="Arial"/>
          <w:sz w:val="19"/>
          <w:szCs w:val="19"/>
          <w:color w:val="auto"/>
        </w:rPr>
        <w:t>. Neither the Plan, nor this Agreement nor the granting or exercisability of the SARs shall confer upon the Grantee any right to be retained in Continuous Service, nor be interpreted as forming any employment or service contract with the Company. Further, nothing in the Plan or this Agreement shall be construed to limit the discretion of the Service Recipient to terminate the Grantee's Continuous Service at any time.</w:t>
      </w:r>
    </w:p>
    <w:p>
      <w:pPr>
        <w:spacing w:after="0" w:line="142" w:lineRule="exact"/>
        <w:rPr>
          <w:rFonts w:ascii="Arial" w:cs="Arial" w:eastAsia="Arial" w:hAnsi="Arial"/>
          <w:sz w:val="19"/>
          <w:szCs w:val="19"/>
          <w:color w:val="auto"/>
        </w:rPr>
      </w:pPr>
    </w:p>
    <w:p>
      <w:pPr>
        <w:ind w:right="20" w:firstLine="872"/>
        <w:spacing w:after="0" w:line="287" w:lineRule="auto"/>
        <w:tabs>
          <w:tab w:leader="none" w:pos="1782" w:val="left"/>
        </w:tabs>
        <w:numPr>
          <w:ilvl w:val="0"/>
          <w:numId w:val="48"/>
        </w:numPr>
        <w:rPr>
          <w:rFonts w:ascii="Arial" w:cs="Arial" w:eastAsia="Arial" w:hAnsi="Arial"/>
          <w:sz w:val="19"/>
          <w:szCs w:val="19"/>
          <w:color w:val="auto"/>
        </w:rPr>
      </w:pPr>
      <w:r>
        <w:rPr>
          <w:rFonts w:ascii="Arial" w:cs="Arial" w:eastAsia="Arial" w:hAnsi="Arial"/>
          <w:sz w:val="19"/>
          <w:szCs w:val="19"/>
          <w:u w:val="single" w:color="auto"/>
          <w:color w:val="auto"/>
        </w:rPr>
        <w:t>Language</w:t>
      </w:r>
      <w:r>
        <w:rPr>
          <w:rFonts w:ascii="Arial" w:cs="Arial" w:eastAsia="Arial" w:hAnsi="Arial"/>
          <w:sz w:val="19"/>
          <w:szCs w:val="19"/>
          <w:color w:val="auto"/>
        </w:rPr>
        <w:t>. The Grantee acknowledges and represents that he or she is proficient in the English language and understands the terms of this Agreement and any other document related to the Plan. If the Grantee has received this Agreement and/or any other document related to the Plan translated into a language other than English and if the meaning of the translated version is different than the English version in any way, the English version will control.</w:t>
      </w:r>
    </w:p>
    <w:p>
      <w:pPr>
        <w:spacing w:after="0" w:line="142" w:lineRule="exact"/>
        <w:rPr>
          <w:rFonts w:ascii="Arial" w:cs="Arial" w:eastAsia="Arial" w:hAnsi="Arial"/>
          <w:sz w:val="19"/>
          <w:szCs w:val="19"/>
          <w:color w:val="auto"/>
        </w:rPr>
      </w:pPr>
    </w:p>
    <w:p>
      <w:pPr>
        <w:ind w:firstLine="872"/>
        <w:spacing w:after="0" w:line="234" w:lineRule="auto"/>
        <w:tabs>
          <w:tab w:leader="none" w:pos="1782" w:val="left"/>
        </w:tabs>
        <w:numPr>
          <w:ilvl w:val="0"/>
          <w:numId w:val="48"/>
        </w:numPr>
        <w:rPr>
          <w:rFonts w:ascii="Arial" w:cs="Arial" w:eastAsia="Arial" w:hAnsi="Arial"/>
          <w:sz w:val="22"/>
          <w:szCs w:val="22"/>
          <w:color w:val="auto"/>
        </w:rPr>
      </w:pPr>
      <w:r>
        <w:rPr>
          <w:rFonts w:ascii="Arial" w:cs="Arial" w:eastAsia="Arial" w:hAnsi="Arial"/>
          <w:sz w:val="22"/>
          <w:szCs w:val="22"/>
          <w:u w:val="single" w:color="auto"/>
          <w:color w:val="auto"/>
        </w:rPr>
        <w:t>Foreign Asset/Account Reporting Requirements and Exchange Controls</w:t>
      </w:r>
      <w:r>
        <w:rPr>
          <w:rFonts w:ascii="Arial" w:cs="Arial" w:eastAsia="Arial" w:hAnsi="Arial"/>
          <w:sz w:val="22"/>
          <w:szCs w:val="22"/>
          <w:color w:val="auto"/>
        </w:rPr>
        <w:t>. Certain foreign asset and/or foreign account reporting requirements and exchange controls may affect the Grantee's ability to acquire or hold cash received upon exercise of the SARs in a brokerage or bank account outside the Grantee's country. The Grantee may be required to report such accounts, assets or transactions to the tax or other authorities in the Grantee's country and/or to repatriate funds received as a result of participation in the Plan to the Grantee's country through a designated bank or broker within a certain time after receipt. It is the Grantee's responsibility to comply with such regulations, and the Grantee is advised to consult a personal legal advisor for any details.</w:t>
      </w: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104" w:name="page105"/>
    <w:bookmarkEnd w:id="104"/>
    <w:p>
      <w:pPr>
        <w:ind w:left="1780" w:hanging="908"/>
        <w:spacing w:after="0"/>
        <w:tabs>
          <w:tab w:leader="none" w:pos="1780" w:val="left"/>
        </w:tabs>
        <w:numPr>
          <w:ilvl w:val="0"/>
          <w:numId w:val="49"/>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880" w:right="240" w:firstLine="1586"/>
        <w:spacing w:after="0"/>
        <w:tabs>
          <w:tab w:leader="none" w:pos="3362" w:val="left"/>
        </w:tabs>
        <w:numPr>
          <w:ilvl w:val="1"/>
          <w:numId w:val="49"/>
        </w:numPr>
        <w:rPr>
          <w:rFonts w:ascii="Arial" w:cs="Arial" w:eastAsia="Arial" w:hAnsi="Arial"/>
          <w:sz w:val="22"/>
          <w:szCs w:val="22"/>
          <w:color w:val="auto"/>
        </w:rPr>
      </w:pPr>
      <w:r>
        <w:rPr>
          <w:rFonts w:ascii="Arial" w:cs="Arial" w:eastAsia="Arial" w:hAnsi="Arial"/>
          <w:sz w:val="22"/>
          <w:szCs w:val="22"/>
          <w:color w:val="auto"/>
        </w:rPr>
        <w:t>All decisions of the Board (or the Committee) with respect to the interpretation, construction and application of the Plan and/or this Agreement shall be conclusive and binding upon the Grantee and all other persons.</w:t>
      </w:r>
    </w:p>
    <w:p>
      <w:pPr>
        <w:spacing w:after="0" w:line="186" w:lineRule="exact"/>
        <w:rPr>
          <w:rFonts w:ascii="Arial" w:cs="Arial" w:eastAsia="Arial" w:hAnsi="Arial"/>
          <w:sz w:val="22"/>
          <w:szCs w:val="22"/>
          <w:color w:val="auto"/>
        </w:rPr>
      </w:pPr>
    </w:p>
    <w:p>
      <w:pPr>
        <w:jc w:val="both"/>
        <w:ind w:left="880" w:firstLine="1586"/>
        <w:spacing w:after="0" w:line="238" w:lineRule="auto"/>
        <w:tabs>
          <w:tab w:leader="none" w:pos="3374" w:val="left"/>
        </w:tabs>
        <w:numPr>
          <w:ilvl w:val="1"/>
          <w:numId w:val="49"/>
        </w:numPr>
        <w:rPr>
          <w:rFonts w:ascii="Arial" w:cs="Arial" w:eastAsia="Arial" w:hAnsi="Arial"/>
          <w:sz w:val="22"/>
          <w:szCs w:val="22"/>
          <w:color w:val="auto"/>
        </w:rPr>
      </w:pPr>
      <w:r>
        <w:rPr>
          <w:rFonts w:ascii="Arial" w:cs="Arial" w:eastAsia="Arial" w:hAnsi="Arial"/>
          <w:sz w:val="22"/>
          <w:szCs w:val="22"/>
          <w:color w:val="auto"/>
        </w:rPr>
        <w:t>This Agreement has been drafted with the intent that payments (and the right to payments) under it are exempt from or comply with the requirements of Section 409A of the U.S. Internal Revenue Code of 1986, as amended, and the regulations thereunder applicable to nonqualified deferred compensation. This Agreement shall be interpreted in a manner consistent with such intent.</w:t>
      </w:r>
    </w:p>
    <w:p>
      <w:pPr>
        <w:spacing w:after="0" w:line="184" w:lineRule="exact"/>
        <w:rPr>
          <w:rFonts w:ascii="Arial" w:cs="Arial" w:eastAsia="Arial" w:hAnsi="Arial"/>
          <w:sz w:val="22"/>
          <w:szCs w:val="22"/>
          <w:color w:val="auto"/>
        </w:rPr>
      </w:pPr>
    </w:p>
    <w:p>
      <w:pPr>
        <w:jc w:val="both"/>
        <w:ind w:left="880" w:right="100" w:firstLine="1586"/>
        <w:spacing w:after="0" w:line="282" w:lineRule="auto"/>
        <w:tabs>
          <w:tab w:leader="none" w:pos="3362" w:val="left"/>
        </w:tabs>
        <w:numPr>
          <w:ilvl w:val="1"/>
          <w:numId w:val="49"/>
        </w:numPr>
        <w:rPr>
          <w:rFonts w:ascii="Arial" w:cs="Arial" w:eastAsia="Arial" w:hAnsi="Arial"/>
          <w:sz w:val="19"/>
          <w:szCs w:val="19"/>
          <w:color w:val="auto"/>
        </w:rPr>
      </w:pPr>
      <w:r>
        <w:rPr>
          <w:rFonts w:ascii="Arial" w:cs="Arial" w:eastAsia="Arial" w:hAnsi="Arial"/>
          <w:sz w:val="19"/>
          <w:szCs w:val="19"/>
          <w:color w:val="auto"/>
        </w:rPr>
        <w:t>The Company may, in its sole discretion, decide to deliver any documents related to the SARs awarded under, and participation in, the Plan or future SARs that may be awarded under the Plan by electronic means or to request the Grantee's consent to participate in the Plan by electronic means. The Grantee hereby consents to receive such documents by electronic delivery and, if requested, to agree to participate in the Plan through an online or electronic system established and maintained by the Company or a third party designated by the Company.</w:t>
      </w:r>
    </w:p>
    <w:p>
      <w:pPr>
        <w:spacing w:after="0" w:line="147" w:lineRule="exact"/>
        <w:rPr>
          <w:rFonts w:ascii="Arial" w:cs="Arial" w:eastAsia="Arial" w:hAnsi="Arial"/>
          <w:sz w:val="19"/>
          <w:szCs w:val="19"/>
          <w:color w:val="auto"/>
        </w:rPr>
      </w:pPr>
    </w:p>
    <w:p>
      <w:pPr>
        <w:ind w:left="880" w:right="360" w:firstLine="1586"/>
        <w:spacing w:after="0" w:line="235" w:lineRule="auto"/>
        <w:tabs>
          <w:tab w:leader="none" w:pos="3374" w:val="left"/>
        </w:tabs>
        <w:numPr>
          <w:ilvl w:val="1"/>
          <w:numId w:val="49"/>
        </w:numPr>
        <w:rPr>
          <w:rFonts w:ascii="Arial" w:cs="Arial" w:eastAsia="Arial" w:hAnsi="Arial"/>
          <w:sz w:val="22"/>
          <w:szCs w:val="22"/>
          <w:color w:val="auto"/>
        </w:rPr>
      </w:pPr>
      <w:r>
        <w:rPr>
          <w:rFonts w:ascii="Arial" w:cs="Arial" w:eastAsia="Arial" w:hAnsi="Arial"/>
          <w:sz w:val="22"/>
          <w:szCs w:val="22"/>
          <w:color w:val="auto"/>
        </w:rPr>
        <w:t>This Agreement may be executed (including by electronic acceptance) in counterparts, each of which shall be deemed an original but all of which together will constitute one and the same instrument. Counterpart signature pages to this Agreement transmitted by facsimile transmission, by electronic mail in portable document format (.pdf), or by any other electronic means intended to preserve the original graphic and pictorial appearance of a document, will have the same effect as physical delivery of the paper document bearing an original signature.</w:t>
      </w:r>
    </w:p>
    <w:p>
      <w:pPr>
        <w:spacing w:after="0" w:line="187" w:lineRule="exact"/>
        <w:rPr>
          <w:rFonts w:ascii="Arial" w:cs="Arial" w:eastAsia="Arial" w:hAnsi="Arial"/>
          <w:sz w:val="22"/>
          <w:szCs w:val="22"/>
          <w:color w:val="auto"/>
        </w:rPr>
      </w:pPr>
    </w:p>
    <w:p>
      <w:pPr>
        <w:ind w:left="880" w:firstLine="1586"/>
        <w:spacing w:after="0"/>
        <w:tabs>
          <w:tab w:leader="none" w:pos="3362" w:val="left"/>
        </w:tabs>
        <w:numPr>
          <w:ilvl w:val="1"/>
          <w:numId w:val="49"/>
        </w:numPr>
        <w:rPr>
          <w:rFonts w:ascii="Arial" w:cs="Arial" w:eastAsia="Arial" w:hAnsi="Arial"/>
          <w:sz w:val="22"/>
          <w:szCs w:val="22"/>
          <w:color w:val="auto"/>
        </w:rPr>
      </w:pPr>
      <w:r>
        <w:rPr>
          <w:rFonts w:ascii="Arial" w:cs="Arial" w:eastAsia="Arial" w:hAnsi="Arial"/>
          <w:sz w:val="22"/>
          <w:szCs w:val="22"/>
          <w:color w:val="auto"/>
        </w:rPr>
        <w:t>By accepting this Agreement, the Grantee hereby acknowledges receipt of a copy of the Plan and this Agreement. The Grantee has read and understands the terms and provisions thereof, and accepts the SARs subject to all of the terms and conditions of the Plan and this Agreement.</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6985</wp:posOffset>
            </wp:positionV>
            <wp:extent cx="278574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1">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194" w:lineRule="exact"/>
        <w:rPr>
          <w:sz w:val="20"/>
          <w:szCs w:val="20"/>
          <w:color w:val="auto"/>
        </w:rPr>
      </w:pPr>
    </w:p>
    <w:p>
      <w:pPr>
        <w:spacing w:after="0"/>
        <w:tabs>
          <w:tab w:leader="none" w:pos="5940" w:val="left"/>
        </w:tabs>
        <w:rPr>
          <w:sz w:val="20"/>
          <w:szCs w:val="20"/>
          <w:color w:val="auto"/>
        </w:rPr>
      </w:pPr>
      <w:r>
        <w:rPr>
          <w:rFonts w:ascii="Arial" w:cs="Arial" w:eastAsia="Arial" w:hAnsi="Arial"/>
          <w:sz w:val="22"/>
          <w:szCs w:val="22"/>
          <w:b w:val="1"/>
          <w:bCs w:val="1"/>
          <w:color w:val="auto"/>
        </w:rPr>
        <w:t>GRANTEE:</w:t>
      </w:r>
      <w:r>
        <w:rPr>
          <w:sz w:val="20"/>
          <w:szCs w:val="20"/>
          <w:color w:val="auto"/>
        </w:rPr>
        <w:tab/>
      </w:r>
      <w:r>
        <w:rPr>
          <w:rFonts w:ascii="Arial" w:cs="Arial" w:eastAsia="Arial" w:hAnsi="Arial"/>
          <w:sz w:val="22"/>
          <w:szCs w:val="22"/>
          <w:b w:val="1"/>
          <w:bCs w:val="1"/>
          <w:color w:val="auto"/>
        </w:rPr>
        <w:t>ASSEMBLY BIOSCIENCES, INC.</w:t>
      </w:r>
    </w:p>
    <w:p>
      <w:pPr>
        <w:spacing w:after="0" w:line="200" w:lineRule="exact"/>
        <w:rPr>
          <w:sz w:val="20"/>
          <w:szCs w:val="20"/>
          <w:color w:val="auto"/>
        </w:rPr>
      </w:pPr>
    </w:p>
    <w:p>
      <w:pPr>
        <w:spacing w:after="0" w:line="228" w:lineRule="exact"/>
        <w:rPr>
          <w:sz w:val="20"/>
          <w:szCs w:val="20"/>
          <w:color w:val="auto"/>
        </w:rPr>
      </w:pPr>
    </w:p>
    <w:p>
      <w:pPr>
        <w:ind w:left="596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[Name]</w:t>
      </w:r>
    </w:p>
    <w:p>
      <w:pPr>
        <w:ind w:left="596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-3810</wp:posOffset>
            </wp:positionV>
            <wp:extent cx="279463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82" w:lineRule="exact"/>
        <w:rPr>
          <w:sz w:val="20"/>
          <w:szCs w:val="20"/>
          <w:color w:val="auto"/>
        </w:rPr>
      </w:pPr>
    </w:p>
    <w:p>
      <w:pPr>
        <w:ind w:left="596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6985</wp:posOffset>
            </wp:positionV>
            <wp:extent cx="279463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105" w:name="page106"/>
    <w:bookmarkEnd w:id="105"/>
    <w:p>
      <w:pPr>
        <w:jc w:val="center"/>
        <w:ind w:right="-59"/>
        <w:spacing w:after="0"/>
        <w:rPr>
          <w:sz w:val="20"/>
          <w:szCs w:val="20"/>
          <w:color w:val="auto"/>
        </w:rPr>
      </w:pPr>
      <w:r>
        <w:rPr>
          <w:rFonts w:ascii="Arial" w:cs="Arial" w:eastAsia="Arial" w:hAnsi="Arial"/>
          <w:sz w:val="22"/>
          <w:szCs w:val="22"/>
          <w:b w:val="1"/>
          <w:bCs w:val="1"/>
          <w:color w:val="auto"/>
        </w:rPr>
        <w:t>APPENDIX</w:t>
      </w:r>
    </w:p>
    <w:p>
      <w:pPr>
        <w:spacing w:after="0" w:line="4"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TO</w:t>
      </w:r>
    </w:p>
    <w:p>
      <w:pPr>
        <w:jc w:val="center"/>
        <w:ind w:right="-59"/>
        <w:spacing w:after="0" w:line="230" w:lineRule="auto"/>
        <w:rPr>
          <w:sz w:val="20"/>
          <w:szCs w:val="20"/>
          <w:color w:val="auto"/>
        </w:rPr>
      </w:pPr>
      <w:r>
        <w:rPr>
          <w:rFonts w:ascii="Arial" w:cs="Arial" w:eastAsia="Arial" w:hAnsi="Arial"/>
          <w:sz w:val="22"/>
          <w:szCs w:val="22"/>
          <w:b w:val="1"/>
          <w:bCs w:val="1"/>
          <w:color w:val="auto"/>
        </w:rPr>
        <w:t>STOCK APPRECIATION RIGHT AWARD AGREEMENT</w:t>
      </w:r>
    </w:p>
    <w:p>
      <w:pPr>
        <w:jc w:val="center"/>
        <w:ind w:right="-59"/>
        <w:spacing w:after="0" w:line="231" w:lineRule="auto"/>
        <w:rPr>
          <w:sz w:val="20"/>
          <w:szCs w:val="20"/>
          <w:color w:val="auto"/>
        </w:rPr>
      </w:pPr>
      <w:r>
        <w:rPr>
          <w:rFonts w:ascii="Arial" w:cs="Arial" w:eastAsia="Arial" w:hAnsi="Arial"/>
          <w:sz w:val="22"/>
          <w:szCs w:val="22"/>
          <w:b w:val="1"/>
          <w:bCs w:val="1"/>
          <w:color w:val="auto"/>
        </w:rPr>
        <w:t>FOR NON-U.S. GRANTEES</w:t>
      </w:r>
    </w:p>
    <w:p>
      <w:pPr>
        <w:jc w:val="center"/>
        <w:ind w:right="-59"/>
        <w:spacing w:after="0" w:line="230" w:lineRule="auto"/>
        <w:rPr>
          <w:sz w:val="20"/>
          <w:szCs w:val="20"/>
          <w:color w:val="auto"/>
        </w:rPr>
      </w:pPr>
      <w:r>
        <w:rPr>
          <w:rFonts w:ascii="Arial" w:cs="Arial" w:eastAsia="Arial" w:hAnsi="Arial"/>
          <w:sz w:val="22"/>
          <w:szCs w:val="22"/>
          <w:b w:val="1"/>
          <w:bCs w:val="1"/>
          <w:color w:val="auto"/>
        </w:rPr>
        <w:t>UNDER THE ASSEMBLY BIOSCIENCES, INC.</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2018 STOCK INCENTIVE PLAN</w:t>
      </w:r>
    </w:p>
    <w:p>
      <w:pPr>
        <w:spacing w:after="0" w:line="188" w:lineRule="exact"/>
        <w:rPr>
          <w:sz w:val="20"/>
          <w:szCs w:val="20"/>
          <w:color w:val="auto"/>
        </w:rPr>
      </w:pPr>
    </w:p>
    <w:p>
      <w:pPr>
        <w:ind w:right="60"/>
        <w:spacing w:after="0" w:line="250" w:lineRule="auto"/>
        <w:rPr>
          <w:sz w:val="20"/>
          <w:szCs w:val="20"/>
          <w:color w:val="auto"/>
        </w:rPr>
      </w:pPr>
      <w:r>
        <w:rPr>
          <w:rFonts w:ascii="Arial" w:cs="Arial" w:eastAsia="Arial" w:hAnsi="Arial"/>
          <w:sz w:val="22"/>
          <w:szCs w:val="22"/>
          <w:color w:val="auto"/>
        </w:rPr>
        <w:t>Capitalized terms used but not defined herein shall have the meanings ascribed to them in the Plan and/or the SAR Agreement to which this Appendix is attached.</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06" w:lineRule="exact"/>
        <w:rPr>
          <w:sz w:val="20"/>
          <w:szCs w:val="20"/>
          <w:color w:val="auto"/>
        </w:rPr>
      </w:pPr>
    </w:p>
    <w:p>
      <w:pPr>
        <w:ind w:right="660"/>
        <w:spacing w:after="0" w:line="250" w:lineRule="auto"/>
        <w:rPr>
          <w:sz w:val="20"/>
          <w:szCs w:val="20"/>
          <w:color w:val="auto"/>
        </w:rPr>
      </w:pPr>
      <w:r>
        <w:rPr>
          <w:rFonts w:ascii="Arial" w:cs="Arial" w:eastAsia="Arial" w:hAnsi="Arial"/>
          <w:sz w:val="22"/>
          <w:szCs w:val="22"/>
          <w:color w:val="auto"/>
        </w:rPr>
        <w:t>This Appendix includes additional terms and conditions that govern the SARs granted to the Grantee under the Plan if the Grantee resides and/or works in one of the countries listed below.</w:t>
      </w:r>
    </w:p>
    <w:p>
      <w:pPr>
        <w:spacing w:after="0" w:line="175" w:lineRule="exact"/>
        <w:rPr>
          <w:sz w:val="20"/>
          <w:szCs w:val="20"/>
          <w:color w:val="auto"/>
        </w:rPr>
      </w:pPr>
    </w:p>
    <w:p>
      <w:pPr>
        <w:ind w:right="480"/>
        <w:spacing w:after="0" w:line="238" w:lineRule="auto"/>
        <w:rPr>
          <w:sz w:val="20"/>
          <w:szCs w:val="20"/>
          <w:color w:val="auto"/>
        </w:rPr>
      </w:pPr>
      <w:r>
        <w:rPr>
          <w:rFonts w:ascii="Arial" w:cs="Arial" w:eastAsia="Arial" w:hAnsi="Arial"/>
          <w:sz w:val="22"/>
          <w:szCs w:val="22"/>
          <w:color w:val="auto"/>
        </w:rPr>
        <w:t>If the Grantee is a citizen or resident of a country other than the one in which he or she is currently working and/or residing, transfers to another country after the Grant Date or is considered a resident of another country for local law purposes, the Company shall, in its discretion, determine the extent to which the special terms and conditions contained herein shall be applicable to the Grantee.</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06" w:lineRule="exact"/>
        <w:rPr>
          <w:sz w:val="20"/>
          <w:szCs w:val="20"/>
          <w:color w:val="auto"/>
        </w:rPr>
      </w:pPr>
    </w:p>
    <w:p>
      <w:pPr>
        <w:ind w:right="80"/>
        <w:spacing w:after="0" w:line="235" w:lineRule="auto"/>
        <w:rPr>
          <w:sz w:val="20"/>
          <w:szCs w:val="20"/>
          <w:color w:val="auto"/>
        </w:rPr>
      </w:pPr>
      <w:r>
        <w:rPr>
          <w:rFonts w:ascii="Arial" w:cs="Arial" w:eastAsia="Arial" w:hAnsi="Arial"/>
          <w:sz w:val="22"/>
          <w:szCs w:val="22"/>
          <w:color w:val="auto"/>
        </w:rPr>
        <w:t>This Appendix also includes information regarding exchange controls and certain other issues of which the Grantee should be aware with respect to the Grantee's participation in the Plan. The information is based on the securities, exchange control and other laws in effect in the respective countries as of July 2018. Such laws are often complex and change frequently. As a result, the Company strongly recommends that the Grantee not rely on the information noted herein as the only source of information relating to the consequences of the Grantee's participation in the Plan because the information may be out of date by the time the Grantee exercises the SARs.</w:t>
      </w:r>
    </w:p>
    <w:p>
      <w:pPr>
        <w:spacing w:after="0" w:line="188" w:lineRule="exact"/>
        <w:rPr>
          <w:sz w:val="20"/>
          <w:szCs w:val="20"/>
          <w:color w:val="auto"/>
        </w:rPr>
      </w:pPr>
    </w:p>
    <w:p>
      <w:pPr>
        <w:ind w:right="40"/>
        <w:spacing w:after="0" w:line="297" w:lineRule="auto"/>
        <w:rPr>
          <w:sz w:val="20"/>
          <w:szCs w:val="20"/>
          <w:color w:val="auto"/>
        </w:rPr>
      </w:pPr>
      <w:r>
        <w:rPr>
          <w:rFonts w:ascii="Arial" w:cs="Arial" w:eastAsia="Arial" w:hAnsi="Arial"/>
          <w:sz w:val="19"/>
          <w:szCs w:val="19"/>
          <w:color w:val="auto"/>
        </w:rPr>
        <w:t>In addition, the information contained in this Appendix is general in nature and may not apply to the Grantee's particular situation, and the Company is not in a position to assure the Grantee of any particular result. Accordingly, the Grantee is advised to seek appropriate professional advice as to how the applicable laws in his or her country may apply to his or her situation.</w:t>
      </w:r>
    </w:p>
    <w:p>
      <w:pPr>
        <w:spacing w:after="0" w:line="134" w:lineRule="exact"/>
        <w:rPr>
          <w:sz w:val="20"/>
          <w:szCs w:val="20"/>
          <w:color w:val="auto"/>
        </w:rPr>
      </w:pPr>
    </w:p>
    <w:p>
      <w:pPr>
        <w:spacing w:after="0" w:line="297" w:lineRule="auto"/>
        <w:rPr>
          <w:sz w:val="20"/>
          <w:szCs w:val="20"/>
          <w:color w:val="auto"/>
        </w:rPr>
      </w:pPr>
      <w:r>
        <w:rPr>
          <w:rFonts w:ascii="Arial" w:cs="Arial" w:eastAsia="Arial" w:hAnsi="Arial"/>
          <w:sz w:val="19"/>
          <w:szCs w:val="19"/>
          <w:color w:val="auto"/>
        </w:rPr>
        <w:t>Finally, the Grantee understands that if he or she is a citizen or resident of a country other than the one in which he or she is currently residing and/or working, transfers to another country after the Grant Date, or is considered a resident of another country for local law purposes, the notifications contained herein may not be applicable to the Grantee in the same manner.</w:t>
      </w:r>
    </w:p>
    <w:p>
      <w:pPr>
        <w:spacing w:after="0" w:line="35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A-1</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ACTIVE/95398557.1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328" w:right="379" w:bottom="1440" w:gutter="0" w:footer="0" w:header="0"/>
        </w:sectPr>
      </w:pPr>
    </w:p>
    <w:bookmarkStart w:id="106" w:name="page107"/>
    <w:bookmarkEnd w:id="106"/>
    <w:p>
      <w:pPr>
        <w:jc w:val="center"/>
        <w:ind w:right="-399"/>
        <w:spacing w:after="0"/>
        <w:rPr>
          <w:sz w:val="20"/>
          <w:szCs w:val="20"/>
          <w:color w:val="auto"/>
        </w:rPr>
      </w:pPr>
      <w:r>
        <w:rPr>
          <w:rFonts w:ascii="Arial" w:cs="Arial" w:eastAsia="Arial" w:hAnsi="Arial"/>
          <w:sz w:val="22"/>
          <w:szCs w:val="22"/>
          <w:b w:val="1"/>
          <w:bCs w:val="1"/>
          <w:u w:val="single" w:color="auto"/>
          <w:color w:val="auto"/>
        </w:rPr>
        <w:t>CHINA</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06" w:lineRule="exact"/>
        <w:rPr>
          <w:sz w:val="20"/>
          <w:szCs w:val="20"/>
          <w:color w:val="auto"/>
        </w:rPr>
      </w:pPr>
    </w:p>
    <w:p>
      <w:pPr>
        <w:ind w:right="260"/>
        <w:spacing w:after="0" w:line="250" w:lineRule="auto"/>
        <w:rPr>
          <w:sz w:val="20"/>
          <w:szCs w:val="20"/>
          <w:color w:val="auto"/>
        </w:rPr>
      </w:pPr>
      <w:r>
        <w:rPr>
          <w:rFonts w:ascii="Arial" w:cs="Arial" w:eastAsia="Arial" w:hAnsi="Arial"/>
          <w:sz w:val="22"/>
          <w:szCs w:val="22"/>
          <w:i w:val="1"/>
          <w:iCs w:val="1"/>
          <w:color w:val="auto"/>
        </w:rPr>
        <w:t>The following provision shall apply to the Grantee if the Grantee is subject to exchange control restrictions in the People's Republic of China (the "</w:t>
      </w:r>
      <w:r>
        <w:rPr>
          <w:rFonts w:ascii="Arial" w:cs="Arial" w:eastAsia="Arial" w:hAnsi="Arial"/>
          <w:sz w:val="22"/>
          <w:szCs w:val="22"/>
          <w:i w:val="1"/>
          <w:iCs w:val="1"/>
          <w:u w:val="single" w:color="auto"/>
          <w:color w:val="auto"/>
        </w:rPr>
        <w:t>PRC</w:t>
      </w:r>
      <w:r>
        <w:rPr>
          <w:rFonts w:ascii="Arial" w:cs="Arial" w:eastAsia="Arial" w:hAnsi="Arial"/>
          <w:sz w:val="22"/>
          <w:szCs w:val="22"/>
          <w:i w:val="1"/>
          <w:iCs w:val="1"/>
          <w:color w:val="auto"/>
        </w:rPr>
        <w:t>"), as determined by the Company in its sole discretion.</w:t>
      </w:r>
    </w:p>
    <w:p>
      <w:pPr>
        <w:spacing w:after="0" w:line="175" w:lineRule="exact"/>
        <w:rPr>
          <w:sz w:val="20"/>
          <w:szCs w:val="20"/>
          <w:color w:val="auto"/>
        </w:rPr>
      </w:pPr>
    </w:p>
    <w:p>
      <w:pPr>
        <w:spacing w:after="0" w:line="238" w:lineRule="auto"/>
        <w:rPr>
          <w:sz w:val="20"/>
          <w:szCs w:val="20"/>
          <w:color w:val="auto"/>
        </w:rPr>
      </w:pPr>
      <w:r>
        <w:rPr>
          <w:rFonts w:ascii="Arial" w:cs="Arial" w:eastAsia="Arial" w:hAnsi="Arial"/>
          <w:sz w:val="22"/>
          <w:szCs w:val="22"/>
          <w:u w:val="single" w:color="auto"/>
          <w:color w:val="auto"/>
        </w:rPr>
        <w:t>Payment of Cash Proceeds</w:t>
      </w:r>
      <w:r>
        <w:rPr>
          <w:rFonts w:ascii="Arial" w:cs="Arial" w:eastAsia="Arial" w:hAnsi="Arial"/>
          <w:sz w:val="22"/>
          <w:szCs w:val="22"/>
          <w:color w:val="auto"/>
        </w:rPr>
        <w:t>. Notwithstanding any terms and conditions of the SAR Agreement or the Plan, any cash payment made upon exercise of the SARs will be delivered to the Grantee by the Service Recipient through local payroll in the PRC, subject to any withholding obligation related to Tax-Related Items. In no event will payments be made to the Grantee into an account outside of the PRC.</w:t>
      </w:r>
    </w:p>
    <w:p>
      <w:pPr>
        <w:spacing w:after="0" w:line="200" w:lineRule="exact"/>
        <w:rPr>
          <w:sz w:val="20"/>
          <w:szCs w:val="20"/>
          <w:color w:val="auto"/>
        </w:rPr>
      </w:pPr>
    </w:p>
    <w:p>
      <w:pPr>
        <w:spacing w:after="0" w:line="201" w:lineRule="exact"/>
        <w:rPr>
          <w:sz w:val="20"/>
          <w:szCs w:val="20"/>
          <w:color w:val="auto"/>
        </w:rPr>
      </w:pPr>
    </w:p>
    <w:p>
      <w:pPr>
        <w:jc w:val="center"/>
        <w:ind w:right="-399"/>
        <w:spacing w:after="0"/>
        <w:rPr>
          <w:sz w:val="20"/>
          <w:szCs w:val="20"/>
          <w:color w:val="auto"/>
        </w:rPr>
      </w:pPr>
      <w:r>
        <w:rPr>
          <w:rFonts w:ascii="Arial" w:cs="Arial" w:eastAsia="Arial" w:hAnsi="Arial"/>
          <w:sz w:val="22"/>
          <w:szCs w:val="22"/>
          <w:color w:val="auto"/>
        </w:rPr>
        <w:t>A-2</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ACTIVE/95398557.1</w:t>
      </w:r>
    </w:p>
    <w:p>
      <w:pPr>
        <w:sectPr>
          <w:pgSz w:w="11900" w:h="16838" w:orient="portrait"/>
          <w:cols w:equalWidth="0" w:num="1">
            <w:col w:w="10860"/>
          </w:cols>
          <w:pgMar w:left="320" w:top="328" w:right="71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21.1</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80" w:type="dxa"/>
            <w:vAlign w:val="bottom"/>
            <w:gridSpan w:val="3"/>
          </w:tcPr>
          <w:p>
            <w:pPr>
              <w:ind w:left="4020"/>
              <w:spacing w:after="0"/>
              <w:rPr>
                <w:sz w:val="20"/>
                <w:szCs w:val="20"/>
                <w:color w:val="auto"/>
              </w:rPr>
            </w:pPr>
            <w:r>
              <w:rPr>
                <w:rFonts w:ascii="Arial" w:cs="Arial" w:eastAsia="Arial" w:hAnsi="Arial"/>
                <w:sz w:val="18"/>
                <w:szCs w:val="18"/>
                <w:b w:val="1"/>
                <w:bCs w:val="1"/>
                <w:color w:val="auto"/>
                <w:w w:val="87"/>
              </w:rPr>
              <w:t>Subsidiaries of Assembly Biosciences, Inc.</w:t>
            </w:r>
          </w:p>
        </w:tc>
        <w:tc>
          <w:tcPr>
            <w:tcW w:w="3960" w:type="dxa"/>
            <w:vAlign w:val="bottom"/>
          </w:tcPr>
          <w:p>
            <w:pPr>
              <w:spacing w:after="0"/>
              <w:rPr>
                <w:sz w:val="20"/>
                <w:szCs w:val="20"/>
                <w:color w:val="auto"/>
              </w:rPr>
            </w:pPr>
          </w:p>
        </w:tc>
      </w:tr>
      <w:tr>
        <w:trPr>
          <w:trHeight w:val="427"/>
        </w:trPr>
        <w:tc>
          <w:tcPr>
            <w:tcW w:w="5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960" w:type="dxa"/>
            <w:vAlign w:val="bottom"/>
          </w:tcPr>
          <w:p>
            <w:pPr>
              <w:jc w:val="center"/>
              <w:ind w:right="1450"/>
              <w:spacing w:after="0"/>
              <w:rPr>
                <w:sz w:val="20"/>
                <w:szCs w:val="20"/>
                <w:color w:val="auto"/>
              </w:rPr>
            </w:pPr>
            <w:r>
              <w:rPr>
                <w:rFonts w:ascii="Arial" w:cs="Arial" w:eastAsia="Arial" w:hAnsi="Arial"/>
                <w:sz w:val="18"/>
                <w:szCs w:val="18"/>
                <w:b w:val="1"/>
                <w:bCs w:val="1"/>
                <w:color w:val="auto"/>
                <w:w w:val="90"/>
              </w:rPr>
              <w:t>State or Other Jurisdiction of</w:t>
            </w:r>
          </w:p>
        </w:tc>
      </w:tr>
      <w:tr>
        <w:trPr>
          <w:trHeight w:val="234"/>
        </w:trPr>
        <w:tc>
          <w:tcPr>
            <w:tcW w:w="7280" w:type="dxa"/>
            <w:vAlign w:val="bottom"/>
            <w:gridSpan w:val="3"/>
          </w:tcPr>
          <w:p>
            <w:pPr>
              <w:spacing w:after="0"/>
              <w:rPr>
                <w:sz w:val="20"/>
                <w:szCs w:val="20"/>
                <w:color w:val="auto"/>
              </w:rPr>
            </w:pPr>
            <w:r>
              <w:rPr>
                <w:rFonts w:ascii="Arial" w:cs="Arial" w:eastAsia="Arial" w:hAnsi="Arial"/>
                <w:sz w:val="18"/>
                <w:szCs w:val="18"/>
                <w:b w:val="1"/>
                <w:bCs w:val="1"/>
                <w:color w:val="auto"/>
              </w:rPr>
              <w:t>Subsidiaries</w:t>
            </w:r>
          </w:p>
        </w:tc>
        <w:tc>
          <w:tcPr>
            <w:tcW w:w="3960" w:type="dxa"/>
            <w:vAlign w:val="bottom"/>
          </w:tcPr>
          <w:p>
            <w:pPr>
              <w:jc w:val="center"/>
              <w:ind w:right="1430"/>
              <w:spacing w:after="0"/>
              <w:rPr>
                <w:sz w:val="20"/>
                <w:szCs w:val="20"/>
                <w:color w:val="auto"/>
              </w:rPr>
            </w:pPr>
            <w:r>
              <w:rPr>
                <w:rFonts w:ascii="Arial" w:cs="Arial" w:eastAsia="Arial" w:hAnsi="Arial"/>
                <w:sz w:val="18"/>
                <w:szCs w:val="18"/>
                <w:b w:val="1"/>
                <w:bCs w:val="1"/>
                <w:color w:val="auto"/>
                <w:w w:val="92"/>
              </w:rPr>
              <w:t>Incorporation or Organization</w:t>
            </w:r>
          </w:p>
        </w:tc>
      </w:tr>
      <w:tr>
        <w:trPr>
          <w:trHeight w:val="195"/>
        </w:trPr>
        <w:tc>
          <w:tcPr>
            <w:tcW w:w="55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Assembly Pharmaceuticals, Inc.</w:t>
            </w:r>
          </w:p>
        </w:tc>
        <w:tc>
          <w:tcPr>
            <w:tcW w:w="220" w:type="dxa"/>
            <w:vAlign w:val="bottom"/>
          </w:tcPr>
          <w:p>
            <w:pPr>
              <w:spacing w:after="0"/>
              <w:rPr>
                <w:sz w:val="16"/>
                <w:szCs w:val="16"/>
                <w:color w:val="auto"/>
              </w:rPr>
            </w:pPr>
          </w:p>
        </w:tc>
        <w:tc>
          <w:tcPr>
            <w:tcW w:w="1540" w:type="dxa"/>
            <w:vAlign w:val="bottom"/>
            <w:tcBorders>
              <w:top w:val="single" w:sz="8" w:color="auto"/>
            </w:tcBorders>
          </w:tcPr>
          <w:p>
            <w:pPr>
              <w:spacing w:after="0"/>
              <w:rPr>
                <w:sz w:val="16"/>
                <w:szCs w:val="16"/>
                <w:color w:val="auto"/>
              </w:rPr>
            </w:pPr>
          </w:p>
        </w:tc>
        <w:tc>
          <w:tcPr>
            <w:tcW w:w="3960" w:type="dxa"/>
            <w:vAlign w:val="bottom"/>
            <w:tcBorders>
              <w:top w:val="single" w:sz="8" w:color="auto"/>
            </w:tcBorders>
          </w:tcPr>
          <w:p>
            <w:pPr>
              <w:jc w:val="center"/>
              <w:ind w:right="1450"/>
              <w:spacing w:after="0" w:line="195" w:lineRule="exact"/>
              <w:rPr>
                <w:sz w:val="20"/>
                <w:szCs w:val="20"/>
                <w:color w:val="auto"/>
              </w:rPr>
            </w:pPr>
            <w:r>
              <w:rPr>
                <w:rFonts w:ascii="Arial" w:cs="Arial" w:eastAsia="Arial" w:hAnsi="Arial"/>
                <w:sz w:val="18"/>
                <w:szCs w:val="18"/>
                <w:color w:val="auto"/>
                <w:w w:val="92"/>
              </w:rPr>
              <w:t>Delaware</w:t>
            </w:r>
          </w:p>
        </w:tc>
      </w:tr>
      <w:tr>
        <w:trPr>
          <w:trHeight w:val="216"/>
        </w:trPr>
        <w:tc>
          <w:tcPr>
            <w:tcW w:w="7280" w:type="dxa"/>
            <w:vAlign w:val="bottom"/>
            <w:gridSpan w:val="3"/>
          </w:tcPr>
          <w:p>
            <w:pPr>
              <w:spacing w:after="0"/>
              <w:rPr>
                <w:sz w:val="20"/>
                <w:szCs w:val="20"/>
                <w:color w:val="auto"/>
              </w:rPr>
            </w:pPr>
            <w:r>
              <w:rPr>
                <w:rFonts w:ascii="Arial" w:cs="Arial" w:eastAsia="Arial" w:hAnsi="Arial"/>
                <w:sz w:val="18"/>
                <w:szCs w:val="18"/>
                <w:color w:val="auto"/>
              </w:rPr>
              <w:t>Assembly Biotechnology Development (Shanghai) Co, Ltd.</w:t>
            </w:r>
          </w:p>
        </w:tc>
        <w:tc>
          <w:tcPr>
            <w:tcW w:w="3960" w:type="dxa"/>
            <w:vAlign w:val="bottom"/>
          </w:tcPr>
          <w:p>
            <w:pPr>
              <w:jc w:val="center"/>
              <w:ind w:right="1450"/>
              <w:spacing w:after="0"/>
              <w:rPr>
                <w:sz w:val="20"/>
                <w:szCs w:val="20"/>
                <w:color w:val="auto"/>
              </w:rPr>
            </w:pPr>
            <w:r>
              <w:rPr>
                <w:rFonts w:ascii="Arial" w:cs="Arial" w:eastAsia="Arial" w:hAnsi="Arial"/>
                <w:sz w:val="18"/>
                <w:szCs w:val="18"/>
                <w:color w:val="auto"/>
                <w:w w:val="89"/>
              </w:rPr>
              <w:t>China</w:t>
            </w:r>
          </w:p>
        </w:tc>
      </w:tr>
      <w:tr>
        <w:trPr>
          <w:trHeight w:val="230"/>
        </w:trPr>
        <w:tc>
          <w:tcPr>
            <w:tcW w:w="7280" w:type="dxa"/>
            <w:vAlign w:val="bottom"/>
            <w:gridSpan w:val="3"/>
          </w:tcPr>
          <w:p>
            <w:pPr>
              <w:spacing w:after="0"/>
              <w:rPr>
                <w:sz w:val="20"/>
                <w:szCs w:val="20"/>
                <w:color w:val="auto"/>
              </w:rPr>
            </w:pPr>
            <w:r>
              <w:rPr>
                <w:rFonts w:ascii="Arial" w:cs="Arial" w:eastAsia="Arial" w:hAnsi="Arial"/>
                <w:sz w:val="18"/>
                <w:szCs w:val="18"/>
                <w:color w:val="auto"/>
              </w:rPr>
              <w:t>Assembly Biosciences Hong Kong Limited</w:t>
            </w:r>
          </w:p>
        </w:tc>
        <w:tc>
          <w:tcPr>
            <w:tcW w:w="3960" w:type="dxa"/>
            <w:vAlign w:val="bottom"/>
          </w:tcPr>
          <w:p>
            <w:pPr>
              <w:jc w:val="center"/>
              <w:ind w:right="1430"/>
              <w:spacing w:after="0"/>
              <w:rPr>
                <w:sz w:val="20"/>
                <w:szCs w:val="20"/>
                <w:color w:val="auto"/>
              </w:rPr>
            </w:pPr>
            <w:r>
              <w:rPr>
                <w:rFonts w:ascii="Arial" w:cs="Arial" w:eastAsia="Arial" w:hAnsi="Arial"/>
                <w:sz w:val="18"/>
                <w:szCs w:val="18"/>
                <w:color w:val="auto"/>
                <w:w w:val="93"/>
              </w:rPr>
              <w:t>Hong Kong</w:t>
            </w:r>
          </w:p>
        </w:tc>
      </w:tr>
      <w:tr>
        <w:trPr>
          <w:trHeight w:val="230"/>
        </w:trPr>
        <w:tc>
          <w:tcPr>
            <w:tcW w:w="7280" w:type="dxa"/>
            <w:vAlign w:val="bottom"/>
            <w:gridSpan w:val="3"/>
          </w:tcPr>
          <w:p>
            <w:pPr>
              <w:spacing w:after="0"/>
              <w:rPr>
                <w:sz w:val="20"/>
                <w:szCs w:val="20"/>
                <w:color w:val="auto"/>
              </w:rPr>
            </w:pPr>
            <w:r>
              <w:rPr>
                <w:rFonts w:ascii="Arial" w:cs="Arial" w:eastAsia="Arial" w:hAnsi="Arial"/>
                <w:sz w:val="18"/>
                <w:szCs w:val="18"/>
                <w:color w:val="auto"/>
              </w:rPr>
              <w:t>Assembly Biosciences Cayman</w:t>
            </w:r>
          </w:p>
        </w:tc>
        <w:tc>
          <w:tcPr>
            <w:tcW w:w="3960" w:type="dxa"/>
            <w:vAlign w:val="bottom"/>
          </w:tcPr>
          <w:p>
            <w:pPr>
              <w:jc w:val="center"/>
              <w:ind w:right="1430"/>
              <w:spacing w:after="0"/>
              <w:rPr>
                <w:sz w:val="20"/>
                <w:szCs w:val="20"/>
                <w:color w:val="auto"/>
              </w:rPr>
            </w:pPr>
            <w:r>
              <w:rPr>
                <w:rFonts w:ascii="Arial" w:cs="Arial" w:eastAsia="Arial" w:hAnsi="Arial"/>
                <w:sz w:val="18"/>
                <w:szCs w:val="18"/>
                <w:color w:val="auto"/>
                <w:w w:val="89"/>
              </w:rPr>
              <w:t>Cayman Islands</w:t>
            </w:r>
          </w:p>
        </w:tc>
      </w:tr>
    </w:tbl>
    <w:p>
      <w:pPr>
        <w:sectPr>
          <w:pgSz w:w="11900" w:h="16838" w:orient="portrait"/>
          <w:cols w:equalWidth="0" w:num="1">
            <w:col w:w="11240"/>
          </w:cols>
          <w:pgMar w:left="320" w:top="121" w:right="3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23.1</w:t>
      </w:r>
    </w:p>
    <w:p>
      <w:pPr>
        <w:spacing w:after="0" w:line="185"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185" w:lineRule="exact"/>
        <w:rPr>
          <w:sz w:val="20"/>
          <w:szCs w:val="20"/>
          <w:color w:val="auto"/>
        </w:rPr>
      </w:pPr>
    </w:p>
    <w:p>
      <w:pPr>
        <w:ind w:left="1620" w:hanging="762"/>
        <w:spacing w:after="0"/>
        <w:tabs>
          <w:tab w:leader="none" w:pos="16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Registration Statements (Form S-3 No. 333-248469) of Assembly Biosciences, Inc.,</w:t>
      </w:r>
    </w:p>
    <w:p>
      <w:pPr>
        <w:spacing w:after="0" w:line="225" w:lineRule="exact"/>
        <w:rPr>
          <w:rFonts w:ascii="Arial" w:cs="Arial" w:eastAsia="Arial" w:hAnsi="Arial"/>
          <w:sz w:val="18"/>
          <w:szCs w:val="18"/>
          <w:color w:val="auto"/>
        </w:rPr>
      </w:pPr>
    </w:p>
    <w:p>
      <w:pPr>
        <w:ind w:left="1620" w:hanging="762"/>
        <w:spacing w:after="0" w:line="277" w:lineRule="auto"/>
        <w:tabs>
          <w:tab w:leader="none" w:pos="16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Registration Statement (Form S-8 No. 333-173613) pertaining to the Ventrus Biosciences, Inc. 2007 Stock Incentive Plan and the Ventrus Biosciences, Inc. 2010 Equity Incentive Plan,</w:t>
      </w:r>
    </w:p>
    <w:p>
      <w:pPr>
        <w:spacing w:after="0" w:line="170" w:lineRule="exact"/>
        <w:rPr>
          <w:rFonts w:ascii="Arial" w:cs="Arial" w:eastAsia="Arial" w:hAnsi="Arial"/>
          <w:sz w:val="18"/>
          <w:szCs w:val="18"/>
          <w:color w:val="auto"/>
        </w:rPr>
      </w:pPr>
    </w:p>
    <w:p>
      <w:pPr>
        <w:ind w:left="1620" w:hanging="762"/>
        <w:spacing w:after="0"/>
        <w:tabs>
          <w:tab w:leader="none" w:pos="16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Registration Statement (Form S-8 No. 333-182167) pertaining to the Ventrus Biosciences, Inc. 2010 Equity Incentive Plan,</w:t>
      </w:r>
    </w:p>
    <w:p>
      <w:pPr>
        <w:spacing w:after="0" w:line="236" w:lineRule="exact"/>
        <w:rPr>
          <w:rFonts w:ascii="Arial" w:cs="Arial" w:eastAsia="Arial" w:hAnsi="Arial"/>
          <w:sz w:val="17"/>
          <w:szCs w:val="17"/>
          <w:color w:val="auto"/>
        </w:rPr>
      </w:pPr>
    </w:p>
    <w:p>
      <w:pPr>
        <w:ind w:left="1620" w:hanging="762"/>
        <w:spacing w:after="0"/>
        <w:tabs>
          <w:tab w:leader="none" w:pos="16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Registration Statement (Form S-8 No. 333-198803) pertaining to the Assembly Biosciences, Inc. 2014 Stock Incentive Plan,</w:t>
      </w:r>
    </w:p>
    <w:p>
      <w:pPr>
        <w:spacing w:after="0" w:line="236" w:lineRule="exact"/>
        <w:rPr>
          <w:rFonts w:ascii="Arial" w:cs="Arial" w:eastAsia="Arial" w:hAnsi="Arial"/>
          <w:sz w:val="17"/>
          <w:szCs w:val="17"/>
          <w:color w:val="auto"/>
        </w:rPr>
      </w:pPr>
    </w:p>
    <w:p>
      <w:pPr>
        <w:ind w:left="1620" w:hanging="762"/>
        <w:spacing w:after="0" w:line="277" w:lineRule="auto"/>
        <w:tabs>
          <w:tab w:leader="none" w:pos="16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Registration Statement (Form S-8 No. 333-213019) pertaining to the Assembly Biosciences, Inc. Amended and Restated 2014 Stock Incentive Plan,</w:t>
      </w:r>
    </w:p>
    <w:p>
      <w:pPr>
        <w:spacing w:after="0" w:line="170" w:lineRule="exact"/>
        <w:rPr>
          <w:rFonts w:ascii="Arial" w:cs="Arial" w:eastAsia="Arial" w:hAnsi="Arial"/>
          <w:sz w:val="18"/>
          <w:szCs w:val="18"/>
          <w:color w:val="auto"/>
        </w:rPr>
      </w:pPr>
    </w:p>
    <w:p>
      <w:pPr>
        <w:ind w:left="1620" w:hanging="762"/>
        <w:spacing w:after="0" w:line="277" w:lineRule="auto"/>
        <w:tabs>
          <w:tab w:leader="none" w:pos="16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Registration Statement (Form S-8 No. 333-216902) pertaining to certain Non-Qualified Stock Option Agreements dated May 16, 2014,</w:t>
      </w:r>
    </w:p>
    <w:p>
      <w:pPr>
        <w:spacing w:after="0" w:line="170" w:lineRule="exact"/>
        <w:rPr>
          <w:rFonts w:ascii="Arial" w:cs="Arial" w:eastAsia="Arial" w:hAnsi="Arial"/>
          <w:sz w:val="18"/>
          <w:szCs w:val="18"/>
          <w:color w:val="auto"/>
        </w:rPr>
      </w:pPr>
    </w:p>
    <w:p>
      <w:pPr>
        <w:ind w:left="1620" w:hanging="762"/>
        <w:spacing w:after="0"/>
        <w:tabs>
          <w:tab w:leader="none" w:pos="16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Registration Statement (Form S-8 No. 333-219919) pertaining to the Assembly Biosciences, Inc. 2017 Inducement Award Plan,</w:t>
      </w:r>
    </w:p>
    <w:p>
      <w:pPr>
        <w:spacing w:after="0" w:line="236" w:lineRule="exact"/>
        <w:rPr>
          <w:rFonts w:ascii="Arial" w:cs="Arial" w:eastAsia="Arial" w:hAnsi="Arial"/>
          <w:sz w:val="17"/>
          <w:szCs w:val="17"/>
          <w:color w:val="auto"/>
        </w:rPr>
      </w:pPr>
    </w:p>
    <w:p>
      <w:pPr>
        <w:ind w:left="1620" w:hanging="762"/>
        <w:spacing w:after="0" w:line="277" w:lineRule="auto"/>
        <w:tabs>
          <w:tab w:leader="none" w:pos="16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Registration Statement (Form S-8 No. 333-226703) pertaining to the Assembly Biosciences, Inc. 2018 Stock Incentive Plan and the Assembly Biosciences, Inc. 2018 Employee Stock Purchase Plan,</w:t>
      </w:r>
    </w:p>
    <w:p>
      <w:pPr>
        <w:spacing w:after="0" w:line="170" w:lineRule="exact"/>
        <w:rPr>
          <w:rFonts w:ascii="Arial" w:cs="Arial" w:eastAsia="Arial" w:hAnsi="Arial"/>
          <w:sz w:val="18"/>
          <w:szCs w:val="18"/>
          <w:color w:val="auto"/>
        </w:rPr>
      </w:pPr>
    </w:p>
    <w:p>
      <w:pPr>
        <w:ind w:left="1620" w:hanging="762"/>
        <w:spacing w:after="0"/>
        <w:tabs>
          <w:tab w:leader="none" w:pos="16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Registration Statement (Form S-8 No. 333-233030) pertaining to the Assembly Biosciences, Inc. 2018 Stock Incentive Plan,</w:t>
      </w:r>
    </w:p>
    <w:p>
      <w:pPr>
        <w:spacing w:after="0" w:line="236" w:lineRule="exact"/>
        <w:rPr>
          <w:rFonts w:ascii="Arial" w:cs="Arial" w:eastAsia="Arial" w:hAnsi="Arial"/>
          <w:sz w:val="17"/>
          <w:szCs w:val="17"/>
          <w:color w:val="auto"/>
        </w:rPr>
      </w:pPr>
    </w:p>
    <w:p>
      <w:pPr>
        <w:ind w:left="1620" w:hanging="762"/>
        <w:spacing w:after="0" w:line="277" w:lineRule="auto"/>
        <w:tabs>
          <w:tab w:leader="none" w:pos="16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Registration Statement (Form S-8 No. 333-234580) pertaining to the Assembly Biosciences, Inc. 2019 Inducement Award Plan and the Assembly Biosciences, Inc. Amended and Restated 2014 Stock Incentive Plan,</w:t>
      </w:r>
    </w:p>
    <w:p>
      <w:pPr>
        <w:spacing w:after="0" w:line="170" w:lineRule="exact"/>
        <w:rPr>
          <w:rFonts w:ascii="Arial" w:cs="Arial" w:eastAsia="Arial" w:hAnsi="Arial"/>
          <w:sz w:val="18"/>
          <w:szCs w:val="18"/>
          <w:color w:val="auto"/>
        </w:rPr>
      </w:pPr>
    </w:p>
    <w:p>
      <w:pPr>
        <w:ind w:left="1620" w:hanging="762"/>
        <w:spacing w:after="0" w:line="277" w:lineRule="auto"/>
        <w:tabs>
          <w:tab w:leader="none" w:pos="16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Registration Statement (Form S-8 No. 333-248476) pertaining to the Assembly Biosciences, Inc. 2018 Stock Incentive Plan and the Assembly Biosciences, Inc. 2020 Inducement Award Plan, and</w:t>
      </w:r>
    </w:p>
    <w:p>
      <w:pPr>
        <w:spacing w:after="0" w:line="170" w:lineRule="exact"/>
        <w:rPr>
          <w:rFonts w:ascii="Arial" w:cs="Arial" w:eastAsia="Arial" w:hAnsi="Arial"/>
          <w:sz w:val="18"/>
          <w:szCs w:val="18"/>
          <w:color w:val="auto"/>
        </w:rPr>
      </w:pPr>
    </w:p>
    <w:p>
      <w:pPr>
        <w:ind w:left="1620" w:hanging="762"/>
        <w:spacing w:after="0" w:line="277" w:lineRule="auto"/>
        <w:tabs>
          <w:tab w:leader="none" w:pos="16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Registration Statement (Form S-8 No. 333-258516) pertaining to the Assembly Biosciences, Inc. 2018 Stock Incentive Plan and the Assembly Biosciences, Inc. Amended and Restated 2018 Employee Stock Purchase Plan;</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of our report dated March 11, 2022, with respect to the consolidated financial statements of Assembly Biosciences, Inc. included in this Annual Report (Form 10-K) of Assembly Biosciences, Inc. for the year ended December 31,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Redwood City,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11, 2022</w:t>
      </w:r>
    </w:p>
    <w:p>
      <w:pPr>
        <w:sectPr>
          <w:pgSz w:w="11900" w:h="16838" w:orient="portrait"/>
          <w:cols w:equalWidth="0" w:num="1">
            <w:col w:w="11240"/>
          </w:cols>
          <w:pgMar w:left="320" w:top="121" w:right="3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31.1</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THE CHIEF EXECUTIVE OFFICER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OF THE SARBANES-OXLEY ACT OF 2002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 John G. McHutchison, A.O., M.D., certify that:</w:t>
      </w:r>
    </w:p>
    <w:p>
      <w:pPr>
        <w:spacing w:after="0" w:line="185" w:lineRule="exact"/>
        <w:rPr>
          <w:sz w:val="20"/>
          <w:szCs w:val="20"/>
          <w:color w:val="auto"/>
        </w:rPr>
      </w:pPr>
    </w:p>
    <w:p>
      <w:pPr>
        <w:ind w:left="500" w:hanging="371"/>
        <w:spacing w:after="0"/>
        <w:tabs>
          <w:tab w:leader="none" w:pos="5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2021 of Assembly Biosciences, Inc.;</w:t>
      </w:r>
    </w:p>
    <w:p>
      <w:pPr>
        <w:spacing w:after="0" w:line="184" w:lineRule="exact"/>
        <w:rPr>
          <w:rFonts w:ascii="Arial" w:cs="Arial" w:eastAsia="Arial" w:hAnsi="Arial"/>
          <w:sz w:val="18"/>
          <w:szCs w:val="18"/>
          <w:color w:val="auto"/>
        </w:rPr>
      </w:pPr>
    </w:p>
    <w:p>
      <w:pPr>
        <w:jc w:val="both"/>
        <w:ind w:left="500" w:right="280" w:hanging="371"/>
        <w:spacing w:after="0" w:line="263" w:lineRule="auto"/>
        <w:tabs>
          <w:tab w:leader="none" w:pos="5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500" w:right="200" w:hanging="371"/>
        <w:spacing w:after="0" w:line="308" w:lineRule="auto"/>
        <w:tabs>
          <w:tab w:leader="none" w:pos="5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jc w:val="both"/>
        <w:ind w:left="500" w:right="280" w:hanging="371"/>
        <w:spacing w:after="0" w:line="263" w:lineRule="auto"/>
        <w:tabs>
          <w:tab w:leader="none" w:pos="5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sz w:val="20"/>
          <w:szCs w:val="20"/>
          <w:color w:val="auto"/>
        </w:rPr>
      </w:pPr>
    </w:p>
    <w:p>
      <w:pPr>
        <w:ind w:left="500" w:right="20" w:hanging="371"/>
        <w:spacing w:after="0" w:line="263" w:lineRule="auto"/>
        <w:tabs>
          <w:tab w:leader="none" w:pos="5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ind w:left="500" w:right="20" w:hanging="371"/>
        <w:spacing w:after="0" w:line="263" w:lineRule="auto"/>
        <w:tabs>
          <w:tab w:leader="none" w:pos="5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ind w:left="500" w:right="60" w:hanging="371"/>
        <w:spacing w:after="0" w:line="308" w:lineRule="auto"/>
        <w:tabs>
          <w:tab w:leader="none" w:pos="5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5" w:lineRule="exact"/>
        <w:rPr>
          <w:rFonts w:ascii="Arial" w:cs="Arial" w:eastAsia="Arial" w:hAnsi="Arial"/>
          <w:sz w:val="17"/>
          <w:szCs w:val="17"/>
          <w:color w:val="auto"/>
        </w:rPr>
      </w:pPr>
    </w:p>
    <w:p>
      <w:pPr>
        <w:ind w:left="500" w:right="100" w:hanging="371"/>
        <w:spacing w:after="0" w:line="263" w:lineRule="auto"/>
        <w:tabs>
          <w:tab w:leader="none" w:pos="5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sz w:val="20"/>
          <w:szCs w:val="20"/>
          <w:color w:val="auto"/>
        </w:rPr>
      </w:pPr>
    </w:p>
    <w:p>
      <w:pPr>
        <w:ind w:left="500" w:right="240" w:hanging="371"/>
        <w:spacing w:after="0" w:line="342" w:lineRule="auto"/>
        <w:tabs>
          <w:tab w:leader="none" w:pos="5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3" w:lineRule="exact"/>
        <w:rPr>
          <w:sz w:val="20"/>
          <w:szCs w:val="20"/>
          <w:color w:val="auto"/>
        </w:rPr>
      </w:pPr>
    </w:p>
    <w:p>
      <w:pPr>
        <w:ind w:left="500" w:right="440" w:hanging="371"/>
        <w:spacing w:after="0" w:line="277" w:lineRule="auto"/>
        <w:tabs>
          <w:tab w:leader="none" w:pos="5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left="500" w:right="40" w:hanging="371"/>
        <w:spacing w:after="0" w:line="277" w:lineRule="auto"/>
        <w:tabs>
          <w:tab w:leader="none" w:pos="5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Dated: March 11,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John G. McHutchison, A.O.,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7">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John G. McHutchison, A.O., M.D.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President (Principal Executive Officer)</w:t>
      </w:r>
    </w:p>
    <w:p>
      <w:pPr>
        <w:sectPr>
          <w:pgSz w:w="11900" w:h="16838" w:orient="portrait"/>
          <w:cols w:equalWidth="0" w:num="1">
            <w:col w:w="11240"/>
          </w:cols>
          <w:pgMar w:left="320" w:top="121" w:right="3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31.2</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THE CHIEF FINANCIAL OFFICER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OF THE SARBANES-OXLEY ACT OF 2002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 Michael P. Samar, certify that:</w:t>
      </w:r>
    </w:p>
    <w:p>
      <w:pPr>
        <w:spacing w:after="0" w:line="185" w:lineRule="exact"/>
        <w:rPr>
          <w:sz w:val="20"/>
          <w:szCs w:val="20"/>
          <w:color w:val="auto"/>
        </w:rPr>
      </w:pPr>
    </w:p>
    <w:p>
      <w:pPr>
        <w:ind w:left="500" w:hanging="371"/>
        <w:spacing w:after="0"/>
        <w:tabs>
          <w:tab w:leader="none" w:pos="5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2021 of Assembly Biosciences, Inc.;</w:t>
      </w:r>
    </w:p>
    <w:p>
      <w:pPr>
        <w:spacing w:after="0" w:line="184" w:lineRule="exact"/>
        <w:rPr>
          <w:rFonts w:ascii="Arial" w:cs="Arial" w:eastAsia="Arial" w:hAnsi="Arial"/>
          <w:sz w:val="18"/>
          <w:szCs w:val="18"/>
          <w:color w:val="auto"/>
        </w:rPr>
      </w:pPr>
    </w:p>
    <w:p>
      <w:pPr>
        <w:jc w:val="both"/>
        <w:ind w:left="500" w:right="280" w:hanging="371"/>
        <w:spacing w:after="0" w:line="263" w:lineRule="auto"/>
        <w:tabs>
          <w:tab w:leader="none" w:pos="5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500" w:right="200" w:hanging="371"/>
        <w:spacing w:after="0" w:line="308" w:lineRule="auto"/>
        <w:tabs>
          <w:tab w:leader="none" w:pos="5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jc w:val="both"/>
        <w:ind w:left="500" w:right="280" w:hanging="371"/>
        <w:spacing w:after="0" w:line="263" w:lineRule="auto"/>
        <w:tabs>
          <w:tab w:leader="none" w:pos="5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sz w:val="20"/>
          <w:szCs w:val="20"/>
          <w:color w:val="auto"/>
        </w:rPr>
      </w:pPr>
    </w:p>
    <w:p>
      <w:pPr>
        <w:ind w:left="500" w:right="20" w:hanging="371"/>
        <w:spacing w:after="0" w:line="263" w:lineRule="auto"/>
        <w:tabs>
          <w:tab w:leader="none" w:pos="5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ind w:left="500" w:right="20" w:hanging="371"/>
        <w:spacing w:after="0" w:line="263" w:lineRule="auto"/>
        <w:tabs>
          <w:tab w:leader="none" w:pos="5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ind w:left="500" w:right="60" w:hanging="371"/>
        <w:spacing w:after="0" w:line="308" w:lineRule="auto"/>
        <w:tabs>
          <w:tab w:leader="none" w:pos="5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5" w:lineRule="exact"/>
        <w:rPr>
          <w:rFonts w:ascii="Arial" w:cs="Arial" w:eastAsia="Arial" w:hAnsi="Arial"/>
          <w:sz w:val="17"/>
          <w:szCs w:val="17"/>
          <w:color w:val="auto"/>
        </w:rPr>
      </w:pPr>
    </w:p>
    <w:p>
      <w:pPr>
        <w:ind w:left="500" w:right="100" w:hanging="371"/>
        <w:spacing w:after="0" w:line="263" w:lineRule="auto"/>
        <w:tabs>
          <w:tab w:leader="none" w:pos="5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sz w:val="20"/>
          <w:szCs w:val="20"/>
          <w:color w:val="auto"/>
        </w:rPr>
      </w:pPr>
    </w:p>
    <w:p>
      <w:pPr>
        <w:ind w:left="500" w:right="240" w:hanging="371"/>
        <w:spacing w:after="0" w:line="342" w:lineRule="auto"/>
        <w:tabs>
          <w:tab w:leader="none" w:pos="5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3" w:lineRule="exact"/>
        <w:rPr>
          <w:sz w:val="20"/>
          <w:szCs w:val="20"/>
          <w:color w:val="auto"/>
        </w:rPr>
      </w:pPr>
    </w:p>
    <w:p>
      <w:pPr>
        <w:ind w:left="500" w:right="440" w:hanging="371"/>
        <w:spacing w:after="0" w:line="277" w:lineRule="auto"/>
        <w:tabs>
          <w:tab w:leader="none" w:pos="5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left="500" w:right="40" w:hanging="371"/>
        <w:spacing w:after="0" w:line="277" w:lineRule="auto"/>
        <w:tabs>
          <w:tab w:leader="none" w:pos="5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Dated: March 11,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Michael P. Samar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8">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Michael P. Samar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(Principal Financial Officer)</w:t>
      </w:r>
    </w:p>
    <w:p>
      <w:pPr>
        <w:sectPr>
          <w:pgSz w:w="11900" w:h="16838" w:orient="portrait"/>
          <w:cols w:equalWidth="0" w:num="1">
            <w:col w:w="11240"/>
          </w:cols>
          <w:pgMar w:left="320" w:top="121" w:right="3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32.1</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THE CHIEF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8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 connection with the annual report on Form 10-K of Assembly Biosciences, Inc. (the Company) for the fiscal year ended December 31, 2021, as filed with the Securities and Exchange Commission on the date hereof (the Report), I, John G. McHutchison, A.O., M.D., Chief Executive Officer and President (Principal Executive Officer) of the Company, certify, pursuant to 18 U.S.C. Section 1350, as adopted pursuant to Section 906 of the Sarbanes-Oxley Act of 2002, that, to my knowledge:</w:t>
      </w:r>
    </w:p>
    <w:p>
      <w:pPr>
        <w:spacing w:after="0" w:line="146" w:lineRule="exact"/>
        <w:rPr>
          <w:sz w:val="20"/>
          <w:szCs w:val="20"/>
          <w:color w:val="auto"/>
        </w:rPr>
      </w:pPr>
    </w:p>
    <w:p>
      <w:pPr>
        <w:ind w:left="580" w:hanging="437"/>
        <w:spacing w:after="0"/>
        <w:tabs>
          <w:tab w:leader="none" w:pos="5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84" w:lineRule="exact"/>
        <w:rPr>
          <w:rFonts w:ascii="Arial" w:cs="Arial" w:eastAsia="Arial" w:hAnsi="Arial"/>
          <w:sz w:val="18"/>
          <w:szCs w:val="18"/>
          <w:color w:val="auto"/>
        </w:rPr>
      </w:pPr>
    </w:p>
    <w:p>
      <w:pPr>
        <w:ind w:right="220" w:firstLine="143"/>
        <w:spacing w:after="0" w:line="481" w:lineRule="auto"/>
        <w:tabs>
          <w:tab w:leader="none" w:pos="567"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Dated: March 11, 2022</w:t>
      </w:r>
    </w:p>
    <w:p>
      <w:pPr>
        <w:spacing w:after="0" w:line="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/s/ John G. McHutchison, A.O.,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9">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John G. McHutchison, A.O., M.D.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President (Principal Executive Officer)</w:t>
      </w:r>
    </w:p>
    <w:p>
      <w:pPr>
        <w:sectPr>
          <w:pgSz w:w="11900" w:h="16838" w:orient="portrait"/>
          <w:cols w:equalWidth="0" w:num="1">
            <w:col w:w="11240"/>
          </w:cols>
          <w:pgMar w:left="320" w:top="121" w:right="3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32.2</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THE CHIEF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8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 connection with the annual report on Form 10-K of Assembly Biosciences, Inc. (the Company) for the fiscal year ended December 31, 2021, as filed with the Securities and Exchange Commission on the date hereof (the Report), I, Michael P. Samar, Chief Financial Officer (Principal Financial Officer) of the Company, certify, pursuant to 18 U.S.C. Section 1350, as adopted pursuant to Section 906 of the Sarbanes-Oxley Act of 2002, that, to my knowledge:</w:t>
      </w:r>
    </w:p>
    <w:p>
      <w:pPr>
        <w:spacing w:after="0" w:line="146" w:lineRule="exact"/>
        <w:rPr>
          <w:sz w:val="20"/>
          <w:szCs w:val="20"/>
          <w:color w:val="auto"/>
        </w:rPr>
      </w:pPr>
    </w:p>
    <w:p>
      <w:pPr>
        <w:ind w:left="580" w:hanging="437"/>
        <w:spacing w:after="0"/>
        <w:tabs>
          <w:tab w:leader="none" w:pos="5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84" w:lineRule="exact"/>
        <w:rPr>
          <w:rFonts w:ascii="Arial" w:cs="Arial" w:eastAsia="Arial" w:hAnsi="Arial"/>
          <w:sz w:val="18"/>
          <w:szCs w:val="18"/>
          <w:color w:val="auto"/>
        </w:rPr>
      </w:pPr>
    </w:p>
    <w:p>
      <w:pPr>
        <w:ind w:right="220" w:firstLine="143"/>
        <w:spacing w:after="0" w:line="481" w:lineRule="auto"/>
        <w:tabs>
          <w:tab w:leader="none" w:pos="567"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Dated: March 11, 2022</w:t>
      </w:r>
    </w:p>
    <w:p>
      <w:pPr>
        <w:spacing w:after="0" w:line="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/s/ Michael P. Samar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0">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Michael P. Samar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(Principal Financial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
      <w:numFmt w:val="bullet"/>
      <w:start w:val="1"/>
    </w:lvl>
  </w:abstractNum>
  <w:abstractNum w:abstractNumId="3">
    <w:nsid w:val="6CEAF087"/>
    <w:multiLevelType w:val="hybridMultilevel"/>
    <w:lvl w:ilvl="0">
      <w:lvlJc w:val="left"/>
      <w:lvlText w:val="•"/>
      <w:numFmt w:val="bullet"/>
      <w:start w:val="1"/>
    </w:lvl>
  </w:abstractNum>
  <w:abstractNum w:abstractNumId="4">
    <w:nsid w:val="22221A70"/>
    <w:multiLevelType w:val="hybridMultilevel"/>
    <w:lvl w:ilvl="0">
      <w:lvlJc w:val="left"/>
      <w:lvlText w:val="•"/>
      <w:numFmt w:val="bullet"/>
      <w:start w:val="1"/>
    </w:lvl>
  </w:abstractNum>
  <w:abstractNum w:abstractNumId="5">
    <w:nsid w:val="4516DDE9"/>
    <w:multiLevelType w:val="hybridMultilevel"/>
    <w:lvl w:ilvl="0">
      <w:lvlJc w:val="left"/>
      <w:lvlText w:val="•"/>
      <w:numFmt w:val="bullet"/>
      <w:start w:val="1"/>
    </w:lvl>
  </w:abstractNum>
  <w:abstractNum w:abstractNumId="6">
    <w:nsid w:val="3006C83E"/>
    <w:multiLevelType w:val="hybridMultilevel"/>
    <w:lvl w:ilvl="0">
      <w:lvlJc w:val="left"/>
      <w:lvlText w:val="•"/>
      <w:numFmt w:val="bullet"/>
      <w:start w:val="1"/>
    </w:lvl>
  </w:abstractNum>
  <w:abstractNum w:abstractNumId="7">
    <w:nsid w:val="614FD4A1"/>
    <w:multiLevelType w:val="hybridMultilevel"/>
    <w:lvl w:ilvl="0">
      <w:lvlJc w:val="left"/>
      <w:lvlText w:val="•"/>
      <w:numFmt w:val="bullet"/>
      <w:start w:val="1"/>
    </w:lvl>
  </w:abstractNum>
  <w:abstractNum w:abstractNumId="8">
    <w:nsid w:val="419AC241"/>
    <w:multiLevelType w:val="hybridMultilevel"/>
    <w:lvl w:ilvl="0">
      <w:lvlJc w:val="left"/>
      <w:lvlText w:val="•"/>
      <w:numFmt w:val="bullet"/>
      <w:start w:val="1"/>
    </w:lvl>
  </w:abstractNum>
  <w:abstractNum w:abstractNumId="9">
    <w:nsid w:val="5577F8E1"/>
    <w:multiLevelType w:val="hybridMultilevel"/>
    <w:lvl w:ilvl="0">
      <w:lvlJc w:val="left"/>
      <w:lvlText w:val="•"/>
      <w:numFmt w:val="bullet"/>
      <w:start w:val="1"/>
    </w:lvl>
  </w:abstractNum>
  <w:abstractNum w:abstractNumId="10">
    <w:nsid w:val="440BADFC"/>
    <w:multiLevelType w:val="hybridMultilevel"/>
    <w:lvl w:ilvl="0">
      <w:lvlJc w:val="left"/>
      <w:lvlText w:val="•"/>
      <w:numFmt w:val="bullet"/>
      <w:start w:val="1"/>
    </w:lvl>
  </w:abstractNum>
  <w:abstractNum w:abstractNumId="11">
    <w:nsid w:val="5072367"/>
    <w:multiLevelType w:val="hybridMultilevel"/>
    <w:lvl w:ilvl="0">
      <w:lvlJc w:val="left"/>
      <w:lvlText w:val="•"/>
      <w:numFmt w:val="bullet"/>
      <w:start w:val="1"/>
    </w:lvl>
  </w:abstractNum>
  <w:abstractNum w:abstractNumId="12">
    <w:nsid w:val="3804823E"/>
    <w:multiLevelType w:val="hybridMultilevel"/>
    <w:lvl w:ilvl="0">
      <w:lvlJc w:val="left"/>
      <w:lvlText w:val="•"/>
      <w:numFmt w:val="bullet"/>
      <w:start w:val="1"/>
    </w:lvl>
  </w:abstractNum>
  <w:abstractNum w:abstractNumId="13">
    <w:nsid w:val="77465F01"/>
    <w:multiLevelType w:val="hybridMultilevel"/>
    <w:lvl w:ilvl="0">
      <w:lvlJc w:val="left"/>
      <w:lvlText w:val="•"/>
      <w:numFmt w:val="bullet"/>
      <w:start w:val="1"/>
    </w:lvl>
  </w:abstractNum>
  <w:abstractNum w:abstractNumId="14">
    <w:nsid w:val="7724C67E"/>
    <w:multiLevelType w:val="hybridMultilevel"/>
    <w:lvl w:ilvl="0">
      <w:lvlJc w:val="left"/>
      <w:lvlText w:val="•"/>
      <w:numFmt w:val="bullet"/>
      <w:start w:val="1"/>
    </w:lvl>
  </w:abstractNum>
  <w:abstractNum w:abstractNumId="15">
    <w:nsid w:val="5C482A97"/>
    <w:multiLevelType w:val="hybridMultilevel"/>
    <w:lvl w:ilvl="0">
      <w:lvlJc w:val="left"/>
      <w:lvlText w:val="•"/>
      <w:numFmt w:val="bullet"/>
      <w:start w:val="1"/>
    </w:lvl>
  </w:abstractNum>
  <w:abstractNum w:abstractNumId="16">
    <w:nsid w:val="2463B9EA"/>
    <w:multiLevelType w:val="hybridMultilevel"/>
    <w:lvl w:ilvl="0">
      <w:lvlJc w:val="left"/>
      <w:lvlText w:val="•"/>
      <w:numFmt w:val="bullet"/>
      <w:start w:val="1"/>
    </w:lvl>
  </w:abstractNum>
  <w:abstractNum w:abstractNumId="17">
    <w:nsid w:val="5E884ADC"/>
    <w:multiLevelType w:val="hybridMultilevel"/>
    <w:lvl w:ilvl="0">
      <w:lvlJc w:val="left"/>
      <w:lvlText w:val="•"/>
      <w:numFmt w:val="bullet"/>
      <w:start w:val="1"/>
    </w:lvl>
  </w:abstractNum>
  <w:abstractNum w:abstractNumId="18">
    <w:nsid w:val="51EAD36B"/>
    <w:multiLevelType w:val="hybridMultilevel"/>
    <w:lvl w:ilvl="0">
      <w:lvlJc w:val="left"/>
      <w:lvlText w:val="•"/>
      <w:numFmt w:val="bullet"/>
      <w:start w:val="1"/>
    </w:lvl>
  </w:abstractNum>
  <w:abstractNum w:abstractNumId="19">
    <w:nsid w:val="2D517796"/>
    <w:multiLevelType w:val="hybridMultilevel"/>
    <w:lvl w:ilvl="0">
      <w:lvlJc w:val="left"/>
      <w:lvlText w:val="•"/>
      <w:numFmt w:val="bullet"/>
      <w:start w:val="1"/>
    </w:lvl>
  </w:abstractNum>
  <w:abstractNum w:abstractNumId="20">
    <w:nsid w:val="580BD78F"/>
    <w:multiLevelType w:val="hybridMultilevel"/>
    <w:lvl w:ilvl="0">
      <w:lvlJc w:val="left"/>
      <w:lvlText w:val="•"/>
      <w:numFmt w:val="bullet"/>
      <w:start w:val="1"/>
    </w:lvl>
  </w:abstractNum>
  <w:abstractNum w:abstractNumId="21">
    <w:nsid w:val="153EA438"/>
    <w:multiLevelType w:val="hybridMultilevel"/>
    <w:lvl w:ilvl="0">
      <w:lvlJc w:val="left"/>
      <w:lvlText w:val="(%1)"/>
      <w:numFmt w:val="decimal"/>
      <w:start w:val="1"/>
    </w:lvl>
  </w:abstractNum>
  <w:abstractNum w:abstractNumId="22">
    <w:nsid w:val="3855585C"/>
    <w:multiLevelType w:val="hybridMultilevel"/>
    <w:lvl w:ilvl="0">
      <w:lvlJc w:val="left"/>
      <w:lvlText w:val="(%1)"/>
      <w:numFmt w:val="decimal"/>
      <w:start w:val="3"/>
    </w:lvl>
  </w:abstractNum>
  <w:abstractNum w:abstractNumId="23">
    <w:nsid w:val="70A64E2A"/>
    <w:multiLevelType w:val="hybridMultilevel"/>
    <w:lvl w:ilvl="0">
      <w:lvlJc w:val="left"/>
      <w:lvlText w:val="•"/>
      <w:numFmt w:val="bullet"/>
      <w:start w:val="1"/>
    </w:lvl>
  </w:abstractNum>
  <w:abstractNum w:abstractNumId="24">
    <w:nsid w:val="6A2342EC"/>
    <w:multiLevelType w:val="hybridMultilevel"/>
    <w:lvl w:ilvl="0">
      <w:lvlJc w:val="left"/>
      <w:lvlText w:val="•"/>
      <w:numFmt w:val="bullet"/>
      <w:start w:val="1"/>
    </w:lvl>
  </w:abstractNum>
  <w:abstractNum w:abstractNumId="25">
    <w:nsid w:val="2A487CB0"/>
    <w:multiLevelType w:val="hybridMultilevel"/>
    <w:lvl w:ilvl="0">
      <w:lvlJc w:val="left"/>
      <w:lvlText w:val="(%1)"/>
      <w:numFmt w:val="decimal"/>
      <w:start w:val="1"/>
    </w:lvl>
  </w:abstractNum>
  <w:abstractNum w:abstractNumId="26">
    <w:nsid w:val="1D4ED43B"/>
    <w:multiLevelType w:val="hybridMultilevel"/>
    <w:lvl w:ilvl="0">
      <w:lvlJc w:val="left"/>
      <w:lvlText w:val="•"/>
      <w:numFmt w:val="bullet"/>
      <w:start w:val="1"/>
    </w:lvl>
  </w:abstractNum>
  <w:abstractNum w:abstractNumId="27">
    <w:nsid w:val="725A06FB"/>
    <w:multiLevelType w:val="hybridMultilevel"/>
    <w:lvl w:ilvl="0">
      <w:lvlJc w:val="left"/>
      <w:lvlText w:val="•"/>
      <w:numFmt w:val="bullet"/>
      <w:start w:val="1"/>
    </w:lvl>
  </w:abstractNum>
  <w:abstractNum w:abstractNumId="28">
    <w:nsid w:val="2CD89A32"/>
    <w:multiLevelType w:val="hybridMultilevel"/>
    <w:lvl w:ilvl="0">
      <w:lvlJc w:val="left"/>
      <w:lvlText w:val="•"/>
      <w:numFmt w:val="bullet"/>
      <w:start w:val="1"/>
    </w:lvl>
  </w:abstractNum>
  <w:abstractNum w:abstractNumId="29">
    <w:nsid w:val="57E4CCAF"/>
    <w:multiLevelType w:val="hybridMultilevel"/>
    <w:lvl w:ilvl="0">
      <w:lvlJc w:val="left"/>
      <w:lvlText w:val="(%1)"/>
      <w:numFmt w:val="lowerLetter"/>
      <w:start w:val="1"/>
    </w:lvl>
  </w:abstractNum>
  <w:abstractNum w:abstractNumId="30">
    <w:nsid w:val="7A6D8D3C"/>
    <w:multiLevelType w:val="hybridMultilevel"/>
    <w:lvl w:ilvl="0">
      <w:lvlJc w:val="left"/>
      <w:lvlText w:val="%1"/>
      <w:numFmt w:val="decimal"/>
      <w:start w:val="104"/>
    </w:lvl>
  </w:abstractNum>
  <w:abstractNum w:abstractNumId="31">
    <w:nsid w:val="4B588F54"/>
    <w:multiLevelType w:val="hybridMultilevel"/>
    <w:lvl w:ilvl="0">
      <w:lvlJc w:val="left"/>
      <w:lvlText w:val="*"/>
      <w:numFmt w:val="bullet"/>
      <w:start w:val="1"/>
    </w:lvl>
  </w:abstractNum>
  <w:abstractNum w:abstractNumId="32">
    <w:nsid w:val="542289EC"/>
    <w:multiLevelType w:val="hybridMultilevel"/>
    <w:lvl w:ilvl="0">
      <w:lvlJc w:val="left"/>
      <w:lvlText w:val="†"/>
      <w:numFmt w:val="bullet"/>
      <w:start w:val="1"/>
    </w:lvl>
  </w:abstractNum>
  <w:abstractNum w:abstractNumId="33">
    <w:nsid w:val="6DE91B18"/>
    <w:multiLevelType w:val="hybridMultilevel"/>
    <w:lvl w:ilvl="0">
      <w:lvlJc w:val="left"/>
      <w:lvlText w:val="‡"/>
      <w:numFmt w:val="bullet"/>
      <w:start w:val="1"/>
    </w:lvl>
  </w:abstractNum>
  <w:abstractNum w:abstractNumId="34">
    <w:nsid w:val="38437FDB"/>
    <w:multiLevelType w:val="hybridMultilevel"/>
    <w:lvl w:ilvl="0">
      <w:lvlJc w:val="left"/>
      <w:lvlText w:val="(%1)"/>
      <w:numFmt w:val="decimal"/>
      <w:start w:val="1"/>
    </w:lvl>
  </w:abstractNum>
  <w:abstractNum w:abstractNumId="35">
    <w:nsid w:val="7644A45C"/>
    <w:multiLevelType w:val="hybridMultilevel"/>
    <w:lvl w:ilvl="0">
      <w:lvlJc w:val="left"/>
      <w:lvlText w:val="(%1)"/>
      <w:numFmt w:val="decimal"/>
      <w:start w:val="1"/>
    </w:lvl>
  </w:abstractNum>
  <w:abstractNum w:abstractNumId="36">
    <w:nsid w:val="32FFF902"/>
    <w:multiLevelType w:val="hybridMultilevel"/>
    <w:lvl w:ilvl="0">
      <w:lvlJc w:val="left"/>
      <w:lvlText w:val="•"/>
      <w:numFmt w:val="bullet"/>
      <w:start w:val="1"/>
    </w:lvl>
  </w:abstractNum>
  <w:abstractNum w:abstractNumId="37">
    <w:nsid w:val="684A481A"/>
    <w:multiLevelType w:val="hybridMultilevel"/>
    <w:lvl w:ilvl="0">
      <w:lvlJc w:val="left"/>
      <w:lvlText w:val="•"/>
      <w:numFmt w:val="bullet"/>
      <w:start w:val="1"/>
    </w:lvl>
  </w:abstractNum>
  <w:abstractNum w:abstractNumId="38">
    <w:nsid w:val="579478FE"/>
    <w:multiLevelType w:val="hybridMultilevel"/>
    <w:lvl w:ilvl="0">
      <w:lvlJc w:val="left"/>
      <w:lvlText w:val="%1."/>
      <w:numFmt w:val="decimal"/>
      <w:start w:val="1"/>
    </w:lvl>
  </w:abstractNum>
  <w:abstractNum w:abstractNumId="39">
    <w:nsid w:val="749ABB43"/>
    <w:multiLevelType w:val="hybridMultilevel"/>
    <w:lvl w:ilvl="0">
      <w:lvlJc w:val="left"/>
      <w:lvlText w:val="%1."/>
      <w:numFmt w:val="decimal"/>
      <w:start w:val="2"/>
    </w:lvl>
  </w:abstractNum>
  <w:abstractNum w:abstractNumId="40">
    <w:nsid w:val="3DC240FB"/>
    <w:multiLevelType w:val="hybridMultilevel"/>
    <w:lvl w:ilvl="0">
      <w:lvlJc w:val="left"/>
      <w:lvlText w:val="(%1)"/>
      <w:numFmt w:val="lowerLetter"/>
      <w:start w:val="1"/>
    </w:lvl>
  </w:abstractNum>
  <w:abstractNum w:abstractNumId="41">
    <w:nsid w:val="1BA026FA"/>
    <w:multiLevelType w:val="hybridMultilevel"/>
    <w:lvl w:ilvl="0">
      <w:lvlJc w:val="left"/>
      <w:lvlText w:val="(%1)"/>
      <w:numFmt w:val="lowerLetter"/>
      <w:start w:val="2"/>
    </w:lvl>
  </w:abstractNum>
  <w:abstractNum w:abstractNumId="42">
    <w:nsid w:val="79A1DEAA"/>
    <w:multiLevelType w:val="hybridMultilevel"/>
    <w:lvl w:ilvl="0">
      <w:lvlJc w:val="left"/>
      <w:lvlText w:val="%1."/>
      <w:numFmt w:val="decimal"/>
      <w:start w:val="4"/>
    </w:lvl>
    <w:lvl w:ilvl="1">
      <w:lvlJc w:val="left"/>
      <w:lvlText w:val="(%2)"/>
      <w:numFmt w:val="lowerLetter"/>
      <w:start w:val="1"/>
    </w:lvl>
  </w:abstractNum>
  <w:abstractNum w:abstractNumId="43">
    <w:nsid w:val="75C6C33A"/>
    <w:multiLevelType w:val="hybridMultilevel"/>
    <w:lvl w:ilvl="0">
      <w:lvlJc w:val="left"/>
      <w:lvlText w:val="%1"/>
      <w:numFmt w:val="decimal"/>
      <w:start w:val="1"/>
    </w:lvl>
    <w:lvl w:ilvl="1">
      <w:lvlJc w:val="left"/>
      <w:lvlText w:val="(%2)"/>
      <w:numFmt w:val="lowerLetter"/>
      <w:start w:val="7"/>
    </w:lvl>
  </w:abstractNum>
  <w:abstractNum w:abstractNumId="44">
    <w:nsid w:val="12E685FB"/>
    <w:multiLevelType w:val="hybridMultilevel"/>
    <w:lvl w:ilvl="0">
      <w:lvlJc w:val="left"/>
      <w:lvlText w:val="%1."/>
      <w:numFmt w:val="decimal"/>
      <w:start w:val="6"/>
    </w:lvl>
    <w:lvl w:ilvl="1">
      <w:lvlJc w:val="left"/>
      <w:lvlText w:val="%2"/>
      <w:numFmt w:val="lowerLetter"/>
      <w:start w:val="1"/>
    </w:lvl>
  </w:abstractNum>
  <w:abstractNum w:abstractNumId="45">
    <w:nsid w:val="70C6A529"/>
    <w:multiLevelType w:val="hybridMultilevel"/>
    <w:lvl w:ilvl="0">
      <w:lvlJc w:val="left"/>
      <w:lvlText w:val="%1."/>
      <w:numFmt w:val="decimal"/>
      <w:start w:val="7"/>
    </w:lvl>
  </w:abstractNum>
  <w:abstractNum w:abstractNumId="46">
    <w:nsid w:val="520EEDD1"/>
    <w:multiLevelType w:val="hybridMultilevel"/>
    <w:lvl w:ilvl="0">
      <w:lvlJc w:val="left"/>
      <w:lvlText w:val="%1."/>
      <w:numFmt w:val="decimal"/>
      <w:start w:val="12"/>
    </w:lvl>
  </w:abstractNum>
  <w:abstractNum w:abstractNumId="47">
    <w:nsid w:val="374A3FE6"/>
    <w:multiLevelType w:val="hybridMultilevel"/>
    <w:lvl w:ilvl="0">
      <w:lvlJc w:val="left"/>
      <w:lvlText w:val="%1."/>
      <w:numFmt w:val="decimal"/>
      <w:start w:val="19"/>
    </w:lvl>
  </w:abstractNum>
  <w:abstractNum w:abstractNumId="48">
    <w:nsid w:val="4F4EF005"/>
    <w:multiLevelType w:val="hybridMultilevel"/>
    <w:lvl w:ilvl="0">
      <w:lvlJc w:val="left"/>
      <w:lvlText w:val="%1."/>
      <w:numFmt w:val="decimal"/>
      <w:start w:val="24"/>
    </w:lvl>
    <w:lvl w:ilvl="1">
      <w:lvlJc w:val="left"/>
      <w:lvlText w:val="(%2)"/>
      <w:numFmt w:val="lowerLetter"/>
      <w:start w:val="1"/>
    </w:lvl>
  </w:abstractNum>
  <w:abstractNum w:abstractNumId="49">
    <w:nsid w:val="23F9C13C"/>
    <w:multiLevelType w:val="hybridMultilevel"/>
    <w:lvl w:ilvl="0">
      <w:lvlJc w:val="left"/>
      <w:lvlText w:val="(%1)"/>
      <w:numFmt w:val="decimal"/>
      <w:start w:val="1"/>
    </w:lvl>
  </w:abstractNum>
  <w:abstractNum w:abstractNumId="50">
    <w:nsid w:val="649BB77C"/>
    <w:multiLevelType w:val="hybridMultilevel"/>
    <w:lvl w:ilvl="0">
      <w:lvlJc w:val="left"/>
      <w:lvlText w:val="(%1)"/>
      <w:numFmt w:val="decimal"/>
      <w:start w:val="1"/>
    </w:lvl>
  </w:abstractNum>
  <w:abstractNum w:abstractNumId="51">
    <w:nsid w:val="275AC794"/>
    <w:multiLevelType w:val="hybridMultilevel"/>
    <w:lvl w:ilvl="0">
      <w:lvlJc w:val="left"/>
      <w:lvlText w:val="(%1)"/>
      <w:numFmt w:val="lowerLetter"/>
      <w:start w:val="1"/>
    </w:lvl>
  </w:abstractNum>
  <w:abstractNum w:abstractNumId="52">
    <w:nsid w:val="39386575"/>
    <w:multiLevelType w:val="hybridMultilevel"/>
    <w:lvl w:ilvl="0">
      <w:lvlJc w:val="left"/>
      <w:lvlText w:val="(%1)"/>
      <w:numFmt w:val="decimal"/>
      <w:start w:val="5"/>
    </w:lvl>
  </w:abstractNum>
  <w:abstractNum w:abstractNumId="53">
    <w:nsid w:val="1CF10FD8"/>
    <w:multiLevelType w:val="hybridMultilevel"/>
    <w:lvl w:ilvl="0">
      <w:lvlJc w:val="left"/>
      <w:lvlText w:val="(%1)"/>
      <w:numFmt w:val="lowerLetter"/>
      <w:start w:val="1"/>
    </w:lvl>
  </w:abstractNum>
  <w:abstractNum w:abstractNumId="54">
    <w:nsid w:val="180115BE"/>
    <w:multiLevelType w:val="hybridMultilevel"/>
    <w:lvl w:ilvl="0">
      <w:lvlJc w:val="left"/>
      <w:lvlText w:val="(%1)"/>
      <w:numFmt w:val="decimal"/>
      <w:start w:val="1"/>
    </w:lvl>
  </w:abstractNum>
  <w:abstractNum w:abstractNumId="55">
    <w:nsid w:val="235BA861"/>
    <w:multiLevelType w:val="hybridMultilevel"/>
    <w:lvl w:ilvl="0">
      <w:lvlJc w:val="left"/>
      <w:lvlText w:val="(%1)"/>
      <w:numFmt w:val="lowerLetter"/>
      <w:start w:val="1"/>
    </w:lvl>
  </w:abstractNum>
  <w:abstractNum w:abstractNumId="56">
    <w:nsid w:val="47398C89"/>
    <w:multiLevelType w:val="hybridMultilevel"/>
    <w:lvl w:ilvl="0">
      <w:lvlJc w:val="left"/>
      <w:lvlText w:val="(%1)"/>
      <w:numFmt w:val="decimal"/>
      <w:start w:val="5"/>
    </w:lvl>
  </w:abstractNum>
  <w:abstractNum w:abstractNumId="57">
    <w:nsid w:val="354FE9F9"/>
    <w:multiLevelType w:val="hybridMultilevel"/>
    <w:lvl w:ilvl="0">
      <w:lvlJc w:val="left"/>
      <w:lvlText w:val="(%1)"/>
      <w:numFmt w:val="lowerLetter"/>
      <w:start w:val="1"/>
    </w:lvl>
  </w:abstractNum>
  <w:abstractNum w:abstractNumId="58">
    <w:nsid w:val="15B5AF5C"/>
    <w:multiLevelType w:val="hybridMultilevel"/>
    <w:lvl w:ilvl="0">
      <w:lvlJc w:val="left"/>
      <w:lvlText w:val="(%1)"/>
      <w:numFmt w:val="decimal"/>
      <w:start w:val="1"/>
    </w:lvl>
  </w:abstractNum>
  <w:abstractNum w:abstractNumId="59">
    <w:nsid w:val="741226B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88" Type="http://schemas.openxmlformats.org/officeDocument/2006/relationships/image" Target="media/image62.png"/><Relationship Id="rId107" Type="http://schemas.openxmlformats.org/officeDocument/2006/relationships/image" Target="media/image63.png"/><Relationship Id="rId108" Type="http://schemas.openxmlformats.org/officeDocument/2006/relationships/image" Target="media/image64.png"/><Relationship Id="rId109" Type="http://schemas.openxmlformats.org/officeDocument/2006/relationships/image" Target="media/image65.png"/><Relationship Id="rId110" Type="http://schemas.openxmlformats.org/officeDocument/2006/relationships/image" Target="media/image66.png"/><Relationship Id="rId111" Type="http://schemas.openxmlformats.org/officeDocument/2006/relationships/image" Target="media/image67.png"/><Relationship Id="rId112" Type="http://schemas.openxmlformats.org/officeDocument/2006/relationships/image" Target="media/image68.png"/><Relationship Id="rId113" Type="http://schemas.openxmlformats.org/officeDocument/2006/relationships/image" Target="media/image69.png"/><Relationship Id="rId114" Type="http://schemas.openxmlformats.org/officeDocument/2006/relationships/image" Target="media/image70.png"/><Relationship Id="rId115" Type="http://schemas.openxmlformats.org/officeDocument/2006/relationships/image" Target="media/image71.png"/><Relationship Id="rId116" Type="http://schemas.openxmlformats.org/officeDocument/2006/relationships/image" Target="media/image72.png"/><Relationship Id="rId117" Type="http://schemas.openxmlformats.org/officeDocument/2006/relationships/image" Target="media/image73.png"/><Relationship Id="rId118" Type="http://schemas.openxmlformats.org/officeDocument/2006/relationships/image" Target="media/image74.png"/><Relationship Id="rId119" Type="http://schemas.openxmlformats.org/officeDocument/2006/relationships/image" Target="media/image75.png"/><Relationship Id="rId120" Type="http://schemas.openxmlformats.org/officeDocument/2006/relationships/image" Target="media/image76.png"/><Relationship Id="rId121" Type="http://schemas.openxmlformats.org/officeDocument/2006/relationships/image" Target="media/image77.png"/><Relationship Id="rId122" Type="http://schemas.openxmlformats.org/officeDocument/2006/relationships/image" Target="media/image78.png"/><Relationship Id="rId123" Type="http://schemas.openxmlformats.org/officeDocument/2006/relationships/image" Target="media/image79.png"/><Relationship Id="rId124" Type="http://schemas.openxmlformats.org/officeDocument/2006/relationships/image" Target="media/image80.png"/><Relationship Id="rId125" Type="http://schemas.openxmlformats.org/officeDocument/2006/relationships/image" Target="media/image81.png"/><Relationship Id="rId126" Type="http://schemas.openxmlformats.org/officeDocument/2006/relationships/image" Target="media/image82.png"/><Relationship Id="rId127" Type="http://schemas.openxmlformats.org/officeDocument/2006/relationships/image" Target="media/image83.png"/><Relationship Id="rId128" Type="http://schemas.openxmlformats.org/officeDocument/2006/relationships/image" Target="media/image84.png"/><Relationship Id="rId129" Type="http://schemas.openxmlformats.org/officeDocument/2006/relationships/image" Target="media/image85.png"/><Relationship Id="rId130" Type="http://schemas.openxmlformats.org/officeDocument/2006/relationships/image" Target="media/image86.png"/><Relationship Id="rId131" Type="http://schemas.openxmlformats.org/officeDocument/2006/relationships/image" Target="media/image87.png"/><Relationship Id="rId132" Type="http://schemas.openxmlformats.org/officeDocument/2006/relationships/image" Target="media/image88.png"/><Relationship Id="rId133" Type="http://schemas.openxmlformats.org/officeDocument/2006/relationships/image" Target="media/image89.png"/><Relationship Id="rId134" Type="http://schemas.openxmlformats.org/officeDocument/2006/relationships/image" Target="media/image90.png"/><Relationship Id="rId135" Type="http://schemas.openxmlformats.org/officeDocument/2006/relationships/image" Target="media/image91.png"/><Relationship Id="rId136" Type="http://schemas.openxmlformats.org/officeDocument/2006/relationships/image" Target="media/image92.png"/><Relationship Id="rId137" Type="http://schemas.openxmlformats.org/officeDocument/2006/relationships/image" Target="media/image93.png"/><Relationship Id="rId138" Type="http://schemas.openxmlformats.org/officeDocument/2006/relationships/image" Target="media/image94.png"/><Relationship Id="rId139" Type="http://schemas.openxmlformats.org/officeDocument/2006/relationships/image" Target="media/image95.png"/><Relationship Id="rId140" Type="http://schemas.openxmlformats.org/officeDocument/2006/relationships/image" Target="media/image96.png"/><Relationship Id="rId141" Type="http://schemas.openxmlformats.org/officeDocument/2006/relationships/image" Target="media/image97.png"/><Relationship Id="rId142" Type="http://schemas.openxmlformats.org/officeDocument/2006/relationships/image" Target="media/image98.png"/><Relationship Id="rId143" Type="http://schemas.openxmlformats.org/officeDocument/2006/relationships/image" Target="media/image99.png"/><Relationship Id="rId144" Type="http://schemas.openxmlformats.org/officeDocument/2006/relationships/image" Target="media/image100.png"/><Relationship Id="rId145" Type="http://schemas.openxmlformats.org/officeDocument/2006/relationships/image" Target="media/image101.png"/><Relationship Id="rId146" Type="http://schemas.openxmlformats.org/officeDocument/2006/relationships/image" Target="media/image102.png"/><Relationship Id="rId147" Type="http://schemas.openxmlformats.org/officeDocument/2006/relationships/image" Target="media/image103.png"/><Relationship Id="rId148" Type="http://schemas.openxmlformats.org/officeDocument/2006/relationships/image" Target="media/image104.png"/><Relationship Id="rId149" Type="http://schemas.openxmlformats.org/officeDocument/2006/relationships/image" Target="media/image105.png"/><Relationship Id="rId150" Type="http://schemas.openxmlformats.org/officeDocument/2006/relationships/image" Target="media/image106.png"/><Relationship Id="rId151" Type="http://schemas.openxmlformats.org/officeDocument/2006/relationships/image" Target="media/image107.png"/><Relationship Id="rId152" Type="http://schemas.openxmlformats.org/officeDocument/2006/relationships/image" Target="media/image108.png"/><Relationship Id="rId153" Type="http://schemas.openxmlformats.org/officeDocument/2006/relationships/image" Target="media/image109.png"/><Relationship Id="rId154" Type="http://schemas.openxmlformats.org/officeDocument/2006/relationships/image" Target="media/image110.png"/><Relationship Id="rId155" Type="http://schemas.openxmlformats.org/officeDocument/2006/relationships/image" Target="media/image111.png"/><Relationship Id="rId156" Type="http://schemas.openxmlformats.org/officeDocument/2006/relationships/image" Target="media/image112.png"/><Relationship Id="rId157" Type="http://schemas.openxmlformats.org/officeDocument/2006/relationships/image" Target="media/image113.png"/><Relationship Id="rId158" Type="http://schemas.openxmlformats.org/officeDocument/2006/relationships/image" Target="media/image114.png"/><Relationship Id="rId159" Type="http://schemas.openxmlformats.org/officeDocument/2006/relationships/image" Target="media/image115.png"/><Relationship Id="rId160" Type="http://schemas.openxmlformats.org/officeDocument/2006/relationships/image" Target="media/image116.png"/><Relationship Id="rId161" Type="http://schemas.openxmlformats.org/officeDocument/2006/relationships/image" Target="media/image117.png"/><Relationship Id="rId162" Type="http://schemas.openxmlformats.org/officeDocument/2006/relationships/image" Target="media/image118.png"/><Relationship Id="rId163" Type="http://schemas.openxmlformats.org/officeDocument/2006/relationships/image" Target="media/image119.png"/><Relationship Id="rId164" Type="http://schemas.openxmlformats.org/officeDocument/2006/relationships/image" Target="media/image120.png"/><Relationship Id="rId165" Type="http://schemas.openxmlformats.org/officeDocument/2006/relationships/image" Target="media/image121.png"/><Relationship Id="rId166" Type="http://schemas.openxmlformats.org/officeDocument/2006/relationships/image" Target="media/image122.png"/><Relationship Id="rId167" Type="http://schemas.openxmlformats.org/officeDocument/2006/relationships/image" Target="media/image123.png"/><Relationship Id="rId168" Type="http://schemas.openxmlformats.org/officeDocument/2006/relationships/image" Target="media/image124.png"/><Relationship Id="rId169" Type="http://schemas.openxmlformats.org/officeDocument/2006/relationships/image" Target="media/image125.png"/><Relationship Id="rId170" Type="http://schemas.openxmlformats.org/officeDocument/2006/relationships/image" Target="media/image126.png"/><Relationship Id="rId69" Type="http://schemas.openxmlformats.org/officeDocument/2006/relationships/hyperlink" Target="http://www.sec.gov/Archives/edgar/data/1426800/000156459020029542/asmb-ex31_26.htm" TargetMode="External"/><Relationship Id="rId70" Type="http://schemas.openxmlformats.org/officeDocument/2006/relationships/hyperlink" Target="http://www.sec.gov/Archives/edgar/data/1426800/000156459021002592/asmb-ex31_15.htm" TargetMode="External"/><Relationship Id="rId71" Type="http://schemas.openxmlformats.org/officeDocument/2006/relationships/hyperlink" Target="http://www.sec.gov/Archives/edgar/data/1426800/000114420415073414/v427997_ex4-1.htm" TargetMode="External"/><Relationship Id="rId72" Type="http://schemas.openxmlformats.org/officeDocument/2006/relationships/hyperlink" Target="http://www.sec.gov/Archives/edgar/data/1426800/000114420418058118/tv505055_ex10-1.htm" TargetMode="External"/><Relationship Id="rId73" Type="http://schemas.openxmlformats.org/officeDocument/2006/relationships/hyperlink" Target="http://www.sec.gov/Archives/edgar/data/1426800/000114420414069040/v393386_ex10-29.htm" TargetMode="External"/><Relationship Id="rId74" Type="http://schemas.openxmlformats.org/officeDocument/2006/relationships/hyperlink" Target="http://www.sec.gov/Archives/edgar/data/1426800/000156459020051470/asmb-ex101_29.htm" TargetMode="External"/><Relationship Id="rId75" Type="http://schemas.openxmlformats.org/officeDocument/2006/relationships/hyperlink" Target="http://www.sec.gov/Archives/edgar/data/1426800/000156459020051470/asmb-ex102_30.htm" TargetMode="External"/><Relationship Id="rId76" Type="http://schemas.openxmlformats.org/officeDocument/2006/relationships/hyperlink" Target="http://www.sec.gov/Archives/edgar/data/1426800/000156459020051470/asmb-ex103_251.htm" TargetMode="External"/><Relationship Id="rId77" Type="http://schemas.openxmlformats.org/officeDocument/2006/relationships/hyperlink" Target="http://www.sec.gov/Archives/edgar/data/1426800/000095012319010301/asmb-ex101_188.htm" TargetMode="External"/><Relationship Id="rId78" Type="http://schemas.openxmlformats.org/officeDocument/2006/relationships/hyperlink" Target="http://www.sec.gov/Archives/edgar/data/1426800/000156459021054499/asmb-ex101_170.htm" TargetMode="External"/><Relationship Id="rId79" Type="http://schemas.openxmlformats.org/officeDocument/2006/relationships/hyperlink" Target="http://www.sec.gov/Archives/edgar/data/1426800/000156459021054499/asmb-ex102_169.htm" TargetMode="External"/><Relationship Id="rId80" Type="http://schemas.openxmlformats.org/officeDocument/2006/relationships/hyperlink" Target="http://www.sec.gov/Archives/edgar/data/1426800/000156459020008696/asmb-ex107_183.htm" TargetMode="External"/><Relationship Id="rId81" Type="http://schemas.openxmlformats.org/officeDocument/2006/relationships/hyperlink" Target="http://www.sec.gov/Archives/edgar/data/1426800/000156459020023566/asmb-ex107_81.htm" TargetMode="External"/><Relationship Id="rId82" Type="http://schemas.openxmlformats.org/officeDocument/2006/relationships/hyperlink" Target="http://www.sec.gov/Archives/edgar/data/0001426800/000156459021008878/asmb-ex1012_16.htm" TargetMode="External"/><Relationship Id="rId83" Type="http://schemas.openxmlformats.org/officeDocument/2006/relationships/hyperlink" Target="http://www.sec.gov/Archives/edgar/data/1426800/000114420410052266/v196825_ex10-14.htm" TargetMode="External"/><Relationship Id="rId84" Type="http://schemas.openxmlformats.org/officeDocument/2006/relationships/hyperlink" Target="http://www.sec.gov/Archives/edgar/data/1426800/000114420416107050/v441808_ex10-1.htm" TargetMode="External"/><Relationship Id="rId85" Type="http://schemas.openxmlformats.org/officeDocument/2006/relationships/hyperlink" Target="http://www.sec.gov/Archives/edgar/data/1426800/000156459020023566/asmb-ex102_85.htm" TargetMode="External"/><Relationship Id="rId86" Type="http://schemas.openxmlformats.org/officeDocument/2006/relationships/hyperlink" Target="http://www.sec.gov/Archives/edgar/data/1426800/000114420414056572/v389114_ex10-28.htm" TargetMode="External"/><Relationship Id="rId87" Type="http://schemas.openxmlformats.org/officeDocument/2006/relationships/hyperlink" Target="http://www.sec.gov/Archives/edgar/data/1426800/000114420417055501/tv477592_ex10-1.htm" TargetMode="External"/><Relationship Id="rId89" Type="http://schemas.openxmlformats.org/officeDocument/2006/relationships/hyperlink" Target="http://www.sec.gov/Archives/edgar/data/1426800/000114420417041660/v472206_ex10-1.htm" TargetMode="External"/><Relationship Id="rId90" Type="http://schemas.openxmlformats.org/officeDocument/2006/relationships/hyperlink" Target="http://www.sec.gov/Archives/edgar/data/1426800/000114420417041660/v472206_ex10-2.htm" TargetMode="External"/><Relationship Id="rId91" Type="http://schemas.openxmlformats.org/officeDocument/2006/relationships/hyperlink" Target="http://www.sec.gov/Archives/edgar/data/1426800/000114420417041660/v472206_ex10-3.htm" TargetMode="External"/><Relationship Id="rId92" Type="http://schemas.openxmlformats.org/officeDocument/2006/relationships/hyperlink" Target="http://www.sec.gov/Archives/edgar/data/1426800/000114420418032371/tv495357_ex10-1.htm" TargetMode="External"/><Relationship Id="rId93" Type="http://schemas.openxmlformats.org/officeDocument/2006/relationships/hyperlink" Target="http://www.sec.gov/Archives/edgar/data/0001426800/000114420419027502/tv522122_ex10-2.htm" TargetMode="External"/><Relationship Id="rId94" Type="http://schemas.openxmlformats.org/officeDocument/2006/relationships/hyperlink" Target="http://www.sec.gov/Archives/edgar/data/1426800/000156459020029542/asmb-ex101_25.htm" TargetMode="External"/><Relationship Id="rId95" Type="http://schemas.openxmlformats.org/officeDocument/2006/relationships/hyperlink" Target="http://www.sec.gov/Archives/edgar/data/1426800/000156459021029780/asmb-ex101_16.htm" TargetMode="External"/><Relationship Id="rId96" Type="http://schemas.openxmlformats.org/officeDocument/2006/relationships/hyperlink" Target="http://www.sec.gov/Archives/edgar/data/1426800/000114420418032371/tv495357_ex10-2.htm" TargetMode="External"/><Relationship Id="rId97" Type="http://schemas.openxmlformats.org/officeDocument/2006/relationships/hyperlink" Target="http://www.sec.gov/Archives/edgar/data/1426800/000114420418032371/tv495357_ex10-3.htm" TargetMode="External"/><Relationship Id="rId98" Type="http://schemas.openxmlformats.org/officeDocument/2006/relationships/hyperlink" Target="http://www.sec.gov/Archives/edgar/data/1426800/000114420418053659/tv504698_ex10-4.htm" TargetMode="External"/><Relationship Id="rId99" Type="http://schemas.openxmlformats.org/officeDocument/2006/relationships/hyperlink" Target="http://www.sec.gov/Archives/edgar/data/1426800/000156459021029780/asmb-ex102_15.htm" TargetMode="External"/><Relationship Id="rId100" Type="http://schemas.openxmlformats.org/officeDocument/2006/relationships/hyperlink" Target="http://www.sec.gov/Archives/edgar/data/1426800/000095012319010301/asmb-ex104_186.htm" TargetMode="External"/><Relationship Id="rId101" Type="http://schemas.openxmlformats.org/officeDocument/2006/relationships/hyperlink" Target="http://www.sec.gov/Archives/edgar/data/0001426800/000095012319010301/asmb-ex105_185.htm" TargetMode="External"/><Relationship Id="rId102" Type="http://schemas.openxmlformats.org/officeDocument/2006/relationships/hyperlink" Target="http://www.sec.gov/Archives/edgar/data/1426800/000156459020023566/asmb-ex103_84.htm" TargetMode="External"/><Relationship Id="rId103" Type="http://schemas.openxmlformats.org/officeDocument/2006/relationships/hyperlink" Target="http://www.sec.gov/Archives/edgar/data/1426800/000156459020023566/asmb-ex104_83.htm" TargetMode="External"/><Relationship Id="rId104" Type="http://schemas.openxmlformats.org/officeDocument/2006/relationships/hyperlink" Target="http://www.sec.gov/Archives/edgar/data/1426800/000156459020023566/asmb-ex105_82.htm" TargetMode="External"/><Relationship Id="rId105" Type="http://schemas.openxmlformats.org/officeDocument/2006/relationships/hyperlink" Target="http://www.sec.gov/Archives/edgar/data/1426800/000156459021006414/asmb-ex101_6.htm" TargetMode="External"/><Relationship Id="rId106" Type="http://schemas.openxmlformats.org/officeDocument/2006/relationships/hyperlink" Target="http://www.sec.gov/Archives/edgar/data/1426800/000119312520234664/d35895dex1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2022-03-11T15:28:55Z</dcterms:created>
  <dcterms:modified xsi:type="dcterms:W3CDTF">2022-03-11T15:28:55Z</dcterms:modified>
</cp:coreProperties>
</file>