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94615</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96520</wp:posOffset>
            </wp:positionV>
            <wp:extent cx="133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54" w:lineRule="exact"/>
        <w:rPr>
          <w:sz w:val="24"/>
          <w:szCs w:val="24"/>
          <w:color w:val="auto"/>
        </w:rPr>
      </w:pPr>
    </w:p>
    <w:p>
      <w:pPr>
        <w:ind w:left="4060" w:right="2540" w:hanging="4052"/>
        <w:spacing w:after="0" w:line="457" w:lineRule="auto"/>
        <w:tabs>
          <w:tab w:leader="none" w:pos="4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71" w:lineRule="exact"/>
        <w:rPr>
          <w:sz w:val="24"/>
          <w:szCs w:val="24"/>
          <w:color w:val="auto"/>
        </w:rPr>
      </w:pPr>
    </w:p>
    <w:p>
      <w:pPr>
        <w:ind w:left="3580" w:right="2520" w:hanging="3572"/>
        <w:spacing w:after="0" w:line="422" w:lineRule="auto"/>
        <w:tabs>
          <w:tab w:leader="none" w:pos="46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114935</wp:posOffset>
            </wp:positionV>
            <wp:extent cx="133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Pr>
          <w:p>
            <w:pPr>
              <w:spacing w:after="0"/>
              <w:rPr>
                <w:sz w:val="22"/>
                <w:szCs w:val="22"/>
                <w:color w:val="auto"/>
              </w:rPr>
            </w:pPr>
          </w:p>
        </w:tc>
        <w:tc>
          <w:tcPr>
            <w:tcW w:w="3420" w:type="dxa"/>
            <w:vAlign w:val="bottom"/>
            <w:gridSpan w:val="5"/>
          </w:tcPr>
          <w:p>
            <w:pPr>
              <w:jc w:val="center"/>
              <w:ind w:left="72"/>
              <w:spacing w:after="0"/>
              <w:rPr>
                <w:sz w:val="20"/>
                <w:szCs w:val="20"/>
                <w:color w:val="auto"/>
              </w:rPr>
            </w:pPr>
            <w:r>
              <w:rPr>
                <w:rFonts w:ascii="Arial" w:cs="Arial" w:eastAsia="Arial" w:hAnsi="Arial"/>
                <w:sz w:val="22"/>
                <w:szCs w:val="22"/>
                <w:b w:val="1"/>
                <w:bCs w:val="1"/>
                <w:color w:val="auto"/>
                <w:w w:val="96"/>
              </w:rPr>
              <w:t>ASSEMBLY BIOSCIENCES, INC.</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280"/>
        </w:trPr>
        <w:tc>
          <w:tcPr>
            <w:tcW w:w="3840" w:type="dxa"/>
            <w:vAlign w:val="bottom"/>
          </w:tcPr>
          <w:p>
            <w:pPr>
              <w:jc w:val="center"/>
              <w:ind w:left="1700"/>
              <w:spacing w:after="0"/>
              <w:rPr>
                <w:sz w:val="20"/>
                <w:szCs w:val="20"/>
                <w:color w:val="auto"/>
              </w:rPr>
            </w:pPr>
            <w:r>
              <w:rPr>
                <w:rFonts w:ascii="Arial" w:cs="Arial" w:eastAsia="Arial" w:hAnsi="Arial"/>
                <w:sz w:val="16"/>
                <w:szCs w:val="16"/>
                <w:b w:val="1"/>
                <w:bCs w:val="1"/>
                <w:color w:val="auto"/>
                <w:w w:val="93"/>
              </w:rPr>
              <w:t>Delaware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jc w:val="right"/>
              <w:ind w:right="2341"/>
              <w:spacing w:after="0"/>
              <w:rPr>
                <w:sz w:val="20"/>
                <w:szCs w:val="20"/>
                <w:color w:val="auto"/>
              </w:rPr>
            </w:pPr>
            <w:r>
              <w:rPr>
                <w:rFonts w:ascii="Arial" w:cs="Arial" w:eastAsia="Arial" w:hAnsi="Arial"/>
                <w:sz w:val="16"/>
                <w:szCs w:val="16"/>
                <w:b w:val="1"/>
                <w:bCs w:val="1"/>
                <w:color w:val="auto"/>
              </w:rPr>
              <w:t>20-8729264</w:t>
            </w:r>
          </w:p>
        </w:tc>
        <w:tc>
          <w:tcPr>
            <w:tcW w:w="0" w:type="dxa"/>
            <w:vAlign w:val="bottom"/>
          </w:tcPr>
          <w:p>
            <w:pPr>
              <w:spacing w:after="0"/>
              <w:rPr>
                <w:sz w:val="1"/>
                <w:szCs w:val="1"/>
                <w:color w:val="auto"/>
              </w:rPr>
            </w:pPr>
          </w:p>
        </w:tc>
      </w:tr>
      <w:tr>
        <w:trPr>
          <w:trHeight w:val="203"/>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3"/>
              </w:rPr>
              <w:t>(State or other jurisdiction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06"/>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4"/>
              </w:rPr>
              <w:t>incorporation or organization)</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b w:val="1"/>
                <w:bCs w:val="1"/>
                <w:color w:val="auto"/>
                <w:w w:val="93"/>
              </w:rPr>
              <w:t>331 Oyster Point Blvd., Fourth Floor</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7260" w:type="dxa"/>
            <w:vAlign w:val="bottom"/>
            <w:gridSpan w:val="6"/>
          </w:tcPr>
          <w:p>
            <w:pPr>
              <w:jc w:val="center"/>
              <w:ind w:right="1640"/>
              <w:spacing w:after="0"/>
              <w:rPr>
                <w:sz w:val="20"/>
                <w:szCs w:val="20"/>
                <w:color w:val="auto"/>
              </w:rPr>
            </w:pPr>
            <w:r>
              <w:rPr>
                <w:rFonts w:ascii="Arial" w:cs="Arial" w:eastAsia="Arial" w:hAnsi="Arial"/>
                <w:sz w:val="16"/>
                <w:szCs w:val="16"/>
                <w:b w:val="1"/>
                <w:bCs w:val="1"/>
                <w:color w:val="auto"/>
                <w:w w:val="91"/>
              </w:rPr>
              <w:t>South San Francisco, California</w:t>
            </w:r>
          </w:p>
        </w:tc>
        <w:tc>
          <w:tcPr>
            <w:tcW w:w="3980" w:type="dxa"/>
            <w:vAlign w:val="bottom"/>
          </w:tcPr>
          <w:p>
            <w:pPr>
              <w:jc w:val="right"/>
              <w:ind w:right="2521"/>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color w:val="auto"/>
                <w:w w:val="93"/>
              </w:rPr>
              <w:t>(Address of principal executive offices)</w:t>
            </w: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80"/>
        </w:trPr>
        <w:tc>
          <w:tcPr>
            <w:tcW w:w="3840" w:type="dxa"/>
            <w:vAlign w:val="bottom"/>
          </w:tcPr>
          <w:p>
            <w:pPr>
              <w:spacing w:after="0"/>
              <w:rPr>
                <w:sz w:val="24"/>
                <w:szCs w:val="24"/>
                <w:color w:val="auto"/>
              </w:rPr>
            </w:pPr>
          </w:p>
        </w:tc>
        <w:tc>
          <w:tcPr>
            <w:tcW w:w="2840" w:type="dxa"/>
            <w:vAlign w:val="bottom"/>
            <w:gridSpan w:val="3"/>
          </w:tcPr>
          <w:p>
            <w:pPr>
              <w:jc w:val="center"/>
              <w:ind w:left="652"/>
              <w:spacing w:after="0"/>
              <w:rPr>
                <w:sz w:val="20"/>
                <w:szCs w:val="20"/>
                <w:color w:val="auto"/>
              </w:rPr>
            </w:pPr>
            <w:r>
              <w:rPr>
                <w:rFonts w:ascii="Arial" w:cs="Arial" w:eastAsia="Arial" w:hAnsi="Arial"/>
                <w:sz w:val="16"/>
                <w:szCs w:val="16"/>
                <w:b w:val="1"/>
                <w:bCs w:val="1"/>
                <w:color w:val="auto"/>
                <w:w w:val="93"/>
              </w:rPr>
              <w:t>(833) 509-4583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tcBorders>
          </w:tcPr>
          <w:p>
            <w:pPr>
              <w:jc w:val="center"/>
              <w:ind w:left="600"/>
              <w:spacing w:after="0"/>
              <w:rPr>
                <w:sz w:val="20"/>
                <w:szCs w:val="20"/>
                <w:color w:val="auto"/>
              </w:rPr>
            </w:pPr>
            <w:r>
              <w:rPr>
                <w:rFonts w:ascii="Arial" w:cs="Arial" w:eastAsia="Arial" w:hAnsi="Arial"/>
                <w:sz w:val="14"/>
                <w:szCs w:val="14"/>
                <w:color w:val="auto"/>
                <w:w w:val="92"/>
              </w:rPr>
              <w:t>Title of each class</w:t>
            </w:r>
          </w:p>
        </w:tc>
        <w:tc>
          <w:tcPr>
            <w:tcW w:w="6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6"/>
              </w:rPr>
              <w:t>Trading Symbol(s)</w:t>
            </w:r>
          </w:p>
        </w:tc>
        <w:tc>
          <w:tcPr>
            <w:tcW w:w="50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441"/>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33"/>
        </w:trPr>
        <w:tc>
          <w:tcPr>
            <w:tcW w:w="3840" w:type="dxa"/>
            <w:vAlign w:val="bottom"/>
            <w:tcBorders>
              <w:left w:val="single" w:sz="8" w:color="auto"/>
              <w:bottom w:val="single" w:sz="8" w:color="auto"/>
            </w:tcBorders>
          </w:tcPr>
          <w:p>
            <w:pPr>
              <w:jc w:val="center"/>
              <w:ind w:left="620"/>
              <w:spacing w:after="0"/>
              <w:rPr>
                <w:sz w:val="20"/>
                <w:szCs w:val="20"/>
                <w:color w:val="auto"/>
              </w:rPr>
            </w:pPr>
            <w:r>
              <w:rPr>
                <w:rFonts w:ascii="Arial" w:cs="Arial" w:eastAsia="Arial" w:hAnsi="Arial"/>
                <w:sz w:val="16"/>
                <w:szCs w:val="16"/>
                <w:color w:val="auto"/>
                <w:w w:val="91"/>
              </w:rPr>
              <w:t>Common Stock, par value $0.001</w:t>
            </w:r>
          </w:p>
        </w:tc>
        <w:tc>
          <w:tcPr>
            <w:tcW w:w="6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6"/>
                <w:szCs w:val="16"/>
                <w:color w:val="auto"/>
              </w:rPr>
              <w:t>ASMB</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ind w:right="421"/>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73"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70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2021, there were 44,971,609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71"/>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68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2021 (unaudited) and December 31, 2020</w:t>
              </w:r>
            </w:hyperlink>
          </w:p>
        </w:tc>
        <w:tc>
          <w:tcPr>
            <w:tcW w:w="27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02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Income for the Three and Six Months Ended June 30,</w:t>
              </w:r>
            </w:hyperlink>
          </w:p>
        </w:tc>
        <w:tc>
          <w:tcPr>
            <w:tcW w:w="6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8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2021 and 2020 (unaudited)</w:t>
              </w:r>
            </w:hyperlink>
          </w:p>
        </w:tc>
        <w:tc>
          <w:tcPr>
            <w:tcW w:w="128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20" w:type="dxa"/>
            <w:vAlign w:val="bottom"/>
          </w:tcPr>
          <w:p>
            <w:pPr>
              <w:spacing w:after="0"/>
              <w:rPr>
                <w:sz w:val="24"/>
                <w:szCs w:val="24"/>
                <w:color w:val="auto"/>
              </w:rPr>
            </w:pPr>
          </w:p>
        </w:tc>
        <w:tc>
          <w:tcPr>
            <w:tcW w:w="92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Changes in Stockholders’ Equity for the Three and Six Months Ended June 30, 2021 and</w:t>
              </w:r>
            </w:hyperlink>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0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2020 (unaudited)</w:t>
              </w:r>
            </w:hyperlink>
          </w:p>
        </w:tc>
        <w:tc>
          <w:tcPr>
            <w:tcW w:w="830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r>
      <w:tr>
        <w:trPr>
          <w:trHeight w:val="318"/>
        </w:trPr>
        <w:tc>
          <w:tcPr>
            <w:tcW w:w="1020" w:type="dxa"/>
            <w:vAlign w:val="bottom"/>
          </w:tcPr>
          <w:p>
            <w:pPr>
              <w:spacing w:after="0"/>
              <w:rPr>
                <w:sz w:val="24"/>
                <w:szCs w:val="24"/>
                <w:color w:val="auto"/>
              </w:rPr>
            </w:pPr>
          </w:p>
        </w:tc>
        <w:tc>
          <w:tcPr>
            <w:tcW w:w="5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the Condensed Consolidated Financial Statements (unaudited)</w:t>
              </w:r>
            </w:hyperlink>
          </w:p>
        </w:tc>
        <w:tc>
          <w:tcPr>
            <w:tcW w:w="44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24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95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600" w:type="dxa"/>
            <w:vAlign w:val="bottom"/>
            <w:tcBorders>
              <w:top w:val="single" w:sz="8" w:color="0000EE"/>
            </w:tcBorders>
            <w:gridSpan w:val="3"/>
          </w:tcPr>
          <w:p>
            <w:pPr>
              <w:spacing w:after="0"/>
              <w:rPr>
                <w:sz w:val="24"/>
                <w:szCs w:val="24"/>
                <w:color w:val="auto"/>
              </w:rPr>
            </w:pPr>
          </w:p>
        </w:tc>
        <w:tc>
          <w:tcPr>
            <w:tcW w:w="7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52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722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78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56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215"/>
        </w:trPr>
        <w:tc>
          <w:tcPr>
            <w:tcW w:w="10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References to Assembly Biosciences, Inc.</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this Quarterly Report on Form 10-Q, the “Company,” “Assembly,” “we,” “us,” and “our,” except where the context requires otherwise, refer to Assembly Biosciences, Inc. and its consolidated subsidiaries, and “our board of directors” or “the Board” refers to the board of directors of Assembly Biosciences,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February 25, 2021 (2020 Annual Report) and Part II, Item 1A of this Quarterly Report on Form 10-Q under the heading “Risk Factors,” that could cause actual results to materially differ. In addition, factors that could cause actual results to differ from those stated in the forward-looking statements in this Quarterly Report on Form 10-Q include, among other things:</w:t>
      </w:r>
    </w:p>
    <w:p>
      <w:pPr>
        <w:spacing w:after="0" w:line="147" w:lineRule="exact"/>
        <w:rPr>
          <w:sz w:val="20"/>
          <w:szCs w:val="20"/>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ability to initiate and complete clinical trials involving our chronic hepatitis B virus (HBV) therapeutic product candidates in the currently anticipated timeframes;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and efficacy data from clinical studies may not warrant further development of our product candidates;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and nonclinical data presented at conferences may not differentiate our product candidates from other companies’ candidates;</w:t>
      </w:r>
    </w:p>
    <w:p>
      <w:pPr>
        <w:spacing w:after="0" w:line="223" w:lineRule="exact"/>
        <w:rPr>
          <w:rFonts w:ascii="Arial" w:cs="Arial" w:eastAsia="Arial" w:hAnsi="Arial"/>
          <w:sz w:val="17"/>
          <w:szCs w:val="17"/>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development and commercialization of our HBV product candidates is dependent on, and subject to, our collaboration agreement governing our activity in the China territory;</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ability to maintain financial resources necessary to continue our clinical studies and fund business operations; and</w:t>
      </w:r>
    </w:p>
    <w:p>
      <w:pPr>
        <w:spacing w:after="0" w:line="211"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that the COVID-19 pandemic may have on our business and operations, including initiation and continuation of our clinical studies or timing of discussions with regulatory authorities.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r>
      <w:tr>
        <w:trPr>
          <w:trHeight w:val="156"/>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288"/>
              <w:spacing w:after="0" w:line="155" w:lineRule="exact"/>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59,517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59,444</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139,560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156,969</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from collaborations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1,230</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6,184</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6,850</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205,558</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224,493</w:t>
            </w:r>
          </w:p>
        </w:tc>
      </w:tr>
      <w:tr>
        <w:trPr>
          <w:trHeight w:val="155"/>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1,359</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1,600</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Operating lease right-of-use (ROU) assets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7,488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9,131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6,093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6,392</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Indefinite-lived intangible asset</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29,000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29,000</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12,638</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12,638</w:t>
            </w:r>
          </w:p>
        </w:tc>
      </w:tr>
      <w:tr>
        <w:trPr>
          <w:trHeight w:val="19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262,136</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283,254</w:t>
            </w:r>
          </w:p>
        </w:tc>
      </w:tr>
      <w:tr>
        <w:trPr>
          <w:trHeight w:val="143"/>
        </w:trPr>
        <w:tc>
          <w:tcPr>
            <w:tcW w:w="7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2,866</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4,598</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clinical expenses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3,676</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4,444</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Other accrued expenses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4,320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11,987</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 short-term</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3,048</w:t>
            </w:r>
          </w:p>
        </w:tc>
        <w:tc>
          <w:tcPr>
            <w:tcW w:w="1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3,404</w:t>
            </w:r>
          </w:p>
        </w:tc>
      </w:tr>
      <w:tr>
        <w:trPr>
          <w:trHeight w:val="15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13,910</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24,433</w:t>
            </w:r>
          </w:p>
        </w:tc>
      </w:tr>
      <w:tr>
        <w:trPr>
          <w:trHeight w:val="155"/>
        </w:trPr>
        <w:tc>
          <w:tcPr>
            <w:tcW w:w="7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2,531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2,531</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8,987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8,987</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Operating lease liabilities - long-term</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4,914</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6,725</w:t>
            </w: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30,342</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42,676</w:t>
            </w:r>
          </w:p>
        </w:tc>
      </w:tr>
      <w:tr>
        <w:trPr>
          <w:trHeight w:val="156"/>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Commitments and contingencies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Preferred stock, $0.001 par value; 5,000,000 shares authorized; no shares issued or outstanding</w:t>
            </w:r>
          </w:p>
        </w:tc>
        <w:tc>
          <w:tcPr>
            <w:tcW w:w="240" w:type="dxa"/>
            <w:vAlign w:val="bottom"/>
          </w:tcPr>
          <w:p>
            <w:pPr>
              <w:spacing w:after="0"/>
              <w:rPr>
                <w:sz w:val="14"/>
                <w:szCs w:val="1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43"/>
        </w:trPr>
        <w:tc>
          <w:tcPr>
            <w:tcW w:w="7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3"/>
              </w:rPr>
              <w:t>Common stock, $0.001 par value; 100,000,000 shares authorized as of June 30, 2021 and December 31, 2020; 43,779,059 and</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167"/>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34,026,680 shares issued and outstanding as of June 30, 2021 and December 31, 2020, respectively</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784,391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742,387</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(552,368)</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(501,573)</w:t>
            </w:r>
          </w:p>
        </w:tc>
      </w:tr>
      <w:tr>
        <w:trPr>
          <w:trHeight w:val="155"/>
        </w:trPr>
        <w:tc>
          <w:tcPr>
            <w:tcW w:w="77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231,794</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240,578</w:t>
            </w: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262,136</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283,254</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3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39,376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43,457</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16,749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23,327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35,303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46,373</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6,917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9,470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15,621</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18,199</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23,666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32,797</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50,924</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64,572</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(23,666)</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6,579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(50,924)</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(21,115)</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 net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(23,595)</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7,270</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(50,795)</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(19,385)</w:t>
            </w: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 income</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(23,597)</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7,460</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(50,798)</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(19,080)</w:t>
            </w: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680" w:type="dxa"/>
            <w:vAlign w:val="bottom"/>
          </w:tcPr>
          <w:p>
            <w:pPr>
              <w:spacing w:after="0"/>
              <w:rPr>
                <w:sz w:val="20"/>
                <w:szCs w:val="20"/>
                <w:color w:val="auto"/>
              </w:rPr>
            </w:pPr>
            <w:r>
              <w:rPr>
                <w:rFonts w:ascii="Arial" w:cs="Arial" w:eastAsia="Arial" w:hAnsi="Arial"/>
                <w:sz w:val="18"/>
                <w:szCs w:val="18"/>
                <w:color w:val="auto"/>
              </w:rPr>
              <w:t>Net (loss) income per share, basic</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(0.55)</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0"/>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42,876,268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35,307,669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7"/>
              </w:rPr>
              <w:t>41,286,831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97"/>
              </w:rPr>
              <w:t>35,229,570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Net (loss) income per share, diluted</w:t>
            </w: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42,876,268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37,291,474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7"/>
              </w:rPr>
              <w:t>41,286,831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97"/>
              </w:rPr>
              <w:t>35,229,570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Borders>
              <w:bottom w:val="single" w:sz="8" w:color="auto"/>
            </w:tcBorders>
          </w:tcPr>
          <w:p>
            <w:pPr>
              <w:spacing w:after="0"/>
              <w:rPr>
                <w:sz w:val="14"/>
                <w:szCs w:val="14"/>
                <w:color w:val="auto"/>
              </w:rPr>
            </w:pPr>
          </w:p>
        </w:tc>
      </w:tr>
      <w:tr>
        <w:trPr>
          <w:trHeight w:val="156"/>
        </w:trPr>
        <w:tc>
          <w:tcPr>
            <w:tcW w:w="742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(50,795)</w:t>
            </w:r>
          </w:p>
        </w:tc>
        <w:tc>
          <w:tcPr>
            <w:tcW w:w="18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(19,385)</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74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237</w:t>
            </w: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12,058</w:t>
            </w:r>
          </w:p>
        </w:tc>
      </w:tr>
      <w:tr>
        <w:trPr>
          <w:trHeight w:val="229"/>
        </w:trPr>
        <w:tc>
          <w:tcPr>
            <w:tcW w:w="7420" w:type="dxa"/>
            <w:vAlign w:val="bottom"/>
          </w:tcPr>
          <w:p>
            <w:pPr>
              <w:ind w:left="260"/>
              <w:spacing w:after="0"/>
              <w:rPr>
                <w:sz w:val="20"/>
                <w:szCs w:val="20"/>
                <w:color w:val="auto"/>
              </w:rPr>
            </w:pPr>
            <w:r>
              <w:rPr>
                <w:rFonts w:ascii="Arial" w:cs="Arial" w:eastAsia="Arial" w:hAnsi="Arial"/>
                <w:sz w:val="18"/>
                <w:szCs w:val="18"/>
                <w:color w:val="auto"/>
              </w:rPr>
              <w:t>Net accretion and amortization of investments in marketable debt securities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rent expense</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2,037</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2,308</w:t>
            </w: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rPr>
              <w:t>Accounts receivable from collaboration</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304</w:t>
            </w: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516</w:t>
            </w: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rPr>
              <w:t>Accrued clinical expenses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29"/>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accrued expenses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(7,649)</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r>
      <w:tr>
        <w:trPr>
          <w:trHeight w:val="230"/>
        </w:trPr>
        <w:tc>
          <w:tcPr>
            <w:tcW w:w="74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(37,048)</w:t>
            </w:r>
          </w:p>
        </w:tc>
      </w:tr>
      <w:tr>
        <w:trPr>
          <w:trHeight w:val="229"/>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(55,152)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(48,334)</w:t>
            </w:r>
          </w:p>
        </w:tc>
      </w:tr>
      <w:tr>
        <w:trPr>
          <w:trHeight w:val="229"/>
        </w:trPr>
        <w:tc>
          <w:tcPr>
            <w:tcW w:w="7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(84,800)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(44,240)</w:t>
            </w:r>
          </w:p>
        </w:tc>
      </w:tr>
      <w:tr>
        <w:trPr>
          <w:trHeight w:val="230"/>
        </w:trPr>
        <w:tc>
          <w:tcPr>
            <w:tcW w:w="7420" w:type="dxa"/>
            <w:vAlign w:val="bottom"/>
          </w:tcPr>
          <w:p>
            <w:pPr>
              <w:ind w:left="50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98,950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119,252</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marketable securities</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22,700</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14,929</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97,242</w:t>
            </w:r>
          </w:p>
        </w:tc>
      </w:tr>
      <w:tr>
        <w:trPr>
          <w:trHeight w:val="230"/>
        </w:trPr>
        <w:tc>
          <w:tcPr>
            <w:tcW w:w="7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w:t>
            </w:r>
          </w:p>
        </w:tc>
      </w:tr>
      <w:tr>
        <w:trPr>
          <w:trHeight w:val="230"/>
        </w:trPr>
        <w:tc>
          <w:tcPr>
            <w:tcW w:w="7420" w:type="dxa"/>
            <w:vAlign w:val="bottom"/>
          </w:tcPr>
          <w:p>
            <w:pPr>
              <w:ind w:left="500"/>
              <w:spacing w:after="0"/>
              <w:rPr>
                <w:sz w:val="20"/>
                <w:szCs w:val="20"/>
                <w:color w:val="auto"/>
              </w:rPr>
            </w:pPr>
            <w:r>
              <w:rPr>
                <w:rFonts w:ascii="Arial" w:cs="Arial" w:eastAsia="Arial" w:hAnsi="Arial"/>
                <w:sz w:val="18"/>
                <w:szCs w:val="18"/>
                <w:color w:val="auto"/>
                <w:w w:val="93"/>
              </w:rPr>
              <w:t>Proceeds from the issuance of common stock under Employee Stock Purchase Plan (ESPP)</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467</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common stock, net of issuance costs</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40,152</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40,296</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1,069</w:t>
            </w:r>
          </w:p>
        </w:tc>
      </w:tr>
      <w:tr>
        <w:trPr>
          <w:trHeight w:val="230"/>
        </w:trPr>
        <w:tc>
          <w:tcPr>
            <w:tcW w:w="7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49,977</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59,444</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46,732</w:t>
            </w:r>
          </w:p>
        </w:tc>
      </w:tr>
      <w:tr>
        <w:trPr>
          <w:trHeight w:val="263"/>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6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59,517</w:t>
            </w:r>
          </w:p>
        </w:tc>
        <w:tc>
          <w:tcPr>
            <w:tcW w:w="18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96,709</w:t>
            </w:r>
          </w:p>
        </w:tc>
      </w:tr>
      <w:tr>
        <w:trPr>
          <w:trHeight w:val="210"/>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Operating lease liabilities arising from obtaining ROU assets</w:t>
            </w:r>
          </w:p>
        </w:tc>
        <w:tc>
          <w:tcPr>
            <w:tcW w:w="12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545</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Remeasurement of lease liabilities arising from modification of ROU assets</w:t>
            </w:r>
          </w:p>
        </w:tc>
        <w:tc>
          <w:tcPr>
            <w:tcW w:w="12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Three Month Period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2021</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40,104,684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776,248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(528,773)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247,244</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w w:val="97"/>
              </w:rPr>
              <w:t>Issuance of common stock under at-the-market (ATM) equity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offering program, net of issuance costs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1,458,043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42,803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Issuance of common stock for settlement of restricted stock</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units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64,908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1"/>
              </w:rPr>
              <w:t>Issuance of common stock upon cashless exercise of pre-funded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2,108,621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2021</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43,779,059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784,391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(552,368)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231,794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32,624,725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717,898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(466,076)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251,768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74,879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42,266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65,649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9"/>
              </w:rPr>
              <w:t>32,807,519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725,784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(458,806)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267,115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6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Six Month Period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34,026,680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742,387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(501,573)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240,578</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w w:val="94"/>
              </w:rPr>
              <w:t>Issuance of common stock under ATM equity offering program,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of issuance costs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7,449,901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40,144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40,152</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42,803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151,054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1"/>
              </w:rPr>
              <w:t>Issuance of common stock upon cashless exercise of pre-funded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2,108,621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(50,795)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2021</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43,779,059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784,391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(552,368)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231,794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32,558,307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712,807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(439,421)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273,217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91,713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42,266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115,233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debt securities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(19,385)</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u w:val="single" w:color="auto"/>
                <w:color w:val="auto"/>
                <w:w w:val="99"/>
              </w:rPr>
              <w:t>32,807,519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u w:val="single" w:color="auto"/>
                <w:color w:val="auto"/>
              </w:rPr>
              <w:t>725,784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5"/>
              </w:rPr>
              <w:t>(458,806)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267,115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-2540</wp:posOffset>
            </wp:positionV>
            <wp:extent cx="6083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wp:posOffset>
            </wp:positionV>
            <wp:extent cx="676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wp:posOffset>
            </wp:positionV>
            <wp:extent cx="6083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-130175</wp:posOffset>
            </wp:positionV>
            <wp:extent cx="4114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clinical-stage biotechnology company advancing a novel class of oral therapeutic candidates for the treatment of chronic hepatitis B virus (HBV) infection. The Company operates in one segment and is headquartered in South San Francisco, California, with operations in California and China. Prior to the Company’s wind-down of its Microbiome program in January 2021, the Company also had operations in Connecticut.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research and development programs are pursuing multiple drug candidates that inhibit the HBV replication cycle and block the generation of covalently closed circular DNA (cccDNA), with the aim of discovering and developing finite and curative therapies for patients with HBV. Assembly has discovered several novel core inhibitors, which are small molecules that directly target and allosterically modify the HBV core (HBc) protein in a way that affects assembly and stability of HBV nucleocapsids.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proceeds from the exercise of warrants and stock options,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If the Company cannot generate significant cash from its operations, it intends to obtain any additional funding it requires through strategic relationships, public or private equity or debt financings, grants or other arrangements (see Note 6 for recent sales of common stock). The Company cannot assure such funding will be available on reasonable terms, if at all. Market volatility resulting from the global novel coronavirus disease (COVID-19) pandemic or other factors could also adversely impact the Company’s ability to access capital when and as needed.</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generate enough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2020, which are contained in the 2020 Annual Report. The results for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three and six months ended June 30, 2021 are not necessarily indicative of results to be expected for the entire year ending December 31, 2021 or future operating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Estimates inherent in the preparation of the accompanying unaudited condensed consolidated financial statements include estimates for the cost-based input of revenue recognition and standalone selling price estimates for allocation of transaction price to performance obligations, revenue recognition, estimates of costs incurred but not yet invoiced for clinical trial accruals, recoverability and useful lives of our long-lived assets, the estimated fair value of our indefinite-lived intangible assets, the estimated fair value of our reporting unit for purposes of evaluating goodwill impairment, provisions for income taxes, amounts receivable under collaboration agreements, measurement of operating lease liabilities, and the fair value of stock options, stock appreciation rights, and restricted stock units (RSUs) granted to employees, directors, and consultants.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the World Health Organization declared the COVID-19 outbreak a pandemic. To date, the Company’s operations have not been significantly impacted by the COVID-19 pandemic. However, 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If the financial markets and/or the overall economy are impacted for an extended period, the Company’s results may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 The corporate tax provisions included within the bill are not expected to have a material impact on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share of common stock excludes dilution and is computed by dividing net income (loss) by the weighted average number of shares of common stock outstanding during the period. Diluted net income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Company sold 6,287,878 shares of common stock as well as pre-funded warrants to purchase up to 2,424,242 shares of common stock. The pre-funded warrants are exercisable for shares of common stock at an exercise price of $0.001 per share. The shares of common stock into which the outstanding pre-funded warrants may be exercised are considered outstanding for the purposes of computing earnings per share because the shares may be issued for little or no consideration, they are fully vested, and are exercisable after the original issuance date. During the three and six months ended June 30, 2021, 2,109,140 of the pre-funded warrants were exercised through a cashless exercise and the remaining 315,102 pre-funded warrants were subsequently exercised in July 2021 (see Note 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income (loss) per common share computations is as follows (in thousands, except per share amounts):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June 30,</w:t>
            </w:r>
          </w:p>
        </w:tc>
        <w:tc>
          <w:tcPr>
            <w:tcW w:w="200" w:type="dxa"/>
            <w:vAlign w:val="bottom"/>
          </w:tcPr>
          <w:p>
            <w:pPr>
              <w:spacing w:after="0"/>
              <w:rPr>
                <w:sz w:val="13"/>
                <w:szCs w:val="13"/>
                <w:color w:val="auto"/>
              </w:rPr>
            </w:pPr>
          </w:p>
        </w:tc>
        <w:tc>
          <w:tcPr>
            <w:tcW w:w="2400" w:type="dxa"/>
            <w:vAlign w:val="bottom"/>
            <w:gridSpan w:val="4"/>
          </w:tcPr>
          <w:p>
            <w:pPr>
              <w:jc w:val="right"/>
              <w:ind w:right="534"/>
              <w:spacing w:after="0"/>
              <w:rPr>
                <w:sz w:val="20"/>
                <w:szCs w:val="20"/>
                <w:color w:val="auto"/>
              </w:rPr>
            </w:pPr>
            <w:r>
              <w:rPr>
                <w:rFonts w:ascii="Arial" w:cs="Arial" w:eastAsia="Arial" w:hAnsi="Arial"/>
                <w:sz w:val="13"/>
                <w:szCs w:val="13"/>
                <w:b w:val="1"/>
                <w:bCs w:val="1"/>
                <w:color w:val="auto"/>
              </w:rPr>
              <w:t>Six Months Ended June 30,</w:t>
            </w:r>
          </w:p>
        </w:tc>
      </w:tr>
      <w:tr>
        <w:trPr>
          <w:trHeight w:val="142"/>
        </w:trPr>
        <w:tc>
          <w:tcPr>
            <w:tcW w:w="408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69"/>
        </w:trPr>
        <w:tc>
          <w:tcPr>
            <w:tcW w:w="408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(23,595)</w:t>
            </w:r>
          </w:p>
        </w:tc>
        <w:tc>
          <w:tcPr>
            <w:tcW w:w="12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7,270</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(50,795)</w:t>
            </w:r>
          </w:p>
        </w:tc>
        <w:tc>
          <w:tcPr>
            <w:tcW w:w="12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(19,385)</w:t>
            </w:r>
          </w:p>
        </w:tc>
      </w:tr>
      <w:tr>
        <w:trPr>
          <w:trHeight w:val="210"/>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7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8"/>
                <w:szCs w:val="18"/>
                <w:color w:val="auto"/>
              </w:rPr>
              <w:t>Shares used in per share calculation - basic</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w w:val="99"/>
              </w:rPr>
              <w:t>42,876,268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w w:val="99"/>
              </w:rPr>
              <w:t>35,307,669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41,286,831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w w:val="99"/>
              </w:rPr>
              <w:t>35,229,570</w:t>
            </w: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effect of securities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1,983,805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15"/>
        </w:trPr>
        <w:tc>
          <w:tcPr>
            <w:tcW w:w="4080" w:type="dxa"/>
            <w:vAlign w:val="bottom"/>
          </w:tcPr>
          <w:p>
            <w:pPr>
              <w:ind w:left="240"/>
              <w:spacing w:after="0"/>
              <w:rPr>
                <w:sz w:val="20"/>
                <w:szCs w:val="20"/>
                <w:color w:val="auto"/>
              </w:rPr>
            </w:pPr>
            <w:r>
              <w:rPr>
                <w:rFonts w:ascii="Arial" w:cs="Arial" w:eastAsia="Arial" w:hAnsi="Arial"/>
                <w:sz w:val="18"/>
                <w:szCs w:val="18"/>
                <w:color w:val="auto"/>
              </w:rPr>
              <w:t>Weighted average common shares and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4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pre-funded warrants outstanding - diluted</w:t>
            </w:r>
          </w:p>
        </w:tc>
        <w:tc>
          <w:tcPr>
            <w:tcW w:w="7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9"/>
              </w:rPr>
              <w:t>42,876,268</w:t>
            </w: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37,291,474</w:t>
            </w: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41,286,831</w:t>
            </w: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35,229,570</w:t>
            </w:r>
          </w:p>
        </w:tc>
      </w:tr>
      <w:tr>
        <w:trPr>
          <w:trHeight w:val="21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29"/>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Securities excluded from the computation of diluted income (loss) per share because including them would have been antidilutive are as follows:</w:t>
      </w: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4"/>
          </w:tcPr>
          <w:p>
            <w:pPr>
              <w:ind w:left="420"/>
              <w:spacing w:after="0"/>
              <w:rPr>
                <w:sz w:val="20"/>
                <w:szCs w:val="20"/>
                <w:color w:val="auto"/>
              </w:rPr>
            </w:pPr>
            <w:r>
              <w:rPr>
                <w:rFonts w:ascii="Arial" w:cs="Arial" w:eastAsia="Arial" w:hAnsi="Arial"/>
                <w:sz w:val="13"/>
                <w:szCs w:val="13"/>
                <w:b w:val="1"/>
                <w:bCs w:val="1"/>
                <w:color w:val="auto"/>
              </w:rPr>
              <w:t>Three Months Ended June 30,</w:t>
            </w:r>
          </w:p>
        </w:tc>
        <w:tc>
          <w:tcPr>
            <w:tcW w:w="2580" w:type="dxa"/>
            <w:vAlign w:val="bottom"/>
            <w:gridSpan w:val="3"/>
          </w:tcPr>
          <w:p>
            <w:pPr>
              <w:jc w:val="right"/>
              <w:ind w:right="535"/>
              <w:spacing w:after="0"/>
              <w:rPr>
                <w:sz w:val="20"/>
                <w:szCs w:val="20"/>
                <w:color w:val="auto"/>
              </w:rPr>
            </w:pPr>
            <w:r>
              <w:rPr>
                <w:rFonts w:ascii="Arial" w:cs="Arial" w:eastAsia="Arial" w:hAnsi="Arial"/>
                <w:sz w:val="13"/>
                <w:szCs w:val="13"/>
                <w:b w:val="1"/>
                <w:bCs w:val="1"/>
                <w:color w:val="auto"/>
              </w:rPr>
              <w:t>Six Months Ended June 30,</w:t>
            </w:r>
          </w:p>
        </w:tc>
      </w:tr>
      <w:tr>
        <w:trPr>
          <w:trHeight w:val="142"/>
        </w:trPr>
        <w:tc>
          <w:tcPr>
            <w:tcW w:w="4740" w:type="dxa"/>
            <w:vAlign w:val="bottom"/>
            <w:tcBorders>
              <w:bottom w:val="single" w:sz="8" w:color="CEF1FE"/>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64"/>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4740" w:type="dxa"/>
            <w:vAlign w:val="bottom"/>
            <w:shd w:val="clear" w:color="auto" w:fill="CEF1FE"/>
          </w:tcPr>
          <w:p>
            <w:pPr>
              <w:spacing w:after="0"/>
              <w:rPr>
                <w:sz w:val="20"/>
                <w:szCs w:val="20"/>
                <w:color w:val="auto"/>
              </w:rPr>
            </w:pPr>
            <w:r>
              <w:rPr>
                <w:rFonts w:ascii="Arial" w:cs="Arial" w:eastAsia="Arial" w:hAnsi="Arial"/>
                <w:sz w:val="18"/>
                <w:szCs w:val="18"/>
                <w:color w:val="auto"/>
              </w:rPr>
              <w:t>Warrants to purchase common stock</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15,296</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15,296</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gridSpan w:val="2"/>
          </w:tcPr>
          <w:p>
            <w:pPr>
              <w:jc w:val="right"/>
              <w:ind w:right="24"/>
              <w:spacing w:after="0"/>
              <w:rPr>
                <w:sz w:val="20"/>
                <w:szCs w:val="20"/>
                <w:color w:val="auto"/>
              </w:rPr>
            </w:pPr>
            <w:r>
              <w:rPr>
                <w:rFonts w:ascii="Arial" w:cs="Arial" w:eastAsia="Arial" w:hAnsi="Arial"/>
                <w:sz w:val="18"/>
                <w:szCs w:val="18"/>
                <w:color w:val="auto"/>
              </w:rPr>
              <w:t>6,538,401</w:t>
            </w:r>
          </w:p>
        </w:tc>
        <w:tc>
          <w:tcPr>
            <w:tcW w:w="12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3,521,778</w:t>
            </w:r>
          </w:p>
        </w:tc>
        <w:tc>
          <w:tcPr>
            <w:tcW w:w="12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6,538,401</w:t>
            </w:r>
          </w:p>
        </w:tc>
        <w:tc>
          <w:tcPr>
            <w:tcW w:w="12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6,652,076</w:t>
            </w:r>
          </w:p>
        </w:tc>
      </w:tr>
      <w:tr>
        <w:trPr>
          <w:trHeight w:val="230"/>
        </w:trPr>
        <w:tc>
          <w:tcPr>
            <w:tcW w:w="4740" w:type="dxa"/>
            <w:vAlign w:val="bottom"/>
            <w:shd w:val="clear" w:color="auto" w:fill="CEF1FE"/>
          </w:tcPr>
          <w:p>
            <w:pPr>
              <w:spacing w:after="0"/>
              <w:rPr>
                <w:sz w:val="20"/>
                <w:szCs w:val="20"/>
                <w:color w:val="auto"/>
              </w:rPr>
            </w:pPr>
            <w:r>
              <w:rPr>
                <w:rFonts w:ascii="Arial" w:cs="Arial" w:eastAsia="Arial" w:hAnsi="Arial"/>
                <w:sz w:val="18"/>
                <w:szCs w:val="18"/>
                <w:color w:val="auto"/>
              </w:rPr>
              <w:t>Common stock subject to purchase under our ESPP</w:t>
            </w:r>
          </w:p>
        </w:tc>
        <w:tc>
          <w:tcPr>
            <w:tcW w:w="132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40,690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40,690</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8,991</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Unvested RSUs</w:t>
            </w:r>
          </w:p>
        </w:tc>
        <w:tc>
          <w:tcPr>
            <w:tcW w:w="1320" w:type="dxa"/>
            <w:vAlign w:val="bottom"/>
            <w:gridSpan w:val="2"/>
          </w:tcPr>
          <w:p>
            <w:pPr>
              <w:jc w:val="right"/>
              <w:ind w:right="24"/>
              <w:spacing w:after="0"/>
              <w:rPr>
                <w:sz w:val="20"/>
                <w:szCs w:val="20"/>
                <w:color w:val="auto"/>
              </w:rPr>
            </w:pPr>
            <w:r>
              <w:rPr>
                <w:rFonts w:ascii="Arial" w:cs="Arial" w:eastAsia="Arial" w:hAnsi="Arial"/>
                <w:sz w:val="18"/>
                <w:szCs w:val="18"/>
                <w:color w:val="auto"/>
              </w:rPr>
              <w:t>607,788</w:t>
            </w:r>
          </w:p>
        </w:tc>
        <w:tc>
          <w:tcPr>
            <w:tcW w:w="12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41,762</w:t>
            </w:r>
          </w:p>
        </w:tc>
        <w:tc>
          <w:tcPr>
            <w:tcW w:w="12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607,788</w:t>
            </w:r>
          </w:p>
        </w:tc>
        <w:tc>
          <w:tcPr>
            <w:tcW w:w="12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978,879</w:t>
            </w:r>
          </w:p>
        </w:tc>
      </w:tr>
      <w:tr>
        <w:trPr>
          <w:trHeight w:val="223"/>
        </w:trPr>
        <w:tc>
          <w:tcPr>
            <w:tcW w:w="4740" w:type="dxa"/>
            <w:vAlign w:val="bottom"/>
            <w:tcBorders>
              <w:top w:val="single" w:sz="8" w:color="CEF1FE"/>
              <w:bottom w:val="single" w:sz="8" w:color="CEF1FE"/>
            </w:tcBorders>
            <w:shd w:val="clear" w:color="auto" w:fill="CEF1FE"/>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7,186,879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3,587,827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7,186,879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7,655,242</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2021, the Company adopted Accounting Standards Update (ASU) 2020-10, </w:t>
      </w:r>
      <w:r>
        <w:rPr>
          <w:rFonts w:ascii="Arial" w:cs="Arial" w:eastAsia="Arial" w:hAnsi="Arial"/>
          <w:sz w:val="18"/>
          <w:szCs w:val="18"/>
          <w:i w:val="1"/>
          <w:iCs w:val="1"/>
          <w:color w:val="auto"/>
        </w:rPr>
        <w:t>Codification Improvements – Disclosures</w:t>
      </w:r>
      <w:r>
        <w:rPr>
          <w:rFonts w:ascii="Arial" w:cs="Arial" w:eastAsia="Arial" w:hAnsi="Arial"/>
          <w:sz w:val="18"/>
          <w:szCs w:val="18"/>
          <w:color w:val="auto"/>
        </w:rPr>
        <w:t xml:space="preserve"> (ASU 2020-10). ASU 2020-10 improves consistency by amending the codification to include all disclosure guidance in the appropriate disclosure sections and clarifies application of various provisions in the codification by amending and adding new headings, cross referencing to other accounting standards and refining or correcting termination. The adoption of this standard had no material impact on the Company’s condensed consolidated financial statements and related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Financial Accounting Standards Board (the FASB) issued ASU 2016-13, </w:t>
      </w:r>
      <w:r>
        <w:rPr>
          <w:rFonts w:ascii="Arial" w:cs="Arial" w:eastAsia="Arial" w:hAnsi="Arial"/>
          <w:sz w:val="17"/>
          <w:szCs w:val="17"/>
          <w:i w:val="1"/>
          <w:iCs w:val="1"/>
          <w:color w:val="auto"/>
        </w:rPr>
        <w:t>Financial Instruments –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(ASU 2016-13), which requires that expected credit losses relating to financial assets measured on an amortized cost basis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May and November 2019, the FASB issued additional amendments to the new guidance related to transition and clarification. In November 2019, the FASB issued ASU 2019-10, </w:t>
      </w:r>
      <w:r>
        <w:rPr>
          <w:rFonts w:ascii="Arial" w:cs="Arial" w:eastAsia="Arial" w:hAnsi="Arial"/>
          <w:sz w:val="17"/>
          <w:szCs w:val="17"/>
          <w:i w:val="1"/>
          <w:iCs w:val="1"/>
          <w:color w:val="auto"/>
        </w:rPr>
        <w:t>Financial Instruments – Credit Losses (Topic 326), Derivatives and Hedging (Topic 815),</w:t>
      </w:r>
      <w:r>
        <w:rPr>
          <w:rFonts w:ascii="Arial" w:cs="Arial" w:eastAsia="Arial" w:hAnsi="Arial"/>
          <w:sz w:val="17"/>
          <w:szCs w:val="17"/>
          <w:color w:val="auto"/>
        </w:rPr>
        <w:t xml:space="preserve"> </w:t>
      </w:r>
      <w:r>
        <w:rPr>
          <w:rFonts w:ascii="Arial" w:cs="Arial" w:eastAsia="Arial" w:hAnsi="Arial"/>
          <w:sz w:val="17"/>
          <w:szCs w:val="17"/>
          <w:i w:val="1"/>
          <w:iCs w:val="1"/>
          <w:color w:val="auto"/>
        </w:rPr>
        <w:t>and Leases (Topic 842): Effective Dates</w:t>
      </w:r>
      <w:r>
        <w:rPr>
          <w:rFonts w:ascii="Arial" w:cs="Arial" w:eastAsia="Arial" w:hAnsi="Arial"/>
          <w:sz w:val="17"/>
          <w:szCs w:val="17"/>
          <w:color w:val="auto"/>
        </w:rPr>
        <w:t>, which deferred the effective date of this standard for all entities except SEC filers that are not smaller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to fiscal years beginning after December 15, 2022, including interim periods within those fiscal years. Early adoption is permitted. The Company is currently evaluating the timing and impact of adopting this new accounting standard on its condensed consolidated financial statements and related disclosures.</w:t>
      </w:r>
    </w:p>
    <w:p>
      <w:pPr>
        <w:spacing w:after="0" w:line="14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the accounting for certain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financial instruments with characteristics of liabilities and equity, including convertible instruments and contracts on an entity’s own equity. Specifically, ASU 2020-06 simplifies accounting for convertible instruments by removing major separation models in ASC 470-20 that require separate accounting for embedded conversion features. ASU 2020-06 also removes certain settlement conditions in ASC 815-40 that are required for equity contracts to qualify for the derivative scope exception, which will permit more equity contracts to qualify for the scope exception and simplifies the diluted earnings per share calculation in certain areas. ASU 2020-06 is effective for interim and annual periods beginning after December 15, 2021, with early adoption permitted. Adoption of ASU 2020-06 can either be on a modified retrospective or full retrospective basis. The Company is currently evaluating the impacts of ASU 2020-06 on its condensed consolidated financial statements and related disclosures.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Issuer's Accounting for Certain Modifications or Exchanges of Freestanding Equity-Classified Written Call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Options </w:t>
      </w:r>
      <w:r>
        <w:rPr>
          <w:rFonts w:ascii="Arial" w:cs="Arial" w:eastAsia="Arial" w:hAnsi="Arial"/>
          <w:sz w:val="16"/>
          <w:szCs w:val="16"/>
          <w:color w:val="auto"/>
        </w:rPr>
        <w:t>(ASU 2021-04), which requires issuers to account for a modification or exchange of freestanding equity-classified written call options that remain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classified after the modification or exchange based on the economic substance of the modification or exchange. Specifically, under ASU 2021-04, an issuer determines the accounting for the modification or exchange based on whether the transaction was done to issue equity, issue and or modify debt, or for other reasons. The result is a change in the fair value of the written call option dependent on the reason for the modification. ASU 2021-04 is effective for interim and annual periods beginning after December 15, 2021, with early adoption permitted. Adoption of ASU 2021-04 is applied on a prospective basis. The Company does not expect the ASU to impact its condensed consolidated financial statements and related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and Investments in Marketable Securities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2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w:t>
            </w: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52,081</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52,081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52,081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52,081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24,889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24,890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21,748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92,922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92,922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8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139,560</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139,560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 and investments</w:t>
            </w:r>
          </w:p>
        </w:tc>
        <w:tc>
          <w:tcPr>
            <w:tcW w:w="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191,641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191,641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14"/>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21"/>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6"/>
              </w:rPr>
              <w:t xml:space="preserve">Gain </w:t>
            </w:r>
            <w:r>
              <w:rPr>
                <w:rFonts w:ascii="Arial" w:cs="Arial" w:eastAsia="Arial" w:hAnsi="Arial"/>
                <w:sz w:val="12"/>
                <w:szCs w:val="12"/>
                <w:b w:val="1"/>
                <w:bCs w:val="1"/>
                <w:color w:val="auto"/>
                <w:w w:val="96"/>
              </w:rPr>
              <w:t>(1)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left="141"/>
              <w:spacing w:after="0"/>
              <w:rPr>
                <w:sz w:val="20"/>
                <w:szCs w:val="20"/>
                <w:color w:val="auto"/>
              </w:rPr>
            </w:pPr>
            <w:r>
              <w:rPr>
                <w:rFonts w:ascii="Arial" w:cs="Arial" w:eastAsia="Arial" w:hAnsi="Arial"/>
                <w:sz w:val="14"/>
                <w:szCs w:val="14"/>
                <w:b w:val="1"/>
                <w:bCs w:val="1"/>
                <w:color w:val="auto"/>
                <w:w w:val="89"/>
              </w:rPr>
              <w:t xml:space="preserve">Loss </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9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47,553</w:t>
            </w:r>
          </w:p>
        </w:tc>
        <w:tc>
          <w:tcPr>
            <w:tcW w:w="120" w:type="dxa"/>
            <w:vAlign w:val="bottom"/>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4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47,553</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6,498</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54,051</w:t>
            </w:r>
          </w:p>
        </w:tc>
        <w:tc>
          <w:tcPr>
            <w:tcW w:w="1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54,051</w:t>
            </w: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16,939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16,939</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12,674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23,997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23,999</w:t>
            </w: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103,356</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103,356</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8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156,966</w:t>
            </w:r>
          </w:p>
        </w:tc>
        <w:tc>
          <w:tcPr>
            <w:tcW w:w="1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156,969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 and investments</w:t>
            </w:r>
          </w:p>
        </w:tc>
        <w:tc>
          <w:tcPr>
            <w:tcW w:w="8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211,017</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211,020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June 30, 2021 is less than one year. There were no long-term marketable securities held by the Company as of June 30, 2021.</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gains and losses for the three and six months ended June 30, 2021 and 2020 were not significant. None of the Company’s investments have been in a continuous unrealized loss position for more than 12 months as of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52,081</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52,081</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52,081</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52,081</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24,890</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24,890</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21,748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21,748</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92,922</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92,922</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8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139,560</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139,560</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52,081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139,560</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191,641</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47,553</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6,498</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54,051</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16,939</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12,675</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23,999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23,999</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103,356</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103,356</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investments</w:t>
            </w:r>
          </w:p>
        </w:tc>
        <w:tc>
          <w:tcPr>
            <w:tcW w:w="8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156,969</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156,969</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163,467</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211,020</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812"/>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Other Accrued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10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7,016</w:t>
            </w: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restructuring charges</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4,164</w:t>
            </w:r>
          </w:p>
        </w:tc>
      </w:tr>
      <w:tr>
        <w:trPr>
          <w:trHeight w:val="230"/>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professional fees and other</w:t>
            </w:r>
          </w:p>
        </w:tc>
        <w:tc>
          <w:tcPr>
            <w:tcW w:w="1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807</w:t>
            </w: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11,987</w:t>
            </w:r>
          </w:p>
        </w:tc>
      </w:tr>
      <w:tr>
        <w:trPr>
          <w:trHeight w:val="20"/>
        </w:trPr>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Restructuring charges relate to the Company’s decision to relocate its headquarters to South San Francisco, California, which was approved by the Board of Directors in November 2019 and effective January 1, 2020 and the wind-down of the Company’s Microbiome program, which the Company and its Board of Directors determined in December 2020 was in the Company’s best interest, enabling the Company to prioritize resources and focus on the advancement of its pipeline of novel core inhibitors for chronic HBV infection.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costs incurred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79"/>
              <w:spacing w:after="0"/>
              <w:rPr>
                <w:sz w:val="20"/>
                <w:szCs w:val="20"/>
                <w:color w:val="auto"/>
              </w:rPr>
            </w:pPr>
            <w:r>
              <w:rPr>
                <w:rFonts w:ascii="Arial" w:cs="Arial" w:eastAsia="Arial" w:hAnsi="Arial"/>
                <w:sz w:val="18"/>
                <w:szCs w:val="18"/>
                <w:b w:val="1"/>
                <w:bCs w:val="1"/>
                <w:color w:val="auto"/>
                <w:w w:val="89"/>
              </w:rPr>
              <w:t>Employee</w:t>
            </w:r>
          </w:p>
        </w:tc>
        <w:tc>
          <w:tcPr>
            <w:tcW w:w="180" w:type="dxa"/>
            <w:vAlign w:val="bottom"/>
          </w:tcPr>
          <w:p>
            <w:pPr>
              <w:spacing w:after="0"/>
              <w:rPr>
                <w:sz w:val="18"/>
                <w:szCs w:val="18"/>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5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99"/>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Impairment</w:t>
            </w:r>
          </w:p>
        </w:tc>
      </w:tr>
      <w:tr>
        <w:trPr>
          <w:trHeight w:val="216"/>
        </w:trPr>
        <w:tc>
          <w:tcPr>
            <w:tcW w:w="5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79"/>
              <w:spacing w:after="0"/>
              <w:rPr>
                <w:sz w:val="20"/>
                <w:szCs w:val="20"/>
                <w:color w:val="auto"/>
              </w:rPr>
            </w:pPr>
            <w:r>
              <w:rPr>
                <w:rFonts w:ascii="Arial" w:cs="Arial" w:eastAsia="Arial" w:hAnsi="Arial"/>
                <w:sz w:val="18"/>
                <w:szCs w:val="18"/>
                <w:b w:val="1"/>
                <w:bCs w:val="1"/>
                <w:color w:val="auto"/>
                <w:w w:val="90"/>
              </w:rPr>
              <w:t>and Related</w:t>
            </w:r>
          </w:p>
        </w:tc>
        <w:tc>
          <w:tcPr>
            <w:tcW w:w="180" w:type="dxa"/>
            <w:vAlign w:val="bottom"/>
          </w:tcPr>
          <w:p>
            <w:pPr>
              <w:spacing w:after="0"/>
              <w:rPr>
                <w:sz w:val="18"/>
                <w:szCs w:val="18"/>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and Other</w:t>
            </w:r>
          </w:p>
        </w:tc>
      </w:tr>
      <w:tr>
        <w:trPr>
          <w:trHeight w:val="234"/>
        </w:trPr>
        <w:tc>
          <w:tcPr>
            <w:tcW w:w="5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99"/>
              <w:spacing w:after="0"/>
              <w:rPr>
                <w:sz w:val="20"/>
                <w:szCs w:val="20"/>
                <w:color w:val="auto"/>
              </w:rPr>
            </w:pPr>
            <w:r>
              <w:rPr>
                <w:rFonts w:ascii="Arial" w:cs="Arial" w:eastAsia="Arial" w:hAnsi="Arial"/>
                <w:sz w:val="18"/>
                <w:szCs w:val="18"/>
                <w:b w:val="1"/>
                <w:bCs w:val="1"/>
                <w:color w:val="auto"/>
                <w:w w:val="87"/>
              </w:rPr>
              <w:t>Benefits</w:t>
            </w:r>
          </w:p>
        </w:tc>
        <w:tc>
          <w:tcPr>
            <w:tcW w:w="1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3"/>
              </w:rPr>
              <w:t>Costs</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Restructuring costs incurred for the three months ended June 30, 2021</w:t>
            </w:r>
          </w:p>
        </w:tc>
        <w:tc>
          <w:tcPr>
            <w:tcW w:w="9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81"/>
              </w:rPr>
              <w:t>(1)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6"/>
              </w:rPr>
              <w:t>Restructuring costs incurred for the six months ended June 30, 2021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29" w:lineRule="exact"/>
              <w:rPr>
                <w:sz w:val="20"/>
                <w:szCs w:val="20"/>
                <w:color w:val="auto"/>
              </w:rPr>
            </w:pPr>
            <w:r>
              <w:rPr>
                <w:rFonts w:ascii="Arial" w:cs="Arial" w:eastAsia="Arial" w:hAnsi="Arial"/>
                <w:sz w:val="18"/>
                <w:szCs w:val="18"/>
                <w:color w:val="auto"/>
              </w:rPr>
              <w:t xml:space="preserve">(2,959) </w:t>
            </w:r>
            <w:r>
              <w:rPr>
                <w:rFonts w:ascii="Arial" w:cs="Arial" w:eastAsia="Arial" w:hAnsi="Arial"/>
                <w:sz w:val="24"/>
                <w:szCs w:val="24"/>
                <w:color w:val="auto"/>
                <w:vertAlign w:val="sub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1,611</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Cumulative restructuring costs incurred through June 30, 2021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6,430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3,240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3,190</w:t>
            </w:r>
          </w:p>
        </w:tc>
      </w:tr>
      <w:tr>
        <w:trPr>
          <w:trHeight w:val="432"/>
        </w:trPr>
        <w:tc>
          <w:tcPr>
            <w:tcW w:w="5300" w:type="dxa"/>
            <w:vAlign w:val="bottom"/>
          </w:tcPr>
          <w:p>
            <w:pPr>
              <w:spacing w:after="0"/>
              <w:rPr>
                <w:sz w:val="24"/>
                <w:szCs w:val="24"/>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40" w:hanging="432"/>
        <w:spacing w:after="0" w:line="279" w:lineRule="auto"/>
        <w:tabs>
          <w:tab w:leader="none" w:pos="440" w:val="left"/>
        </w:tabs>
        <w:numPr>
          <w:ilvl w:val="0"/>
          <w:numId w:val="4"/>
        </w:numPr>
        <w:rPr>
          <w:rFonts w:ascii="Arial" w:cs="Arial" w:eastAsia="Arial" w:hAnsi="Arial"/>
          <w:sz w:val="14"/>
          <w:szCs w:val="14"/>
          <w:color w:val="auto"/>
        </w:rPr>
      </w:pPr>
      <w:r>
        <w:rPr>
          <w:rFonts w:ascii="Arial" w:cs="Arial" w:eastAsia="Arial" w:hAnsi="Arial"/>
          <w:sz w:val="17"/>
          <w:szCs w:val="17"/>
          <w:color w:val="auto"/>
        </w:rPr>
        <w:t>The reversal of $0.3 million and $3.0 million in employee severance and related benefits recognized during the three and six months ended June 30, 2021 reflects the reversal of previously recognized stock-based compensation 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restructuring costs incurred through June 30, 2021 represents the total amount expected to be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where the restructuring charges were recognized during the six months ended June 30, 2021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40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5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w:t>
            </w: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5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r>
      <w:tr>
        <w:trPr>
          <w:trHeight w:val="20"/>
        </w:trPr>
        <w:tc>
          <w:tcPr>
            <w:tcW w:w="5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restructuring costs incurred for the three months ended June 30, 2021 were included in research and development. There were no restructuring costs incurred for the three and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the accrued restructuring charges during the six months ended June 30,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Employee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Severance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Impairment</w:t>
            </w: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and Related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and Other</w:t>
            </w:r>
          </w:p>
        </w:tc>
      </w:tr>
      <w:tr>
        <w:trPr>
          <w:trHeight w:val="234"/>
        </w:trPr>
        <w:tc>
          <w:tcPr>
            <w:tcW w:w="6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Benefits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Costs</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balance as of December 31, 2020</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4,164</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4,164</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Costs incurred</w:t>
            </w:r>
          </w:p>
        </w:tc>
        <w:tc>
          <w:tcPr>
            <w:tcW w:w="1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1,611</w:t>
            </w: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Reductions for cash payments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(5,092)</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18"/>
                <w:szCs w:val="18"/>
                <w:color w:val="auto"/>
              </w:rPr>
              <w:t xml:space="preserve">(1,611) </w:t>
            </w:r>
            <w:r>
              <w:rPr>
                <w:rFonts w:ascii="Arial" w:cs="Arial" w:eastAsia="Arial" w:hAnsi="Arial"/>
                <w:sz w:val="24"/>
                <w:szCs w:val="24"/>
                <w:color w:val="auto"/>
                <w:vertAlign w:val="superscript"/>
              </w:rPr>
              <w:t>(1)</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Accrued balance as of June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440" w:hanging="432"/>
        <w:spacing w:after="0"/>
        <w:tabs>
          <w:tab w:leader="none" w:pos="440" w:val="left"/>
        </w:tabs>
        <w:numPr>
          <w:ilvl w:val="0"/>
          <w:numId w:val="5"/>
        </w:numPr>
        <w:rPr>
          <w:rFonts w:ascii="Arial" w:cs="Arial" w:eastAsia="Arial" w:hAnsi="Arial"/>
          <w:sz w:val="31"/>
          <w:szCs w:val="31"/>
          <w:color w:val="auto"/>
          <w:vertAlign w:val="superscript"/>
        </w:rPr>
      </w:pPr>
      <w:r>
        <w:rPr>
          <w:rFonts w:ascii="Arial" w:cs="Arial" w:eastAsia="Arial" w:hAnsi="Arial"/>
          <w:sz w:val="18"/>
          <w:szCs w:val="18"/>
          <w:color w:val="auto"/>
        </w:rPr>
        <w:t>Cash payments are presented net of proceeds received from the sale of assets of $0.9 million</w:t>
      </w:r>
      <w:r>
        <w:rPr>
          <w:rFonts w:ascii="Arial" w:cs="Arial" w:eastAsia="Arial" w:hAnsi="Arial"/>
          <w:sz w:val="21"/>
          <w:szCs w:val="21"/>
          <w:color w:val="auto"/>
        </w:rPr>
        <w: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 impairment and other costs includes $1.4 million for the remaining payment obligations of leased equipment the Company purchased and sold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accrued restructuring liability to be fully paid in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was authorized to issue 5,000,000 shares of preferred stock as of June 30, 2021 and December 31, 2020, respectively. As of June 30, 2021 and December 31, 2020, no shares of preferred stock were issued and outstanding. The Company was authorized to issue 100,000,000 shares of common stock as of June 30, 2021 and December 31,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During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six months ended June 30, 2021, the Company sold 7,449,901 shares of common stock under the 2020 ATM, for which the Company received net proceeds of $40.2 million, after deducting commissions, fees and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warrants to purchase shares of the Company’s common stock were issued and outstanding: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Issue date</w:t>
            </w:r>
          </w:p>
        </w:tc>
        <w:tc>
          <w:tcPr>
            <w:tcW w:w="2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Expiration</w:t>
            </w:r>
          </w:p>
        </w:tc>
        <w:tc>
          <w:tcPr>
            <w:tcW w:w="320" w:type="dxa"/>
            <w:vAlign w:val="bottom"/>
          </w:tcPr>
          <w:p>
            <w:pPr>
              <w:spacing w:after="0"/>
              <w:rPr>
                <w:sz w:val="14"/>
                <w:szCs w:val="14"/>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Exercise Price</w:t>
            </w:r>
          </w:p>
        </w:tc>
        <w:tc>
          <w:tcPr>
            <w:tcW w:w="22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June 30, 2021</w:t>
            </w:r>
          </w:p>
        </w:tc>
        <w:tc>
          <w:tcPr>
            <w:tcW w:w="21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date</w:t>
            </w:r>
          </w:p>
        </w:tc>
        <w:tc>
          <w:tcPr>
            <w:tcW w:w="320" w:type="dxa"/>
            <w:vAlign w:val="bottom"/>
          </w:tcPr>
          <w:p>
            <w:pPr>
              <w:spacing w:after="0"/>
              <w:rPr>
                <w:sz w:val="14"/>
                <w:szCs w:val="14"/>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per Share</w:t>
            </w:r>
          </w:p>
        </w:tc>
        <w:tc>
          <w:tcPr>
            <w:tcW w:w="2280" w:type="dxa"/>
            <w:vAlign w:val="bottom"/>
            <w:gridSpan w:val="2"/>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16, 2019</w:t>
            </w:r>
          </w:p>
        </w:tc>
        <w:tc>
          <w:tcPr>
            <w:tcW w:w="16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None</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0.001</w:t>
            </w:r>
          </w:p>
        </w:tc>
        <w:tc>
          <w:tcPr>
            <w:tcW w:w="18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315,102</w:t>
            </w:r>
          </w:p>
        </w:tc>
        <w:tc>
          <w:tcPr>
            <w:tcW w:w="18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2,424,242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and six months ended June 30, 2021, 2,109,140 warrants were exercised through a cashless exercise resulting in the issuance of 2,108,621 shares of the Company’s common stock. The remaining 315,102 warrants were cashless exercised in July 2021. There were no warrants exercised during the three and six months ended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Plans and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the Company’s stockholders approved (1) the Assembly Biosciences, Inc. 2018 Stock Incentive Plan (the 2018 Plan) pursuant to which the Company reserved 1,900,000 shares of its common stock for issuance in connection with equity incentive awards and (2) the Assembly Biosciences Inc. Employee Stock Purchase Plan pursuant to which the Company reserved 400,000 shares of its common stock for issuance in connection with purchases by employees pursuant to this plan.</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May 2019, the Company’s stockholders approved an amendment to the 2018 Plan that increased the aggregate number of shares of common stock reserved under the 2018 Plan to 3,000,000.</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the Company’s stockholders approved an amendment to the 2018 Plan that increased the aggregate number of shares of common stock reserved under the 2018 Plan to 4,600,000.</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2021, the Company’s stockholders approved an amendment to the 2018 Plan that increased the aggregate number of shares of common stock reserved under the 2018 Plan to 6,600,000 and an Amended and Restated Assembly Biosciences, Inc. 2018 Employee Stock Purchase Plan (the 2018 ESPP) that, among other things, increased the number of shares of common stock reserved to an aggregate of 1,300,000.</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2021, the Company had awards outstanding under the following shareholder-approved plans: the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June 30, 2021, the Company also had awards outstanding under the Assembly Biosciences, Inc. 2017 Inducement Award Plan (the 2017 Plan), the Assembly Biosciences, Inc. 2019 Inducement Award Plan (the 2019 Plan) and the Assembly Biosciences, Inc. 2020 Inducement Award Plan (the 2020 Plan).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and vested RSUs. The Company also issues new shares of common stock in connection with purchases of shares of common stock by eligible employees under the Company’s 2018 ESPP.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six months ended June 30, 2021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0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080" w:type="dxa"/>
            <w:vAlign w:val="bottom"/>
          </w:tcPr>
          <w:p>
            <w:pPr>
              <w:jc w:val="right"/>
              <w:ind w:right="235"/>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 Share</w:t>
            </w:r>
          </w:p>
        </w:tc>
        <w:tc>
          <w:tcPr>
            <w:tcW w:w="108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0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6,696,592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15.70</w:t>
            </w:r>
          </w:p>
        </w:tc>
        <w:tc>
          <w:tcPr>
            <w:tcW w:w="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2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1,363,770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(1,512,761)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18"/>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June 30, 2021</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6,538,401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7.0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Options vested and exercisable as of June 30, 2021</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3,696,687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8"/>
                <w:szCs w:val="18"/>
                <w:color w:val="auto"/>
              </w:rPr>
              <w:t>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grant-date fair value of options granted was $3.12 and $10.52 during the six months ended June 30, 2021 and 2020, respectively. The total intrinsic value of options exercised during the six months ended June 30, 2020 was $1.0 million. There were no options exercised during the six months ended June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related information for the six months ended June 30, 2021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Value Per RSU</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of RSUs</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7"/>
              </w:rPr>
              <w:t>at Grant Price</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886,868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199,875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(151,054)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(187,901)</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Nonvested as of June 30, 2021</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747,788</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5"/>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77"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140,000 RSUs that have vested but are subject to deferred settlement, which have a weighted average remaining contractual term of 1.7 years.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fair value of RSUs vested and settled during the six months ended June 30, 2021 and 2020 was $2.8 million and $3.1 million, respectively. The total intrinsic value of RSUs vested and settled during the six months ended June 30, 2021 and 2020 was $0.7 million and $1.6 million, respectively.</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2019, the Company granted 100,000 RSUs with performance-based vesting conditions to its chief executive officer. On March 31, 2021, 25,000 of these awards were forfeited back to the Company due to the expiration of the time period to complete one of the performance conditions. The outstanding 75,000 awards with an aggregate fair value of $0.8 million vest upon performance conditions not yet deemed probable. Accordingly, no stock-based compensation expense has been recognized as of June 30,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98" w:lineRule="exact"/>
        <w:rPr>
          <w:sz w:val="20"/>
          <w:szCs w:val="20"/>
          <w:color w:val="auto"/>
        </w:rPr>
      </w:pPr>
    </w:p>
    <w:p>
      <w:pPr>
        <w:ind w:right="60"/>
        <w:spacing w:after="0" w:line="453" w:lineRule="auto"/>
        <w:rPr>
          <w:sz w:val="20"/>
          <w:szCs w:val="20"/>
          <w:color w:val="auto"/>
        </w:rPr>
      </w:pPr>
      <w:r>
        <w:rPr>
          <w:rFonts w:ascii="Arial" w:cs="Arial" w:eastAsia="Arial" w:hAnsi="Arial"/>
          <w:sz w:val="18"/>
          <w:szCs w:val="18"/>
          <w:color w:val="auto"/>
        </w:rPr>
        <w:t xml:space="preserve">Employees purchased 42,803 and 42,266 shares of common stock under the 2018 ESPP during the six months ended June 30, 2021 and 2020, respectively. </w:t>
      </w:r>
      <w:r>
        <w:rPr>
          <w:rFonts w:ascii="Arial" w:cs="Arial" w:eastAsia="Arial" w:hAnsi="Arial"/>
          <w:sz w:val="18"/>
          <w:szCs w:val="18"/>
          <w:b w:val="1"/>
          <w:bCs w:val="1"/>
          <w:color w:val="auto"/>
        </w:rPr>
        <w:t>Valuation Assumptions</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30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w w:val="89"/>
              </w:rPr>
              <w:t>Three Months Ended June 30,</w:t>
            </w:r>
          </w:p>
        </w:tc>
        <w:tc>
          <w:tcPr>
            <w:tcW w:w="9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92"/>
              </w:rPr>
              <w:t>Six Months Ended June 30,</w:t>
            </w:r>
          </w:p>
        </w:tc>
        <w:tc>
          <w:tcPr>
            <w:tcW w:w="940" w:type="dxa"/>
            <w:vAlign w:val="bottom"/>
            <w:tcBorders>
              <w:bottom w:val="single" w:sz="8" w:color="auto"/>
            </w:tcBorders>
          </w:tcPr>
          <w:p>
            <w:pPr>
              <w:spacing w:after="0"/>
              <w:rPr>
                <w:sz w:val="13"/>
                <w:szCs w:val="13"/>
                <w:color w:val="auto"/>
              </w:rPr>
            </w:pPr>
          </w:p>
        </w:tc>
      </w:tr>
      <w:tr>
        <w:trPr>
          <w:trHeight w:val="142"/>
        </w:trPr>
        <w:tc>
          <w:tcPr>
            <w:tcW w:w="3040" w:type="dxa"/>
            <w:vAlign w:val="bottom"/>
            <w:tcBorders>
              <w:bottom w:val="single" w:sz="8" w:color="CFF0FC"/>
            </w:tcBorders>
          </w:tcPr>
          <w:p>
            <w:pPr>
              <w:spacing w:after="0"/>
              <w:rPr>
                <w:sz w:val="12"/>
                <w:szCs w:val="12"/>
                <w:color w:val="auto"/>
              </w:rPr>
            </w:pPr>
          </w:p>
        </w:tc>
        <w:tc>
          <w:tcPr>
            <w:tcW w:w="1620" w:type="dxa"/>
            <w:vAlign w:val="bottom"/>
            <w:tcBorders>
              <w:bottom w:val="single" w:sz="8" w:color="auto"/>
            </w:tcBorders>
            <w:gridSpan w:val="2"/>
          </w:tcPr>
          <w:p>
            <w:pPr>
              <w:jc w:val="right"/>
              <w:ind w:right="655"/>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2"/>
                <w:szCs w:val="12"/>
                <w:color w:val="auto"/>
              </w:rPr>
            </w:pPr>
          </w:p>
        </w:tc>
        <w:tc>
          <w:tcPr>
            <w:tcW w:w="1660" w:type="dxa"/>
            <w:vAlign w:val="bottom"/>
            <w:tcBorders>
              <w:bottom w:val="single" w:sz="8" w:color="auto"/>
            </w:tcBorders>
            <w:gridSpan w:val="2"/>
          </w:tcPr>
          <w:p>
            <w:pPr>
              <w:jc w:val="right"/>
              <w:ind w:right="670"/>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2"/>
                <w:szCs w:val="12"/>
                <w:color w:val="auto"/>
              </w:rPr>
            </w:pPr>
          </w:p>
        </w:tc>
        <w:tc>
          <w:tcPr>
            <w:tcW w:w="1640" w:type="dxa"/>
            <w:vAlign w:val="bottom"/>
            <w:tcBorders>
              <w:bottom w:val="single" w:sz="8" w:color="auto"/>
            </w:tcBorders>
            <w:gridSpan w:val="2"/>
          </w:tcPr>
          <w:p>
            <w:pPr>
              <w:jc w:val="right"/>
              <w:ind w:right="655"/>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2"/>
                <w:szCs w:val="12"/>
                <w:color w:val="auto"/>
              </w:rPr>
            </w:pPr>
          </w:p>
        </w:tc>
        <w:tc>
          <w:tcPr>
            <w:tcW w:w="1660" w:type="dxa"/>
            <w:vAlign w:val="bottom"/>
            <w:tcBorders>
              <w:bottom w:val="single" w:sz="8" w:color="auto"/>
            </w:tcBorders>
            <w:gridSpan w:val="2"/>
          </w:tcPr>
          <w:p>
            <w:pPr>
              <w:jc w:val="right"/>
              <w:ind w:right="670"/>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$4.16</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$20.52</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$5.79</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$20.52</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80.7%</w:t>
            </w:r>
          </w:p>
        </w:tc>
        <w:tc>
          <w:tcPr>
            <w:tcW w:w="920" w:type="dxa"/>
            <w:vAlign w:val="bottom"/>
          </w:tcPr>
          <w:p>
            <w:pPr>
              <w:ind w:left="20"/>
              <w:spacing w:after="0"/>
              <w:rPr>
                <w:sz w:val="20"/>
                <w:szCs w:val="20"/>
                <w:color w:val="auto"/>
              </w:rPr>
            </w:pPr>
            <w:r>
              <w:rPr>
                <w:rFonts w:ascii="Arial" w:cs="Arial" w:eastAsia="Arial" w:hAnsi="Arial"/>
                <w:sz w:val="18"/>
                <w:szCs w:val="18"/>
                <w:color w:val="auto"/>
              </w:rPr>
              <w:t>- 88.9%</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w:t>
            </w:r>
          </w:p>
        </w:tc>
        <w:tc>
          <w:tcPr>
            <w:tcW w:w="940" w:type="dxa"/>
            <w:vAlign w:val="bottom"/>
          </w:tcPr>
          <w:p>
            <w:pPr>
              <w:ind w:left="20"/>
              <w:spacing w:after="0"/>
              <w:rPr>
                <w:sz w:val="20"/>
                <w:szCs w:val="20"/>
                <w:color w:val="auto"/>
              </w:rPr>
            </w:pPr>
            <w:r>
              <w:rPr>
                <w:rFonts w:ascii="Arial" w:cs="Arial" w:eastAsia="Arial" w:hAnsi="Arial"/>
                <w:sz w:val="18"/>
                <w:szCs w:val="18"/>
                <w:color w:val="auto"/>
              </w:rPr>
              <w:t>- 82.2%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80.7%</w:t>
            </w:r>
          </w:p>
        </w:tc>
        <w:tc>
          <w:tcPr>
            <w:tcW w:w="920" w:type="dxa"/>
            <w:vAlign w:val="bottom"/>
          </w:tcPr>
          <w:p>
            <w:pPr>
              <w:ind w:left="20"/>
              <w:spacing w:after="0"/>
              <w:rPr>
                <w:sz w:val="20"/>
                <w:szCs w:val="20"/>
                <w:color w:val="auto"/>
              </w:rPr>
            </w:pPr>
            <w:r>
              <w:rPr>
                <w:rFonts w:ascii="Arial" w:cs="Arial" w:eastAsia="Arial" w:hAnsi="Arial"/>
                <w:sz w:val="18"/>
                <w:szCs w:val="18"/>
                <w:color w:val="auto"/>
              </w:rPr>
              <w:t>- 91.2%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w:t>
            </w:r>
          </w:p>
        </w:tc>
        <w:tc>
          <w:tcPr>
            <w:tcW w:w="940" w:type="dxa"/>
            <w:vAlign w:val="bottom"/>
          </w:tcPr>
          <w:p>
            <w:pPr>
              <w:ind w:left="20"/>
              <w:spacing w:after="0"/>
              <w:rPr>
                <w:sz w:val="20"/>
                <w:szCs w:val="20"/>
                <w:color w:val="auto"/>
              </w:rPr>
            </w:pPr>
            <w:r>
              <w:rPr>
                <w:rFonts w:ascii="Arial" w:cs="Arial" w:eastAsia="Arial" w:hAnsi="Arial"/>
                <w:sz w:val="18"/>
                <w:szCs w:val="18"/>
                <w:color w:val="auto"/>
              </w:rPr>
              <w:t>- 82.2%</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- 0.60%</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- 1.37%</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- 1.44%</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Expected term (years)</w:t>
            </w: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tcPr>
          <w:p>
            <w:pPr>
              <w:ind w:left="20"/>
              <w:spacing w:after="0"/>
              <w:rPr>
                <w:sz w:val="20"/>
                <w:szCs w:val="20"/>
                <w:color w:val="auto"/>
              </w:rPr>
            </w:pPr>
            <w:r>
              <w:rPr>
                <w:rFonts w:ascii="Arial" w:cs="Arial" w:eastAsia="Arial" w:hAnsi="Arial"/>
                <w:sz w:val="18"/>
                <w:szCs w:val="18"/>
                <w:color w:val="auto"/>
              </w:rPr>
              <w:t>- 7.5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20"/>
              <w:spacing w:after="0"/>
              <w:rPr>
                <w:sz w:val="20"/>
                <w:szCs w:val="20"/>
                <w:color w:val="auto"/>
              </w:rPr>
            </w:pPr>
            <w:r>
              <w:rPr>
                <w:rFonts w:ascii="Arial" w:cs="Arial" w:eastAsia="Arial" w:hAnsi="Arial"/>
                <w:sz w:val="18"/>
                <w:szCs w:val="18"/>
                <w:color w:val="auto"/>
              </w:rPr>
              <w:t>- 7.5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tcPr>
          <w:p>
            <w:pPr>
              <w:ind w:left="20"/>
              <w:spacing w:after="0"/>
              <w:rPr>
                <w:sz w:val="20"/>
                <w:szCs w:val="20"/>
                <w:color w:val="auto"/>
              </w:rPr>
            </w:pPr>
            <w:r>
              <w:rPr>
                <w:rFonts w:ascii="Arial" w:cs="Arial" w:eastAsia="Arial" w:hAnsi="Arial"/>
                <w:sz w:val="18"/>
                <w:szCs w:val="18"/>
                <w:color w:val="auto"/>
              </w:rPr>
              <w:t>- 7.5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940" w:type="dxa"/>
            <w:vAlign w:val="bottom"/>
          </w:tcPr>
          <w:p>
            <w:pPr>
              <w:ind w:left="20"/>
              <w:spacing w:after="0"/>
              <w:rPr>
                <w:sz w:val="20"/>
                <w:szCs w:val="20"/>
                <w:color w:val="auto"/>
              </w:rPr>
            </w:pPr>
            <w:r>
              <w:rPr>
                <w:rFonts w:ascii="Arial" w:cs="Arial" w:eastAsia="Arial" w:hAnsi="Arial"/>
                <w:sz w:val="18"/>
                <w:szCs w:val="18"/>
                <w:color w:val="auto"/>
              </w:rPr>
              <w:t>- 7.5</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FF0FC"/>
          </w:tcPr>
          <w:p>
            <w:pPr>
              <w:jc w:val="right"/>
              <w:ind w:right="655"/>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75"/>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determined based on the price of the Company’s common stock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 (in thousands):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3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3"/>
                <w:szCs w:val="13"/>
                <w:b w:val="1"/>
                <w:bCs w:val="1"/>
                <w:color w:val="auto"/>
              </w:rPr>
              <w:t>Six Months Ended June 30,</w:t>
            </w:r>
          </w:p>
        </w:tc>
      </w:tr>
      <w:tr>
        <w:trPr>
          <w:trHeight w:val="142"/>
        </w:trPr>
        <w:tc>
          <w:tcPr>
            <w:tcW w:w="384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8"/>
              </w:rPr>
              <w:t>3,607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5,551</w:t>
            </w: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1,243</w:t>
            </w: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3,527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3,048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6,507</w:t>
            </w: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2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1,986</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7,134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1,700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12,058</w:t>
            </w:r>
          </w:p>
        </w:tc>
      </w:tr>
      <w:tr>
        <w:trPr>
          <w:trHeight w:val="20"/>
        </w:trPr>
        <w:tc>
          <w:tcPr>
            <w:tcW w:w="3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right="20" w:hanging="432"/>
        <w:spacing w:after="0" w:line="277"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the reversal of previously recognized stock-based compensation expense of $4.1 million related to forfeited awards of terminated employees, $2.7 million of which resulted from the wind-down of the Company’s Microbiome program (see Note 5).</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was $14.5 million of total unrecognized stock-based compensation related to outstanding equity awards, which is expected to be recognized over a weighted average remaining amortization period of 1.8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Agreement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2017, the Company and Allergan Pharmaceuticals International Limited (Allergan) entered into the Research, Development, Collaboration and License Agreement (the Allergan Agreement) to develop and commercialize select microbiome gastrointestinal disease therapies. In June 2020, following its acquisition of Allergan, AbbVie Inc. (AbbVie), on behalf of Allergan, gave written notice of termination of the Allergan Agreement, which subsequently became effective on October 10, 2020. Upon termination, the licenses granted by the Company and its know-how reverted to the Company.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2020, the Company recognized $39.4 million and $43.5 million, respectively, in revenue associated with the Allergan Agreement. A contract asset balance of $1.0 million was recorded as of December 31, 2020. There were no deferred revenue contract liabilities as of December 31, 2020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revenue, contract assets or contract liabilities recognized as of and for the three and six months ended June 30, 2021 due to the termination of the Allergan Agreement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July 2020, the Company and BeiGene, Ltd. (BeiGene) entered into a Collaboration Agreement (the BeiGene Agreement) to develop and commercialize the Company’s novel core inhibitor product candidates VBR, ABI-H2158 and ABI-H3733 for chronic HBV infection (the Licensed Product Candidates) in the People’s Republic of China, Hong Kong, Taiwan and Macau (the Territory). Under the agreement, the Company and BeiGene will collaborate on certain global clinical studies and both the Company and BeiGene will independently conduct other clinical studies in their own respective territories.</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BeiGene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 If the Company conducts certain ancillary studies outside of the plan to develop these candidates in the Territory, BeiGene may elect to obtain access to the know-how and clinical data resulting for such ancillary studies and shall reimburse the Company proportionally for the Territory costs of such studies. Activities under the BeiGene Agreement will be governed by a joint steering committee (JSC) consisting of equal representatives from each party to the agreement. All decisions of the JSC are to be made by consensus with final decision-making authority granted to each party based on key areas of the collaboration for which they are responsible. During the term of the BeiGene Agreement, neither party will commercialize any competing products in the Territory. The Company will be responsible for manufacturing and supply of the candidates to be used in and outside of the Territory, although the parties may approve BeiGene to take on some or all of the commercial supply activities of the applicable Licensed Products in the Territory.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not obligated to perform pre-Phase 3 clinical study development work outside the Territory on ABI-H2158 and ABI-H3733 but must provide BeiGene pre-Phase 3 clinical study know-how and development results if and when such development efforts are completed. If, after ABI-H2158 and ABI-H3733 reach the end of Phase 2 clinical studies, the Company and BeiGene are unable to mutually agree on the terms of a Phase 3 global study, BeiGene may elect to terminate the BeiGene Agreement solely as it relates to that compound, as applicable. Such a termination would result in Assembly regaining all rights to the applicable compound in the Territory. In addition, BeiGene may terminate the BeiGene Agreement for convenience at any time upon 90 days’ advance written notice to Assembly. The BeiGene Agreement also contains customary provisions for termination by either party, including in the event of breach of the BeiGene Agreement, subject to cure.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BeiGene Agreement, the Company received an upfront cash payment of $40.0 million from BeiGene for the delivery of exclusive, royalty-bearing licenses to develop and commercialize the Licensed Product Candidates in the Territory, and the Company is eligible to receive up to approximately $500.0 million in 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BeiGene Agreement is within the scope of the collaborative arrangements guidance as both parties are active participants and are exposed to significant risks and rewards dependent on the success of commercializing the Licensed Product Candidates in the Territory. However, the unit of account related to the delivery of Licensed Product Candidates is within the scope of the contract with customers guidance. The remaining units of account related to participation on the JSC and subcommittees, clinical supply and other in Territory and global development activities (the Collaboration Activities) are within the scope of the collaborative arrangements guidance. Commercial supply will be evaluated as a separate contract when the agreement is executed and a purchase order is received from BeiGene.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identified the following material promises related to the contract with customers unit of account under the BeiGene Agreement: (1) the transfer of the VBR License; (2) the transfer of the ABI-H2158 License; and (3) the transfer of the ABI-H3733 License. The Company concluded each of these licenses to be functional as they have significant standalone functionality and grants BeiGene the right to use the Company’s intellectual property as it exists on the effective date of the license. The ABI-H2158 and ABI-H3733 Licenses have a continuing technology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 obligation that is considered to be an attribute of these licenses. The agreed upon prices for the clinical and commercial supply of the Licensed Product Candidates to BeiGene do not represent material rights, and therefore are not performance obligations, and such pricing on an aggregate basis represents the standalone selling price an entity would typically pay for such a product in that region or market. There are also no minimum purchase commitments.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standalone selling price (SSP) of the Licenses using an income-based valuation approach for the estimated value a licensor of the compounds would receive considering the stage of the compound’s development. The Company believes a change in the assumptions used to determine its best estimate of SSP would not have a significant value on the allocation of consideration received.</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June 30, 2021. As part of the Company’s evaluation of the development and commercialization milestones constraint, the Company determined the achievement of such milestones are contingent upon success in future clinical studies and regulatory approvals which are not within its control and uncertain at this stage. Any variable consideration related to sales-based milestones (including royalties) will be recognized when the related sales occur as they were determined to relate predominantly to the Licensed Product Candidates granted to BeiGene. The Company will reevaluate the transaction price in each reporting period as uncertain events are resolved or other changes in circumstances occur.</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entering into the BeiGene Agreement in July 2020, the Company recognized $31.0 million as collaboration revenue for the amount allocated to the VBR License as substantial completion of the license technology transfer had occurred. The remaining transaction price allocated to the ABI-H2158 and ABI-H3733 Licenses of $9.0 million was recorded as a long-term deferred revenue contract liability on the unaudited condensed consolidated balance sheet as of June 30, 2021 and December 31, 2020. Revenue for these performance obligations will be recognized when the Company provides pre-Phase 3 clinical study know-how and development results for these compounds to BeiGene or a termination of the BeiGene Agreement for the respective compound.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to, or reimbursements from, BeiGene related to the Collaboration Activities will be accounted for as an increase to or reduction of research and development expenses when incurred or realized, respectively. During the three and six months ended June 30, 2021, the Company did not recognize any increase or reduction of research and development expense under the BeiGene Agreement.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incurred $3.5 million in incremental costs of obtaining the BeiGene Agreement. These contract costs have been capitalized and are being recognized consistent with the pattern of recognition of revenue associated with the Licensed Product Candidates. As of June 30, 2021 and December 31, 2020, $0.8 million remains unamortized and is included in other assets on the condensed consolidated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Arbutus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Company and Arbutus Biopharma Corporation (Arbutus) entered into a Clinical Trial Collaboration Agreement (the Arbutus Agreement) to conduct a randomized, multi-center, open-label Phase 2 clinical study to explore the safety, PK and antiviral activity of the triple combination of VBR, AB-729 and a nucleos(t)ide reverse transcriptase inhibitor (NrtI) compared to the double combinations of VBR plus NrtI and AB-729 plus NrtI. Assembly and Arbutus will share responsibility for the costs of the study equally, excluding manufacturing supply which will be the burden of each company to supply their respective drugs VBR and AB-729.</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Arbutus Agreement is within the scope of the collaborative arrangements guidance as both parties are active participants and are exposed to significant risks and rewards dependent on the success of the collaborative activity. Arbutus is not a customer as it does not obtain an output from the collaborative activities as they were not provided an exclusive license to VBR or the ability to manufacture VBR, and the Company does not consider performing such collaborative activities to be a part of its ongoing activities.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revenue from contracts with customers guidance was considered by analogy in determining the unit of account, and the recognition and measurement of such unit of account for collaborative activities under the Arbutus Agreement and concluded there is one activity, to run an open-label Phase 2 clinical study, which is akin to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performance obligation related to collaborative activities. Reimbursements and cost-sharing portions of this performance obligation will be reflected as a reduction of research and development expense when realized in the Company’s condensed consolidated statements of operations, as the Company does not consider performing research and development services for reimbursement to be a part of its ongoing major or central operations. During the three and six months ended June 30, 2021, the Company recognized a reduction of research and development expenses of $0.4 million and $0.8 million, respectively under the Arbutus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6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4"/>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2021</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8,987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16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4"/>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37,048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9 - Milestones and Research Agreements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No amounts were paid in the six months ended June 30, 2021. Amounts paid in the six months ended June 30, 2020 were insignificant.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was solely responsible for all research and development activities with respect to any product it developed under the license.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was obligated to pay Therabiome clinical and regulatory milestones for each product or therapy advanced from the platform for U.S. regulatory milestones. In addition, the Company was obligated to pay Therabiome lesser amounts for foreign regulatory milestones, which varied by country and region. The Company was also required to pay Therabiome royalties on annual net sales of a product in the low to mid-single digit percentages plus, once annual net sales exceeded certain thresholds, a one-time cash payment upon reaching such thresholds.</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Therabiome was obligated to pay the Company royalties on annual net sales of any product Therabiome was permitted to develop using the intellectual property in the low double to mid-double-digit percentages, depending on the level of development or involvement the Company had in the product.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amounts were accrued for this agreement as of and for the six months ended June 30, 2021 or 2020. In connection with the wind-down of the Microbiome program, the License and Collaboration Agreement with Therabiome was terminated in January 2021, and the termination became effective on April 21,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Door Pharma Agreement</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November 2020, the Company and Door Pharmaceuticals, LLC (Door Pharma) entered into an exclusive, two-year Collaboration Agreement and Sublicense Agreement (collectively, the Door Pharma Agreement) focused on the development of a novel class of HBV inhibitors. Under the terms of the agreement, Door Pharma will build upon its previous efforts to lead and conduct new discovery research, which the Company will fund. In return for an up-front payment of $1.8 million, success-based milestones up to $35.0 million, exercise and annual fees ranging from $0.1 million to $2.0 million and royalties in the low to mid-single digits, the Company will be granted an exclusive option to license compounds arising from the collaboration and will be responsible for the continued development and commercialization of optioned compounds. For the three and six months ended June 30, 2021, the Company incurred $0.5 million and $0.8 million, respectively, of research and development funding.</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consolidation accounting standard, the Company determined that Door Pharma is a variable interest entity. The Company does not have the power to direct the activities that most significantly affect the economic performance of Door Pharma and as such the Company is not the primary beneficiary and consolidation is not required. As of June 30, 2021, the Company has not provided financial or other support to Door Pharma that was not contractually required.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leases office and laboratory space in South San Francisco, California under a sub-sublease that expires in December 2023. The sub-sublease contains scheduled rent increases over the lease term. The Company also leases office space in Carmel, Indiana under a lease agreement that expires in August 2023. In February 2021, the Company subleased substantially all of the office space under the Carmel, Indiana lease. The Company also leased office and laboratory space in Groton, Connecticut that supported the Microbiome program under a lease that expired in June 2021. Due to the wind-down of the Microbiome program, the lease was not renewed. The Company’s China subsidiary leased office space and lab space in Shanghai, which the Company let expire in March 2021 and December 2020, respectively. Additionally, the Company’s China subsidiary leases office space in Beijing under a lease agreement that expires in December 2021. Certain lease contracts contain renewal clauses that the Company assesses on a case-by-case basis. The Company also leases certain laboratory equipment accounted for as operating leases expiring at various dates, with the final lease expiring in 2024. In February 2021, the Company purchased substantially all of the leased equipment used for the Microbiome program from its leasing agency and sold them to third parties (see Note 5).</w:t>
      </w:r>
    </w:p>
    <w:p>
      <w:pPr>
        <w:spacing w:after="0" w:line="1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the Company had operating lease liabilities of $8.0 million and ROU assets of $7.5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3"/>
                <w:szCs w:val="13"/>
                <w:b w:val="1"/>
                <w:bCs w:val="1"/>
                <w:color w:val="auto"/>
              </w:rPr>
              <w:t>Six Months Ended June 30,</w:t>
            </w:r>
          </w:p>
        </w:tc>
        <w:tc>
          <w:tcPr>
            <w:tcW w:w="560" w:type="dxa"/>
            <w:vAlign w:val="bottom"/>
          </w:tcPr>
          <w:p>
            <w:pPr>
              <w:spacing w:after="0"/>
              <w:rPr>
                <w:sz w:val="13"/>
                <w:szCs w:val="13"/>
                <w:color w:val="auto"/>
              </w:rPr>
            </w:pPr>
          </w:p>
        </w:tc>
      </w:tr>
      <w:tr>
        <w:trPr>
          <w:trHeight w:val="142"/>
        </w:trPr>
        <w:tc>
          <w:tcPr>
            <w:tcW w:w="580" w:type="dxa"/>
            <w:vAlign w:val="bottom"/>
          </w:tcPr>
          <w:p>
            <w:pPr>
              <w:spacing w:after="0"/>
              <w:rPr>
                <w:sz w:val="12"/>
                <w:szCs w:val="12"/>
                <w:color w:val="auto"/>
              </w:rPr>
            </w:pPr>
          </w:p>
        </w:tc>
        <w:tc>
          <w:tcPr>
            <w:tcW w:w="3280" w:type="dxa"/>
            <w:vAlign w:val="bottom"/>
            <w:tcBorders>
              <w:bottom w:val="single" w:sz="8" w:color="CFF0FC"/>
            </w:tcBorders>
          </w:tcPr>
          <w:p>
            <w:pPr>
              <w:spacing w:after="0"/>
              <w:rPr>
                <w:sz w:val="12"/>
                <w:szCs w:val="12"/>
                <w:color w:val="auto"/>
              </w:rPr>
            </w:pPr>
          </w:p>
        </w:tc>
        <w:tc>
          <w:tcPr>
            <w:tcW w:w="154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3"/>
                <w:szCs w:val="13"/>
                <w:b w:val="1"/>
                <w:bCs w:val="1"/>
                <w:color w:val="auto"/>
              </w:rPr>
              <w:t>2020</w:t>
            </w:r>
          </w:p>
        </w:tc>
        <w:tc>
          <w:tcPr>
            <w:tcW w:w="560" w:type="dxa"/>
            <w:vAlign w:val="bottom"/>
          </w:tcPr>
          <w:p>
            <w:pPr>
              <w:spacing w:after="0"/>
              <w:rPr>
                <w:sz w:val="12"/>
                <w:szCs w:val="12"/>
                <w:color w:val="auto"/>
              </w:rPr>
            </w:pPr>
          </w:p>
        </w:tc>
      </w:tr>
      <w:tr>
        <w:trPr>
          <w:trHeight w:val="223"/>
        </w:trPr>
        <w:tc>
          <w:tcPr>
            <w:tcW w:w="58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1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2240" w:type="dxa"/>
            <w:vAlign w:val="bottom"/>
            <w:gridSpan w:val="2"/>
          </w:tcPr>
          <w:p>
            <w:pPr>
              <w:jc w:val="right"/>
              <w:ind w:right="554"/>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9"/>
                <w:szCs w:val="19"/>
                <w:color w:val="auto"/>
              </w:rPr>
            </w:pPr>
          </w:p>
        </w:tc>
        <w:tc>
          <w:tcPr>
            <w:tcW w:w="720" w:type="dxa"/>
            <w:vAlign w:val="bottom"/>
          </w:tcPr>
          <w:p>
            <w:pPr>
              <w:jc w:val="right"/>
              <w:ind w:right="57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1,158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2,308</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1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Variable lease cost</w:t>
            </w: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692</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1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lease cost</w:t>
            </w:r>
          </w:p>
        </w:tc>
        <w:tc>
          <w:tcPr>
            <w:tcW w:w="1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1,363</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1,666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3,200</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40" w:type="dxa"/>
            <w:vAlign w:val="bottom"/>
            <w:gridSpan w:val="2"/>
          </w:tcPr>
          <w:p>
            <w:pPr>
              <w:jc w:val="right"/>
              <w:ind w:right="314"/>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68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wp:posOffset>
            </wp:positionV>
            <wp:extent cx="2014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ind w:left="8060"/>
        <w:spacing w:after="0"/>
        <w:tabs>
          <w:tab w:leader="none" w:pos="97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4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1,944</w:t>
            </w: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2,247</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ROU assets exchanged for new operating lease liabilities</w:t>
            </w:r>
          </w:p>
        </w:tc>
        <w:tc>
          <w:tcPr>
            <w:tcW w:w="19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545</w:t>
            </w:r>
          </w:p>
        </w:tc>
      </w:tr>
    </w:tbl>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both June 30, 2021 and December 31, 2020, the weighted-average remaining lease term for operating leases was 2.4 years. As of June 30, 2021 and December 31, 2020, the weighted-average discount rate for operating leases was 9.7% and 9.2%,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maturities of the Company’s operating lease liabilities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Six months ending December 31, 2021</w:t>
            </w:r>
          </w:p>
        </w:tc>
        <w:tc>
          <w:tcPr>
            <w:tcW w:w="348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1,839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 Ending December 31, 2022</w:t>
            </w:r>
          </w:p>
        </w:tc>
        <w:tc>
          <w:tcPr>
            <w:tcW w:w="2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3,643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 2023</w:t>
            </w:r>
          </w:p>
        </w:tc>
        <w:tc>
          <w:tcPr>
            <w:tcW w:w="2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3,491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29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8,986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29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1700"/>
              <w:spacing w:after="0"/>
              <w:rPr>
                <w:sz w:val="20"/>
                <w:szCs w:val="20"/>
                <w:color w:val="auto"/>
              </w:rPr>
            </w:pPr>
            <w:r>
              <w:rPr>
                <w:rFonts w:ascii="Arial" w:cs="Arial" w:eastAsia="Arial" w:hAnsi="Arial"/>
                <w:sz w:val="18"/>
                <w:szCs w:val="18"/>
                <w:color w:val="auto"/>
              </w:rPr>
              <w:t>Operating lease liabilities</w:t>
            </w:r>
          </w:p>
        </w:tc>
        <w:tc>
          <w:tcPr>
            <w:tcW w:w="2900" w:type="dxa"/>
            <w:vAlign w:val="bottom"/>
          </w:tcPr>
          <w:p>
            <w:pPr>
              <w:spacing w:after="0"/>
              <w:rPr>
                <w:sz w:val="19"/>
                <w:szCs w:val="19"/>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900" w:type="dxa"/>
            <w:vAlign w:val="bottom"/>
            <w:vMerge w:val="restart"/>
          </w:tcPr>
          <w:p>
            <w:pPr>
              <w:jc w:val="right"/>
              <w:ind w:right="2110"/>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2020 and the related Management’s Discussion and Analysis of Financial Condition and Results of Operations, both of which are contained in our Annual Report on Form 10-K for the fiscal year ended December 31, 2020 filed with the U.S. Securities and Exchange Commission on February 25, 2021 (2020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2020 Annual Report and “Part II. Item 1A. Risk Factors” in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biotechnology company advancing a novel class of oral therapeutic candidates for the treatment of chronic hepatitis B virus (HBV) infection. According to the World Health Organization, approximately 270 million people worldwide are chronically infected with HBV. Our research and development programs are pursuing multiple drug candidates designed to inhibit the HBV replication cycle and block the generation of covalently closed circular DNA (cccDNA), with the aim of discovering and developing finite and curative therapies for patients with chronic HBV infection. We have discovered several novel core inhibitors, which are small molecules that directly target and allosterically modulate the HBV core (HBc) protein in a way that affects assembly and stability of HBV nucleocapsids.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ongoing COVID-19 pandemic has affected certain aspects of our business. As further detailed below, those effects have been primarily limited to where and how our employees work in our labs and offices. To date, our current and future planned clinical and nonclinical studies have not been significantly impacted as a result of the COVID-19 pandemic.</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announced, in January 2021, we wound down our Microbiome program to prioritize and focus our resources on discovering and developing finite and curative therapies for chronic HBV infection.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Primary Focus: Targeting HBV Core Protein to Achieve a Cure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is a DNA virus that infects hepatocytes and establishes a reservoir of cccDNA, a unique viral DNA species that resides in the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research and development efforts to date have focused on discovering and developing compounds targeting the core protein, a viral protein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Vebicorvir</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Vebicorvir (VBR), our lead core inhibitor product candidate, is licensed from Indiana University. The conduct of our initial Phase 2 studies, Study 201 and 202, is complete. Our open-label extension study, Study 211, involved treating patients with VBR plus nucelos(t)ide analog reverse transcriptase inhibitors (NrtIs) and ultimately transitioning patients who met the requisite stopping criteria, as determined with our lead investigators and the U.S. Food and Drug Administration (FDA), off of therapy to test for sustained virologic response (SVR). SVR refers to sustained viral suppression (more than six months) of HBV DNA below the lower limit of quantification (LLOQ) and would be consistent with a successful finite treatment for chronic HBV infection. It became clear that patients who stopped therapy in Study 211 had not achieved meaningful SVR rates, as all 41 patients ultimately relapsed, meaning they had detectable HBV, and that dual combination therapy of VBR plus NrtIs is insufficient to cure chronic HBV infection. Based on these results, we terminated Study 211 in the fourth quarter of 2020. We presented additional follow-up from Study 211 related to virologic response, safety and resistance following treatment discontinuation, at the European Association for the Study of the Liver’s (EASL) International Liver Congress</w:t>
      </w:r>
      <w:r>
        <w:rPr>
          <w:rFonts w:ascii="Arial" w:cs="Arial" w:eastAsia="Arial" w:hAnsi="Arial"/>
          <w:sz w:val="15"/>
          <w:szCs w:val="15"/>
          <w:color w:val="auto"/>
        </w:rPr>
        <w:t>TM</w:t>
      </w:r>
      <w:r>
        <w:rPr>
          <w:rFonts w:ascii="Arial" w:cs="Arial" w:eastAsia="Arial" w:hAnsi="Arial"/>
          <w:sz w:val="18"/>
          <w:szCs w:val="18"/>
          <w:color w:val="auto"/>
        </w:rPr>
        <w:t xml:space="preserve"> in June 2021 (EASL 2021).</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discussions with leading viral hepatitis experts, global regulatory discussions and feedback and, with respect to the China territory, discussions and agreement with our collaboration partner, BeiGene, Ltd. (BeiGene),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the first quarter of 2021, we decided to not move forward with global registrational studies for VBR as a chronic suppressive treatment (CST) with NrtIs. The decision was made to focus on the greatest unmet medical need of patients, which lies predominantly in cure, rather than CST. In connection with focusing our efforts with VBR moving forward in combination with NrtIs and additional mechanisms targeting finite and curative combination therapy, we terminated Study 205 in the first quarter of 2021. Study 205 had been initiated to evaluate treatment intensification with VBR in patients with chronic HBV infection who are only partially virologically suppressed on NrtI.</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ABI-H2158</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second-generation core inhibitor product candidate, ABI-H2158 (2158), was internally discovered and developed and is chemically distinct from VBR.</w:t>
      </w:r>
    </w:p>
    <w:p>
      <w:pPr>
        <w:spacing w:after="0" w:line="2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data from a completed Phase 1b dose-ranging study, we initiated a Phase 2 clinical study in June 2020 using a 300 mg daily dose of 2158. This study is being conducted in Asia, North America and Europe. We expect interim data from this study in the second half of 2021, which will focus on safety and on-treatment changes in key viral biomarkers, including pre-genomic RNA and HBV e- and core related antigens. While we will continue to monitor the situation closely, we do not currently expect our timelines for this study to be significantly impacted by the COVID-19 pandemic.</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 2158, our third core inhibitor product candidate, ABI-H3733 (3733), was also internally discovered and developed. The chemical scaffold of 3733 is novel and separate from both VBR and 2158.</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we initiated a Phase 1a clinical study to evaluate safety, tolerability and pharmacokinetics (PK) following single ascending dose and multiple ascending dose administration of 3733 in healthy subjects in New Zealand. Conduct for the study was completed in the fourth quarter of 2020 and preliminary data indicate that 3733 was generally well-tolerated and had favorable PK.</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presented observations on the enhanced potency and target coverage for both antiviral inhibition and inhibition of cccDNA generation for our next generation core inhibitors 2158 and 3733 at EASL 2021.</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Product Candidates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three clinical-stage product candidates, our research discovery team is actively focused on identifying and selecting a fourth core inhibitor candidate, which we anticipate in mid-2021.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Multi-Drug Combination Studies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combination of a core inhibitor and NrtI will be central to finite and curative therapies for chronic HBV infection. Therefore, as we continue to develop and advance our core inhibitors through clinical studies, we will conduct multi-drug combination studies that add additional drugs (or compounds) with non-overlapping mechanisms of action to the core inhibitor + NrtI antiviral backbone. We currently have two on-going triple combination studies with our lead core inhibitor, VBR, which has been observed to be well-tolerated and have antiviral activity in combination with NrtI in completed Phase 2 studies.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first triple combination study is being conducted pursuant to a Clinical Trial Collaboration Agreement with Arbutus Biopharma Corporation (Arbutus Biopharma) and consists of a randomized, multi-center, open-label Phase 2 clinical study to explore the safety, PK and antiviral activity of the triple combination of VBR, NrtI and AB-729 (Arbutus Biopharma’s investigational RNAi candidate) compared to the dual combinations of VBR + NrtI and AB-729 + NrtI in virologically suppressed subjects. Our second triple combination study evaluates VBR and NrtI in combination with pegylated interferon alfa in treatment naïve HBeAg positive subjects. Both studies initiated in the first quarter of 2021.</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above studies, we expect to pursue additional multi-drug combinations that include our current and future core inhibitors as they advance in clinical development.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Beyond Core Inhibitors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advancement of our core inhibitor portfolio and our conduct of multi-drug combination studies, our research team is developing cccDNA disruptors and small molecules targeting novel undisclosed targets to add to the core inhibitor + NrtI antiviral backbone to achieve finite and curative therapies. In November 2020, we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jc w:val="both"/>
        <w:ind w:right="20"/>
        <w:spacing w:after="0" w:line="279" w:lineRule="auto"/>
        <w:rPr>
          <w:sz w:val="20"/>
          <w:szCs w:val="20"/>
          <w:color w:val="auto"/>
        </w:rPr>
      </w:pPr>
      <w:r>
        <w:rPr>
          <w:rFonts w:ascii="Arial" w:cs="Arial" w:eastAsia="Arial" w:hAnsi="Arial"/>
          <w:sz w:val="17"/>
          <w:szCs w:val="17"/>
          <w:color w:val="auto"/>
        </w:rPr>
        <w:t>entered into an exclusive, two-year collaboration and option agreement with Door Pharmaceuticals, LLC (Door Pharma) focused on the development of a novel class of HBV inhibitors. Door Pharma’s discovery platform targets functions of HBV core protein distinct from viral assembly and has the potential to interfere with viral nucleic acid, including nuclear cccDNA. Together with Door Pharma, we are working on identifying cccDNA disruptors, which will be aimed at inhibiting different steps in the viral replication cycle that complement the activity of our core inhibitors.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Door Pharma will build upon its previous efforts to lead and conduct new discovery research, which we will fund. In return for an up-front payment and success-based milestones and royalties, we received an exclusive option to license compounds arising from the collaboration and will be responsible for the continued development and commercialization of optioned compounds.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currently have corporate and administrative offices and research laboratory space in South San Francisco, California as well as a small office in China.</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generated significant losses to date, and we expect to continue to generate losses as we develop our product candidates. As of June 30, 2021, we had an accumulated deficit of $552.4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mid-March 2020, as a result of the COVID-19 pandemic, six San Francisco Bay Area counties announced a shelter-in-place order, restricting all residents to their homes, with few exceptions. Within a week, California issued a statewide stay-at-home order. As a biotechnology company, we were exempt from such orders. On June 15, 2021, California reopened its economy, and all applicable local orders were also lifted on June 15, 2021. On August 3, 2021, eight Bay Area counties, including where our headquarters is located, orders that require face coverings to be worn indoors became effective. We do not expect this mandate to result in any significant interruption of the essential activities ongoing at our South San Francisco facility.</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has not been any significant interruption to date of essential activities at our offices, including work in our laboratories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on-hand and reallocation of certain resources that allow our employees to practice “social distancing” and comply with applicable laws. Substantially all of our U.S.-based non-research employees have been working from their homes since mid-March 2020. Clinical study-related impacts of the COVID-19 pandemic to date have been limited to short enrollment delays for our Phase 1 study of 3733. We continually work with our contract research organizations (CROs) and other vendors to ensure, to the extent possible, that services are provided in a timely manner while also identifying alternative vendors and strategies to utilize in the event that COVID or third party-related delays threaten our ability to meet our timelines. We cannot currently predict the specific extent, duration or full impact that the COVID-19 pandemic will have on our ongoing and planned research efforts, clinical studies and other business operations. We continue to monitor the situation regularly for additional potential delays, or modifications to our ongoing and planned studies and, if circumstances warrant, we may adjust our budget and operating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2020 Annual Report. Our critical accounting policies and significant estimates have not changed from those previously disclosed in our 2020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Three Months Ended 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6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3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60" w:type="dxa"/>
            <w:vAlign w:val="bottom"/>
          </w:tcPr>
          <w:p>
            <w:pPr>
              <w:ind w:left="520"/>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1560" w:type="dxa"/>
            <w:vAlign w:val="bottom"/>
          </w:tcPr>
          <w:p>
            <w:pPr>
              <w:jc w:val="center"/>
              <w:ind w:right="182"/>
              <w:spacing w:after="0" w:line="155" w:lineRule="exact"/>
              <w:rPr>
                <w:sz w:val="20"/>
                <w:szCs w:val="20"/>
                <w:color w:val="auto"/>
              </w:rPr>
            </w:pPr>
            <w:r>
              <w:rPr>
                <w:rFonts w:ascii="Arial" w:cs="Arial" w:eastAsia="Arial" w:hAnsi="Arial"/>
                <w:sz w:val="14"/>
                <w:szCs w:val="14"/>
                <w:b w:val="1"/>
                <w:bCs w:val="1"/>
                <w:color w:val="auto"/>
                <w:w w:val="91"/>
              </w:rPr>
              <w:t>2021 vs. 2020</w:t>
            </w:r>
          </w:p>
        </w:tc>
      </w:tr>
      <w:tr>
        <w:trPr>
          <w:trHeight w:val="223"/>
        </w:trPr>
        <w:tc>
          <w:tcPr>
            <w:tcW w:w="32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1620" w:type="dxa"/>
            <w:vAlign w:val="bottom"/>
            <w:tcBorders>
              <w:top w:val="single" w:sz="8" w:color="CCECFF"/>
            </w:tcBorders>
            <w:shd w:val="clear" w:color="auto" w:fill="CCECFF"/>
          </w:tcPr>
          <w:p>
            <w:pPr>
              <w:spacing w:after="0"/>
              <w:rPr>
                <w:sz w:val="19"/>
                <w:szCs w:val="19"/>
                <w:color w:val="auto"/>
              </w:rPr>
            </w:pPr>
          </w:p>
        </w:tc>
        <w:tc>
          <w:tcPr>
            <w:tcW w:w="960" w:type="dxa"/>
            <w:vAlign w:val="bottom"/>
            <w:tcBorders>
              <w:top w:val="single" w:sz="8" w:color="auto"/>
            </w:tcBorders>
            <w:shd w:val="clear" w:color="auto" w:fill="CCECFF"/>
          </w:tcPr>
          <w:p>
            <w:pPr>
              <w:jc w:val="right"/>
              <w:ind w:right="80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CFF"/>
          </w:tcPr>
          <w:p>
            <w:pPr>
              <w:ind w:left="1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shd w:val="clear" w:color="auto" w:fill="CCECFF"/>
          </w:tcPr>
          <w:p>
            <w:pPr>
              <w:spacing w:after="0"/>
              <w:rPr>
                <w:sz w:val="19"/>
                <w:szCs w:val="19"/>
                <w:color w:val="auto"/>
              </w:rPr>
            </w:pPr>
          </w:p>
        </w:tc>
        <w:tc>
          <w:tcPr>
            <w:tcW w:w="820" w:type="dxa"/>
            <w:vAlign w:val="bottom"/>
            <w:tcBorders>
              <w:top w:val="single" w:sz="8" w:color="auto"/>
            </w:tcBorders>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87"/>
              </w:rPr>
              <w:t>39,376</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(39,376)</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for the three months ended June 30, 2020 includes the recognition of deferred revenue and reimbursements incurred under the Research, Development, Collaboration and License Agreement (the Allergan Agreement) that we entered into with Allergan Pharmaceuticals Limited (Allergan). Following its acquisition of Allergan, AbbVie, Inc. (AbbVie) gave written notice of termination of the Allergan Agreement in June 2020, which became effective October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60" w:type="dxa"/>
            <w:vAlign w:val="bottom"/>
          </w:tcPr>
          <w:p>
            <w:pPr>
              <w:jc w:val="right"/>
              <w:ind w:right="5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w w:val="98"/>
              </w:rPr>
              <w:t>2021 vs. 2020</w:t>
            </w:r>
          </w:p>
        </w:tc>
        <w:tc>
          <w:tcPr>
            <w:tcW w:w="160" w:type="dxa"/>
            <w:vAlign w:val="bottom"/>
            <w:tcBorders>
              <w:bottom w:val="single" w:sz="8" w:color="CCECFF"/>
            </w:tcBorders>
          </w:tcPr>
          <w:p>
            <w:pPr>
              <w:spacing w:after="0"/>
              <w:rPr>
                <w:sz w:val="19"/>
                <w:szCs w:val="19"/>
                <w:color w:val="auto"/>
              </w:rPr>
            </w:pP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3"/>
        </w:trPr>
        <w:tc>
          <w:tcPr>
            <w:tcW w:w="4700" w:type="dxa"/>
            <w:vAlign w:val="bottom"/>
            <w:shd w:val="clear" w:color="auto" w:fill="CCECFF"/>
          </w:tcPr>
          <w:p>
            <w:pPr>
              <w:spacing w:after="0"/>
              <w:rPr>
                <w:sz w:val="20"/>
                <w:szCs w:val="20"/>
                <w:color w:val="auto"/>
              </w:rPr>
            </w:pPr>
            <w:r>
              <w:rPr>
                <w:rFonts w:ascii="Arial" w:cs="Arial" w:eastAsia="Arial" w:hAnsi="Arial"/>
                <w:sz w:val="18"/>
                <w:szCs w:val="18"/>
                <w:color w:val="auto"/>
              </w:rPr>
              <w:t>HBV Cure program</w:t>
            </w:r>
          </w:p>
        </w:tc>
        <w:tc>
          <w:tcPr>
            <w:tcW w:w="1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CFF"/>
          </w:tcPr>
          <w:p>
            <w:pPr>
              <w:jc w:val="right"/>
              <w:ind w:right="37"/>
              <w:spacing w:after="0"/>
              <w:rPr>
                <w:sz w:val="20"/>
                <w:szCs w:val="20"/>
                <w:color w:val="auto"/>
              </w:rPr>
            </w:pPr>
            <w:r>
              <w:rPr>
                <w:rFonts w:ascii="Arial" w:cs="Arial" w:eastAsia="Arial" w:hAnsi="Arial"/>
                <w:sz w:val="18"/>
                <w:szCs w:val="18"/>
                <w:color w:val="auto"/>
              </w:rPr>
              <w:t>16,975</w:t>
            </w:r>
          </w:p>
        </w:tc>
        <w:tc>
          <w:tcPr>
            <w:tcW w:w="1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ind w:right="35"/>
              <w:spacing w:after="0"/>
              <w:rPr>
                <w:sz w:val="20"/>
                <w:szCs w:val="20"/>
                <w:color w:val="auto"/>
              </w:rPr>
            </w:pPr>
            <w:r>
              <w:rPr>
                <w:rFonts w:ascii="Arial" w:cs="Arial" w:eastAsia="Arial" w:hAnsi="Arial"/>
                <w:sz w:val="18"/>
                <w:szCs w:val="18"/>
                <w:color w:val="auto"/>
              </w:rPr>
              <w:t>16,001</w:t>
            </w:r>
          </w:p>
        </w:tc>
        <w:tc>
          <w:tcPr>
            <w:tcW w:w="16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CFF"/>
          </w:tcPr>
          <w:p>
            <w:pPr>
              <w:jc w:val="right"/>
              <w:ind w:right="37"/>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CFF"/>
          </w:tcPr>
          <w:p>
            <w:pPr>
              <w:spacing w:after="0"/>
              <w:rPr>
                <w:sz w:val="19"/>
                <w:szCs w:val="19"/>
                <w:color w:val="auto"/>
              </w:rPr>
            </w:pPr>
          </w:p>
        </w:tc>
        <w:tc>
          <w:tcPr>
            <w:tcW w:w="1560" w:type="dxa"/>
            <w:vAlign w:val="bottom"/>
            <w:shd w:val="clear" w:color="auto" w:fill="CCECFF"/>
          </w:tcPr>
          <w:p>
            <w:pPr>
              <w:jc w:val="right"/>
              <w:ind w:right="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Microbiome program</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7,326</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172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16,749</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23,327</w:t>
            </w:r>
          </w:p>
        </w:tc>
        <w:tc>
          <w:tcPr>
            <w:tcW w:w="1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(6,578)</w:t>
            </w:r>
          </w:p>
        </w:tc>
        <w:tc>
          <w:tcPr>
            <w:tcW w:w="17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expenses were $16.7 million for the three months ended June 30, 2021 compared to $23.3 million for the same period in 2020. The decrease was due to a decrease of $7.6 million related to the wind-down of the Microbiome program, partially offset by an increase of $1.0 million in research and development expenses related to the HBV program. The increase in the HBV program expense was primarily due to increases in clinical activities, chemistry and manufacturing control activities to support our clinical studies and increased salary and benefits due to additional employees. Research and development expenses include $0.7 million in non-cash stock-based compensation expense for the three months ended June 30, 2021 compared to $3.6 million for the same period in 2020. The decrease in stock-based compensation is primarily due to a decrease in the grant date fair value of recent option grants as well as a decrease in headcount and outstanding awards resulting from the wind-down of the Microbiome program.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5"/>
              </w:rPr>
              <w:t>Three Months Ended 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6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ind w:left="520"/>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1560" w:type="dxa"/>
            <w:vAlign w:val="bottom"/>
          </w:tcPr>
          <w:p>
            <w:pPr>
              <w:jc w:val="center"/>
              <w:ind w:right="182"/>
              <w:spacing w:after="0" w:line="155" w:lineRule="exact"/>
              <w:rPr>
                <w:sz w:val="20"/>
                <w:szCs w:val="20"/>
                <w:color w:val="auto"/>
              </w:rPr>
            </w:pPr>
            <w:r>
              <w:rPr>
                <w:rFonts w:ascii="Arial" w:cs="Arial" w:eastAsia="Arial" w:hAnsi="Arial"/>
                <w:sz w:val="14"/>
                <w:szCs w:val="14"/>
                <w:b w:val="1"/>
                <w:bCs w:val="1"/>
                <w:color w:val="auto"/>
                <w:w w:val="91"/>
              </w:rPr>
              <w:t>2021 vs. 2020</w:t>
            </w:r>
          </w:p>
        </w:tc>
      </w:tr>
      <w:tr>
        <w:trPr>
          <w:trHeight w:val="223"/>
        </w:trPr>
        <w:tc>
          <w:tcPr>
            <w:tcW w:w="37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Borders>
              <w:top w:val="single" w:sz="8" w:color="CCECFF"/>
            </w:tcBorders>
            <w:shd w:val="clear" w:color="auto" w:fill="CCECFF"/>
          </w:tcPr>
          <w:p>
            <w:pPr>
              <w:spacing w:after="0"/>
              <w:rPr>
                <w:sz w:val="19"/>
                <w:szCs w:val="19"/>
                <w:color w:val="auto"/>
              </w:rPr>
            </w:pPr>
          </w:p>
        </w:tc>
        <w:tc>
          <w:tcPr>
            <w:tcW w:w="860" w:type="dxa"/>
            <w:vAlign w:val="bottom"/>
            <w:tcBorders>
              <w:top w:val="single" w:sz="8" w:color="auto"/>
            </w:tcBorders>
            <w:shd w:val="clear" w:color="auto" w:fill="CCECFF"/>
          </w:tcPr>
          <w:p>
            <w:pPr>
              <w:jc w:val="right"/>
              <w:ind w:right="7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6,917</w:t>
            </w:r>
          </w:p>
        </w:tc>
        <w:tc>
          <w:tcPr>
            <w:tcW w:w="160" w:type="dxa"/>
            <w:vAlign w:val="bottom"/>
            <w:tcBorders>
              <w:top w:val="single" w:sz="8" w:color="CCECFF"/>
            </w:tcBorders>
            <w:shd w:val="clear" w:color="auto" w:fill="CCECFF"/>
          </w:tcPr>
          <w:p>
            <w:pPr>
              <w:spacing w:after="0"/>
              <w:rPr>
                <w:sz w:val="19"/>
                <w:szCs w:val="19"/>
                <w:color w:val="auto"/>
              </w:rPr>
            </w:pPr>
          </w:p>
        </w:tc>
        <w:tc>
          <w:tcPr>
            <w:tcW w:w="860" w:type="dxa"/>
            <w:vAlign w:val="bottom"/>
            <w:tcBorders>
              <w:top w:val="single" w:sz="8" w:color="auto"/>
            </w:tcBorders>
            <w:shd w:val="clear" w:color="auto" w:fill="CCECFF"/>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9,470</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(2,553)</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consultants, and directors.</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expenses were $6.9 million for the three months ended June 30, 2021 compared to $9.5 million for the same period in 2020. General and administrative expenses include non-cash stock-based compensation expenses of $1.2 million for the three months ended June 30, 2021 and $3.5 million for the same period in 2020. The decrease in stock-based compensation expense of $2.3 million was due to a decrease in the grant date fair value of recent option grants and a reversal of $0.6 million of previously recognized expense in the three months ended June 30, 2021 related to forfeited awards from terminated employees. Additionally, for the three months ended June 30, 2020, we recognized $0.7 million as a cumulative catch-up adjustment of stock-based compensation expense for RSUs with performance-based vesting conditions granted to our chief executive officer for which the underlying performance condition was deemed probable. We also experienced decreases in salary and benefits, particularly in accrued bonuses, mostly attributable to the resignation of our chief financial officer in June 2021 and decreases in recruitment expenses due to hiring fewer employees during the three months ended June 30, 2021 compared to the same period in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56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4900" w:type="dxa"/>
            <w:vAlign w:val="bottom"/>
          </w:tcPr>
          <w:p>
            <w:pPr>
              <w:spacing w:after="0"/>
              <w:rPr>
                <w:sz w:val="13"/>
                <w:szCs w:val="13"/>
                <w:color w:val="auto"/>
              </w:rPr>
            </w:pPr>
          </w:p>
        </w:tc>
        <w:tc>
          <w:tcPr>
            <w:tcW w:w="9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1560" w:type="dxa"/>
            <w:vAlign w:val="bottom"/>
          </w:tcPr>
          <w:p>
            <w:pPr>
              <w:jc w:val="center"/>
              <w:ind w:right="182"/>
              <w:spacing w:after="0" w:line="155" w:lineRule="exact"/>
              <w:rPr>
                <w:sz w:val="20"/>
                <w:szCs w:val="20"/>
                <w:color w:val="auto"/>
              </w:rPr>
            </w:pPr>
            <w:r>
              <w:rPr>
                <w:rFonts w:ascii="Arial" w:cs="Arial" w:eastAsia="Arial" w:hAnsi="Arial"/>
                <w:sz w:val="14"/>
                <w:szCs w:val="14"/>
                <w:b w:val="1"/>
                <w:bCs w:val="1"/>
                <w:color w:val="auto"/>
                <w:w w:val="91"/>
              </w:rPr>
              <w:t>2021 vs. 2020</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960" w:type="dxa"/>
            <w:vAlign w:val="bottom"/>
            <w:tcBorders>
              <w:top w:val="single" w:sz="8" w:color="auto"/>
            </w:tcBorders>
            <w:shd w:val="clear" w:color="auto" w:fill="CCECFF"/>
          </w:tcPr>
          <w:p>
            <w:pPr>
              <w:jc w:val="right"/>
              <w:ind w:right="80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C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CFF"/>
            </w:tcBorders>
            <w:shd w:val="clear" w:color="auto" w:fill="CCECFF"/>
          </w:tcPr>
          <w:p>
            <w:pPr>
              <w:spacing w:after="0"/>
              <w:rPr>
                <w:sz w:val="19"/>
                <w:szCs w:val="19"/>
                <w:color w:val="auto"/>
              </w:rPr>
            </w:pPr>
          </w:p>
        </w:tc>
        <w:tc>
          <w:tcPr>
            <w:tcW w:w="820" w:type="dxa"/>
            <w:vAlign w:val="bottom"/>
            <w:tcBorders>
              <w:top w:val="single" w:sz="8" w:color="auto"/>
            </w:tcBorders>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0"/>
              </w:rPr>
              <w:t>43,457</w:t>
            </w:r>
          </w:p>
        </w:tc>
        <w:tc>
          <w:tcPr>
            <w:tcW w:w="14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(43,457)</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revenue for the six months ended June 30, 2020 includes the recognition of deferred revenue and reimbursements incurred under the Allergan Agreement. Following its acquisition of Allergan, AbbVie gave written notice of termination of the Allergan Agreement in June 2020 which became effective October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300" w:type="dxa"/>
            <w:vAlign w:val="bottom"/>
          </w:tcPr>
          <w:p>
            <w:pPr>
              <w:spacing w:after="0"/>
              <w:rPr>
                <w:sz w:val="14"/>
                <w:szCs w:val="14"/>
                <w:color w:val="auto"/>
              </w:rPr>
            </w:pPr>
          </w:p>
        </w:tc>
        <w:tc>
          <w:tcPr>
            <w:tcW w:w="28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1260" w:type="dxa"/>
            <w:vAlign w:val="bottom"/>
          </w:tcPr>
          <w:p>
            <w:pPr>
              <w:jc w:val="right"/>
              <w:ind w:right="39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60" w:type="dxa"/>
            <w:vAlign w:val="bottom"/>
          </w:tcPr>
          <w:p>
            <w:pPr>
              <w:jc w:val="right"/>
              <w:ind w:right="5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297"/>
              <w:spacing w:after="0"/>
              <w:rPr>
                <w:sz w:val="20"/>
                <w:szCs w:val="20"/>
                <w:color w:val="auto"/>
              </w:rPr>
            </w:pPr>
            <w:r>
              <w:rPr>
                <w:rFonts w:ascii="Arial" w:cs="Arial" w:eastAsia="Arial" w:hAnsi="Arial"/>
                <w:sz w:val="14"/>
                <w:szCs w:val="14"/>
                <w:b w:val="1"/>
                <w:bCs w:val="1"/>
                <w:color w:val="auto"/>
                <w:w w:val="96"/>
              </w:rPr>
              <w:t>2021 vs. 2020</w:t>
            </w:r>
          </w:p>
        </w:tc>
        <w:tc>
          <w:tcPr>
            <w:tcW w:w="160" w:type="dxa"/>
            <w:vAlign w:val="bottom"/>
          </w:tcPr>
          <w:p>
            <w:pPr>
              <w:spacing w:after="0"/>
              <w:rPr>
                <w:sz w:val="19"/>
                <w:szCs w:val="19"/>
                <w:color w:val="auto"/>
              </w:rPr>
            </w:pPr>
          </w:p>
        </w:tc>
        <w:tc>
          <w:tcPr>
            <w:tcW w:w="1560" w:type="dxa"/>
            <w:vAlign w:val="bottom"/>
          </w:tcPr>
          <w:p>
            <w:pPr>
              <w:jc w:val="right"/>
              <w:ind w:right="42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Cure program</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36,333</w:t>
            </w:r>
          </w:p>
        </w:tc>
        <w:tc>
          <w:tcPr>
            <w:tcW w:w="140" w:type="dxa"/>
            <w:vAlign w:val="bottom"/>
            <w:tcBorders>
              <w:top w:val="single" w:sz="8" w:color="CCECFF"/>
            </w:tcBorders>
            <w:shd w:val="clear" w:color="auto" w:fill="CCECFF"/>
          </w:tcPr>
          <w:p>
            <w:pPr>
              <w:spacing w:after="0"/>
              <w:rPr>
                <w:sz w:val="19"/>
                <w:szCs w:val="19"/>
                <w:color w:val="auto"/>
              </w:rPr>
            </w:pP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31,637</w:t>
            </w:r>
          </w:p>
        </w:tc>
        <w:tc>
          <w:tcPr>
            <w:tcW w:w="14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4,696</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ind w:right="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Microbiome program</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Borders>
              <w:bottom w:val="single" w:sz="8" w:color="CCEC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14,736</w:t>
            </w:r>
          </w:p>
        </w:tc>
        <w:tc>
          <w:tcPr>
            <w:tcW w:w="1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(15,766)</w:t>
            </w:r>
          </w:p>
        </w:tc>
        <w:tc>
          <w:tcPr>
            <w:tcW w:w="172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35,303</w:t>
            </w:r>
          </w:p>
        </w:tc>
        <w:tc>
          <w:tcPr>
            <w:tcW w:w="14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46,373</w:t>
            </w:r>
          </w:p>
        </w:tc>
        <w:tc>
          <w:tcPr>
            <w:tcW w:w="14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(11,070)</w:t>
            </w:r>
          </w:p>
        </w:tc>
        <w:tc>
          <w:tcPr>
            <w:tcW w:w="17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were $35.3 million for the six months ended June 30, 2021 compared to $46.4 million for the same period in 2020. The decrease was due to a decrease of $15.8 million in research and development expenses related to the wind-down of the Microbiome program, including the reversal of $3.0 million of previously recognized stock-based compensation expense related to forfeited awards of terminated employees. This decrease was partially offset by an increase of $4.7 million in research and development expenses related to the HBV program, which was primarily due to increases in clinical activities, chemistry and manufacturing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activities to support our clinical studies and increased salary and benefits due to additional employees. Research and development expenses include $1.3 million in a net reversal of non-cash stock-based compensation expense as a result of forfeited awards for the six months ended June 30, 2021 compared to $5.6 million of non-cash stock-based compensation expense for the same period in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56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49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1560" w:type="dxa"/>
            <w:vAlign w:val="bottom"/>
          </w:tcPr>
          <w:p>
            <w:pPr>
              <w:jc w:val="center"/>
              <w:ind w:right="182"/>
              <w:spacing w:after="0" w:line="155" w:lineRule="exact"/>
              <w:rPr>
                <w:sz w:val="20"/>
                <w:szCs w:val="20"/>
                <w:color w:val="auto"/>
              </w:rPr>
            </w:pPr>
            <w:r>
              <w:rPr>
                <w:rFonts w:ascii="Arial" w:cs="Arial" w:eastAsia="Arial" w:hAnsi="Arial"/>
                <w:sz w:val="14"/>
                <w:szCs w:val="14"/>
                <w:b w:val="1"/>
                <w:bCs w:val="1"/>
                <w:color w:val="auto"/>
                <w:w w:val="91"/>
              </w:rPr>
              <w:t>2021 vs. 2020</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top w:val="single" w:sz="8" w:color="auto"/>
            </w:tcBorders>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87"/>
              </w:rPr>
              <w:t>15,621</w:t>
            </w:r>
          </w:p>
        </w:tc>
        <w:tc>
          <w:tcPr>
            <w:tcW w:w="140" w:type="dxa"/>
            <w:vAlign w:val="bottom"/>
            <w:tcBorders>
              <w:top w:val="single" w:sz="8" w:color="CCECFF"/>
            </w:tcBorders>
            <w:shd w:val="clear" w:color="auto" w:fill="CCECFF"/>
          </w:tcPr>
          <w:p>
            <w:pPr>
              <w:spacing w:after="0"/>
              <w:rPr>
                <w:sz w:val="19"/>
                <w:szCs w:val="19"/>
                <w:color w:val="auto"/>
              </w:rPr>
            </w:pPr>
          </w:p>
        </w:tc>
        <w:tc>
          <w:tcPr>
            <w:tcW w:w="820" w:type="dxa"/>
            <w:vAlign w:val="bottom"/>
            <w:tcBorders>
              <w:top w:val="single" w:sz="8" w:color="auto"/>
            </w:tcBorders>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0"/>
              </w:rPr>
              <w:t>18,199</w:t>
            </w:r>
          </w:p>
        </w:tc>
        <w:tc>
          <w:tcPr>
            <w:tcW w:w="14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(2,578)</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consultants, and directors.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were $15.6 million for the six months ended June 30, 2021 compared to $18.2 million for the same period in 2020. General and administrative expenses include non-cash stock-based compensation expenses of $3.0 million for the six months ended June 30, 2021 and $6.5 million for the same period in 2020. The decrease in stock-based compensation expense of $3.5 million was due to a decrease in the grant date fair value of recent option grants and a reversal of $0.9 million of previously recognized expense in the six months ended June 30, 2021 related to forfeited awards from terminated employees. Additionally, for the three months ended June 30, 2020, we recognized $0.7 million as a cumulative catch-up adjustment of stock-based compensation expense for RSUs with performance-based vesting conditions granted to our chief executive officer which the underlying performance condition was deemed probable. This decrease in stock-based compensation expense was partially offset by an increase in lease-related costs largely attributable to asset impairment and other charges in connection with restructurings.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the exception of the net income reported during the three months ended June 30, 2020 related to the recognition of deferred revenue from the termination of the collaboration agreement with AbbVie, we have not been profitable and have generated operating losses since we were incorporated in October 2005 as a result of our significant research and development expenditures and the lack of any FDA-approved products to generate product sales revenue. We have funded our operations through June 30, 2021 principally through equity financings, raising an aggregate of $592.0 million in net proceeds, and strategic collaborations, raising an aggregate of $90.0 million through upfront payments.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Cash provided by (used in):</w:t>
            </w:r>
          </w:p>
        </w:tc>
        <w:tc>
          <w:tcPr>
            <w:tcW w:w="4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Six Months Ended June 30,</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CFF"/>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C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900" w:type="dxa"/>
            <w:vAlign w:val="bottom"/>
            <w:shd w:val="clear" w:color="auto" w:fill="CCECFF"/>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CFF"/>
          </w:tcPr>
          <w:p>
            <w:pPr>
              <w:jc w:val="right"/>
              <w:ind w:right="28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(55,152)</w:t>
            </w:r>
          </w:p>
        </w:tc>
        <w:tc>
          <w:tcPr>
            <w:tcW w:w="240" w:type="dxa"/>
            <w:vAlign w:val="bottom"/>
            <w:shd w:val="clear" w:color="auto" w:fill="CCECFF"/>
          </w:tcPr>
          <w:p>
            <w:pPr>
              <w:spacing w:after="0"/>
              <w:rPr>
                <w:sz w:val="19"/>
                <w:szCs w:val="19"/>
                <w:color w:val="auto"/>
              </w:rPr>
            </w:pPr>
          </w:p>
        </w:tc>
        <w:tc>
          <w:tcPr>
            <w:tcW w:w="740" w:type="dxa"/>
            <w:vAlign w:val="bottom"/>
            <w:shd w:val="clear" w:color="auto" w:fill="CCECFF"/>
          </w:tcPr>
          <w:p>
            <w:pPr>
              <w:jc w:val="right"/>
              <w:ind w:right="5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(48,334)</w:t>
            </w: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14,929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97,242</w:t>
            </w:r>
          </w:p>
        </w:tc>
        <w:tc>
          <w:tcPr>
            <w:tcW w:w="0" w:type="dxa"/>
            <w:vAlign w:val="bottom"/>
          </w:tcPr>
          <w:p>
            <w:pPr>
              <w:spacing w:after="0"/>
              <w:rPr>
                <w:sz w:val="1"/>
                <w:szCs w:val="1"/>
                <w:color w:val="auto"/>
              </w:rPr>
            </w:pPr>
          </w:p>
        </w:tc>
      </w:tr>
      <w:tr>
        <w:trPr>
          <w:trHeight w:val="230"/>
        </w:trPr>
        <w:tc>
          <w:tcPr>
            <w:tcW w:w="6900" w:type="dxa"/>
            <w:vAlign w:val="bottom"/>
            <w:shd w:val="clear" w:color="auto" w:fill="CCECFF"/>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CFF"/>
          </w:tcPr>
          <w:p>
            <w:pPr>
              <w:spacing w:after="0"/>
              <w:rPr>
                <w:sz w:val="19"/>
                <w:szCs w:val="19"/>
                <w:color w:val="auto"/>
              </w:rPr>
            </w:pPr>
          </w:p>
        </w:tc>
        <w:tc>
          <w:tcPr>
            <w:tcW w:w="1600" w:type="dxa"/>
            <w:vAlign w:val="bottom"/>
            <w:shd w:val="clear" w:color="auto" w:fill="CCECFF"/>
          </w:tcPr>
          <w:p>
            <w:pPr>
              <w:jc w:val="right"/>
              <w:ind w:right="37"/>
              <w:spacing w:after="0"/>
              <w:rPr>
                <w:sz w:val="20"/>
                <w:szCs w:val="20"/>
                <w:color w:val="auto"/>
              </w:rPr>
            </w:pPr>
            <w:r>
              <w:rPr>
                <w:rFonts w:ascii="Arial" w:cs="Arial" w:eastAsia="Arial" w:hAnsi="Arial"/>
                <w:sz w:val="18"/>
                <w:szCs w:val="18"/>
                <w:color w:val="auto"/>
              </w:rPr>
              <w:t>40,296</w:t>
            </w:r>
          </w:p>
        </w:tc>
        <w:tc>
          <w:tcPr>
            <w:tcW w:w="240" w:type="dxa"/>
            <w:vAlign w:val="bottom"/>
            <w:shd w:val="clear" w:color="auto" w:fill="CCECFF"/>
          </w:tcPr>
          <w:p>
            <w:pPr>
              <w:spacing w:after="0"/>
              <w:rPr>
                <w:sz w:val="19"/>
                <w:szCs w:val="19"/>
                <w:color w:val="auto"/>
              </w:rPr>
            </w:pPr>
          </w:p>
        </w:tc>
        <w:tc>
          <w:tcPr>
            <w:tcW w:w="740" w:type="dxa"/>
            <w:vAlign w:val="bottom"/>
            <w:shd w:val="clear" w:color="auto" w:fill="CCECFF"/>
          </w:tcPr>
          <w:p>
            <w:pPr>
              <w:spacing w:after="0"/>
              <w:rPr>
                <w:sz w:val="19"/>
                <w:szCs w:val="19"/>
                <w:color w:val="auto"/>
              </w:rPr>
            </w:pPr>
          </w:p>
        </w:tc>
        <w:tc>
          <w:tcPr>
            <w:tcW w:w="1320" w:type="dxa"/>
            <w:vAlign w:val="bottom"/>
            <w:shd w:val="clear" w:color="auto" w:fill="CCECFF"/>
          </w:tcPr>
          <w:p>
            <w:pPr>
              <w:jc w:val="right"/>
              <w:ind w:right="55"/>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was $55.2 million for the six months ended June 30, 2021. This was primarily due to a $50.8 million net loss and a decrease of $10.2 million of operating assets and liabilities. These decreases were partially offset by $2.0 million of amortization of operating lease right-of-use (ROU) assets, $0.2 million accretion of discount of marketable securities, $1.7 million of non-cash stock-based compensation expense, $0.2 million of depreciation and amortization expense and a $1.6 million loss on the sale of purchased leased equipment in connection with the wind-down of the Microbiome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7"/>
          <w:szCs w:val="17"/>
          <w:color w:val="auto"/>
        </w:rPr>
        <w:t>Net cash used in operating activities was $48.3 million for the six months ended June 30, 2020. This was primarily due to a $19.4 million net loss, $0.1 million of amortization of discount of marketable securities and a decrease of $43.5 million of operating assets and liabilities, which includes the recognition of the remaining deferred revenue balance of $36.0 million as revenue during the six months ended June 30, 2020 in connection with AbbVie’s decision to terminate the Allergan Collaboration Agreement. These decreases were partially offset by $12.1 million of non-cash stock-based compensation expense, $2.3 million of amortization of operating lease ROU assets and $0.2 million depreciation and amortization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provided by investing activities for the six months ended June 30, 2021 was $14.9 million due to $99.0 million of redemptions of marketable securities and $3.0 million of sale of marketable securities, which were partially offset by the purchase of $84.8 million of marketable securities. Additionally, we purchased leased equipment for $3.1 million that we sold for $0.9 million in connection with the wind-down of the Microbiome program.</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2020 was $97.2 million due to $119.3 million of redemptions of marketable securities and $22.7 million of sale of marketable securities, which were partially offset by the purchase of $44.2 million of marketable securities and $0.5 million of property and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2021 was $40.3 million resulting from the sale of 7.4 million shares of our common stock through “at-the-market” offerings, net of commissions and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was $1.1 million resulting from the exercise of stock options to purchase 91,713 shares of common stock and issuance of 42,266 shares of common stock under our ESPP.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June 2021. We expect to continue to raise capital when and as needed and at the time and in the manner most advantageous to us.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30" w:lineRule="exact"/>
        <w:rPr>
          <w:sz w:val="20"/>
          <w:szCs w:val="20"/>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0" w:name="page31"/>
    <w:bookmarkEnd w:id="30"/>
    <w:p>
      <w:pPr>
        <w:ind w:left="88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the contractual obligations disclosed in our 2020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2020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our Chief Financial Officer concluded that our disclosure controls and procedures as of the end of the period covered by this report were effective at the reasonable assurance level.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June 30, 2021 that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a party to any material legal proceedings. In the future, we may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have no approved products and depend on the future success of our HBV program.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continued spread of COVID-19, including COVID-19 variants, could adversely impact our research and development through delay, modification or suspension of our clinical and/or nonclinical studies. Other clinical-stage biotechnology companies, like us, have had their clinical and nonclinical studies affected by the COVID-19 pandemic.</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which could increase the cost of, and time for, conducting clinical studies; (3) disrupt or suspend the business operations of our third-party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our CROs’ laboratories to maintain normal workflows. Even if we are able to collect timely clinical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data while the pandemic is ongoing, COVID-19 may negatively affect the quality, completeness, integrity, interpretability and cost of obtaining such clinical study data.</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full extent of the pandemic’s impact on our business will depend on future developments, which are highly uncertain and cannot be predicted with confidence, such as the duration and severity of the pandemic and the effectiveness of actions for containment, treatment and prevention of COVID-19. However, any COVID-19-related business interruptions or delays could materially and adversely affect our ability to conduct our research and development activities in the manner and on the timelines presently planned as well as negatively affect the accuracy of our estimates regarding capital requirements, needs for additional financing and our ability to produce accurate and timely financial statements. Any of these disruptions could have a material adverse impact on our business, results of operations, financial condition and share price.</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COVID-19 pandemic, governments around the world implemented significant measures to control the spread of the virus, including quarantines, travel restrictions, stay-at-home orders and business shutdowns. While governments relaxed these measures as cases numbers decreased, surges in COVID-19 cases have prompted, and may in the future prompt, many governments to reimplement these restrictions, including in Europe and the United States. We continue to take precautionary measures intended to minimize our employees’ potential exposure to the virus, including temporarily requiring all employees who are able to do so to work remotely and suspending all non-essential business travel worldwide for our employees. The majority of our employees continuing to work remotely may disrupt our operations, increase the risk of a cybersecurity incident or otherwise negatively affect our business.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or debt financings and payments we may receive from out-licensing, collaborations or other strategic arrangements. However, there is no assurance that we will be successful in raising any necessary additional capital on terms that are acceptable to us, or at all.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commencement and rate of completion of clinical studies might be delayed by many factors, including, for example:</w:t>
      </w:r>
    </w:p>
    <w:p>
      <w:pPr>
        <w:spacing w:after="0" w:line="198"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study design;</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demonstrate efficacy or the emergence of unforeseen safety issues;</w:t>
      </w:r>
    </w:p>
    <w:p>
      <w:pPr>
        <w:spacing w:after="0" w:line="211"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12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3"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patients completing participation in a study or return for post-treatment follow-up for any reason, including, product side effects or disease progression;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CROs to conduct some of our nonclinical and clinical studies due to our lack of suitable facilities and resources.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not be able to complete our clinical studies and may fail to obtain regulatory approval for our product candidates.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Top-line or preliminary data may not accurately reflect the final results of a particular study.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preliminary data based on analysis of then-available efficacy, tolerability, pharmacokinetics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top-line or preliminary results, the information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third-party manufacturers to supply the quantities of VBR, 2158 and 3733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compounds, drug substances and drug products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products.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jc w:val="both"/>
        <w:ind w:left="880" w:hanging="440"/>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143"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increasing risk of misappropriation or disclosure of our intellectual property by or to third parties.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management personnel and cannot recruit and retain similarly qualified replacements, our business may materially suffer.</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loss of any of these key employees could have a material adverse impact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designations for VBR and 2158 may not result in faster development, regulatory review or approval.</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nonclinical or clinical data demonstrate potential to address unmet medical needs for a serious or life-threatening condition, the sponsor may apply for FDA Fast Track designation. Fast Track designation provides increased opportunities for sponsor meetings with the FDA during nonclinical and clinical development, in addition to the potential for rolling review once a marketing application is filed. Both VBR and 2158 have received Fast Track designation for the treatment of patients with chronic HBV infection. However,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 Any such withdrawal could adversely affect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an in-license relationship for VBR.</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license agreement with Indiana University Research and Technology Corporation (IURTC) imposes diligence requirements on us and requires us to make milestone payments based upon the successful accomplishment of clinical and regulatory milestones related to VBR, royalty payments if VBR is approved and diligence maintenance fees. These payments will make it less profitable for us to develop VBR than if we owned the technology outright. In addition, if we breach any of our obligations under our license agreement, IURTC may have a right to terminate the license, in which event we could lose our rights to VBR.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partners might delay, prevent, or undermine the success of our product candidates.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addition, a lack of development and marketing collaborations might lead to significant delays in introducing proposed products into certain markets and/or reduced sales of proposed products in such markets.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data provided by third parties that has not been independently verified and could prove to be false, misleading, or incomplete.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is rapidly changing; we expect new data from commercial and clinical-stage products to continue to emerge. We compete with organizations, some with significantly more resources, who are developing competitive product candidates. If our competitors develop effective treatments for HBV or any other indication or field we might pursue, and successfully commercialize those treatments, our business and prospects could be materially harmed.</w:t>
      </w:r>
    </w:p>
    <w:p>
      <w:pPr>
        <w:spacing w:after="0" w:line="13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Other companies with core inhibitor products may produce negative clinical data, which would adversely affect public and clinical communities’ perceptions of our product candidates and may negatively impact regulatory approval of, or demand for, our potential products.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HBV therapy research and development efforts involve therapeutics based on modulating forms of HBV core proteins with core inhibitors. Negative data from clinical studies using a competitor’s core inhibitors could adversely impact the perception of the therapeutic use of our product candidates and our ability to enroll patients in clinical studies.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clinical and commercial success of our potential products will depend in part on the public and clinical communities’ acceptance of core inhibitors, a novel class of product candidates. Moreover, our success depends upon physicians prescribing, and their patients being willing to receive, treatments that involve the use of core inhibitor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core inhibitor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penalties, withdrawals of previously approved marketing applications, recommendations by the FDA or other regulatory authorities against governmental contracts, and/or criminal prosecutions.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Regulators globally are imposing greater monetary fines for privacy violations. The GDPR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failure to:</w:t>
      </w:r>
    </w:p>
    <w:p>
      <w:pPr>
        <w:spacing w:after="0" w:line="185"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applicable regulations of, and provide accurate information to, the FDA or comparable foreign regulatory authorities;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and trade laws;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 financial information and data accurately; or</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 unauthorized activities.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96"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tariffs, war and terrorism, natural disasters or outbreaks of disease.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also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Thus, even if we or our licensors obtain patents, the patents might be substantially narrower than anticipated.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43" w:name="page44"/>
    <w:bookmarkEnd w:id="43"/>
    <w:p>
      <w:pPr>
        <w:jc w:val="both"/>
        <w:spacing w:after="0" w:line="290" w:lineRule="auto"/>
        <w:rPr>
          <w:sz w:val="20"/>
          <w:szCs w:val="20"/>
          <w:color w:val="auto"/>
        </w:rPr>
      </w:pPr>
      <w:r>
        <w:rPr>
          <w:rFonts w:ascii="Arial" w:cs="Arial" w:eastAsia="Arial" w:hAnsi="Arial"/>
          <w:sz w:val="16"/>
          <w:szCs w:val="16"/>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our patents and other intellectual property rights.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223"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880" w:hanging="440"/>
        <w:spacing w:after="0" w:line="311"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auto"/>
        </w:rPr>
        <w:t>In China, although the government has recently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studies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Filed</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Incorporated</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gridSpan w:val="2"/>
            <w:vMerge w:val="continue"/>
          </w:tcPr>
          <w:p>
            <w:pPr>
              <w:spacing w:after="0"/>
              <w:rPr>
                <w:sz w:val="12"/>
                <w:szCs w:val="12"/>
                <w:color w:val="auto"/>
              </w:rPr>
            </w:pPr>
          </w:p>
        </w:tc>
        <w:tc>
          <w:tcPr>
            <w:tcW w:w="570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80" w:type="dxa"/>
            <w:vAlign w:val="bottom"/>
            <w:vMerge w:val="restart"/>
          </w:tcPr>
          <w:p>
            <w:pPr>
              <w:spacing w:after="0"/>
              <w:rPr>
                <w:sz w:val="12"/>
                <w:szCs w:val="12"/>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57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10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5920" w:type="dxa"/>
            <w:vAlign w:val="bottom"/>
            <w:gridSpan w:val="6"/>
          </w:tcPr>
          <w:p>
            <w:pPr>
              <w:spacing w:after="0"/>
              <w:rPr>
                <w:rFonts w:ascii="Arial" w:cs="Arial" w:eastAsia="Arial" w:hAnsi="Arial"/>
                <w:sz w:val="18"/>
                <w:szCs w:val="18"/>
                <w:color w:val="0000EE"/>
                <w:w w:val="97"/>
              </w:rPr>
            </w:pPr>
            <w:hyperlink r:id="rId73">
              <w:r>
                <w:rPr>
                  <w:rFonts w:ascii="Arial" w:cs="Arial" w:eastAsia="Arial" w:hAnsi="Arial"/>
                  <w:sz w:val="18"/>
                  <w:szCs w:val="18"/>
                  <w:color w:val="0000EE"/>
                  <w:w w:val="97"/>
                </w:rPr>
                <w:t>Amendment No. 4 to Assembly Biosciences, Inc. 2018 Stock Incentive Plan.</w:t>
              </w:r>
            </w:hyperlink>
          </w:p>
        </w:tc>
        <w:tc>
          <w:tcPr>
            <w:tcW w:w="3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7"/>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5920" w:type="dxa"/>
            <w:vAlign w:val="bottom"/>
            <w:gridSpan w:val="6"/>
          </w:tcPr>
          <w:p>
            <w:pPr>
              <w:spacing w:after="0"/>
              <w:rPr>
                <w:rFonts w:ascii="Arial" w:cs="Arial" w:eastAsia="Arial" w:hAnsi="Arial"/>
                <w:sz w:val="18"/>
                <w:szCs w:val="18"/>
                <w:color w:val="0000EE"/>
                <w:w w:val="99"/>
              </w:rPr>
            </w:pPr>
            <w:hyperlink r:id="rId74">
              <w:r>
                <w:rPr>
                  <w:rFonts w:ascii="Arial" w:cs="Arial" w:eastAsia="Arial" w:hAnsi="Arial"/>
                  <w:sz w:val="18"/>
                  <w:szCs w:val="18"/>
                  <w:color w:val="0000EE"/>
                  <w:w w:val="99"/>
                </w:rPr>
                <w:t>Assembly Biosciences, Inc. Amended and Restated 2018 Employee Stock</w:t>
              </w:r>
            </w:hyperlink>
          </w:p>
        </w:tc>
        <w:tc>
          <w:tcPr>
            <w:tcW w:w="38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Purchase Plan.</w:t>
              </w:r>
            </w:hyperlink>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7"/>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592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Chief Executive Officer Pursuant to Section 302 of the</w:t>
              </w:r>
            </w:hyperlink>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r>
      <w:tr>
        <w:trPr>
          <w:trHeight w:val="196"/>
        </w:trPr>
        <w:tc>
          <w:tcPr>
            <w:tcW w:w="940" w:type="dxa"/>
            <w:vAlign w:val="bottom"/>
          </w:tcPr>
          <w:p>
            <w:pPr>
              <w:spacing w:after="0"/>
              <w:rPr>
                <w:sz w:val="17"/>
                <w:szCs w:val="17"/>
                <w:color w:val="auto"/>
              </w:rPr>
            </w:pPr>
          </w:p>
        </w:tc>
        <w:tc>
          <w:tcPr>
            <w:tcW w:w="51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Sarbanes-Oxley Act of 2002.</w:t>
              </w:r>
            </w:hyperlink>
          </w:p>
        </w:tc>
        <w:tc>
          <w:tcPr>
            <w:tcW w:w="82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920" w:val="left"/>
          <w:tab w:leader="none" w:pos="23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05/25/2021</w:t>
      </w:r>
      <w:r>
        <w:rPr>
          <w:sz w:val="20"/>
          <w:szCs w:val="20"/>
          <w:color w:val="auto"/>
        </w:rPr>
        <w:tab/>
      </w:r>
      <w:r>
        <w:rPr>
          <w:rFonts w:ascii="Arial" w:cs="Arial" w:eastAsia="Arial" w:hAnsi="Arial"/>
          <w:sz w:val="16"/>
          <w:szCs w:val="16"/>
          <w:color w:val="auto"/>
        </w:rPr>
        <w:t>10.1</w:t>
      </w:r>
    </w:p>
    <w:p>
      <w:pPr>
        <w:spacing w:after="0" w:line="198" w:lineRule="exact"/>
        <w:rPr>
          <w:sz w:val="20"/>
          <w:szCs w:val="20"/>
          <w:color w:val="auto"/>
        </w:rPr>
      </w:pPr>
    </w:p>
    <w:p>
      <w:pPr>
        <w:spacing w:after="0"/>
        <w:tabs>
          <w:tab w:leader="none" w:pos="920" w:val="left"/>
          <w:tab w:leader="none" w:pos="23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05/25/2021</w:t>
      </w:r>
      <w:r>
        <w:rPr>
          <w:sz w:val="20"/>
          <w:szCs w:val="20"/>
          <w:color w:val="auto"/>
        </w:rPr>
        <w:tab/>
      </w:r>
      <w:r>
        <w:rPr>
          <w:rFonts w:ascii="Arial" w:cs="Arial" w:eastAsia="Arial" w:hAnsi="Arial"/>
          <w:sz w:val="16"/>
          <w:szCs w:val="16"/>
          <w:color w:val="auto"/>
        </w:rPr>
        <w:t>10.2</w:t>
      </w:r>
    </w:p>
    <w:p>
      <w:pPr>
        <w:spacing w:after="0" w:line="694" w:lineRule="exact"/>
        <w:rPr>
          <w:sz w:val="20"/>
          <w:szCs w:val="20"/>
          <w:color w:val="auto"/>
        </w:rPr>
      </w:pPr>
    </w:p>
    <w:p>
      <w:pPr>
        <w:sectPr>
          <w:pgSz w:w="11900" w:h="16838" w:orient="portrait"/>
          <w:cols w:equalWidth="0" w:num="2">
            <w:col w:w="7500" w:space="720"/>
            <w:col w:w="30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5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Certification of the Chief Financial Officer Pursuant to Section 302 of the</w:t>
              </w:r>
            </w:hyperlink>
          </w:p>
        </w:tc>
        <w:tc>
          <w:tcPr>
            <w:tcW w:w="500" w:type="dxa"/>
            <w:vAlign w:val="bottom"/>
          </w:tcPr>
          <w:p>
            <w:pPr>
              <w:spacing w:after="0"/>
              <w:rPr>
                <w:sz w:val="17"/>
                <w:szCs w:val="17"/>
                <w:color w:val="auto"/>
              </w:rPr>
            </w:pPr>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196"/>
        </w:trPr>
        <w:tc>
          <w:tcPr>
            <w:tcW w:w="1040" w:type="dxa"/>
            <w:vAlign w:val="bottom"/>
          </w:tcPr>
          <w:p>
            <w:pPr>
              <w:spacing w:after="0"/>
              <w:rPr>
                <w:sz w:val="17"/>
                <w:szCs w:val="17"/>
                <w:color w:val="auto"/>
              </w:rPr>
            </w:pPr>
          </w:p>
        </w:tc>
        <w:tc>
          <w:tcPr>
            <w:tcW w:w="5820" w:type="dxa"/>
            <w:vAlign w:val="bottom"/>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Sarbanes-Oxley Act of 2002.</w:t>
              </w:r>
            </w:hyperlink>
          </w:p>
        </w:tc>
        <w:tc>
          <w:tcPr>
            <w:tcW w:w="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582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Certification of Chief Executive Officer Pursuant to Section 906 of the</w:t>
              </w:r>
            </w:hyperlink>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196"/>
        </w:trPr>
        <w:tc>
          <w:tcPr>
            <w:tcW w:w="1040" w:type="dxa"/>
            <w:vAlign w:val="bottom"/>
          </w:tcPr>
          <w:p>
            <w:pPr>
              <w:spacing w:after="0"/>
              <w:rPr>
                <w:sz w:val="17"/>
                <w:szCs w:val="17"/>
                <w:color w:val="auto"/>
              </w:rPr>
            </w:pPr>
          </w:p>
        </w:tc>
        <w:tc>
          <w:tcPr>
            <w:tcW w:w="51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Sarbanes-Oxley Act of 2002.</w:t>
              </w:r>
            </w:hyperlink>
          </w:p>
        </w:tc>
        <w:tc>
          <w:tcPr>
            <w:tcW w:w="7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5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the Chief Financial Officer Pursuant to Section 906 of the</w:t>
              </w:r>
            </w:hyperlink>
          </w:p>
        </w:tc>
        <w:tc>
          <w:tcPr>
            <w:tcW w:w="500" w:type="dxa"/>
            <w:vAlign w:val="bottom"/>
          </w:tcPr>
          <w:p>
            <w:pPr>
              <w:spacing w:after="0"/>
              <w:rPr>
                <w:sz w:val="24"/>
                <w:szCs w:val="24"/>
                <w:color w:val="auto"/>
              </w:rPr>
            </w:pPr>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196"/>
        </w:trPr>
        <w:tc>
          <w:tcPr>
            <w:tcW w:w="1040" w:type="dxa"/>
            <w:vAlign w:val="bottom"/>
          </w:tcPr>
          <w:p>
            <w:pPr>
              <w:spacing w:after="0"/>
              <w:rPr>
                <w:sz w:val="17"/>
                <w:szCs w:val="17"/>
                <w:color w:val="auto"/>
              </w:rPr>
            </w:pPr>
          </w:p>
        </w:tc>
        <w:tc>
          <w:tcPr>
            <w:tcW w:w="5820" w:type="dxa"/>
            <w:vAlign w:val="bottom"/>
            <w:gridSpan w:val="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Sarbanes-Oxley Act of 2002.</w:t>
              </w:r>
            </w:hyperlink>
          </w:p>
        </w:tc>
        <w:tc>
          <w:tcPr>
            <w:tcW w:w="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8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820" w:type="dxa"/>
            <w:vAlign w:val="bottom"/>
            <w:gridSpan w:val="4"/>
          </w:tcPr>
          <w:p>
            <w:pPr>
              <w:spacing w:after="0"/>
              <w:rPr>
                <w:sz w:val="20"/>
                <w:szCs w:val="20"/>
                <w:color w:val="auto"/>
              </w:rPr>
            </w:pPr>
            <w:r>
              <w:rPr>
                <w:rFonts w:ascii="Arial" w:cs="Arial" w:eastAsia="Arial" w:hAnsi="Arial"/>
                <w:sz w:val="18"/>
                <w:szCs w:val="18"/>
                <w:color w:val="auto"/>
                <w:w w:val="97"/>
              </w:rPr>
              <w:t>Cover Page Interactive Data File (formatted as inline XBRL with applicable</w:t>
            </w:r>
          </w:p>
        </w:tc>
        <w:tc>
          <w:tcPr>
            <w:tcW w:w="480" w:type="dxa"/>
            <w:vAlign w:val="bottom"/>
          </w:tcPr>
          <w:p>
            <w:pPr>
              <w:ind w:left="340"/>
              <w:spacing w:after="0"/>
              <w:rPr>
                <w:sz w:val="20"/>
                <w:szCs w:val="20"/>
                <w:color w:val="auto"/>
              </w:rPr>
            </w:pPr>
            <w:r>
              <w:rPr>
                <w:rFonts w:ascii="Arial" w:cs="Arial" w:eastAsia="Arial" w:hAnsi="Arial"/>
                <w:sz w:val="18"/>
                <w:szCs w:val="18"/>
                <w:color w:val="auto"/>
                <w:w w:val="99"/>
              </w:rPr>
              <w:t>X</w:t>
            </w:r>
          </w:p>
        </w:tc>
      </w:tr>
      <w:tr>
        <w:trPr>
          <w:trHeight w:val="230"/>
        </w:trPr>
        <w:tc>
          <w:tcPr>
            <w:tcW w:w="104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480" w:type="dxa"/>
            <w:vAlign w:val="bottom"/>
          </w:tcPr>
          <w:p>
            <w:pPr>
              <w:spacing w:after="0"/>
              <w:rPr>
                <w:sz w:val="20"/>
                <w:szCs w:val="20"/>
                <w:color w:val="auto"/>
              </w:rPr>
            </w:pPr>
          </w:p>
        </w:tc>
      </w:tr>
    </w:tbl>
    <w:p>
      <w:pPr>
        <w:spacing w:after="0" w:line="202"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jc w:val="both"/>
        <w:ind w:left="580" w:hanging="572"/>
        <w:spacing w:after="0" w:line="25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 and are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5, 2021</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5, 2021</w:t>
            </w:r>
          </w:p>
        </w:tc>
        <w:tc>
          <w:tcPr>
            <w:tcW w:w="2540" w:type="dxa"/>
            <w:vAlign w:val="bottom"/>
          </w:tcPr>
          <w:p>
            <w:pPr>
              <w:ind w:left="21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Samar</w:t>
            </w:r>
          </w:p>
        </w:tc>
      </w:tr>
      <w:tr>
        <w:trPr>
          <w:trHeight w:val="195"/>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Michael P. Samar</w:t>
            </w:r>
          </w:p>
        </w:tc>
      </w:t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3540" w:type="dxa"/>
            <w:vAlign w:val="bottom"/>
          </w:tcPr>
          <w:p>
            <w:pPr>
              <w:spacing w:after="0"/>
              <w:rPr>
                <w:sz w:val="24"/>
                <w:szCs w:val="24"/>
                <w:color w:val="auto"/>
              </w:rPr>
            </w:pP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46</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P. Samar,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Samar</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Michael P. Samar</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6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connection with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 (the Company) for the period ended June 30, 2021 as filed with the Securities and Exchange Commission on or about the date hereof (the Report), I, John G. McHutchison, A.O., M.D., Chief Executive Officer and President, hereby certify, pursuant to 18 U.S.C. Section 1350, as adopted pursuant to Section 906 of the Sarbanes-Oxley Act of 2002, that, to my knowledge:</w:t>
      </w:r>
    </w:p>
    <w:p>
      <w:pPr>
        <w:spacing w:after="0" w:line="177" w:lineRule="exact"/>
        <w:rPr>
          <w:sz w:val="20"/>
          <w:szCs w:val="20"/>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June 30, 2021 as filed with the Securities and Exchange Commission on or about the date hereof (the Report), I, Michael P. Samar, Chief Financial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P. Samar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P. Samar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August 5,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3" Type="http://schemas.openxmlformats.org/officeDocument/2006/relationships/hyperlink" Target="http://www.sec.gov/Archives/edgar/data/1426800/000156459021029780/asmb-ex101_16.htm" TargetMode="External"/><Relationship Id="rId74" Type="http://schemas.openxmlformats.org/officeDocument/2006/relationships/hyperlink" Target="http://www.sec.gov/Archives/edgar/data/1426800/000156459021029780/asmb-ex102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2021-08-05T17:14:19Z</dcterms:created>
  <dcterms:modified xsi:type="dcterms:W3CDTF">2021-08-05T17:14:19Z</dcterms:modified>
</cp:coreProperties>
</file>