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94615</wp:posOffset>
            </wp:positionV>
            <wp:extent cx="21088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99060</wp:posOffset>
            </wp:positionV>
            <wp:extent cx="21088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256" w:lineRule="exact"/>
        <w:rPr>
          <w:sz w:val="24"/>
          <w:szCs w:val="24"/>
          <w:color w:val="auto"/>
        </w:rPr>
      </w:pPr>
    </w:p>
    <w:p>
      <w:pPr>
        <w:ind w:left="4000" w:right="2520" w:hanging="3992"/>
        <w:spacing w:after="0" w:line="422" w:lineRule="auto"/>
        <w:tabs>
          <w:tab w:leader="none" w:pos="476"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40" w:lineRule="exact"/>
        <w:rPr>
          <w:sz w:val="24"/>
          <w:szCs w:val="24"/>
          <w:color w:val="auto"/>
        </w:rPr>
      </w:pPr>
    </w:p>
    <w:p>
      <w:pPr>
        <w:ind w:left="3580" w:right="2520" w:hanging="3572"/>
        <w:spacing w:after="0" w:line="422" w:lineRule="auto"/>
        <w:tabs>
          <w:tab w:leader="none" w:pos="47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___________to___________.</w:t>
      </w:r>
    </w:p>
    <w:p>
      <w:pPr>
        <w:ind w:left="43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Commission file number: 001-35005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116205</wp:posOffset>
            </wp:positionV>
            <wp:extent cx="21088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253" w:lineRule="exact"/>
        <w:rPr>
          <w:sz w:val="24"/>
          <w:szCs w:val="24"/>
          <w:color w:val="auto"/>
        </w:rPr>
      </w:pPr>
    </w:p>
    <w:tbl>
      <w:tblPr>
        <w:tblLayout w:type="fixed"/>
        <w:tblInd w:w="1520" w:type="dxa"/>
        <w:tblCellMar>
          <w:top w:w="0" w:type="dxa"/>
          <w:left w:w="0" w:type="dxa"/>
          <w:bottom w:w="0" w:type="dxa"/>
          <w:right w:w="0" w:type="dxa"/>
        </w:tblCellMar>
      </w:tblPr>
      <w:tr>
        <w:trPr>
          <w:trHeight w:val="261"/>
        </w:trPr>
        <w:tc>
          <w:tcPr>
            <w:tcW w:w="8080" w:type="dxa"/>
            <w:vAlign w:val="bottom"/>
            <w:gridSpan w:val="2"/>
          </w:tcPr>
          <w:p>
            <w:pPr>
              <w:jc w:val="center"/>
              <w:ind w:left="36"/>
              <w:spacing w:after="0"/>
              <w:rPr>
                <w:sz w:val="20"/>
                <w:szCs w:val="20"/>
                <w:color w:val="auto"/>
              </w:rPr>
            </w:pPr>
            <w:r>
              <w:rPr>
                <w:rFonts w:ascii="Times New Roman" w:cs="Times New Roman" w:eastAsia="Times New Roman" w:hAnsi="Times New Roman"/>
                <w:sz w:val="22"/>
                <w:szCs w:val="22"/>
                <w:b w:val="1"/>
                <w:bCs w:val="1"/>
                <w:color w:val="auto"/>
                <w:w w:val="98"/>
              </w:rPr>
              <w:t>ASSEMBLY BIOSCIENCES, INC.</w:t>
            </w:r>
          </w:p>
        </w:tc>
      </w:tr>
      <w:tr>
        <w:trPr>
          <w:trHeight w:val="210"/>
        </w:trPr>
        <w:tc>
          <w:tcPr>
            <w:tcW w:w="8080" w:type="dxa"/>
            <w:vAlign w:val="bottom"/>
            <w:gridSpan w:val="2"/>
          </w:tcPr>
          <w:p>
            <w:pPr>
              <w:jc w:val="center"/>
              <w:ind w:left="36"/>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r>
      <w:tr>
        <w:trPr>
          <w:trHeight w:val="276"/>
        </w:trPr>
        <w:tc>
          <w:tcPr>
            <w:tcW w:w="3100" w:type="dxa"/>
            <w:vAlign w:val="bottom"/>
          </w:tcPr>
          <w:p>
            <w:pPr>
              <w:jc w:val="center"/>
              <w:ind w:right="436"/>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498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20-8729264</w:t>
            </w:r>
          </w:p>
        </w:tc>
      </w:tr>
      <w:tr>
        <w:trPr>
          <w:trHeight w:val="203"/>
        </w:trPr>
        <w:tc>
          <w:tcPr>
            <w:tcW w:w="3100" w:type="dxa"/>
            <w:vAlign w:val="bottom"/>
          </w:tcPr>
          <w:p>
            <w:pPr>
              <w:jc w:val="center"/>
              <w:ind w:right="416"/>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4980" w:type="dxa"/>
            <w:vAlign w:val="bottom"/>
          </w:tcPr>
          <w:p>
            <w:pPr>
              <w:jc w:val="center"/>
              <w:ind w:left="255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10"/>
        </w:trPr>
        <w:tc>
          <w:tcPr>
            <w:tcW w:w="3100" w:type="dxa"/>
            <w:vAlign w:val="bottom"/>
          </w:tcPr>
          <w:p>
            <w:pPr>
              <w:jc w:val="center"/>
              <w:ind w:right="416"/>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4980" w:type="dxa"/>
            <w:vAlign w:val="bottom"/>
          </w:tcPr>
          <w:p>
            <w:pPr>
              <w:spacing w:after="0"/>
              <w:rPr>
                <w:sz w:val="18"/>
                <w:szCs w:val="18"/>
                <w:color w:val="auto"/>
              </w:rPr>
            </w:pPr>
          </w:p>
        </w:tc>
      </w:tr>
      <w:tr>
        <w:trPr>
          <w:trHeight w:val="274"/>
        </w:trPr>
        <w:tc>
          <w:tcPr>
            <w:tcW w:w="3100" w:type="dxa"/>
            <w:vAlign w:val="bottom"/>
          </w:tcPr>
          <w:p>
            <w:pPr>
              <w:jc w:val="center"/>
              <w:ind w:right="416"/>
              <w:spacing w:after="0"/>
              <w:rPr>
                <w:sz w:val="20"/>
                <w:szCs w:val="20"/>
                <w:color w:val="auto"/>
              </w:rPr>
            </w:pPr>
            <w:r>
              <w:rPr>
                <w:rFonts w:ascii="Times New Roman" w:cs="Times New Roman" w:eastAsia="Times New Roman" w:hAnsi="Times New Roman"/>
                <w:sz w:val="16"/>
                <w:szCs w:val="16"/>
                <w:b w:val="1"/>
                <w:bCs w:val="1"/>
                <w:color w:val="auto"/>
              </w:rPr>
              <w:t>Two Tower Place, 7th Floor</w:t>
            </w:r>
          </w:p>
        </w:tc>
        <w:tc>
          <w:tcPr>
            <w:tcW w:w="4980" w:type="dxa"/>
            <w:vAlign w:val="bottom"/>
          </w:tcPr>
          <w:p>
            <w:pPr>
              <w:spacing w:after="0"/>
              <w:rPr>
                <w:sz w:val="23"/>
                <w:szCs w:val="23"/>
                <w:color w:val="auto"/>
              </w:rPr>
            </w:pPr>
          </w:p>
        </w:tc>
      </w:tr>
      <w:tr>
        <w:trPr>
          <w:trHeight w:val="205"/>
        </w:trPr>
        <w:tc>
          <w:tcPr>
            <w:tcW w:w="3100" w:type="dxa"/>
            <w:vAlign w:val="bottom"/>
          </w:tcPr>
          <w:p>
            <w:pPr>
              <w:jc w:val="center"/>
              <w:ind w:right="436"/>
              <w:spacing w:after="0"/>
              <w:rPr>
                <w:sz w:val="20"/>
                <w:szCs w:val="20"/>
                <w:color w:val="auto"/>
              </w:rPr>
            </w:pPr>
            <w:r>
              <w:rPr>
                <w:rFonts w:ascii="Times New Roman" w:cs="Times New Roman" w:eastAsia="Times New Roman" w:hAnsi="Times New Roman"/>
                <w:sz w:val="16"/>
                <w:szCs w:val="16"/>
                <w:b w:val="1"/>
                <w:bCs w:val="1"/>
                <w:color w:val="auto"/>
              </w:rPr>
              <w:t>South San Francisco, California</w:t>
            </w:r>
          </w:p>
        </w:tc>
        <w:tc>
          <w:tcPr>
            <w:tcW w:w="4980" w:type="dxa"/>
            <w:vAlign w:val="bottom"/>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94080</w:t>
            </w:r>
          </w:p>
        </w:tc>
      </w:tr>
      <w:tr>
        <w:trPr>
          <w:trHeight w:val="210"/>
        </w:trPr>
        <w:tc>
          <w:tcPr>
            <w:tcW w:w="3100" w:type="dxa"/>
            <w:vAlign w:val="bottom"/>
          </w:tcPr>
          <w:p>
            <w:pPr>
              <w:jc w:val="center"/>
              <w:ind w:right="436"/>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4980" w:type="dxa"/>
            <w:vAlign w:val="bottom"/>
          </w:tcPr>
          <w:p>
            <w:pPr>
              <w:jc w:val="center"/>
              <w:ind w:left="2559"/>
              <w:spacing w:after="0"/>
              <w:rPr>
                <w:sz w:val="20"/>
                <w:szCs w:val="20"/>
                <w:color w:val="auto"/>
              </w:rPr>
            </w:pPr>
            <w:r>
              <w:rPr>
                <w:rFonts w:ascii="Times New Roman" w:cs="Times New Roman" w:eastAsia="Times New Roman" w:hAnsi="Times New Roman"/>
                <w:sz w:val="16"/>
                <w:szCs w:val="16"/>
                <w:color w:val="auto"/>
              </w:rPr>
              <w:t>(zip code)</w:t>
            </w:r>
          </w:p>
        </w:tc>
      </w:tr>
      <w:tr>
        <w:trPr>
          <w:trHeight w:val="283"/>
        </w:trPr>
        <w:tc>
          <w:tcPr>
            <w:tcW w:w="3100" w:type="dxa"/>
            <w:vAlign w:val="bottom"/>
          </w:tcPr>
          <w:p>
            <w:pPr>
              <w:spacing w:after="0"/>
              <w:rPr>
                <w:sz w:val="24"/>
                <w:szCs w:val="24"/>
                <w:color w:val="auto"/>
              </w:rPr>
            </w:pPr>
          </w:p>
        </w:tc>
        <w:tc>
          <w:tcPr>
            <w:tcW w:w="4980" w:type="dxa"/>
            <w:vAlign w:val="bottom"/>
          </w:tcPr>
          <w:p>
            <w:pPr>
              <w:jc w:val="center"/>
              <w:ind w:right="2879"/>
              <w:spacing w:after="0"/>
              <w:rPr>
                <w:sz w:val="20"/>
                <w:szCs w:val="20"/>
                <w:color w:val="auto"/>
              </w:rPr>
            </w:pPr>
            <w:r>
              <w:rPr>
                <w:rFonts w:ascii="Times New Roman" w:cs="Times New Roman" w:eastAsia="Times New Roman" w:hAnsi="Times New Roman"/>
                <w:sz w:val="16"/>
                <w:szCs w:val="16"/>
                <w:b w:val="1"/>
                <w:bCs w:val="1"/>
                <w:color w:val="auto"/>
              </w:rPr>
              <w:t>(833) 509-4583</w:t>
            </w:r>
          </w:p>
        </w:tc>
      </w:tr>
    </w:tbl>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101600</wp:posOffset>
            </wp:positionV>
            <wp:extent cx="21088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0" w:lineRule="exact"/>
        <w:rPr>
          <w:sz w:val="24"/>
          <w:szCs w:val="24"/>
          <w:color w:val="auto"/>
        </w:rPr>
      </w:pPr>
    </w:p>
    <w:tbl>
      <w:tblPr>
        <w:tblLayout w:type="fixed"/>
        <w:tblInd w:w="10" w:type="dxa"/>
        <w:tblCellMar>
          <w:top w:w="0" w:type="dxa"/>
          <w:left w:w="0" w:type="dxa"/>
          <w:bottom w:w="0" w:type="dxa"/>
          <w:right w:w="0" w:type="dxa"/>
        </w:tblCellMar>
      </w:tblPr>
      <w:tr>
        <w:trPr>
          <w:trHeight w:val="203"/>
        </w:trPr>
        <w:tc>
          <w:tcPr>
            <w:tcW w:w="45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37"/>
        </w:trPr>
        <w:tc>
          <w:tcPr>
            <w:tcW w:w="4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$0.001</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ASMB</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67"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9"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84" w:lineRule="exact"/>
        <w:tabs>
          <w:tab w:leader="none" w:pos="5480" w:val="left"/>
          <w:tab w:leader="none" w:pos="866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Accelerated filer</w:t>
      </w:r>
      <w:r>
        <w:rPr>
          <w:sz w:val="20"/>
          <w:szCs w:val="20"/>
          <w:color w:val="auto"/>
        </w:rPr>
        <w:tab/>
      </w:r>
      <w:r>
        <w:rPr>
          <w:rFonts w:ascii="MS PGothic" w:cs="MS PGothic" w:eastAsia="MS PGothic" w:hAnsi="MS PGothic"/>
          <w:sz w:val="14"/>
          <w:szCs w:val="14"/>
          <w:color w:val="auto"/>
        </w:rPr>
        <w:t>☐</w:t>
      </w:r>
    </w:p>
    <w:p>
      <w:pPr>
        <w:spacing w:after="0" w:line="73" w:lineRule="exact"/>
        <w:rPr>
          <w:sz w:val="24"/>
          <w:szCs w:val="24"/>
          <w:color w:val="auto"/>
        </w:rPr>
      </w:pPr>
    </w:p>
    <w:p>
      <w:pPr>
        <w:spacing w:after="0" w:line="184" w:lineRule="exact"/>
        <w:tabs>
          <w:tab w:leader="none" w:pos="5480" w:val="left"/>
          <w:tab w:leader="none" w:pos="866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1" w:lineRule="exact"/>
        <w:rPr>
          <w:sz w:val="24"/>
          <w:szCs w:val="24"/>
          <w:color w:val="auto"/>
        </w:rPr>
      </w:pPr>
    </w:p>
    <w:p>
      <w:pPr>
        <w:sectPr>
          <w:pgSz w:w="11900" w:h="16838" w:orient="portrait"/>
          <w:cols w:equalWidth="0" w:num="2">
            <w:col w:w="1780" w:space="600"/>
            <w:col w:w="8860"/>
          </w:cols>
          <w:pgMar w:left="320" w:top="1440" w:right="339" w:bottom="1440" w:gutter="0" w:footer="0" w:header="0"/>
          <w:type w:val="continuous"/>
        </w:sect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right="2800"/>
        <w:spacing w:after="0" w:line="26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1, 2026, there were 15,892,608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1097280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73"/>
        </w:trPr>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29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PART I:</w:t>
            </w:r>
          </w:p>
        </w:tc>
        <w:tc>
          <w:tcPr>
            <w:tcW w:w="94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4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1120" w:type="dxa"/>
            <w:vAlign w:val="bottom"/>
          </w:tcPr>
          <w:p>
            <w:pPr>
              <w:spacing w:after="0"/>
              <w:rPr>
                <w:sz w:val="24"/>
                <w:szCs w:val="24"/>
                <w:color w:val="auto"/>
              </w:rPr>
            </w:pPr>
          </w:p>
        </w:tc>
        <w:tc>
          <w:tcPr>
            <w:tcW w:w="94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 at March 31, 2026 (unaudited) and December 31, 2025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1120" w:type="dxa"/>
            <w:vAlign w:val="bottom"/>
          </w:tcPr>
          <w:p>
            <w:pPr>
              <w:spacing w:after="0"/>
              <w:rPr>
                <w:sz w:val="24"/>
                <w:szCs w:val="24"/>
                <w:color w:val="auto"/>
              </w:rPr>
            </w:pPr>
          </w:p>
        </w:tc>
        <w:tc>
          <w:tcPr>
            <w:tcW w:w="94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for the Three Months Ended March 31, 2026 and</w:t>
            </w:r>
          </w:p>
        </w:tc>
        <w:tc>
          <w:tcPr>
            <w:tcW w:w="680" w:type="dxa"/>
            <w:vAlign w:val="bottom"/>
          </w:tcPr>
          <w:p>
            <w:pPr>
              <w:spacing w:after="0"/>
              <w:rPr>
                <w:sz w:val="24"/>
                <w:szCs w:val="24"/>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4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2025 (unaudited)</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1120" w:type="dxa"/>
            <w:vAlign w:val="bottom"/>
          </w:tcPr>
          <w:p>
            <w:pPr>
              <w:spacing w:after="0"/>
              <w:rPr>
                <w:sz w:val="24"/>
                <w:szCs w:val="24"/>
                <w:color w:val="auto"/>
              </w:rPr>
            </w:pPr>
          </w:p>
        </w:tc>
        <w:tc>
          <w:tcPr>
            <w:tcW w:w="94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Months Ended March 31, 2026 and 2025</w:t>
            </w:r>
          </w:p>
        </w:tc>
        <w:tc>
          <w:tcPr>
            <w:tcW w:w="680" w:type="dxa"/>
            <w:vAlign w:val="bottom"/>
          </w:tcPr>
          <w:p>
            <w:pPr>
              <w:spacing w:after="0"/>
              <w:rPr>
                <w:sz w:val="24"/>
                <w:szCs w:val="24"/>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4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(unaudited)</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1120" w:type="dxa"/>
            <w:vAlign w:val="bottom"/>
          </w:tcPr>
          <w:p>
            <w:pPr>
              <w:spacing w:after="0"/>
              <w:rPr>
                <w:sz w:val="24"/>
                <w:szCs w:val="24"/>
                <w:color w:val="auto"/>
              </w:rPr>
            </w:pPr>
          </w:p>
        </w:tc>
        <w:tc>
          <w:tcPr>
            <w:tcW w:w="94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2026 and 2025 (unaudited)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1120" w:type="dxa"/>
            <w:vAlign w:val="bottom"/>
          </w:tcPr>
          <w:p>
            <w:pPr>
              <w:spacing w:after="0"/>
              <w:rPr>
                <w:sz w:val="24"/>
                <w:szCs w:val="24"/>
                <w:color w:val="auto"/>
              </w:rPr>
            </w:pPr>
          </w:p>
        </w:tc>
        <w:tc>
          <w:tcPr>
            <w:tcW w:w="94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 (unaudited)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4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160" w:type="dxa"/>
            <w:vAlign w:val="bottom"/>
            <w:tcBorders>
              <w:left w:val="single" w:sz="8" w:color="0000FF"/>
            </w:tcBorders>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4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16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94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16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4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16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4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16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16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4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718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4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7740" w:type="dxa"/>
            <w:vAlign w:val="bottom"/>
            <w:gridSpan w:val="1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4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8200" w:type="dxa"/>
            <w:vAlign w:val="bottom"/>
            <w:gridSpan w:val="1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4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920" w:type="dxa"/>
            <w:vAlign w:val="bottom"/>
            <w:gridSpan w:val="1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105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1648"/>
        </w:trPr>
        <w:tc>
          <w:tcPr>
            <w:tcW w:w="1120" w:type="dxa"/>
            <w:vAlign w:val="bottom"/>
            <w:tcBorders>
              <w:top w:val="single" w:sz="8" w:color="0000FF"/>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References to Assembly Biosciences, Inc.</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Throughout this Quarterly Report on Form 10-Q, the “Company,” “Assembly,” “we,” “us,” and “our,” except where the context requires otherwise, refer to Assembly Biosciences, Inc. and its consolidated subsidiaries, and “board of directors” refers to the board of directors of Assembly Biosciences, Inc.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are subject to certain risks and uncertainties, including, without limitation, those set forth in Part I, Item 1A of our Annual Report on Form 10-K filed with the U.S. Securities and Exchange Commission (SEC) on March 19, 2026 (2025 Annual Report) and Part II, Item 1A of this Quarterly Report on Form 10-Q under the heading “Risk Factors,” that could cause actual results to materially differ. Such risks and uncertainties include, among other things:</w:t>
      </w:r>
    </w:p>
    <w:p>
      <w:pPr>
        <w:spacing w:after="0" w:line="72" w:lineRule="exact"/>
        <w:rPr>
          <w:sz w:val="20"/>
          <w:szCs w:val="20"/>
          <w:color w:val="auto"/>
        </w:rPr>
      </w:pPr>
    </w:p>
    <w:p>
      <w:pPr>
        <w:ind w:left="640" w:hanging="377"/>
        <w:spacing w:after="0" w:line="28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potential benefits of our collaboration with Gilead Sciences, Inc. (Gilead), including all financial aspects of the collaboration and equity investments;</w:t>
      </w:r>
    </w:p>
    <w:p>
      <w:pPr>
        <w:spacing w:after="0" w:line="53" w:lineRule="exact"/>
        <w:rPr>
          <w:rFonts w:ascii="Times New Roman" w:cs="Times New Roman" w:eastAsia="Times New Roman" w:hAnsi="Times New Roman"/>
          <w:sz w:val="18"/>
          <w:szCs w:val="18"/>
          <w:color w:val="auto"/>
        </w:rPr>
      </w:pPr>
    </w:p>
    <w:p>
      <w:pPr>
        <w:ind w:left="640" w:hanging="377"/>
        <w:spacing w:after="0" w:line="28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initiate and complete clinical studies involving our therapeutic product candidates, including studies contemplated by our collaboration with Gilead, in the currently anticipated timeframes or at all;</w:t>
      </w:r>
    </w:p>
    <w:p>
      <w:pPr>
        <w:spacing w:after="0" w:line="53"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efficacy data from clinical or nonclinical studies may not warrant further development of our product candidates;</w:t>
      </w:r>
    </w:p>
    <w:p>
      <w:pPr>
        <w:spacing w:after="0" w:line="117"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and nonclinical data may not differentiate our product candidates from other companies’ candidates;</w:t>
      </w:r>
    </w:p>
    <w:p>
      <w:pPr>
        <w:spacing w:after="0" w:line="117" w:lineRule="exact"/>
        <w:rPr>
          <w:rFonts w:ascii="Times New Roman" w:cs="Times New Roman" w:eastAsia="Times New Roman" w:hAnsi="Times New Roman"/>
          <w:sz w:val="18"/>
          <w:szCs w:val="18"/>
          <w:color w:val="auto"/>
        </w:rPr>
      </w:pPr>
    </w:p>
    <w:p>
      <w:pPr>
        <w:ind w:left="640" w:hanging="377"/>
        <w:spacing w:after="0" w:line="28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financial resources and secure additional funding necessary to continue our research activities, clinical studies and other business operations;</w:t>
      </w:r>
    </w:p>
    <w:p>
      <w:pPr>
        <w:spacing w:after="0" w:line="53"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of changes in government regulation; and</w:t>
      </w:r>
    </w:p>
    <w:p>
      <w:pPr>
        <w:spacing w:after="0" w:line="117" w:lineRule="exact"/>
        <w:rPr>
          <w:rFonts w:ascii="Times New Roman" w:cs="Times New Roman" w:eastAsia="Times New Roman" w:hAnsi="Times New Roman"/>
          <w:sz w:val="18"/>
          <w:szCs w:val="18"/>
          <w:color w:val="auto"/>
        </w:rPr>
      </w:pPr>
    </w:p>
    <w:p>
      <w:pPr>
        <w:ind w:left="640" w:hanging="377"/>
        <w:spacing w:after="0" w:line="28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nonclinical studies may not be representative of disease behavior in a clinical setting and may not be predictive of the outcomes of clinical studies.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are urged to consider statements that include the words may, will, would, could, should, might, believes, hopes, estimates, projects, potential, enable, expects, plans, anticipates, intends, continues, forecast, designed, goal or the negative of those words or other comparable words to be uncertain and forward-looking. In particular, forward-looking statements include, but are not limited to, statements regarding the timing of commencement of future clinical studies involving our therapeutic product candidates or therapeutic product candidates that Gilead has licensed from us; and our ability to successfully complete, and receive favorable results in, clinical studies for our product candidates. We intend such forward-looking statements to be covered by the safe harbor provisions contained in Section 27A of the Securities Act of 1933, as amended (the Securities Act), and Section 21E of the Securities Exchange Act of 1934, as amended (the Exchange Act). Except as required by law, we assume no obligation to update publicly any forward-looking statements, whether as a result of new information, future events or otherwise.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principal risks that could adversely affect our business, operations and financial results. For more information, see Part II, Item 1A in this Quarterly Report on Form 10-Q for the period ended March 31,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21" w:lineRule="exact"/>
        <w:rPr>
          <w:sz w:val="20"/>
          <w:szCs w:val="20"/>
          <w:color w:val="auto"/>
        </w:rPr>
      </w:pPr>
    </w:p>
    <w:p>
      <w:pPr>
        <w:ind w:left="640" w:hanging="37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approved products and depend on the future success of the product candidates in our research and development pipeline.</w:t>
      </w:r>
    </w:p>
    <w:p>
      <w:pPr>
        <w:spacing w:after="0" w:line="117" w:lineRule="exact"/>
        <w:rPr>
          <w:rFonts w:ascii="Times New Roman" w:cs="Times New Roman" w:eastAsia="Times New Roman" w:hAnsi="Times New Roman"/>
          <w:sz w:val="18"/>
          <w:szCs w:val="18"/>
          <w:color w:val="auto"/>
        </w:rPr>
      </w:pPr>
    </w:p>
    <w:p>
      <w:pPr>
        <w:ind w:left="640" w:hanging="377"/>
        <w:spacing w:after="0" w:line="282"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currently profitable and might never become profitable, and we will need additional financing to complete the development of any product candidates and fund our activities into the future.</w:t>
      </w:r>
    </w:p>
    <w:p>
      <w:pPr>
        <w:spacing w:after="0" w:line="53"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our collaboration with Gilead to be a critical part of the development, manufacture and commercialization of our product candidates.</w:t>
      </w:r>
    </w:p>
    <w:p>
      <w:pPr>
        <w:spacing w:after="0" w:line="117" w:lineRule="exact"/>
        <w:rPr>
          <w:rFonts w:ascii="Times New Roman" w:cs="Times New Roman" w:eastAsia="Times New Roman" w:hAnsi="Times New Roman"/>
          <w:sz w:val="18"/>
          <w:szCs w:val="18"/>
          <w:color w:val="auto"/>
        </w:rPr>
      </w:pPr>
    </w:p>
    <w:p>
      <w:pPr>
        <w:ind w:left="640" w:hanging="377"/>
        <w:spacing w:after="0" w:line="282"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Nonclinical and clinical studies required for our product candidates are expensive and time-consuming and may fail to demonstrate the level of safety and efficacy necessary for product approval.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spacing w:after="0" w:line="86" w:lineRule="exact"/>
        <w:rPr>
          <w:sz w:val="20"/>
          <w:szCs w:val="20"/>
          <w:color w:val="auto"/>
        </w:rPr>
      </w:pPr>
    </w:p>
    <w:p>
      <w:pPr>
        <w:jc w:val="both"/>
        <w:ind w:left="640" w:hanging="377"/>
        <w:spacing w:after="0" w:line="266"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contract resource organizations (CROs) to conduct some of our nonclinical and clinical studies due to our lack of suitable facilities and resources. In addition, parts of our business are reliant on CROs, vendors, suppliers and other service providers in locations outside of the United States, including China.</w:t>
      </w:r>
    </w:p>
    <w:p>
      <w:pPr>
        <w:spacing w:after="0" w:line="67"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Top-line, preliminary or interim data may not accurately reflect the final results of a particular study.</w:t>
      </w:r>
    </w:p>
    <w:p>
      <w:pPr>
        <w:spacing w:after="0" w:line="117" w:lineRule="exact"/>
        <w:rPr>
          <w:rFonts w:ascii="Times New Roman" w:cs="Times New Roman" w:eastAsia="Times New Roman" w:hAnsi="Times New Roman"/>
          <w:sz w:val="18"/>
          <w:szCs w:val="18"/>
          <w:color w:val="auto"/>
        </w:rPr>
      </w:pPr>
    </w:p>
    <w:p>
      <w:pPr>
        <w:jc w:val="both"/>
        <w:ind w:left="640" w:hanging="377"/>
        <w:spacing w:after="0" w:line="266"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formulate and manufacture our product candidates and products that we study in combination with our product candidates. Our use of third parties may increase the risk that we will not have sufficient quantities of our product candidates or other products on time or at an acceptable cost.</w:t>
      </w:r>
    </w:p>
    <w:p>
      <w:pPr>
        <w:spacing w:after="0" w:line="67"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lose key management personnel and cannot recruit and retain similarly qualified replacements, our business may materially suffer.</w:t>
      </w:r>
    </w:p>
    <w:p>
      <w:pPr>
        <w:spacing w:after="0" w:line="117"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might delay, prevent or undermine the success of our product candidates.</w:t>
      </w:r>
    </w:p>
    <w:p>
      <w:pPr>
        <w:spacing w:after="0" w:line="117" w:lineRule="exact"/>
        <w:rPr>
          <w:rFonts w:ascii="Times New Roman" w:cs="Times New Roman" w:eastAsia="Times New Roman" w:hAnsi="Times New Roman"/>
          <w:sz w:val="18"/>
          <w:szCs w:val="18"/>
          <w:color w:val="auto"/>
        </w:rPr>
      </w:pPr>
    </w:p>
    <w:p>
      <w:pPr>
        <w:ind w:left="640" w:hanging="377"/>
        <w:spacing w:after="0" w:line="282"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establishing and maintaining collaborations, which could adversely affect our ability to develop certain of our product candidates.</w:t>
      </w:r>
    </w:p>
    <w:p>
      <w:pPr>
        <w:spacing w:after="0" w:line="53"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data provided by third parties that has not been independently verified.</w:t>
      </w:r>
    </w:p>
    <w:p>
      <w:pPr>
        <w:spacing w:after="0" w:line="117" w:lineRule="exact"/>
        <w:rPr>
          <w:rFonts w:ascii="Times New Roman" w:cs="Times New Roman" w:eastAsia="Times New Roman" w:hAnsi="Times New Roman"/>
          <w:sz w:val="18"/>
          <w:szCs w:val="18"/>
          <w:color w:val="auto"/>
        </w:rPr>
      </w:pPr>
    </w:p>
    <w:p>
      <w:pPr>
        <w:ind w:left="640" w:hanging="377"/>
        <w:spacing w:after="0" w:line="282"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development and commercialization goals, including data releases, may not be achieved in the timeframes that we publicly estimate, which could have an adverse impact on our business and could cause our stock price to decline.</w:t>
      </w:r>
    </w:p>
    <w:p>
      <w:pPr>
        <w:spacing w:after="0" w:line="53"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developments may render our product candidates or technologies obsolete or non-competitive.</w:t>
      </w:r>
    </w:p>
    <w:p>
      <w:pPr>
        <w:spacing w:after="0" w:line="117" w:lineRule="exact"/>
        <w:rPr>
          <w:rFonts w:ascii="Times New Roman" w:cs="Times New Roman" w:eastAsia="Times New Roman" w:hAnsi="Times New Roman"/>
          <w:sz w:val="18"/>
          <w:szCs w:val="18"/>
          <w:color w:val="auto"/>
        </w:rPr>
      </w:pPr>
    </w:p>
    <w:p>
      <w:pPr>
        <w:jc w:val="both"/>
        <w:ind w:left="640" w:hanging="377"/>
        <w:spacing w:after="0" w:line="266"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with products using the same or similar mechanisms of action as ours may produce negative clinical data, which would adversely affect public and clinical communities’ perceptions of our product candidates, and may negatively impact regulatory approval of, or demand for, our potential products.</w:t>
      </w:r>
    </w:p>
    <w:p>
      <w:pPr>
        <w:spacing w:after="0" w:line="67" w:lineRule="exact"/>
        <w:rPr>
          <w:rFonts w:ascii="Times New Roman" w:cs="Times New Roman" w:eastAsia="Times New Roman" w:hAnsi="Times New Roman"/>
          <w:sz w:val="18"/>
          <w:szCs w:val="18"/>
          <w:color w:val="auto"/>
        </w:rPr>
      </w:pPr>
    </w:p>
    <w:p>
      <w:pPr>
        <w:ind w:left="640" w:right="20" w:hanging="377"/>
        <w:spacing w:after="0" w:line="282"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of information technology systems or breaches of data security, including cybersecurity incidents, could materially and adversely affect our business.</w:t>
      </w:r>
    </w:p>
    <w:p>
      <w:pPr>
        <w:spacing w:after="0" w:line="53"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net operating loss and credit carryforwards and certain other tax attributes may be limited.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Regulatory and Legal Environment</w:t>
      </w:r>
    </w:p>
    <w:p>
      <w:pPr>
        <w:spacing w:after="0" w:line="121" w:lineRule="exact"/>
        <w:rPr>
          <w:sz w:val="20"/>
          <w:szCs w:val="20"/>
          <w:color w:val="auto"/>
        </w:rPr>
      </w:pPr>
    </w:p>
    <w:p>
      <w:pPr>
        <w:ind w:left="640" w:hanging="377"/>
        <w:spacing w:after="0" w:line="282"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and will be subject to extensive and costly government regulation, and the failure to comply with these regulations may have a material adverse effect on our operations and business.</w:t>
      </w:r>
    </w:p>
    <w:p>
      <w:pPr>
        <w:spacing w:after="0" w:line="53"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and comparable foreign authorities are lengthy, time consuming and inherently unpredictable.</w:t>
      </w:r>
    </w:p>
    <w:p>
      <w:pPr>
        <w:spacing w:after="0" w:line="117" w:lineRule="exact"/>
        <w:rPr>
          <w:rFonts w:ascii="Times New Roman" w:cs="Times New Roman" w:eastAsia="Times New Roman" w:hAnsi="Times New Roman"/>
          <w:sz w:val="18"/>
          <w:szCs w:val="18"/>
          <w:color w:val="auto"/>
        </w:rPr>
      </w:pPr>
    </w:p>
    <w:p>
      <w:pPr>
        <w:jc w:val="both"/>
        <w:ind w:left="640" w:hanging="377"/>
        <w:spacing w:after="0" w:line="266"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third-party partners and service providers are subject to stringent privacy laws, information security laws, regulations, policies and contractual obligations related to data privacy and security, and compliance with such laws, regulations, policies and contractual obligations could result in additional costs and liabilities to us and failure to comply could adversely affect our business.</w:t>
      </w:r>
    </w:p>
    <w:p>
      <w:pPr>
        <w:spacing w:after="0" w:line="67" w:lineRule="exact"/>
        <w:rPr>
          <w:rFonts w:ascii="Times New Roman" w:cs="Times New Roman" w:eastAsia="Times New Roman" w:hAnsi="Times New Roman"/>
          <w:sz w:val="18"/>
          <w:szCs w:val="18"/>
          <w:color w:val="auto"/>
        </w:rPr>
      </w:pPr>
    </w:p>
    <w:p>
      <w:pPr>
        <w:jc w:val="both"/>
        <w:ind w:left="640" w:hanging="377"/>
        <w:spacing w:after="0" w:line="261"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collaborators may be subject, directly or indirectly, to applicable U.S. federal and state anti-kickback, false claims laws, physician payment transparency laws, other fraud and abuse laws or similar healthcare and security laws and regulations, and health information privacy and security laws, which could expose us or them to criminal sanctions, civil penalties, exclusion or suspension from federal and state healthcare programs, contractual damages, reputational harm and diminished profits and future earnings.</w:t>
      </w:r>
    </w:p>
    <w:p>
      <w:pPr>
        <w:spacing w:after="0" w:line="71"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the risk of product liability claims and might not be able to obtain insurance.</w:t>
      </w:r>
    </w:p>
    <w:p>
      <w:pPr>
        <w:spacing w:after="0" w:line="117"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be exposed to liability claims associated with the use of hazardous materials and chemicals.</w:t>
      </w:r>
    </w:p>
    <w:p>
      <w:pPr>
        <w:spacing w:after="0" w:line="117" w:lineRule="exact"/>
        <w:rPr>
          <w:rFonts w:ascii="Times New Roman" w:cs="Times New Roman" w:eastAsia="Times New Roman" w:hAnsi="Times New Roman"/>
          <w:sz w:val="18"/>
          <w:szCs w:val="18"/>
          <w:color w:val="auto"/>
        </w:rPr>
      </w:pPr>
    </w:p>
    <w:p>
      <w:pPr>
        <w:jc w:val="both"/>
        <w:ind w:left="640" w:hanging="377"/>
        <w:spacing w:after="0" w:line="266"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independent contractors, consultants, collaborators and CROs may engage in misconduct or other improper activities, including noncompliance with regulatory standards and requirements for which we may be held responsible and which could result in significant liability for us and harm our reputation.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86" w:lineRule="exact"/>
        <w:rPr>
          <w:sz w:val="20"/>
          <w:szCs w:val="20"/>
          <w:color w:val="auto"/>
        </w:rPr>
      </w:pPr>
    </w:p>
    <w:p>
      <w:pPr>
        <w:ind w:left="640" w:hanging="377"/>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protecting our intellectual property.</w:t>
      </w:r>
    </w:p>
    <w:p>
      <w:pPr>
        <w:spacing w:after="0" w:line="117"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substantial costs as a result of litigation or other proceedings relating to our patents and other intellectual property rights.</w:t>
      </w:r>
    </w:p>
    <w:p>
      <w:pPr>
        <w:spacing w:after="0" w:line="117" w:lineRule="exact"/>
        <w:rPr>
          <w:rFonts w:ascii="Times New Roman" w:cs="Times New Roman" w:eastAsia="Times New Roman" w:hAnsi="Times New Roman"/>
          <w:sz w:val="18"/>
          <w:szCs w:val="18"/>
          <w:color w:val="auto"/>
        </w:rPr>
      </w:pPr>
    </w:p>
    <w:p>
      <w:pPr>
        <w:ind w:left="640" w:hanging="377"/>
        <w:spacing w:after="0" w:line="282"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infringe the intellectual property rights of others, which may prevent or delay our product development efforts and stop us from commercializing or increase the costs of commercializing our product candidates.</w:t>
      </w:r>
    </w:p>
    <w:p>
      <w:pPr>
        <w:spacing w:after="0" w:line="53"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maintaining our patent protection globally is high and requires continuous review and compliance.</w:t>
      </w:r>
    </w:p>
    <w:p>
      <w:pPr>
        <w:spacing w:after="0" w:line="117"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rights do not address all potential threats to any competitive advantage we may have.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21" w:lineRule="exact"/>
        <w:rPr>
          <w:sz w:val="20"/>
          <w:szCs w:val="20"/>
          <w:color w:val="auto"/>
        </w:rPr>
      </w:pPr>
    </w:p>
    <w:p>
      <w:pPr>
        <w:ind w:left="640" w:hanging="377"/>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has in the past and may continue to fluctuate significantly.</w:t>
      </w:r>
    </w:p>
    <w:p>
      <w:pPr>
        <w:spacing w:after="0" w:line="117" w:lineRule="exact"/>
        <w:rPr>
          <w:rFonts w:ascii="Times New Roman" w:cs="Times New Roman" w:eastAsia="Times New Roman" w:hAnsi="Times New Roman"/>
          <w:sz w:val="18"/>
          <w:szCs w:val="18"/>
          <w:color w:val="auto"/>
        </w:rPr>
      </w:pPr>
    </w:p>
    <w:p>
      <w:pPr>
        <w:jc w:val="both"/>
        <w:ind w:left="640" w:hanging="377"/>
        <w:spacing w:after="0" w:line="266"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bylaws provide that the Court of Chancery of the State of Delaware will be the sole and exclusive forum for certain types of actions and proceedings that may be initiated by our stockholders, which could limit our stockholders’ ability to bring a claim in a judicial forum they find favorable.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ASSEMBLY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amounts and par value)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center"/>
              <w:ind w:right="251"/>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7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7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right="231"/>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8"/>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31,120</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58,450</w:t>
            </w: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195,481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189,656</w:t>
            </w: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 from collaboration with a related party</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451</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974</w:t>
            </w: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5,561</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5,469</w:t>
            </w:r>
          </w:p>
        </w:tc>
      </w:tr>
      <w:tr>
        <w:trPr>
          <w:trHeight w:val="210"/>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232,613</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254,549</w:t>
            </w:r>
          </w:p>
        </w:tc>
      </w:tr>
      <w:tr>
        <w:trPr>
          <w:trHeight w:val="209"/>
        </w:trPr>
        <w:tc>
          <w:tcPr>
            <w:tcW w:w="7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(ROU) assets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2,369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2,508</w:t>
            </w:r>
          </w:p>
        </w:tc>
      </w:tr>
      <w:tr>
        <w:trPr>
          <w:trHeight w:val="216"/>
        </w:trPr>
        <w:tc>
          <w:tcPr>
            <w:tcW w:w="76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312</w:t>
            </w:r>
          </w:p>
        </w:tc>
      </w:tr>
      <w:tr>
        <w:trPr>
          <w:trHeight w:val="209"/>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235,508</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257,590</w:t>
            </w:r>
          </w:p>
        </w:tc>
      </w:tr>
      <w:tr>
        <w:trPr>
          <w:trHeight w:val="20"/>
        </w:trPr>
        <w:tc>
          <w:tcPr>
            <w:tcW w:w="7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1,129</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1,171</w:t>
            </w: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1,538</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2,387</w:t>
            </w: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accrued expenses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2,664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7,749</w:t>
            </w: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revenue from a related party</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29,076</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36,904</w:t>
            </w: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 short-term</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590</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569</w:t>
            </w:r>
          </w:p>
        </w:tc>
      </w:tr>
      <w:tr>
        <w:trPr>
          <w:trHeight w:val="210"/>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34,997</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48,780</w:t>
            </w:r>
          </w:p>
        </w:tc>
      </w:tr>
      <w:tr>
        <w:trPr>
          <w:trHeight w:val="209"/>
        </w:trPr>
        <w:tc>
          <w:tcPr>
            <w:tcW w:w="7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76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 long-term</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1,901</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2,059</w:t>
            </w:r>
          </w:p>
        </w:tc>
      </w:tr>
      <w:tr>
        <w:trPr>
          <w:trHeight w:val="210"/>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36,898</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50,839</w:t>
            </w:r>
          </w:p>
        </w:tc>
      </w:tr>
      <w:tr>
        <w:trPr>
          <w:trHeight w:val="209"/>
        </w:trPr>
        <w:tc>
          <w:tcPr>
            <w:tcW w:w="7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7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Preferred stock, $0.001 par value; 5,000,000 shares authorized; no shares issued or outstanding</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6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$0.001 par value; 150,000,000 shares authorized as of March 31, 2026 and December</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 2025; 15,892,353 and 15,855,329 shares issued and outstanding as of March 31, 2026 and</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4"/>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1,040,088</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1,038,823</w:t>
            </w: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76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(841,126)</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(832,047)</w:t>
            </w:r>
          </w:p>
        </w:tc>
      </w:tr>
      <w:tr>
        <w:trPr>
          <w:trHeight w:val="210"/>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198,610</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206,751</w:t>
            </w:r>
          </w:p>
        </w:tc>
      </w:tr>
      <w:tr>
        <w:trPr>
          <w:trHeight w:val="22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235,508</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257,590</w:t>
            </w:r>
          </w:p>
        </w:tc>
      </w:tr>
      <w:tr>
        <w:trPr>
          <w:trHeight w:val="20"/>
        </w:trPr>
        <w:tc>
          <w:tcPr>
            <w:tcW w:w="76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-4234180</wp:posOffset>
            </wp:positionV>
            <wp:extent cx="1028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-3676650</wp:posOffset>
            </wp:positionV>
            <wp:extent cx="1028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-2262505</wp:posOffset>
            </wp:positionV>
            <wp:extent cx="1028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-1979295</wp:posOffset>
            </wp:positionV>
            <wp:extent cx="1028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-316865</wp:posOffset>
            </wp:positionV>
            <wp:extent cx="1028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-25400</wp:posOffset>
            </wp:positionV>
            <wp:extent cx="1028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1028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ASSEMBLY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60" w:type="dxa"/>
            <w:vAlign w:val="bottom"/>
          </w:tcPr>
          <w:p>
            <w:pPr>
              <w:spacing w:after="0"/>
              <w:rPr>
                <w:sz w:val="20"/>
                <w:szCs w:val="20"/>
                <w:color w:val="auto"/>
              </w:rPr>
            </w:pPr>
          </w:p>
        </w:tc>
        <w:tc>
          <w:tcPr>
            <w:tcW w:w="384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940" w:type="dxa"/>
            <w:vAlign w:val="bottom"/>
            <w:tcBorders>
              <w:bottom w:val="single" w:sz="8" w:color="auto"/>
            </w:tcBorders>
          </w:tcPr>
          <w:p>
            <w:pPr>
              <w:spacing w:after="0"/>
              <w:rPr>
                <w:sz w:val="20"/>
                <w:szCs w:val="20"/>
                <w:color w:val="auto"/>
              </w:rPr>
            </w:pPr>
          </w:p>
        </w:tc>
      </w:tr>
      <w:tr>
        <w:trPr>
          <w:trHeight w:val="209"/>
        </w:trPr>
        <w:tc>
          <w:tcPr>
            <w:tcW w:w="646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9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tcBorders>
              <w:bottom w:val="single" w:sz="8" w:color="auto"/>
            </w:tcBorders>
          </w:tcPr>
          <w:p>
            <w:pPr>
              <w:spacing w:after="0"/>
              <w:rPr>
                <w:sz w:val="18"/>
                <w:szCs w:val="18"/>
                <w:color w:val="auto"/>
              </w:rPr>
            </w:pPr>
          </w:p>
        </w:tc>
      </w:tr>
      <w:tr>
        <w:trPr>
          <w:trHeight w:val="210"/>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Collaboration revenue from a related party</w:t>
            </w:r>
          </w:p>
        </w:tc>
        <w:tc>
          <w:tcPr>
            <w:tcW w:w="1320" w:type="dxa"/>
            <w:vAlign w:val="bottom"/>
            <w:shd w:val="clear" w:color="auto" w:fill="CFF0FC"/>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8,213</w:t>
            </w:r>
          </w:p>
        </w:tc>
        <w:tc>
          <w:tcPr>
            <w:tcW w:w="1540" w:type="dxa"/>
            <w:vAlign w:val="bottom"/>
            <w:gridSpan w:val="2"/>
            <w:shd w:val="clear" w:color="auto" w:fill="CFF0FC"/>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9,419</w:t>
            </w:r>
          </w:p>
        </w:tc>
      </w:tr>
      <w:tr>
        <w:trPr>
          <w:trHeight w:val="216"/>
        </w:trPr>
        <w:tc>
          <w:tcPr>
            <w:tcW w:w="6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14,900</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14,851</w:t>
            </w:r>
          </w:p>
        </w:tc>
      </w:tr>
      <w:tr>
        <w:trPr>
          <w:trHeight w:val="216"/>
        </w:trPr>
        <w:tc>
          <w:tcPr>
            <w:tcW w:w="64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4,683</w:t>
            </w:r>
          </w:p>
        </w:tc>
        <w:tc>
          <w:tcPr>
            <w:tcW w:w="20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4,509</w:t>
            </w:r>
          </w:p>
        </w:tc>
      </w:tr>
      <w:tr>
        <w:trPr>
          <w:trHeight w:val="209"/>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19,583</w:t>
            </w:r>
          </w:p>
        </w:tc>
        <w:tc>
          <w:tcPr>
            <w:tcW w:w="20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19,360</w:t>
            </w:r>
          </w:p>
        </w:tc>
      </w:tr>
      <w:tr>
        <w:trPr>
          <w:trHeight w:val="209"/>
        </w:trPr>
        <w:tc>
          <w:tcPr>
            <w:tcW w:w="6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3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(11,370)</w:t>
            </w:r>
          </w:p>
        </w:tc>
        <w:tc>
          <w:tcPr>
            <w:tcW w:w="20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(9,941)</w:t>
            </w:r>
          </w:p>
        </w:tc>
      </w:tr>
      <w:tr>
        <w:trPr>
          <w:trHeight w:val="210"/>
        </w:trPr>
        <w:tc>
          <w:tcPr>
            <w:tcW w:w="6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2,291</w:t>
            </w:r>
          </w:p>
        </w:tc>
        <w:tc>
          <w:tcPr>
            <w:tcW w:w="20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1,123</w:t>
            </w:r>
          </w:p>
        </w:tc>
      </w:tr>
      <w:tr>
        <w:trPr>
          <w:trHeight w:val="209"/>
        </w:trPr>
        <w:tc>
          <w:tcPr>
            <w:tcW w:w="6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3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2,291</w:t>
            </w:r>
          </w:p>
        </w:tc>
        <w:tc>
          <w:tcPr>
            <w:tcW w:w="20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1,123</w:t>
            </w:r>
          </w:p>
        </w:tc>
      </w:tr>
      <w:tr>
        <w:trPr>
          <w:trHeight w:val="210"/>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320" w:type="dxa"/>
            <w:vAlign w:val="bottom"/>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(9,079)</w:t>
            </w:r>
          </w:p>
        </w:tc>
        <w:tc>
          <w:tcPr>
            <w:tcW w:w="1540" w:type="dxa"/>
            <w:vAlign w:val="bottom"/>
            <w:gridSpan w:val="2"/>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(8,818)</w:t>
            </w:r>
          </w:p>
        </w:tc>
      </w:tr>
      <w:tr>
        <w:trPr>
          <w:trHeight w:val="20"/>
        </w:trPr>
        <w:tc>
          <w:tcPr>
            <w:tcW w:w="64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4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4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3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327</w:t>
            </w:r>
          </w:p>
        </w:tc>
        <w:tc>
          <w:tcPr>
            <w:tcW w:w="20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r>
      <w:tr>
        <w:trPr>
          <w:trHeight w:val="209"/>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320" w:type="dxa"/>
            <w:vAlign w:val="bottom"/>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(9,406)</w:t>
            </w:r>
          </w:p>
        </w:tc>
        <w:tc>
          <w:tcPr>
            <w:tcW w:w="1540" w:type="dxa"/>
            <w:vAlign w:val="bottom"/>
            <w:gridSpan w:val="2"/>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(8,860)</w:t>
            </w:r>
          </w:p>
        </w:tc>
      </w:tr>
      <w:tr>
        <w:trPr>
          <w:trHeight w:val="20"/>
        </w:trPr>
        <w:tc>
          <w:tcPr>
            <w:tcW w:w="64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4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32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540" w:type="dxa"/>
            <w:vAlign w:val="bottom"/>
            <w:gridSpan w:val="2"/>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0"/>
        </w:trPr>
        <w:tc>
          <w:tcPr>
            <w:tcW w:w="64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64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32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16,900,232</w:t>
            </w:r>
          </w:p>
        </w:tc>
        <w:tc>
          <w:tcPr>
            <w:tcW w:w="20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7,506,321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-2073910</wp:posOffset>
            </wp:positionV>
            <wp:extent cx="120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-1782445</wp:posOffset>
            </wp:positionV>
            <wp:extent cx="120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-1216660</wp:posOffset>
            </wp:positionV>
            <wp:extent cx="1200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-633730</wp:posOffset>
            </wp:positionV>
            <wp:extent cx="120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120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120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ASSEMBLY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2025</w:t>
      </w:r>
    </w:p>
    <w:p>
      <w:pPr>
        <w:spacing w:after="0" w:line="28"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6"/>
          <w:szCs w:val="16"/>
          <w:color w:val="auto"/>
        </w:rPr>
        <w:t>Issuance of common stock upon exercise of stock options</w:t>
      </w:r>
    </w:p>
    <w:p>
      <w:pPr>
        <w:ind w:right="100"/>
        <w:spacing w:after="0" w:line="264" w:lineRule="auto"/>
        <w:rPr>
          <w:sz w:val="20"/>
          <w:szCs w:val="20"/>
          <w:color w:val="auto"/>
        </w:rPr>
      </w:pPr>
      <w:r>
        <w:rPr>
          <w:rFonts w:ascii="Times New Roman" w:cs="Times New Roman" w:eastAsia="Times New Roman" w:hAnsi="Times New Roman"/>
          <w:sz w:val="16"/>
          <w:szCs w:val="16"/>
          <w:color w:val="auto"/>
        </w:rPr>
        <w:t>Issuance of common stock for settlement of restricted stock units (RSUs)</w:t>
      </w:r>
    </w:p>
    <w:p>
      <w:pPr>
        <w:spacing w:after="0"/>
        <w:rPr>
          <w:sz w:val="20"/>
          <w:szCs w:val="20"/>
          <w:color w:val="auto"/>
        </w:rPr>
      </w:pPr>
      <w:r>
        <w:rPr>
          <w:rFonts w:ascii="Times New Roman" w:cs="Times New Roman" w:eastAsia="Times New Roman" w:hAnsi="Times New Roman"/>
          <w:sz w:val="16"/>
          <w:szCs w:val="16"/>
          <w:color w:val="auto"/>
        </w:rPr>
        <w:t>Unrealized loss on marketable debt securities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loss</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Three Month Period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020" w:type="dxa"/>
            <w:vAlign w:val="bottom"/>
            <w:tcBorders>
              <w:top w:val="single" w:sz="8" w:color="auto"/>
            </w:tcBorders>
            <w:gridSpan w:val="3"/>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vMerge w:val="restart"/>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center"/>
              <w:ind w:right="189"/>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vMerge w:val="restart"/>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2020" w:type="dxa"/>
            <w:vAlign w:val="bottom"/>
            <w:tcBorders>
              <w:bottom w:val="single" w:sz="8" w:color="auto"/>
            </w:tcBorders>
            <w:gridSpan w:val="3"/>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center"/>
              <w:ind w:right="189"/>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12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right"/>
              <w:ind w:right="349"/>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jc w:val="center"/>
              <w:ind w:right="189"/>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jc w:val="right"/>
              <w:ind w:right="229"/>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jc w:val="center"/>
              <w:ind w:right="149"/>
              <w:spacing w:after="0" w:line="11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73"/>
        </w:trPr>
        <w:tc>
          <w:tcPr>
            <w:tcW w:w="11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3"/>
        </w:trPr>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15,855,329</w:t>
            </w:r>
          </w:p>
        </w:tc>
        <w:tc>
          <w:tcPr>
            <w:tcW w:w="900" w:type="dxa"/>
            <w:vAlign w:val="bottom"/>
            <w:gridSpan w:val="2"/>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16</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1,038,823</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(832,047)</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206,751</w:t>
            </w:r>
          </w:p>
        </w:tc>
        <w:tc>
          <w:tcPr>
            <w:tcW w:w="0" w:type="dxa"/>
            <w:vAlign w:val="bottom"/>
          </w:tcPr>
          <w:p>
            <w:pPr>
              <w:spacing w:after="0"/>
              <w:rPr>
                <w:sz w:val="1"/>
                <w:szCs w:val="1"/>
                <w:color w:val="auto"/>
              </w:rPr>
            </w:pPr>
          </w:p>
        </w:tc>
      </w:tr>
      <w:tr>
        <w:trPr>
          <w:trHeight w:val="405"/>
        </w:trPr>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7,376</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405"/>
        </w:trPr>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29,648</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0" w:type="dxa"/>
            <w:vAlign w:val="bottom"/>
          </w:tcPr>
          <w:p>
            <w:pPr>
              <w:spacing w:after="0"/>
              <w:rPr>
                <w:sz w:val="1"/>
                <w:szCs w:val="1"/>
                <w:color w:val="auto"/>
              </w:rPr>
            </w:pPr>
          </w:p>
        </w:tc>
      </w:tr>
      <w:tr>
        <w:trPr>
          <w:trHeight w:val="203"/>
        </w:trPr>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1,116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1,116</w:t>
            </w:r>
          </w:p>
        </w:tc>
        <w:tc>
          <w:tcPr>
            <w:tcW w:w="0" w:type="dxa"/>
            <w:vAlign w:val="bottom"/>
          </w:tcPr>
          <w:p>
            <w:pPr>
              <w:spacing w:after="0"/>
              <w:rPr>
                <w:sz w:val="1"/>
                <w:szCs w:val="1"/>
                <w:color w:val="auto"/>
              </w:rPr>
            </w:pPr>
          </w:p>
        </w:tc>
      </w:tr>
      <w:tr>
        <w:trPr>
          <w:trHeight w:val="172"/>
        </w:trPr>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-1019810</wp:posOffset>
            </wp:positionV>
            <wp:extent cx="7132320"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-633730</wp:posOffset>
            </wp:positionV>
            <wp:extent cx="7132320" cy="257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-248285</wp:posOffset>
            </wp:positionV>
            <wp:extent cx="713232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940" w:space="380"/>
            <w:col w:w="7920"/>
          </w:cols>
          <w:pgMar w:left="320" w:top="141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Balance as of March 31, 2026</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p>
      <w:pPr>
        <w:spacing w:after="0" w:line="2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Issuance of common stock under at-the-market (ATM) equity offering program, net of issuance costs</w:t>
      </w:r>
    </w:p>
    <w:p>
      <w:pPr>
        <w:ind w:right="180"/>
        <w:spacing w:after="0" w:line="279" w:lineRule="auto"/>
        <w:rPr>
          <w:sz w:val="20"/>
          <w:szCs w:val="20"/>
          <w:color w:val="auto"/>
        </w:rPr>
      </w:pPr>
      <w:r>
        <w:rPr>
          <w:rFonts w:ascii="Times New Roman" w:cs="Times New Roman" w:eastAsia="Times New Roman" w:hAnsi="Times New Roman"/>
          <w:sz w:val="16"/>
          <w:szCs w:val="16"/>
          <w:color w:val="auto"/>
        </w:rPr>
        <w:t>Unrealized loss on marketable debt securities Stock-based compensation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120" w:type="dxa"/>
            <w:vAlign w:val="bottom"/>
            <w:gridSpan w:val="2"/>
          </w:tcPr>
          <w:p>
            <w:pPr>
              <w:jc w:val="right"/>
              <w:ind w:right="48"/>
              <w:spacing w:after="0" w:line="136" w:lineRule="exact"/>
              <w:rPr>
                <w:sz w:val="20"/>
                <w:szCs w:val="20"/>
                <w:color w:val="auto"/>
              </w:rPr>
            </w:pPr>
            <w:r>
              <w:rPr>
                <w:rFonts w:ascii="Times New Roman" w:cs="Times New Roman" w:eastAsia="Times New Roman" w:hAnsi="Times New Roman"/>
                <w:sz w:val="14"/>
                <w:szCs w:val="14"/>
                <w:b w:val="1"/>
                <w:bCs w:val="1"/>
                <w:color w:val="auto"/>
              </w:rPr>
              <w:t>15,892,353</w:t>
            </w:r>
          </w:p>
        </w:tc>
        <w:tc>
          <w:tcPr>
            <w:tcW w:w="880" w:type="dxa"/>
            <w:vAlign w:val="bottom"/>
            <w:gridSpan w:val="2"/>
          </w:tcPr>
          <w:p>
            <w:pPr>
              <w:jc w:val="right"/>
              <w:ind w:right="628"/>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jc w:val="right"/>
              <w:ind w:right="48"/>
              <w:spacing w:after="0" w:line="136" w:lineRule="exact"/>
              <w:rPr>
                <w:sz w:val="20"/>
                <w:szCs w:val="20"/>
                <w:color w:val="auto"/>
              </w:rPr>
            </w:pPr>
            <w:r>
              <w:rPr>
                <w:rFonts w:ascii="Times New Roman" w:cs="Times New Roman" w:eastAsia="Times New Roman" w:hAnsi="Times New Roman"/>
                <w:sz w:val="14"/>
                <w:szCs w:val="14"/>
                <w:b w:val="1"/>
                <w:bCs w:val="1"/>
                <w:color w:val="auto"/>
              </w:rPr>
              <w:t>16</w:t>
            </w:r>
          </w:p>
        </w:tc>
        <w:tc>
          <w:tcPr>
            <w:tcW w:w="220" w:type="dxa"/>
            <w:vAlign w:val="bottom"/>
            <w:gridSpan w:val="3"/>
          </w:tcPr>
          <w:p>
            <w:pPr>
              <w:jc w:val="right"/>
              <w:ind w:right="40"/>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ind w:right="49"/>
              <w:spacing w:after="0" w:line="136" w:lineRule="exact"/>
              <w:rPr>
                <w:sz w:val="20"/>
                <w:szCs w:val="20"/>
                <w:color w:val="auto"/>
              </w:rPr>
            </w:pPr>
            <w:r>
              <w:rPr>
                <w:rFonts w:ascii="Times New Roman" w:cs="Times New Roman" w:eastAsia="Times New Roman" w:hAnsi="Times New Roman"/>
                <w:sz w:val="14"/>
                <w:szCs w:val="14"/>
                <w:b w:val="1"/>
                <w:bCs w:val="1"/>
                <w:color w:val="auto"/>
              </w:rPr>
              <w:t>1,040,088</w:t>
            </w:r>
          </w:p>
        </w:tc>
        <w:tc>
          <w:tcPr>
            <w:tcW w:w="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(368)</w:t>
            </w:r>
          </w:p>
        </w:tc>
        <w:tc>
          <w:tcPr>
            <w:tcW w:w="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14"/>
                <w:szCs w:val="14"/>
                <w:b w:val="1"/>
                <w:bCs w:val="1"/>
                <w:color w:val="auto"/>
              </w:rPr>
              <w:t>(841,126)</w:t>
            </w:r>
          </w:p>
        </w:tc>
        <w:tc>
          <w:tcPr>
            <w:tcW w:w="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Pr>
          <w:p>
            <w:pPr>
              <w:jc w:val="right"/>
              <w:ind w:right="49"/>
              <w:spacing w:after="0" w:line="136" w:lineRule="exact"/>
              <w:rPr>
                <w:sz w:val="20"/>
                <w:szCs w:val="20"/>
                <w:color w:val="auto"/>
              </w:rPr>
            </w:pPr>
            <w:r>
              <w:rPr>
                <w:rFonts w:ascii="Times New Roman" w:cs="Times New Roman" w:eastAsia="Times New Roman" w:hAnsi="Times New Roman"/>
                <w:sz w:val="14"/>
                <w:szCs w:val="14"/>
                <w:b w:val="1"/>
                <w:bCs w:val="1"/>
                <w:color w:val="auto"/>
              </w:rPr>
              <w:t>198,610</w:t>
            </w:r>
          </w:p>
        </w:tc>
        <w:tc>
          <w:tcPr>
            <w:tcW w:w="0" w:type="dxa"/>
            <w:vAlign w:val="bottom"/>
          </w:tcPr>
          <w:p>
            <w:pPr>
              <w:spacing w:after="0"/>
              <w:rPr>
                <w:sz w:val="1"/>
                <w:szCs w:val="1"/>
                <w:color w:val="auto"/>
              </w:rPr>
            </w:pP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0" w:type="dxa"/>
            <w:vAlign w:val="bottom"/>
          </w:tcPr>
          <w:p>
            <w:pPr>
              <w:spacing w:after="0"/>
              <w:rPr>
                <w:sz w:val="19"/>
                <w:szCs w:val="19"/>
                <w:color w:val="auto"/>
              </w:rPr>
            </w:pPr>
          </w:p>
        </w:tc>
        <w:tc>
          <w:tcPr>
            <w:tcW w:w="1960" w:type="dxa"/>
            <w:vAlign w:val="bottom"/>
            <w:gridSpan w:val="3"/>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vMerge w:val="restart"/>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vMerge w:val="restart"/>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1960" w:type="dxa"/>
            <w:vAlign w:val="bottom"/>
            <w:tcBorders>
              <w:bottom w:val="single" w:sz="8" w:color="auto"/>
            </w:tcBorders>
            <w:gridSpan w:val="3"/>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center"/>
              <w:ind w:right="249"/>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08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right"/>
              <w:ind w:right="389"/>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jc w:val="center"/>
              <w:ind w:right="249"/>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jc w:val="center"/>
              <w:ind w:right="209"/>
              <w:spacing w:after="0" w:line="11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3"/>
        </w:trPr>
        <w:tc>
          <w:tcPr>
            <w:tcW w:w="11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7,457,240</w:t>
            </w:r>
          </w:p>
        </w:tc>
        <w:tc>
          <w:tcPr>
            <w:tcW w:w="880" w:type="dxa"/>
            <w:vAlign w:val="bottom"/>
            <w:gridSpan w:val="2"/>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7</w:t>
            </w: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859,488</w:t>
            </w:r>
          </w:p>
        </w:tc>
        <w:tc>
          <w:tcPr>
            <w:tcW w:w="2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(211)</w:t>
            </w:r>
          </w:p>
        </w:tc>
        <w:tc>
          <w:tcPr>
            <w:tcW w:w="2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(825,925)</w:t>
            </w:r>
          </w:p>
        </w:tc>
        <w:tc>
          <w:tcPr>
            <w:tcW w:w="80" w:type="dxa"/>
            <w:vAlign w:val="bottom"/>
          </w:tcPr>
          <w:p>
            <w:pPr>
              <w:spacing w:after="0"/>
              <w:rPr>
                <w:sz w:val="18"/>
                <w:szCs w:val="18"/>
                <w:color w:val="auto"/>
              </w:rPr>
            </w:pPr>
          </w:p>
        </w:tc>
        <w:tc>
          <w:tcPr>
            <w:tcW w:w="2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33,359</w:t>
            </w:r>
          </w:p>
        </w:tc>
        <w:tc>
          <w:tcPr>
            <w:tcW w:w="0" w:type="dxa"/>
            <w:vAlign w:val="bottom"/>
          </w:tcPr>
          <w:p>
            <w:pPr>
              <w:spacing w:after="0"/>
              <w:rPr>
                <w:sz w:val="1"/>
                <w:szCs w:val="1"/>
                <w:color w:val="auto"/>
              </w:rPr>
            </w:pPr>
          </w:p>
        </w:tc>
      </w:tr>
      <w:tr>
        <w:trPr>
          <w:trHeight w:val="608"/>
        </w:trPr>
        <w:tc>
          <w:tcPr>
            <w:tcW w:w="11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161,645</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1,921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1,922</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712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712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-1361440</wp:posOffset>
            </wp:positionV>
            <wp:extent cx="7132320"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-769620</wp:posOffset>
            </wp:positionV>
            <wp:extent cx="7132320"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-255270</wp:posOffset>
            </wp:positionV>
            <wp:extent cx="713232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3120" w:space="200"/>
            <w:col w:w="7920"/>
          </w:cols>
          <w:pgMar w:left="320" w:top="1413" w:right="33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3360" w:type="dxa"/>
            <w:vAlign w:val="bottom"/>
            <w:tcBorders>
              <w:bottom w:val="single" w:sz="8" w:color="CFF0FC"/>
            </w:tcBorders>
            <w:shd w:val="clear" w:color="auto" w:fill="CFF0FC"/>
          </w:tcPr>
          <w:p>
            <w:pPr>
              <w:spacing w:after="0" w:line="172" w:lineRule="exact"/>
              <w:rPr>
                <w:sz w:val="20"/>
                <w:szCs w:val="20"/>
                <w:color w:val="auto"/>
              </w:rPr>
            </w:pPr>
            <w:r>
              <w:rPr>
                <w:rFonts w:ascii="Times New Roman" w:cs="Times New Roman" w:eastAsia="Times New Roman" w:hAnsi="Times New Roman"/>
                <w:sz w:val="16"/>
                <w:szCs w:val="16"/>
                <w:color w:val="auto"/>
              </w:rPr>
              <w:t>Net loss</w:t>
            </w:r>
          </w:p>
        </w:tc>
        <w:tc>
          <w:tcPr>
            <w:tcW w:w="10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(8,818)</w:t>
            </w:r>
          </w:p>
        </w:tc>
        <w:tc>
          <w:tcPr>
            <w:tcW w:w="120" w:type="dxa"/>
            <w:vAlign w:val="bottom"/>
            <w:tcBorders>
              <w:bottom w:val="single" w:sz="8" w:color="CFF0FC"/>
            </w:tcBorders>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(8,818)</w:t>
            </w:r>
          </w:p>
        </w:tc>
      </w:tr>
      <w:tr>
        <w:trPr>
          <w:trHeight w:val="156"/>
        </w:trPr>
        <w:tc>
          <w:tcPr>
            <w:tcW w:w="3360" w:type="dxa"/>
            <w:vAlign w:val="bottom"/>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Balance as of March 31, 2025</w:t>
            </w:r>
          </w:p>
        </w:tc>
        <w:tc>
          <w:tcPr>
            <w:tcW w:w="108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7,618,885</w:t>
            </w:r>
          </w:p>
        </w:tc>
        <w:tc>
          <w:tcPr>
            <w:tcW w:w="540" w:type="dxa"/>
            <w:vAlign w:val="bottom"/>
            <w:gridSpan w:val="2"/>
          </w:tcPr>
          <w:p>
            <w:pPr>
              <w:jc w:val="right"/>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8</w:t>
            </w:r>
          </w:p>
        </w:tc>
        <w:tc>
          <w:tcPr>
            <w:tcW w:w="40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862,121</w:t>
            </w:r>
          </w:p>
        </w:tc>
        <w:tc>
          <w:tcPr>
            <w:tcW w:w="680" w:type="dxa"/>
            <w:vAlign w:val="bottom"/>
            <w:gridSpan w:val="2"/>
          </w:tcPr>
          <w:p>
            <w:pPr>
              <w:jc w:val="right"/>
              <w:ind w:right="50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(253)</w:t>
            </w:r>
          </w:p>
        </w:tc>
        <w:tc>
          <w:tcPr>
            <w:tcW w:w="460" w:type="dxa"/>
            <w:vAlign w:val="bottom"/>
            <w:gridSpan w:val="2"/>
          </w:tcPr>
          <w:p>
            <w:pPr>
              <w:jc w:val="right"/>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(834,743)</w:t>
            </w:r>
          </w:p>
        </w:tc>
        <w:tc>
          <w:tcPr>
            <w:tcW w:w="560" w:type="dxa"/>
            <w:vAlign w:val="bottom"/>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27,133</w:t>
            </w:r>
          </w:p>
        </w:tc>
      </w:tr>
      <w:tr>
        <w:trPr>
          <w:trHeight w:val="20"/>
        </w:trPr>
        <w:tc>
          <w:tcPr>
            <w:tcW w:w="33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-136525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-136525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-136525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-136525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-136525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ASSEMBLY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80" w:type="dxa"/>
            <w:vAlign w:val="bottom"/>
            <w:tcBorders>
              <w:bottom w:val="single" w:sz="8" w:color="auto"/>
            </w:tcBorders>
            <w:gridSpan w:val="5"/>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2"/>
        </w:trPr>
        <w:tc>
          <w:tcPr>
            <w:tcW w:w="7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7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9"/>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(9,079)</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(8,818)</w:t>
            </w: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1,116</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712</w:t>
            </w: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accretion of investments in marketable debt securities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rent expense</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204</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7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Accounts receivable from collaboration with a related party</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523</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r>
      <w:tr>
        <w:trPr>
          <w:trHeight w:val="216"/>
        </w:trPr>
        <w:tc>
          <w:tcPr>
            <w:tcW w:w="7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290</w:t>
            </w:r>
          </w:p>
        </w:tc>
      </w:tr>
      <w:tr>
        <w:trPr>
          <w:trHeight w:val="216"/>
        </w:trPr>
        <w:tc>
          <w:tcPr>
            <w:tcW w:w="7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7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Other accrued expenses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(4,560)</w:t>
            </w:r>
          </w:p>
        </w:tc>
      </w:tr>
      <w:tr>
        <w:trPr>
          <w:trHeight w:val="216"/>
        </w:trPr>
        <w:tc>
          <w:tcPr>
            <w:tcW w:w="7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 revenue from a related party</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(9,419)</w:t>
            </w:r>
          </w:p>
        </w:tc>
      </w:tr>
      <w:tr>
        <w:trPr>
          <w:trHeight w:val="216"/>
        </w:trPr>
        <w:tc>
          <w:tcPr>
            <w:tcW w:w="76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09"/>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(23,439)</w:t>
            </w:r>
          </w:p>
        </w:tc>
      </w:tr>
      <w:tr>
        <w:trPr>
          <w:trHeight w:val="216"/>
        </w:trPr>
        <w:tc>
          <w:tcPr>
            <w:tcW w:w="7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7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57,600</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26,432</w:t>
            </w:r>
          </w:p>
        </w:tc>
      </w:tr>
      <w:tr>
        <w:trPr>
          <w:trHeight w:val="216"/>
        </w:trPr>
        <w:tc>
          <w:tcPr>
            <w:tcW w:w="7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(19,846)</w:t>
            </w:r>
          </w:p>
        </w:tc>
      </w:tr>
      <w:tr>
        <w:trPr>
          <w:trHeight w:val="216"/>
        </w:trPr>
        <w:tc>
          <w:tcPr>
            <w:tcW w:w="7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6,586</w:t>
            </w:r>
          </w:p>
        </w:tc>
      </w:tr>
      <w:tr>
        <w:trPr>
          <w:trHeight w:val="216"/>
        </w:trPr>
        <w:tc>
          <w:tcPr>
            <w:tcW w:w="7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98"/>
        </w:trPr>
        <w:tc>
          <w:tcPr>
            <w:tcW w:w="7620" w:type="dxa"/>
            <w:vAlign w:val="bottom"/>
            <w:shd w:val="clear" w:color="auto" w:fill="CFF0FC"/>
          </w:tcPr>
          <w:p>
            <w:pPr>
              <w:ind w:left="300"/>
              <w:spacing w:after="0" w:line="198" w:lineRule="exact"/>
              <w:rPr>
                <w:sz w:val="20"/>
                <w:szCs w:val="20"/>
                <w:color w:val="auto"/>
              </w:rPr>
            </w:pPr>
            <w:r>
              <w:rPr>
                <w:rFonts w:ascii="Times New Roman" w:cs="Times New Roman" w:eastAsia="Times New Roman" w:hAnsi="Times New Roman"/>
                <w:sz w:val="18"/>
                <w:szCs w:val="18"/>
                <w:color w:val="auto"/>
              </w:rPr>
              <w:t>Proceeds from the issuance of common stock under ATM equity offering program, net of issuance</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34"/>
        </w:trPr>
        <w:tc>
          <w:tcPr>
            <w:tcW w:w="7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costs</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1,922</w:t>
            </w:r>
          </w:p>
        </w:tc>
      </w:tr>
      <w:tr>
        <w:trPr>
          <w:trHeight w:val="216"/>
        </w:trPr>
        <w:tc>
          <w:tcPr>
            <w:tcW w:w="7620" w:type="dxa"/>
            <w:vAlign w:val="bottom"/>
            <w:tcBorders>
              <w:bottom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24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149</w:t>
            </w:r>
          </w:p>
        </w:tc>
        <w:tc>
          <w:tcPr>
            <w:tcW w:w="1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149</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1,922</w:t>
            </w:r>
          </w:p>
        </w:tc>
      </w:tr>
      <w:tr>
        <w:trPr>
          <w:trHeight w:val="216"/>
        </w:trPr>
        <w:tc>
          <w:tcPr>
            <w:tcW w:w="7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(27,330)</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(14,931)</w:t>
            </w: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2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58,450</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38,344</w:t>
            </w:r>
          </w:p>
        </w:tc>
      </w:tr>
      <w:tr>
        <w:trPr>
          <w:trHeight w:val="230"/>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1160" w:type="dxa"/>
            <w:vAlign w:val="bottom"/>
            <w:gridSpan w:val="2"/>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31,120</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23,413</w:t>
            </w:r>
          </w:p>
        </w:tc>
      </w:tr>
      <w:tr>
        <w:trPr>
          <w:trHeight w:val="20"/>
        </w:trPr>
        <w:tc>
          <w:tcPr>
            <w:tcW w:w="76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-2390775</wp:posOffset>
            </wp:positionV>
            <wp:extent cx="1028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-728345</wp:posOffset>
            </wp:positionV>
            <wp:extent cx="1028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1028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1028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ASSEMBLY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Assembly Biosciences, Inc. (together with its subsidiaries, Assembly or the Company), incorporated in Delaware in October 2005, is a biotechnology company developing innovative therapeutics targeting serious viral diseases with the potential to improve the lives of patients worldwide. The Company's pipeline includes multiple clinical-stage investigational therapies, including: (1) two long-acting helicase-primase inhibitors (HPI) for the treatment of recurrent genital herpes, ABI-5366 (5366) and ABI-1179 (1179); (2) an orally bioavailable hepatitis delta virus (HDV) entry inhibitor, ABI-6250 (6250); and (3) a highly potent next-generation capsid assembly modulator (CAM) designed to disrupt the replication cycle of hepatitis B virus (HBV) at several key points, ABI-4334 (4334). The Company's pipeline also includes a novel, oral broad-spectrum non-nucleoside polymerase inhibitor (NNPI) for the treatment of transplant-related herpesviruses, ABI-7272 (7272), which is currently undergoing studies to enable a regulatory filing, and the Company has additional research programs against multiple antiviral targets. In December 2025, pursuant to the collaboration with Gilead Sciences, Inc. (Gilead), Gilead exercised its option to license the Company's HPI program, including its long-acting investigational candidates 1179 and 5366. For additional information, see Note 8 - Collaboration Agreements. The Company operates in one segment and is headquartered in South San Francisco, California (see Note 9 - Segment Reporting).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not derived any revenue from product sales to date and currently has no approved products. Once a product has been developed, it will need to be approved for sale by the U.S. Food and Drug Administration or an applicable foreign regulatory agency. Since the Company’s initial public offering, its operations have been financed through the sale of equity securities and payments related to collaboration agreements. The Company has incurred losses from operations since inception and expects to continue to incur substantial losses for the next several years as it continues its product development efforts. The Company intends to obtain any additional funding it requires through strategic relationships, public or private equity or debt financings, grants or other arrangements. The Company cannot assure such funding will be available on reasonable terms, if at all. As of March 31, 2026, the Company held cash, cash equivalents and marketable securities of $226.6 million. Management believes the Company currently has sufficient funds to meet its operating requirements beyond one year from the date these unaudited condensed consolidated financial statements are issued.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and its subsidiaries. All intercompany balances and transactions have been eliminated in consolidation.</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the accounting principles generally accepted in the United States of America (U.S. GAAP) for interim financial information and pursuant to the instructions to Form 10-Q and Rule 10-01 of Regulation S-X of the SEC. In management’s opinion, the unaudited condensed consolidated financial statements have been prepared on the same basis as the annual audited consolidated financial statements and include normal recurring adjustments necessary for the fair presentation of the Company’s financial position and its results of operations and comprehensive loss and its cash flows for the periods presented. These statements do not include all disclosures required by U.S. GAAP and should be read in conjunction with the Company’s audited consolidated financial statements and accompanying notes for the fiscal year ended December 31, 2025, which are contained in the 2025 Annual Report. The results for the three months ended March 31, 2026 are not necessarily indicative of results to be expected for the entire year ending December 31, 2026 or future operating periods.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conformity with U.S. GAAP requires management to make estimates and assumptions that may affect the reported amounts of assets and liabilities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 w:name="page11"/>
    <w:bookmarkEnd w:id="10"/>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disclosure of contingent assets and liabilities at the date of the financial statements and reported amounts of expenses during the reporting period. Actual results could differ from those estimates.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Significant estimates inherent in the preparation of the accompanying unaudited condensed consolidated financial statements include estimates for revenue recognition, including the standalone selling price for the allocation of the transaction price to performance obligations and cost-based inputs, and costs incurred but not yet invoiced for research and development accruals.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estimates could be affected by external conditions, including those unique to the Company and general economic conditions. It is reasonably possible these external factors could have an effect on the Company’s estimates and could cause actual results to differ materially from those estimates and assumptions.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and Uncertainties</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U.S. and global financial markets have experienced and may continue to experience volatility and disruption due to macroeconomic and geopolitical events such as rising inflation, changes in interest rates to combat inflation, the war between Russia and Ukraine, the conflicts in the Middle East, including the recent hostilities involving Iran, and in Venezuela, tensions between China and Taiwan, as well as tariffs or the imposition and enforceability of tariffs, trade wars, barriers or restrictions, or threats of such actions and the related uncertainty thereof, including uncertainties regarding the ability to obtain refunds for previously paid tariffs that have subsequently been invalidated. The Company cannot predict at this time to what extent, if at all, it and its employees, contract research organizations, vendors and/or collaborators could potentially be negatively impacted by these events.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net loss per share of common stock excludes dilution and is computed by dividing net loss by the weighted average number of shares of common stock outstanding during the period. Diluted net loss per share of common stock reflects the potential dilution that could occur if securities or other contracts to issue common stock were exercised or converted into common stock or resulted in the issuance of common stock that then shared in the earnings of the entity unless inclusion of such shares would be anti-dilutive. Diluted net loss per share is the same as basic net loss per share, since the effects of potentially dilutive securities are antidilutive given the net loss for each period presented.</w:t>
      </w:r>
    </w:p>
    <w:p>
      <w:pPr>
        <w:spacing w:after="0" w:line="1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reconciliation of the numerators and the denominators of the basic and diluted net loss per common share computations is as follows (in thousands, except for share and per share amounts):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gridSpan w:val="4"/>
          </w:tcPr>
          <w:p>
            <w:pPr>
              <w:jc w:val="right"/>
              <w:ind w:right="99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83"/>
        </w:trPr>
        <w:tc>
          <w:tcPr>
            <w:tcW w:w="6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1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6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(9,079)</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(8,818)</w:t>
            </w:r>
          </w:p>
        </w:tc>
      </w:tr>
      <w:tr>
        <w:trPr>
          <w:trHeight w:val="20"/>
        </w:trPr>
        <w:tc>
          <w:tcPr>
            <w:tcW w:w="6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0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16"/>
        </w:trPr>
        <w:tc>
          <w:tcPr>
            <w:tcW w:w="6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1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16,900,232</w:t>
            </w:r>
          </w:p>
        </w:tc>
        <w:tc>
          <w:tcPr>
            <w:tcW w:w="3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7,506,321</w:t>
            </w:r>
          </w:p>
        </w:tc>
      </w:tr>
      <w:tr>
        <w:trPr>
          <w:trHeight w:val="20"/>
        </w:trPr>
        <w:tc>
          <w:tcPr>
            <w:tcW w:w="6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7"/>
        </w:trPr>
        <w:tc>
          <w:tcPr>
            <w:tcW w:w="60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 basic and diluted</w:t>
            </w:r>
          </w:p>
        </w:tc>
        <w:tc>
          <w:tcPr>
            <w:tcW w:w="1600" w:type="dxa"/>
            <w:vAlign w:val="bottom"/>
            <w:gridSpan w:val="2"/>
            <w:shd w:val="clear" w:color="auto" w:fill="CFF0FC"/>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(0.54)</w:t>
            </w:r>
          </w:p>
        </w:tc>
        <w:tc>
          <w:tcPr>
            <w:tcW w:w="700" w:type="dxa"/>
            <w:vAlign w:val="bottom"/>
            <w:gridSpan w:val="2"/>
            <w:shd w:val="clear" w:color="auto" w:fill="CFF0FC"/>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excluded from the computation of diluted net loss per share because including them would have been antidilutive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80" w:type="dxa"/>
            <w:vAlign w:val="bottom"/>
          </w:tcPr>
          <w:p>
            <w:pPr>
              <w:spacing w:after="0"/>
              <w:rPr>
                <w:sz w:val="15"/>
                <w:szCs w:val="15"/>
                <w:color w:val="auto"/>
              </w:rPr>
            </w:pPr>
          </w:p>
        </w:tc>
        <w:tc>
          <w:tcPr>
            <w:tcW w:w="2580" w:type="dxa"/>
            <w:vAlign w:val="bottom"/>
            <w:tcBorders>
              <w:bottom w:val="single" w:sz="8" w:color="auto"/>
            </w:tcBorders>
            <w:gridSpan w:val="3"/>
          </w:tcPr>
          <w:p>
            <w:pPr>
              <w:ind w:left="16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80" w:type="dxa"/>
            <w:vAlign w:val="bottom"/>
            <w:tcBorders>
              <w:bottom w:val="single" w:sz="8" w:color="auto"/>
            </w:tcBorders>
          </w:tcPr>
          <w:p>
            <w:pPr>
              <w:spacing w:after="0"/>
              <w:rPr>
                <w:sz w:val="15"/>
                <w:szCs w:val="15"/>
                <w:color w:val="auto"/>
              </w:rPr>
            </w:pPr>
          </w:p>
        </w:tc>
      </w:tr>
      <w:tr>
        <w:trPr>
          <w:trHeight w:val="196"/>
        </w:trPr>
        <w:tc>
          <w:tcPr>
            <w:tcW w:w="7180" w:type="dxa"/>
            <w:vAlign w:val="bottom"/>
          </w:tcPr>
          <w:p>
            <w:pPr>
              <w:spacing w:after="0"/>
              <w:rPr>
                <w:sz w:val="17"/>
                <w:szCs w:val="17"/>
                <w:color w:val="auto"/>
              </w:rPr>
            </w:pPr>
          </w:p>
        </w:tc>
        <w:tc>
          <w:tcPr>
            <w:tcW w:w="190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9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9,487,477</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814,000</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1,171,159</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1,191,943</w:t>
            </w:r>
          </w:p>
        </w:tc>
      </w:tr>
      <w:tr>
        <w:trPr>
          <w:trHeight w:val="216"/>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subject to purchase under ESPP</w:t>
            </w:r>
          </w:p>
        </w:tc>
        <w:tc>
          <w:tcPr>
            <w:tcW w:w="19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17,998</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39,181</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Unvested RSUs</w:t>
            </w:r>
          </w:p>
        </w:tc>
        <w:tc>
          <w:tcPr>
            <w:tcW w:w="1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461,339</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86,999</w:t>
            </w:r>
          </w:p>
        </w:tc>
      </w:tr>
      <w:tr>
        <w:trPr>
          <w:trHeight w:val="216"/>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performance stock units (PSUs)</w:t>
            </w:r>
          </w:p>
        </w:tc>
        <w:tc>
          <w:tcPr>
            <w:tcW w:w="19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225,000</w:t>
            </w:r>
          </w:p>
        </w:tc>
        <w:tc>
          <w:tcPr>
            <w:tcW w:w="2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15,832</w:t>
            </w:r>
          </w:p>
        </w:tc>
      </w:tr>
      <w:tr>
        <w:trPr>
          <w:trHeight w:val="21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11,362,973</w:t>
            </w: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2,147,955</w:t>
            </w:r>
          </w:p>
        </w:tc>
      </w:tr>
      <w:tr>
        <w:trPr>
          <w:trHeight w:val="20"/>
        </w:trPr>
        <w:tc>
          <w:tcPr>
            <w:tcW w:w="71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-170815</wp:posOffset>
            </wp:positionV>
            <wp:extent cx="1543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1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2025, the Company sold pre-funded warrants to purchase up to 1,040,820 shares of common stock (see Note 6 - Stockholders' Equity). The pre-funded warrants are exercisable at $0.001 per share. The shares of common stock into which the pre-funded warrants may be exercised are considered outstanding for the purposes of computing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53" w:lineRule="exact"/>
        <w:rPr>
          <w:sz w:val="20"/>
          <w:szCs w:val="20"/>
          <w:color w:val="auto"/>
        </w:rPr>
      </w:pPr>
    </w:p>
    <w:p>
      <w:pPr>
        <w:ind w:right="120"/>
        <w:spacing w:after="0" w:line="407" w:lineRule="auto"/>
        <w:rPr>
          <w:sz w:val="20"/>
          <w:szCs w:val="20"/>
          <w:color w:val="auto"/>
        </w:rPr>
      </w:pPr>
      <w:r>
        <w:rPr>
          <w:rFonts w:ascii="Times New Roman" w:cs="Times New Roman" w:eastAsia="Times New Roman" w:hAnsi="Times New Roman"/>
          <w:sz w:val="18"/>
          <w:szCs w:val="18"/>
          <w:color w:val="auto"/>
        </w:rPr>
        <w:t xml:space="preserve">earnings per share because the shares may be issued for little or no consideration, they are fully vested, and are exercisable after the original issuance date. </w:t>
      </w:r>
      <w:r>
        <w:rPr>
          <w:rFonts w:ascii="Times New Roman" w:cs="Times New Roman" w:eastAsia="Times New Roman" w:hAnsi="Times New Roman"/>
          <w:sz w:val="18"/>
          <w:szCs w:val="18"/>
          <w:b w:val="1"/>
          <w:bCs w:val="1"/>
          <w:color w:val="auto"/>
        </w:rPr>
        <w:t>Note 3 – Related Party</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2023, the Company entered into the Option, License and Collaboration Agreement, as amended (the Gilead Collaboration Agreement), and a Common Stock Purchase Agreement and an Investor Rights Agreement (collectively, the Gilead Equity Agreements) with Gilead. Following the Company entering into the Gilead Equity Agreements, and as of March 31, 2026, Gilead is considered a related party based on its ownership of the Company's common stock.</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the Company recorded $0.5 million in accounts receivable from collaboration on the condensed consolidated balance sheet for reimbursable costs incurred under the Gilead Collaboration Agreement. The Company recognized $8.2 million and $9.4 million of collaboration revenue under the Gilead Collaboration Agreement during the three months ended March 31, 2026 and 2025, respectively. See Note 8 - Collaboration Agreement for additional details.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 and Investments in Marketable Securities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amounts of cash equivalents and marketable securities approximate their fair value based upon quoted market prices. Certain of the Company’s financial instruments are not measured at fair value on a recurring basis, but are recorded at amounts that approximate their fair value due to their liquid or short-term nature, such as cash, accounts receivable, accounts payable and accrued expenses.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uses the following three-level hierarchy that maximizes the use of observable inputs and minimizes the use of unobservable inputs to value its financial instruments: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Observable inputs such as unadjusted quoted prices in active markets for identical instruments.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Quoted prices for similar instruments that are directly or indirectly observable in the marketplace.</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3: Significant unobservable inputs that are supported by little or no market activity and that are financial instruments whose values are determined using pricing models, discounted cash flow methodologies, or similar techniques, as well as instruments for which the determination of fair value requires significant judgment or estimation.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in marketable securities consisted of the following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5"/>
          </w:tcPr>
          <w:p>
            <w:pPr>
              <w:jc w:val="right"/>
              <w:ind w:right="935"/>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0"/>
                <w:szCs w:val="10"/>
                <w:color w:val="auto"/>
              </w:rPr>
            </w:pPr>
          </w:p>
        </w:tc>
        <w:tc>
          <w:tcPr>
            <w:tcW w:w="1020" w:type="dxa"/>
            <w:vAlign w:val="bottom"/>
          </w:tcPr>
          <w:p>
            <w:pPr>
              <w:jc w:val="center"/>
              <w:ind w:left="149"/>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jc w:val="center"/>
              <w:ind w:right="215"/>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left="169"/>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23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9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1020" w:type="dxa"/>
            <w:vAlign w:val="bottom"/>
            <w:tcBorders>
              <w:bottom w:val="single" w:sz="8" w:color="auto"/>
            </w:tcBorders>
          </w:tcPr>
          <w:p>
            <w:pPr>
              <w:jc w:val="center"/>
              <w:ind w:left="169"/>
              <w:spacing w:after="0"/>
              <w:rPr>
                <w:sz w:val="20"/>
                <w:szCs w:val="20"/>
                <w:color w:val="auto"/>
              </w:rPr>
            </w:pPr>
            <w:r>
              <w:rPr>
                <w:rFonts w:ascii="Times New Roman" w:cs="Times New Roman" w:eastAsia="Times New Roman" w:hAnsi="Times New Roman"/>
                <w:sz w:val="14"/>
                <w:szCs w:val="14"/>
                <w:b w:val="1"/>
                <w:bCs w:val="1"/>
                <w:color w:val="auto"/>
              </w:rPr>
              <w:t>Gain</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4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Money market fund</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29,364</w:t>
            </w:r>
          </w:p>
        </w:tc>
        <w:tc>
          <w:tcPr>
            <w:tcW w:w="1120" w:type="dxa"/>
            <w:vAlign w:val="bottom"/>
            <w:gridSpan w:val="2"/>
            <w:shd w:val="clear" w:color="auto" w:fill="CFF0FC"/>
          </w:tcPr>
          <w:p>
            <w:pPr>
              <w:jc w:val="right"/>
              <w:ind w:right="86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29,364</w:t>
            </w:r>
          </w:p>
        </w:tc>
        <w:tc>
          <w:tcPr>
            <w:tcW w:w="0" w:type="dxa"/>
            <w:vAlign w:val="bottom"/>
          </w:tcPr>
          <w:p>
            <w:pPr>
              <w:spacing w:after="0"/>
              <w:rPr>
                <w:sz w:val="1"/>
                <w:szCs w:val="1"/>
                <w:color w:val="auto"/>
              </w:rPr>
            </w:pPr>
          </w:p>
        </w:tc>
      </w:tr>
      <w:tr>
        <w:trPr>
          <w:trHeight w:val="21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9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29,364</w:t>
            </w:r>
          </w:p>
        </w:tc>
        <w:tc>
          <w:tcPr>
            <w:tcW w:w="100" w:type="dxa"/>
            <w:vAlign w:val="bottom"/>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29,364</w:t>
            </w:r>
          </w:p>
        </w:tc>
        <w:tc>
          <w:tcPr>
            <w:tcW w:w="0" w:type="dxa"/>
            <w:vAlign w:val="bottom"/>
          </w:tcPr>
          <w:p>
            <w:pPr>
              <w:spacing w:after="0"/>
              <w:rPr>
                <w:sz w:val="1"/>
                <w:szCs w:val="1"/>
                <w:color w:val="auto"/>
              </w:rPr>
            </w:pPr>
          </w:p>
        </w:tc>
      </w:tr>
      <w:tr>
        <w:trPr>
          <w:trHeight w:val="21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39,828</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39,791</w:t>
            </w: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Asset-backed securities</w:t>
            </w: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11,977</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11,983</w:t>
            </w:r>
          </w:p>
        </w:tc>
        <w:tc>
          <w:tcPr>
            <w:tcW w:w="0" w:type="dxa"/>
            <w:vAlign w:val="bottom"/>
          </w:tcPr>
          <w:p>
            <w:pPr>
              <w:spacing w:after="0"/>
              <w:rPr>
                <w:sz w:val="1"/>
                <w:szCs w:val="1"/>
                <w:color w:val="auto"/>
              </w:rPr>
            </w:pP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134,523</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134,471</w:t>
            </w:r>
          </w:p>
        </w:tc>
        <w:tc>
          <w:tcPr>
            <w:tcW w:w="0" w:type="dxa"/>
            <w:vAlign w:val="bottom"/>
          </w:tcPr>
          <w:p>
            <w:pPr>
              <w:spacing w:after="0"/>
              <w:rPr>
                <w:sz w:val="1"/>
                <w:szCs w:val="1"/>
                <w:color w:val="auto"/>
              </w:rPr>
            </w:pPr>
          </w:p>
        </w:tc>
      </w:tr>
      <w:tr>
        <w:trPr>
          <w:trHeight w:val="216"/>
        </w:trPr>
        <w:tc>
          <w:tcPr>
            <w:tcW w:w="44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9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9,248</w:t>
            </w: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9,236</w:t>
            </w:r>
          </w:p>
        </w:tc>
        <w:tc>
          <w:tcPr>
            <w:tcW w:w="0" w:type="dxa"/>
            <w:vAlign w:val="bottom"/>
          </w:tcPr>
          <w:p>
            <w:pPr>
              <w:spacing w:after="0"/>
              <w:rPr>
                <w:sz w:val="1"/>
                <w:szCs w:val="1"/>
                <w:color w:val="auto"/>
              </w:rPr>
            </w:pPr>
          </w:p>
        </w:tc>
      </w:tr>
      <w:tr>
        <w:trPr>
          <w:trHeight w:val="21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9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195,576</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195,481</w:t>
            </w:r>
          </w:p>
        </w:tc>
        <w:tc>
          <w:tcPr>
            <w:tcW w:w="0" w:type="dxa"/>
            <w:vAlign w:val="bottom"/>
          </w:tcPr>
          <w:p>
            <w:pPr>
              <w:spacing w:after="0"/>
              <w:rPr>
                <w:sz w:val="1"/>
                <w:szCs w:val="1"/>
                <w:color w:val="auto"/>
              </w:rPr>
            </w:pPr>
          </w:p>
        </w:tc>
      </w:tr>
      <w:tr>
        <w:trPr>
          <w:trHeight w:val="25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224,940</w:t>
            </w:r>
          </w:p>
        </w:tc>
        <w:tc>
          <w:tcPr>
            <w:tcW w:w="1120" w:type="dxa"/>
            <w:vAlign w:val="bottom"/>
            <w:gridSpan w:val="2"/>
            <w:shd w:val="clear" w:color="auto" w:fill="CFF0FC"/>
          </w:tcPr>
          <w:p>
            <w:pPr>
              <w:jc w:val="right"/>
              <w:ind w:right="86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224,845</w:t>
            </w:r>
          </w:p>
        </w:tc>
        <w:tc>
          <w:tcPr>
            <w:tcW w:w="0" w:type="dxa"/>
            <w:vAlign w:val="bottom"/>
          </w:tcPr>
          <w:p>
            <w:pPr>
              <w:spacing w:after="0"/>
              <w:rPr>
                <w:sz w:val="1"/>
                <w:szCs w:val="1"/>
                <w:color w:val="auto"/>
              </w:rPr>
            </w:pPr>
          </w:p>
        </w:tc>
      </w:tr>
      <w:tr>
        <w:trPr>
          <w:trHeight w:val="844"/>
        </w:trPr>
        <w:tc>
          <w:tcPr>
            <w:tcW w:w="4440" w:type="dxa"/>
            <w:vAlign w:val="bottom"/>
            <w:tcBorders>
              <w:top w:val="single" w:sz="8" w:color="CFF0FC"/>
            </w:tcBorders>
          </w:tcPr>
          <w:p>
            <w:pPr>
              <w:spacing w:after="0"/>
              <w:rPr>
                <w:sz w:val="24"/>
                <w:szCs w:val="24"/>
                <w:color w:val="auto"/>
              </w:rPr>
            </w:pPr>
          </w:p>
        </w:tc>
        <w:tc>
          <w:tcPr>
            <w:tcW w:w="9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jc w:val="right"/>
              <w:ind w:right="97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FF0FC"/>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4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-2214880</wp:posOffset>
            </wp:positionV>
            <wp:extent cx="93980" cy="1797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5229860</wp:posOffset>
            </wp:positionH>
            <wp:positionV relativeFrom="paragraph">
              <wp:posOffset>-2214880</wp:posOffset>
            </wp:positionV>
            <wp:extent cx="93980" cy="1797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6172835</wp:posOffset>
            </wp:positionH>
            <wp:positionV relativeFrom="paragraph">
              <wp:posOffset>-2214880</wp:posOffset>
            </wp:positionV>
            <wp:extent cx="93980" cy="1797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-1362075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-1362075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-1070610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-1054100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-1070610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-1054100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-1070610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-1054100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jc w:val="center"/>
              <w:ind w:right="256"/>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jc w:val="center"/>
              <w:ind w:right="215"/>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23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23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9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Gain</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4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Money market fund</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57,994</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57,994</w:t>
            </w:r>
          </w:p>
        </w:tc>
        <w:tc>
          <w:tcPr>
            <w:tcW w:w="0" w:type="dxa"/>
            <w:vAlign w:val="bottom"/>
          </w:tcPr>
          <w:p>
            <w:pPr>
              <w:spacing w:after="0"/>
              <w:rPr>
                <w:sz w:val="1"/>
                <w:szCs w:val="1"/>
                <w:color w:val="auto"/>
              </w:rPr>
            </w:pPr>
          </w:p>
        </w:tc>
      </w:tr>
      <w:tr>
        <w:trPr>
          <w:trHeight w:val="20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9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57,994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57,994</w:t>
            </w:r>
          </w:p>
        </w:tc>
        <w:tc>
          <w:tcPr>
            <w:tcW w:w="0" w:type="dxa"/>
            <w:vAlign w:val="bottom"/>
          </w:tcPr>
          <w:p>
            <w:pPr>
              <w:spacing w:after="0"/>
              <w:rPr>
                <w:sz w:val="1"/>
                <w:szCs w:val="1"/>
                <w:color w:val="auto"/>
              </w:rPr>
            </w:pPr>
          </w:p>
        </w:tc>
      </w:tr>
      <w:tr>
        <w:trPr>
          <w:trHeight w:val="21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37,329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37,363</w:t>
            </w: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Asset-backed securities</w:t>
            </w: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11,970</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11,989</w:t>
            </w:r>
          </w:p>
        </w:tc>
        <w:tc>
          <w:tcPr>
            <w:tcW w:w="0" w:type="dxa"/>
            <w:vAlign w:val="bottom"/>
          </w:tcPr>
          <w:p>
            <w:pPr>
              <w:spacing w:after="0"/>
              <w:rPr>
                <w:sz w:val="1"/>
                <w:szCs w:val="1"/>
                <w:color w:val="auto"/>
              </w:rPr>
            </w:pP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123,267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123,437</w:t>
            </w:r>
          </w:p>
        </w:tc>
        <w:tc>
          <w:tcPr>
            <w:tcW w:w="0" w:type="dxa"/>
            <w:vAlign w:val="bottom"/>
          </w:tcPr>
          <w:p>
            <w:pPr>
              <w:spacing w:after="0"/>
              <w:rPr>
                <w:sz w:val="1"/>
                <w:szCs w:val="1"/>
                <w:color w:val="auto"/>
              </w:rPr>
            </w:pPr>
          </w:p>
        </w:tc>
      </w:tr>
      <w:tr>
        <w:trPr>
          <w:trHeight w:val="216"/>
        </w:trPr>
        <w:tc>
          <w:tcPr>
            <w:tcW w:w="44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9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16,858</w:t>
            </w:r>
          </w:p>
        </w:tc>
        <w:tc>
          <w:tcPr>
            <w:tcW w:w="10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16,867</w:t>
            </w:r>
          </w:p>
        </w:tc>
        <w:tc>
          <w:tcPr>
            <w:tcW w:w="0" w:type="dxa"/>
            <w:vAlign w:val="bottom"/>
          </w:tcPr>
          <w:p>
            <w:pPr>
              <w:spacing w:after="0"/>
              <w:rPr>
                <w:sz w:val="1"/>
                <w:szCs w:val="1"/>
                <w:color w:val="auto"/>
              </w:rPr>
            </w:pPr>
          </w:p>
        </w:tc>
      </w:tr>
      <w:tr>
        <w:trPr>
          <w:trHeight w:val="21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189,424</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189,656</w:t>
            </w:r>
          </w:p>
        </w:tc>
        <w:tc>
          <w:tcPr>
            <w:tcW w:w="0" w:type="dxa"/>
            <w:vAlign w:val="bottom"/>
          </w:tcPr>
          <w:p>
            <w:pPr>
              <w:spacing w:after="0"/>
              <w:rPr>
                <w:sz w:val="1"/>
                <w:szCs w:val="1"/>
                <w:color w:val="auto"/>
              </w:rPr>
            </w:pPr>
          </w:p>
        </w:tc>
      </w:tr>
      <w:tr>
        <w:trPr>
          <w:trHeight w:val="229"/>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247,418</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232</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247,650</w:t>
            </w:r>
          </w:p>
        </w:tc>
        <w:tc>
          <w:tcPr>
            <w:tcW w:w="0" w:type="dxa"/>
            <w:vAlign w:val="bottom"/>
          </w:tcPr>
          <w:p>
            <w:pPr>
              <w:spacing w:after="0"/>
              <w:rPr>
                <w:sz w:val="1"/>
                <w:szCs w:val="1"/>
                <w:color w:val="auto"/>
              </w:rPr>
            </w:pPr>
          </w:p>
        </w:tc>
      </w:tr>
      <w:tr>
        <w:trPr>
          <w:trHeight w:val="20"/>
        </w:trPr>
        <w:tc>
          <w:tcPr>
            <w:tcW w:w="44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-1169670</wp:posOffset>
            </wp:positionV>
            <wp:extent cx="93980" cy="179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5229860</wp:posOffset>
            </wp:positionH>
            <wp:positionV relativeFrom="paragraph">
              <wp:posOffset>-1169670</wp:posOffset>
            </wp:positionV>
            <wp:extent cx="93980"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6172835</wp:posOffset>
            </wp:positionH>
            <wp:positionV relativeFrom="paragraph">
              <wp:posOffset>-1169670</wp:posOffset>
            </wp:positionV>
            <wp:extent cx="93980" cy="179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-316865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-316865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-25400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-25400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-25400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were no realized gains and losses for the three months ended March 31, 2026 and 2025. As of March 31, 2026, investments which were in an unrealized loss position were not material and generally due to interest rate fluctuations, as opposed to declines in credit quality. There were no investments in an unrealized loss position as of December 31, 2025. The Company determined it has the intent and ability to hold all marketable securities that have been in a continuous loss position until recovery of their amortized cost basis, which may be until maturity. As a result, the Company did not recognize any credit losses related to its investments and all unrealized gains and losses on available-for-sale marketable securities are recorded in accumulated other comprehensive loss on the condensed consolidated balance sheets as of March 31, 2026 and December 31, 2025.</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Accrued interest receivable was $1.0 million and $1.5 million as of March 31, 2026 and December 31, 2025, respectively, and was recorded in prepaid expenses and other current assets on the condensed consolidated balance sheets. The Company did not write off any accrued interest receivable during the three months ended March 31, 2026 and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fair value of the Company’s financial assets measured at fair value on a recurring basis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3"/>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42"/>
        </w:trPr>
        <w:tc>
          <w:tcPr>
            <w:tcW w:w="40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2"/>
                <w:szCs w:val="12"/>
                <w:color w:val="auto"/>
              </w:rPr>
            </w:pPr>
          </w:p>
        </w:tc>
        <w:tc>
          <w:tcPr>
            <w:tcW w:w="96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9"/>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29,364</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29,364</w:t>
            </w:r>
          </w:p>
        </w:tc>
      </w:tr>
      <w:tr>
        <w:trPr>
          <w:trHeight w:val="209"/>
        </w:trPr>
        <w:tc>
          <w:tcPr>
            <w:tcW w:w="40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13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29,364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29,364</w:t>
            </w:r>
          </w:p>
        </w:tc>
      </w:tr>
      <w:tr>
        <w:trPr>
          <w:trHeight w:val="21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39,791</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39,791</w:t>
            </w:r>
          </w:p>
        </w:tc>
      </w:tr>
      <w:tr>
        <w:trPr>
          <w:trHeight w:val="216"/>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Asset-backed securities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11,983</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11,983</w:t>
            </w:r>
          </w:p>
        </w:tc>
      </w:tr>
      <w:tr>
        <w:trPr>
          <w:trHeight w:val="216"/>
        </w:trPr>
        <w:tc>
          <w:tcPr>
            <w:tcW w:w="4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134,471</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134,471</w:t>
            </w:r>
          </w:p>
        </w:tc>
      </w:tr>
      <w:tr>
        <w:trPr>
          <w:trHeight w:val="216"/>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1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9,236</w:t>
            </w: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9,236</w:t>
            </w:r>
          </w:p>
        </w:tc>
      </w:tr>
      <w:tr>
        <w:trPr>
          <w:trHeight w:val="209"/>
        </w:trPr>
        <w:tc>
          <w:tcPr>
            <w:tcW w:w="4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1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195,481</w:t>
            </w:r>
          </w:p>
        </w:tc>
        <w:tc>
          <w:tcPr>
            <w:tcW w:w="1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195,481</w:t>
            </w:r>
          </w:p>
        </w:tc>
      </w:tr>
      <w:tr>
        <w:trPr>
          <w:trHeight w:val="21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29,364</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195,481</w:t>
            </w:r>
          </w:p>
        </w:tc>
        <w:tc>
          <w:tcPr>
            <w:tcW w:w="10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224,845</w:t>
            </w:r>
          </w:p>
        </w:tc>
      </w:tr>
      <w:tr>
        <w:trPr>
          <w:trHeight w:val="20"/>
        </w:trPr>
        <w:tc>
          <w:tcPr>
            <w:tcW w:w="40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345"/>
        </w:trPr>
        <w:tc>
          <w:tcPr>
            <w:tcW w:w="4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42"/>
        </w:trPr>
        <w:tc>
          <w:tcPr>
            <w:tcW w:w="40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2"/>
                <w:szCs w:val="12"/>
                <w:color w:val="auto"/>
              </w:rPr>
            </w:pPr>
          </w:p>
        </w:tc>
        <w:tc>
          <w:tcPr>
            <w:tcW w:w="96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57,994</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57,994</w:t>
            </w:r>
          </w:p>
        </w:tc>
      </w:tr>
      <w:tr>
        <w:trPr>
          <w:trHeight w:val="210"/>
        </w:trPr>
        <w:tc>
          <w:tcPr>
            <w:tcW w:w="40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13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57,994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57,994</w:t>
            </w:r>
          </w:p>
        </w:tc>
      </w:tr>
      <w:tr>
        <w:trPr>
          <w:trHeight w:val="20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37,363</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37,363</w:t>
            </w:r>
          </w:p>
        </w:tc>
      </w:tr>
      <w:tr>
        <w:trPr>
          <w:trHeight w:val="216"/>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Asset-backed securities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11,989</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11,989</w:t>
            </w:r>
          </w:p>
        </w:tc>
      </w:tr>
      <w:tr>
        <w:trPr>
          <w:trHeight w:val="216"/>
        </w:trPr>
        <w:tc>
          <w:tcPr>
            <w:tcW w:w="4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123,437</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123,437</w:t>
            </w:r>
          </w:p>
        </w:tc>
      </w:tr>
      <w:tr>
        <w:trPr>
          <w:trHeight w:val="216"/>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1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16,867</w:t>
            </w: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16,867</w:t>
            </w:r>
          </w:p>
        </w:tc>
      </w:tr>
      <w:tr>
        <w:trPr>
          <w:trHeight w:val="209"/>
        </w:trPr>
        <w:tc>
          <w:tcPr>
            <w:tcW w:w="4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1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189,656</w:t>
            </w:r>
          </w:p>
        </w:tc>
        <w:tc>
          <w:tcPr>
            <w:tcW w:w="1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189,656</w:t>
            </w:r>
          </w:p>
        </w:tc>
      </w:tr>
      <w:tr>
        <w:trPr>
          <w:trHeight w:val="21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57,994</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189,656</w:t>
            </w:r>
          </w:p>
        </w:tc>
        <w:tc>
          <w:tcPr>
            <w:tcW w:w="10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247,650</w:t>
            </w:r>
          </w:p>
        </w:tc>
      </w:tr>
      <w:tr>
        <w:trPr>
          <w:trHeight w:val="20"/>
        </w:trPr>
        <w:tc>
          <w:tcPr>
            <w:tcW w:w="40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844"/>
        </w:trPr>
        <w:tc>
          <w:tcPr>
            <w:tcW w:w="4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right"/>
              <w:ind w:right="97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763"/>
        </w:trPr>
        <w:tc>
          <w:tcPr>
            <w:tcW w:w="40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-3989705</wp:posOffset>
            </wp:positionV>
            <wp:extent cx="93980" cy="1797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5229860</wp:posOffset>
            </wp:positionH>
            <wp:positionV relativeFrom="paragraph">
              <wp:posOffset>-3989705</wp:posOffset>
            </wp:positionV>
            <wp:extent cx="93980" cy="1797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6172835</wp:posOffset>
            </wp:positionH>
            <wp:positionV relativeFrom="paragraph">
              <wp:posOffset>-3989705</wp:posOffset>
            </wp:positionV>
            <wp:extent cx="93980" cy="1797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-2990850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-2990850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-2990850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-2214880</wp:posOffset>
            </wp:positionV>
            <wp:extent cx="93980" cy="1797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5229860</wp:posOffset>
            </wp:positionH>
            <wp:positionV relativeFrom="paragraph">
              <wp:posOffset>-2214880</wp:posOffset>
            </wp:positionV>
            <wp:extent cx="93980" cy="1797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6172835</wp:posOffset>
            </wp:positionH>
            <wp:positionV relativeFrom="paragraph">
              <wp:posOffset>-2214880</wp:posOffset>
            </wp:positionV>
            <wp:extent cx="93980" cy="1797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-1216660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-1216660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-1216660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3" w:name="page14"/>
    <w:bookmarkEnd w:id="13"/>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estimates the fair value of its investments in marketable securities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1, Level 2 or Level 3 investments during the periods presented.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Other Accrued Expenses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accrued expenses consist of the following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320" w:type="dxa"/>
            <w:vAlign w:val="bottom"/>
          </w:tcPr>
          <w:p>
            <w:pPr>
              <w:spacing w:after="0"/>
              <w:rPr>
                <w:sz w:val="15"/>
                <w:szCs w:val="15"/>
                <w:color w:val="auto"/>
              </w:rPr>
            </w:pPr>
          </w:p>
        </w:tc>
        <w:tc>
          <w:tcPr>
            <w:tcW w:w="12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1280" w:type="dxa"/>
            <w:vAlign w:val="bottom"/>
          </w:tcPr>
          <w:p>
            <w:pPr>
              <w:jc w:val="right"/>
              <w:ind w:right="109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2,365</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7,523</w:t>
            </w:r>
          </w:p>
        </w:tc>
      </w:tr>
      <w:tr>
        <w:trPr>
          <w:trHeight w:val="216"/>
        </w:trPr>
        <w:tc>
          <w:tcPr>
            <w:tcW w:w="73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professional fees and other</w:t>
            </w:r>
          </w:p>
        </w:tc>
        <w:tc>
          <w:tcPr>
            <w:tcW w:w="12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299</w:t>
            </w: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226</w:t>
            </w:r>
          </w:p>
        </w:tc>
      </w:tr>
      <w:tr>
        <w:trPr>
          <w:trHeight w:val="20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1280" w:type="dxa"/>
            <w:vAlign w:val="bottom"/>
          </w:tcPr>
          <w:p>
            <w:pPr>
              <w:jc w:val="right"/>
              <w:ind w:right="109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2,664</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7,749</w:t>
            </w:r>
          </w:p>
        </w:tc>
      </w:tr>
      <w:tr>
        <w:trPr>
          <w:trHeight w:val="20"/>
        </w:trPr>
        <w:tc>
          <w:tcPr>
            <w:tcW w:w="73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-170815</wp:posOffset>
            </wp:positionV>
            <wp:extent cx="939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Stockholders’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At-The-Market Offering</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Company entered into a sales agreement under which the Company may offer and sell shares of its common stock having an aggregate offering price of up to $75.0 million through "at-the-market" offerings (the ATM), pursuant to its shelf registration statement on Form S-3 (File No. 333-270760), which became effective in April 2023. The Company did not sell any shares of common stock under the ATM during the three months ended March 31, 2026. During the three months ended March 31, 2025, the Company sold 161,645 shares of common stock under the ATM, for which the Company received net proceeds of $1.9 million, after deducting commissions, fees and expenses.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warrants and pre-funded warrants to purchase shares of the Company's common stock were issued and outstanding:</w:t>
      </w:r>
    </w:p>
    <w:tbl>
      <w:tblPr>
        <w:tblLayout w:type="fixed"/>
        <w:tblInd w:w="0" w:type="dxa"/>
        <w:tblCellMar>
          <w:top w:w="0" w:type="dxa"/>
          <w:left w:w="0" w:type="dxa"/>
          <w:bottom w:w="0" w:type="dxa"/>
          <w:right w:w="0" w:type="dxa"/>
        </w:tblCellMar>
      </w:tblPr>
      <w:tr>
        <w:trPr>
          <w:trHeight w:val="15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140" w:type="dxa"/>
            <w:vAlign w:val="bottom"/>
          </w:tcPr>
          <w:p>
            <w:pPr>
              <w:spacing w:after="0"/>
              <w:rPr>
                <w:sz w:val="13"/>
                <w:szCs w:val="13"/>
                <w:color w:val="auto"/>
              </w:rPr>
            </w:pPr>
          </w:p>
        </w:tc>
        <w:tc>
          <w:tcPr>
            <w:tcW w:w="240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Exercisable Date</w:t>
            </w:r>
          </w:p>
        </w:tc>
        <w:tc>
          <w:tcPr>
            <w:tcW w:w="120" w:type="dxa"/>
            <w:vAlign w:val="bottom"/>
          </w:tcPr>
          <w:p>
            <w:pPr>
              <w:spacing w:after="0"/>
              <w:rPr>
                <w:sz w:val="13"/>
                <w:szCs w:val="13"/>
                <w:color w:val="auto"/>
              </w:rPr>
            </w:pPr>
          </w:p>
        </w:tc>
        <w:tc>
          <w:tcPr>
            <w:tcW w:w="2460" w:type="dxa"/>
            <w:vAlign w:val="bottom"/>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jc w:val="right"/>
              <w:ind w:right="195"/>
              <w:spacing w:after="0" w:line="151"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100" w:type="dxa"/>
            <w:vAlign w:val="bottom"/>
          </w:tcPr>
          <w:p>
            <w:pPr>
              <w:spacing w:after="0"/>
              <w:rPr>
                <w:sz w:val="13"/>
                <w:szCs w:val="13"/>
                <w:color w:val="auto"/>
              </w:rPr>
            </w:pPr>
          </w:p>
        </w:tc>
        <w:tc>
          <w:tcPr>
            <w:tcW w:w="1620" w:type="dxa"/>
            <w:vAlign w:val="bottom"/>
          </w:tcPr>
          <w:p>
            <w:pPr>
              <w:jc w:val="right"/>
              <w:ind w:right="482"/>
              <w:spacing w:after="0" w:line="15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1420" w:type="dxa"/>
            <w:vAlign w:val="bottom"/>
          </w:tcPr>
          <w:p>
            <w:pPr>
              <w:jc w:val="right"/>
              <w:ind w:right="282"/>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2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4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5"/>
                <w:szCs w:val="15"/>
                <w:color w:val="auto"/>
              </w:rPr>
            </w:pPr>
          </w:p>
        </w:tc>
        <w:tc>
          <w:tcPr>
            <w:tcW w:w="162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6/16/2024</w:t>
            </w:r>
          </w:p>
        </w:tc>
        <w:tc>
          <w:tcPr>
            <w:tcW w:w="254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6/16/2024</w:t>
            </w:r>
          </w:p>
        </w:tc>
        <w:tc>
          <w:tcPr>
            <w:tcW w:w="258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6/18/2029</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17.00</w:t>
            </w:r>
          </w:p>
        </w:tc>
        <w:tc>
          <w:tcPr>
            <w:tcW w:w="172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634,500</w:t>
            </w:r>
          </w:p>
        </w:tc>
        <w:tc>
          <w:tcPr>
            <w:tcW w:w="152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8"/>
                <w:szCs w:val="18"/>
                <w:color w:val="auto"/>
              </w:rPr>
              <w:t>634,500</w:t>
            </w:r>
          </w:p>
        </w:tc>
        <w:tc>
          <w:tcPr>
            <w:tcW w:w="0" w:type="dxa"/>
            <w:vAlign w:val="bottom"/>
          </w:tcPr>
          <w:p>
            <w:pPr>
              <w:spacing w:after="0"/>
              <w:rPr>
                <w:sz w:val="1"/>
                <w:szCs w:val="1"/>
                <w:color w:val="auto"/>
              </w:rPr>
            </w:pPr>
          </w:p>
        </w:tc>
      </w:tr>
      <w:tr>
        <w:trPr>
          <w:trHeight w:val="216"/>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6/17/2024</w:t>
            </w:r>
          </w:p>
        </w:tc>
        <w:tc>
          <w:tcPr>
            <w:tcW w:w="2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6/17/2024</w:t>
            </w:r>
          </w:p>
        </w:tc>
        <w:tc>
          <w:tcPr>
            <w:tcW w:w="25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6/18/2029</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17.00</w:t>
            </w:r>
          </w:p>
        </w:tc>
        <w:tc>
          <w:tcPr>
            <w:tcW w:w="17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179,500</w:t>
            </w:r>
          </w:p>
        </w:tc>
        <w:tc>
          <w:tcPr>
            <w:tcW w:w="15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179,500</w:t>
            </w:r>
          </w:p>
        </w:tc>
        <w:tc>
          <w:tcPr>
            <w:tcW w:w="0" w:type="dxa"/>
            <w:vAlign w:val="bottom"/>
          </w:tcPr>
          <w:p>
            <w:pPr>
              <w:spacing w:after="0"/>
              <w:rPr>
                <w:sz w:val="1"/>
                <w:szCs w:val="1"/>
                <w:color w:val="auto"/>
              </w:rPr>
            </w:pPr>
          </w:p>
        </w:tc>
      </w:tr>
      <w:tr>
        <w:trPr>
          <w:trHeight w:val="216"/>
        </w:trPr>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8/11/2025</w:t>
            </w:r>
          </w:p>
        </w:tc>
        <w:tc>
          <w:tcPr>
            <w:tcW w:w="254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8/11/2025</w:t>
            </w:r>
          </w:p>
        </w:tc>
        <w:tc>
          <w:tcPr>
            <w:tcW w:w="120" w:type="dxa"/>
            <w:vAlign w:val="bottom"/>
            <w:shd w:val="clear" w:color="auto" w:fill="CFF0FC"/>
          </w:tcPr>
          <w:p>
            <w:pPr>
              <w:spacing w:after="0"/>
              <w:rPr>
                <w:sz w:val="18"/>
                <w:szCs w:val="18"/>
                <w:color w:val="auto"/>
              </w:rPr>
            </w:pPr>
          </w:p>
        </w:tc>
        <w:tc>
          <w:tcPr>
            <w:tcW w:w="24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No expiration</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0.001</w:t>
            </w:r>
          </w:p>
        </w:tc>
        <w:tc>
          <w:tcPr>
            <w:tcW w:w="172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1,040,820</w:t>
            </w:r>
          </w:p>
        </w:tc>
        <w:tc>
          <w:tcPr>
            <w:tcW w:w="152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8"/>
                <w:szCs w:val="18"/>
                <w:color w:val="auto"/>
              </w:rPr>
              <w:t>1,040,820</w:t>
            </w:r>
          </w:p>
        </w:tc>
        <w:tc>
          <w:tcPr>
            <w:tcW w:w="0" w:type="dxa"/>
            <w:vAlign w:val="bottom"/>
          </w:tcPr>
          <w:p>
            <w:pPr>
              <w:spacing w:after="0"/>
              <w:rPr>
                <w:sz w:val="1"/>
                <w:szCs w:val="1"/>
                <w:color w:val="auto"/>
              </w:rPr>
            </w:pPr>
          </w:p>
        </w:tc>
      </w:tr>
      <w:tr>
        <w:trPr>
          <w:trHeight w:val="216"/>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8/11/2025</w:t>
            </w:r>
          </w:p>
        </w:tc>
        <w:tc>
          <w:tcPr>
            <w:tcW w:w="2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8/11/2025</w:t>
            </w:r>
          </w:p>
        </w:tc>
        <w:tc>
          <w:tcPr>
            <w:tcW w:w="2580" w:type="dxa"/>
            <w:vAlign w:val="bottom"/>
            <w:gridSpan w:val="2"/>
          </w:tcPr>
          <w:p>
            <w:pPr>
              <w:jc w:val="center"/>
              <w:ind w:left="30"/>
              <w:spacing w:after="0" w:line="216" w:lineRule="exact"/>
              <w:rPr>
                <w:sz w:val="20"/>
                <w:szCs w:val="20"/>
                <w:color w:val="auto"/>
              </w:rPr>
            </w:pPr>
            <w:r>
              <w:rPr>
                <w:rFonts w:ascii="Times New Roman" w:cs="Times New Roman" w:eastAsia="Times New Roman" w:hAnsi="Times New Roman"/>
                <w:sz w:val="18"/>
                <w:szCs w:val="18"/>
                <w:color w:val="auto"/>
                <w:w w:val="93"/>
              </w:rPr>
              <w:t xml:space="preserve">8/11/2030 </w:t>
            </w:r>
            <w:r>
              <w:rPr>
                <w:rFonts w:ascii="Times New Roman" w:cs="Times New Roman" w:eastAsia="Times New Roman" w:hAnsi="Times New Roman"/>
                <w:sz w:val="24"/>
                <w:szCs w:val="24"/>
                <w:color w:val="auto"/>
                <w:w w:val="93"/>
                <w:vertAlign w:val="superscript"/>
              </w:rPr>
              <w:t>(1)</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21.60</w:t>
            </w:r>
          </w:p>
        </w:tc>
        <w:tc>
          <w:tcPr>
            <w:tcW w:w="17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4,209,187</w:t>
            </w:r>
          </w:p>
        </w:tc>
        <w:tc>
          <w:tcPr>
            <w:tcW w:w="15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4,209,187</w:t>
            </w:r>
          </w:p>
        </w:tc>
        <w:tc>
          <w:tcPr>
            <w:tcW w:w="0" w:type="dxa"/>
            <w:vAlign w:val="bottom"/>
          </w:tcPr>
          <w:p>
            <w:pPr>
              <w:spacing w:after="0"/>
              <w:rPr>
                <w:sz w:val="1"/>
                <w:szCs w:val="1"/>
                <w:color w:val="auto"/>
              </w:rPr>
            </w:pPr>
          </w:p>
        </w:tc>
      </w:tr>
      <w:tr>
        <w:trPr>
          <w:trHeight w:val="216"/>
        </w:trPr>
        <w:tc>
          <w:tcPr>
            <w:tcW w:w="12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8/11/2025</w:t>
            </w:r>
          </w:p>
        </w:tc>
        <w:tc>
          <w:tcPr>
            <w:tcW w:w="2540" w:type="dxa"/>
            <w:vAlign w:val="bottom"/>
            <w:tcBorders>
              <w:bottom w:val="single" w:sz="8" w:color="CFF0FC"/>
            </w:tcBorders>
            <w:gridSpan w:val="2"/>
            <w:shd w:val="clear" w:color="auto" w:fill="CFF0FC"/>
          </w:tcPr>
          <w:p>
            <w:pPr>
              <w:jc w:val="center"/>
              <w:ind w:left="10"/>
              <w:spacing w:after="0" w:line="216" w:lineRule="exact"/>
              <w:rPr>
                <w:sz w:val="20"/>
                <w:szCs w:val="20"/>
                <w:color w:val="auto"/>
              </w:rPr>
            </w:pPr>
            <w:r>
              <w:rPr>
                <w:rFonts w:ascii="Times New Roman" w:cs="Times New Roman" w:eastAsia="Times New Roman" w:hAnsi="Times New Roman"/>
                <w:sz w:val="18"/>
                <w:szCs w:val="18"/>
                <w:color w:val="auto"/>
                <w:w w:val="95"/>
              </w:rPr>
              <w:t xml:space="preserve">11/15/2026 </w:t>
            </w:r>
            <w:r>
              <w:rPr>
                <w:rFonts w:ascii="Times New Roman" w:cs="Times New Roman" w:eastAsia="Times New Roman" w:hAnsi="Times New Roman"/>
                <w:sz w:val="24"/>
                <w:szCs w:val="24"/>
                <w:color w:val="auto"/>
                <w:w w:val="95"/>
                <w:vertAlign w:val="superscript"/>
              </w:rPr>
              <w:t>(2)</w:t>
            </w:r>
          </w:p>
        </w:tc>
        <w:tc>
          <w:tcPr>
            <w:tcW w:w="2580" w:type="dxa"/>
            <w:vAlign w:val="bottom"/>
            <w:tcBorders>
              <w:bottom w:val="single" w:sz="8" w:color="CFF0FC"/>
            </w:tcBorders>
            <w:gridSpan w:val="2"/>
            <w:shd w:val="clear" w:color="auto" w:fill="CFF0FC"/>
          </w:tcPr>
          <w:p>
            <w:pPr>
              <w:jc w:val="center"/>
              <w:ind w:left="30"/>
              <w:spacing w:after="0" w:line="216" w:lineRule="exact"/>
              <w:rPr>
                <w:sz w:val="20"/>
                <w:szCs w:val="20"/>
                <w:color w:val="auto"/>
              </w:rPr>
            </w:pPr>
            <w:r>
              <w:rPr>
                <w:rFonts w:ascii="Times New Roman" w:cs="Times New Roman" w:eastAsia="Times New Roman" w:hAnsi="Times New Roman"/>
                <w:sz w:val="18"/>
                <w:szCs w:val="18"/>
                <w:color w:val="auto"/>
                <w:w w:val="96"/>
              </w:rPr>
              <w:t xml:space="preserve">12/31/2026 </w:t>
            </w:r>
            <w:r>
              <w:rPr>
                <w:rFonts w:ascii="Times New Roman" w:cs="Times New Roman" w:eastAsia="Times New Roman" w:hAnsi="Times New Roman"/>
                <w:sz w:val="24"/>
                <w:szCs w:val="24"/>
                <w:color w:val="auto"/>
                <w:w w:val="96"/>
                <w:vertAlign w:val="superscript"/>
              </w:rPr>
              <w:t>(2)</w:t>
            </w:r>
          </w:p>
        </w:tc>
        <w:tc>
          <w:tcPr>
            <w:tcW w:w="2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21.60</w:t>
            </w:r>
          </w:p>
        </w:tc>
        <w:tc>
          <w:tcPr>
            <w:tcW w:w="10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4,464,290</w:t>
            </w:r>
          </w:p>
        </w:tc>
        <w:tc>
          <w:tcPr>
            <w:tcW w:w="10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8"/>
                <w:szCs w:val="18"/>
                <w:color w:val="auto"/>
              </w:rPr>
              <w:t>4,464,290</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10,528,297</w:t>
            </w:r>
          </w:p>
        </w:tc>
        <w:tc>
          <w:tcPr>
            <w:tcW w:w="15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10,528,297</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-170815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1020" w:right="20" w:hanging="499"/>
        <w:spacing w:after="0" w:line="223" w:lineRule="auto"/>
        <w:tabs>
          <w:tab w:leader="none" w:pos="1020" w:val="left"/>
        </w:tabs>
        <w:numPr>
          <w:ilvl w:val="0"/>
          <w:numId w:val="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These Class A warrants will expire 30 days following the public announcement that the Company completed enrollment (of at least 200 patients total) in the Phase 2 clinical study evaluating 5366 versus valacyclovir if prior to August 11, 2030.</w:t>
      </w:r>
    </w:p>
    <w:p>
      <w:pPr>
        <w:spacing w:after="0" w:line="91" w:lineRule="exact"/>
        <w:rPr>
          <w:rFonts w:ascii="Times New Roman" w:cs="Times New Roman" w:eastAsia="Times New Roman" w:hAnsi="Times New Roman"/>
          <w:sz w:val="24"/>
          <w:szCs w:val="24"/>
          <w:color w:val="auto"/>
          <w:vertAlign w:val="superscript"/>
        </w:rPr>
      </w:pPr>
    </w:p>
    <w:p>
      <w:pPr>
        <w:ind w:left="1020" w:hanging="499"/>
        <w:spacing w:after="0" w:line="223" w:lineRule="auto"/>
        <w:tabs>
          <w:tab w:leader="none" w:pos="1020" w:val="left"/>
        </w:tabs>
        <w:numPr>
          <w:ilvl w:val="0"/>
          <w:numId w:val="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These Class B warrants will be cancelled if the Company publicly announces the receipt of at least $75.0 million in the aggregate of non-dilutive capital in connection with a collaboration agreement prior to November 15, 2026.</w:t>
      </w:r>
    </w:p>
    <w:p>
      <w:pPr>
        <w:spacing w:after="0" w:line="1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warrants and pre-funded warrants are equity classified because they are freestanding financial instruments that are legally detachable and separately exercisable from the equity instruments, do not embody an obligation for the Company to repurchase its shares, permit the holders to receive a fixed number of common shares upon exercise, are indexed to the Company’s common stock and meet the equity classification criteria. In addition, such warrants and pre-funded warrants do not provide any guarantee of value or return.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Holders of all warrants and pre-funded warrants cannot exercise any portion of the warrants to the extent they would beneficially own more than the limits defined in the warrant agreements. The exercise price and number of shares of the Company's common stock issuable upon the exercise of the warrants are subject to adjustment in the event of any stock dividends and distributions, stock splits, stock combinations or stock reclassifications, as described in the respective warrant agreements. Under certain circumstances, the warrants may be exercised on a “cashless” basis. No warrants were exercised during the three months ended March 31, 2026 and 2025.</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Stock-Based Compensation</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components of total stock-based compensation expense included in the condensed consolidated statements of operations and comprehensive loss (in thousands), classified by expense type and award type: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80" w:type="dxa"/>
            <w:vAlign w:val="bottom"/>
            <w:tcBorders>
              <w:bottom w:val="single" w:sz="8" w:color="auto"/>
            </w:tcBorders>
          </w:tcPr>
          <w:p>
            <w:pPr>
              <w:spacing w:after="0"/>
              <w:rPr>
                <w:sz w:val="15"/>
                <w:szCs w:val="15"/>
                <w:color w:val="auto"/>
              </w:rPr>
            </w:pPr>
          </w:p>
        </w:tc>
      </w:tr>
      <w:tr>
        <w:trPr>
          <w:trHeight w:val="196"/>
        </w:trPr>
        <w:tc>
          <w:tcPr>
            <w:tcW w:w="45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940" w:type="dxa"/>
            <w:vAlign w:val="bottom"/>
            <w:tcBorders>
              <w:bottom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960" w:type="dxa"/>
            <w:vAlign w:val="bottom"/>
            <w:gridSpan w:val="2"/>
            <w:shd w:val="clear" w:color="auto" w:fill="CFF0FC"/>
          </w:tcPr>
          <w:p>
            <w:pPr>
              <w:jc w:val="right"/>
              <w:ind w:right="119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632</w:t>
            </w:r>
          </w:p>
        </w:tc>
        <w:tc>
          <w:tcPr>
            <w:tcW w:w="1320" w:type="dxa"/>
            <w:vAlign w:val="bottom"/>
            <w:gridSpan w:val="2"/>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363</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8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484</w:t>
            </w:r>
          </w:p>
        </w:tc>
        <w:tc>
          <w:tcPr>
            <w:tcW w:w="5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349</w:t>
            </w:r>
          </w:p>
        </w:tc>
      </w:tr>
      <w:tr>
        <w:trPr>
          <w:trHeight w:val="23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5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1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1,116</w:t>
            </w:r>
          </w:p>
        </w:tc>
        <w:tc>
          <w:tcPr>
            <w:tcW w:w="1320" w:type="dxa"/>
            <w:vAlign w:val="bottom"/>
            <w:gridSpan w:val="2"/>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712</w:t>
            </w:r>
          </w:p>
        </w:tc>
      </w:tr>
      <w:tr>
        <w:trPr>
          <w:trHeight w:val="20"/>
        </w:trPr>
        <w:tc>
          <w:tcPr>
            <w:tcW w:w="454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r>
      <w:tr>
        <w:trPr>
          <w:trHeight w:val="372"/>
        </w:trPr>
        <w:tc>
          <w:tcPr>
            <w:tcW w:w="4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80" w:type="dxa"/>
            <w:vAlign w:val="bottom"/>
            <w:tcBorders>
              <w:bottom w:val="single" w:sz="8" w:color="auto"/>
            </w:tcBorders>
          </w:tcPr>
          <w:p>
            <w:pPr>
              <w:spacing w:after="0"/>
              <w:rPr>
                <w:sz w:val="24"/>
                <w:szCs w:val="24"/>
                <w:color w:val="auto"/>
              </w:rPr>
            </w:pPr>
          </w:p>
        </w:tc>
      </w:tr>
      <w:tr>
        <w:trPr>
          <w:trHeight w:val="196"/>
        </w:trPr>
        <w:tc>
          <w:tcPr>
            <w:tcW w:w="45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940" w:type="dxa"/>
            <w:vAlign w:val="bottom"/>
            <w:tcBorders>
              <w:bottom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2960" w:type="dxa"/>
            <w:vAlign w:val="bottom"/>
            <w:gridSpan w:val="2"/>
            <w:shd w:val="clear" w:color="auto" w:fill="CFF0FC"/>
          </w:tcPr>
          <w:p>
            <w:pPr>
              <w:jc w:val="right"/>
              <w:ind w:right="119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512</w:t>
            </w:r>
          </w:p>
        </w:tc>
        <w:tc>
          <w:tcPr>
            <w:tcW w:w="1320" w:type="dxa"/>
            <w:vAlign w:val="bottom"/>
            <w:gridSpan w:val="2"/>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548</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1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158</w:t>
            </w: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PSUs</w:t>
            </w:r>
          </w:p>
        </w:tc>
        <w:tc>
          <w:tcPr>
            <w:tcW w:w="15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359</w:t>
            </w:r>
          </w:p>
        </w:tc>
        <w:tc>
          <w:tcPr>
            <w:tcW w:w="5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ESPP</w:t>
            </w:r>
          </w:p>
        </w:tc>
        <w:tc>
          <w:tcPr>
            <w:tcW w:w="158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87</w:t>
            </w:r>
          </w:p>
        </w:tc>
        <w:tc>
          <w:tcPr>
            <w:tcW w:w="5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5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1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1,116</w:t>
            </w:r>
          </w:p>
        </w:tc>
        <w:tc>
          <w:tcPr>
            <w:tcW w:w="1320" w:type="dxa"/>
            <w:vAlign w:val="bottom"/>
            <w:gridSpan w:val="2"/>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712</w:t>
            </w:r>
          </w:p>
        </w:tc>
      </w:tr>
      <w:tr>
        <w:trPr>
          <w:trHeight w:val="20"/>
        </w:trPr>
        <w:tc>
          <w:tcPr>
            <w:tcW w:w="454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-1139190</wp:posOffset>
            </wp:positionV>
            <wp:extent cx="33464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464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-1122045</wp:posOffset>
            </wp:positionV>
            <wp:extent cx="33464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464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3346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464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3346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4645" cy="8255"/>
                    </a:xfrm>
                    <a:prstGeom prst="rect">
                      <a:avLst/>
                    </a:prstGeom>
                    <a:noFill/>
                  </pic:spPr>
                </pic:pic>
              </a:graphicData>
            </a:graphic>
          </wp:anchor>
        </w:drawing>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there was $14.8 million of total unrecognized stock-based compensation related to all outstanding equity awards, which is expected to be recognized over a weighted average remaining amortization period of 2.2 years.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stock options granted during the periods indicated was estimated using the Black-Scholes option pricing model, based on the following assumptions: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3"/>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0" w:type="dxa"/>
            <w:vAlign w:val="bottom"/>
            <w:tcBorders>
              <w:bottom w:val="single" w:sz="8" w:color="auto"/>
            </w:tcBorders>
          </w:tcPr>
          <w:p>
            <w:pPr>
              <w:spacing w:after="0"/>
              <w:rPr>
                <w:sz w:val="15"/>
                <w:szCs w:val="15"/>
                <w:color w:val="auto"/>
              </w:rPr>
            </w:pPr>
          </w:p>
        </w:tc>
      </w:tr>
      <w:tr>
        <w:trPr>
          <w:trHeight w:val="196"/>
        </w:trPr>
        <w:tc>
          <w:tcPr>
            <w:tcW w:w="6120" w:type="dxa"/>
            <w:vAlign w:val="bottom"/>
          </w:tcPr>
          <w:p>
            <w:pPr>
              <w:spacing w:after="0"/>
              <w:rPr>
                <w:sz w:val="17"/>
                <w:szCs w:val="17"/>
                <w:color w:val="auto"/>
              </w:rPr>
            </w:pPr>
          </w:p>
        </w:tc>
        <w:tc>
          <w:tcPr>
            <w:tcW w:w="2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520" w:type="dxa"/>
            <w:vAlign w:val="bottom"/>
          </w:tcPr>
          <w:p>
            <w:pPr>
              <w:spacing w:after="0"/>
              <w:rPr>
                <w:sz w:val="17"/>
                <w:szCs w:val="17"/>
                <w:color w:val="auto"/>
              </w:rPr>
            </w:pPr>
          </w:p>
        </w:tc>
        <w:tc>
          <w:tcPr>
            <w:tcW w:w="2300" w:type="dxa"/>
            <w:vAlign w:val="bottom"/>
            <w:tcBorders>
              <w:bottom w:val="single" w:sz="8" w:color="auto"/>
            </w:tcBorders>
            <w:gridSpan w:val="2"/>
          </w:tcPr>
          <w:p>
            <w:pPr>
              <w:jc w:val="right"/>
              <w:ind w:right="93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3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$33.74</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$17.15</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- 83.5%</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- 86.4%</w:t>
            </w: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- 3.91%</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- 4.42%</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- 7.0</w:t>
            </w: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3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820" w:type="dxa"/>
            <w:vAlign w:val="bottom"/>
            <w:gridSpan w:val="3"/>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rPr>
              <w:t>0%</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Collaboration Agreement</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changes in the Company’s contract liabilities and revenue recognized under the Gilead Collaboration Agreement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tc>
        <w:tc>
          <w:tcPr>
            <w:tcW w:w="44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balance at December 31, 2025</w:t>
            </w:r>
          </w:p>
        </w:tc>
        <w:tc>
          <w:tcPr>
            <w:tcW w:w="53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36,904</w:t>
            </w:r>
          </w:p>
        </w:tc>
      </w:tr>
      <w:tr>
        <w:trPr>
          <w:trHeight w:val="216"/>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44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44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(8,213)</w:t>
            </w:r>
          </w:p>
        </w:tc>
      </w:tr>
      <w:tr>
        <w:trPr>
          <w:trHeight w:val="249"/>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balance at March 31, 2026</w:t>
            </w:r>
          </w:p>
        </w:tc>
        <w:tc>
          <w:tcPr>
            <w:tcW w:w="5300" w:type="dxa"/>
            <w:vAlign w:val="bottom"/>
            <w:gridSpan w:val="2"/>
            <w:shd w:val="clear" w:color="auto" w:fill="CFF0FC"/>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29,076</w:t>
            </w:r>
          </w:p>
        </w:tc>
      </w:tr>
      <w:tr>
        <w:trPr>
          <w:trHeight w:val="844"/>
        </w:trPr>
        <w:tc>
          <w:tcPr>
            <w:tcW w:w="4520" w:type="dxa"/>
            <w:vAlign w:val="bottom"/>
            <w:tcBorders>
              <w:top w:val="single" w:sz="8" w:color="CFF0FC"/>
            </w:tcBorders>
          </w:tcPr>
          <w:p>
            <w:pPr>
              <w:spacing w:after="0"/>
              <w:rPr>
                <w:sz w:val="24"/>
                <w:szCs w:val="24"/>
                <w:color w:val="auto"/>
              </w:rPr>
            </w:pPr>
          </w:p>
        </w:tc>
        <w:tc>
          <w:tcPr>
            <w:tcW w:w="4420" w:type="dxa"/>
            <w:vAlign w:val="bottom"/>
            <w:tcBorders>
              <w:top w:val="single" w:sz="8" w:color="CFF0FC"/>
            </w:tcBorders>
          </w:tcPr>
          <w:p>
            <w:pPr>
              <w:jc w:val="right"/>
              <w:ind w:right="3130"/>
              <w:spacing w:after="0"/>
              <w:rPr>
                <w:sz w:val="20"/>
                <w:szCs w:val="20"/>
                <w:color w:val="auto"/>
              </w:rPr>
            </w:pPr>
            <w:r>
              <w:rPr>
                <w:rFonts w:ascii="Times New Roman" w:cs="Times New Roman" w:eastAsia="Times New Roman" w:hAnsi="Times New Roman"/>
                <w:sz w:val="18"/>
                <w:szCs w:val="18"/>
                <w:color w:val="auto"/>
              </w:rPr>
              <w:t>13</w:t>
            </w:r>
          </w:p>
        </w:tc>
        <w:tc>
          <w:tcPr>
            <w:tcW w:w="8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r>
      <w:tr>
        <w:trPr>
          <w:trHeight w:val="763"/>
        </w:trPr>
        <w:tc>
          <w:tcPr>
            <w:tcW w:w="452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500" w:type="dxa"/>
            <w:vAlign w:val="bottom"/>
            <w:tcBorders>
              <w:bottom w:val="single" w:sz="8" w:color="auto"/>
            </w:tcBorders>
            <w:gridSpan w:val="4"/>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6"/>
        </w:trPr>
        <w:tc>
          <w:tcPr>
            <w:tcW w:w="73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Collaboration revenue from a related party recognized in the period from:</w:t>
            </w: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Amounts included in deferred revenue from a related party at the beginning of the period</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8,213</w:t>
            </w: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9,419</w:t>
            </w:r>
          </w:p>
        </w:tc>
      </w:t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obligations satisfied in previous period</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r>
    </w:tbl>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October 2023, the Company entered into the Gilead Collaboration Agreement and the Gilead Equity Agreements under which it received total proceeds of $100.0 million. Under the Gilead Collaboration Agreement, Gilead exclusively licensed to the Company its HPI program and NNPI program, while retaining opt-in rights to these programs and has an option to take an exclusive license, on a program-by-program basis, to all of the Company’s other current and future pipeline programs. During the 12-year collaboration term (subject to payment of certain extension fees) and for a specified period thereafter, Gilead may exercise its opt-in rights, on a program-by-program basis, at one of two timepoints—completion of a certain Phase 1 study or completion of a certain Phase 2 study for the first product within the program—upon payment of an opt-in fee ranging from $45.0 million to $125.0 million per program depending on the type of program and when the option is exercised.</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2024, the Company and Gilead entered into the First Amendment to the Gilead Collaboration Agreement, which restructured the timing of specific options exercisable in the agreement and the fees payable to the Company to support an accelerated development plan for 6250. To facilitate this development plan, the Company received a non-refundable payment of $10.0 million from Gilead and the opt-in fee payable by Gilead in connection with 6250 was restructured, though it remains in the range of opt-in fees detailed above. The $10.0 million payment received in connection with the First Amendment to the Gilead Collaboration Agreement is creditable towards future collaboration-related payments payable by Gilead. This credit was applied toward Gilead's opt-in fee paid for the HPI program in December 2025.</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2025, the Company entered into a letter agreement with Gilead under which Gilead has agreed to reimburse the Company up to $1.5 million for certain nonclinical study activities, subject to the terms and conditions set forth in the agreement. The letter agreement does not amend any terms of the Gilead Collaboration Agreement.</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Gilead exercises its opt-in right to any current or future program under the collaboration, the Company is eligible to receive up to $330.0 million in potential regulatory and commercial milestones on that program, in addition to royalties ranging from the high single-digits to high teens, depending on the clinical stage of the program at the time of the opt-in. Following Gilead’s exercise of its option for each program, the Company may opt in to cover 40% of the research and development costs in the United States and share 40% of the profits and operating loss in the United States for products within the program in lieu of receiving milestones and royalties for that program in the United States, unless the Company later opts out of the cost/profit share for the program. Prior to Gilead’s potential exercise of its opt-in, the Company will be primarily responsible for all discovery, research and development on its programs and the two Gilead-contributed programs. Following Gilead’s opt-in, Gilead will control the further discovery, research, development and commercialization on any optioned programs. During the term, Gilead will continue to support the collaboration through extension fees of $75.0 million in each of the third, fifth and seventh anniversaries of the collaboration.</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Gilead Collaboration Agreement is subject to termination by either party for the other party’s uncured, material breach or insolvency. Subject to certain limitations, the Company and Gilead both have certain termination for convenience rights, upon sufficient prior written notice, with respect to programs that one party in-licenses from the other (subject to Gilead’s option rights), and with respect to Gilead, for programs it has option rights to (subject to certain time limitations with respect to existing Company programs). Gilead also has a right to terminate the collaborative activities under the Gilead Collaboration Agreement at certain specified points during the collaboration term. Other customary termination rights are further provided in the Gilead Collaboration Agreement.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R&amp;D Services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commencement of the arrangement and after subsequent amendments, the Company concluded Gilead was a customer and accordingly, the Gilead Collaboration Agreement was within the scope of the revenue from contracts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customers guidance. The Company identified a single combined performance obligation for the discovery, research and development services (the R&amp;D Services) consisting of a series of distinct services that are substantially the same and have the same pattern of transfer. The Company concluded the R&amp;D Services were distinct from Gilead's right to obtain an exclusive license to any of the Company's programs as Gilead benefits from the knowledge and expertise gained from the R&amp;D Services and the Company's know-how is not highly specialized in nature. Gilead could perform the R&amp;D Services themselves, particularly considering Gilead contributed its HPI and NNPI programs and Gilead may continue to conduct development activities on programs being developed under the Gilead Collaboration Agreement. None of the options in the contract were deemed to be separate performance obligations as the options did not provide any discounts or other rights which would be considered a material right in the arrangement.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transaction price as of March 31, 2026 was determined to be $54.4 million. The transaction price is reflected as collaboration revenue when realized in the Company’s condensed consolidated statements of operations.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variable consideration related to the regulatory milestones has not been included in the transaction price as of March 31, 2026, as these amounts remain highly susceptible to factors outside the Company's influence. Any variable consideration related to commercial milestones and royalties will be recognized when the related sales occur pursuant to the Gilead Collaboration Agreement. The Company will reevaluate the transaction price in each reporting period as uncertain events are resolved or other changes in circumstances occur.</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 Company recorded $0.5 million in accounts receivable from collaboration on the condensed consolidated balance sheet for reimbursable costs incurred for R&amp;D Services under the Gilead Collaboration Agreement.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$8.2 million and $9.4 million of collaboration revenue for R&amp;D Services performed under the Gilead Collaboration Agreement during the three months ended March 31, 2026 and 2025, respectively.</w:t>
      </w:r>
    </w:p>
    <w:p>
      <w:pPr>
        <w:spacing w:after="0" w:line="135" w:lineRule="exact"/>
        <w:rPr>
          <w:sz w:val="20"/>
          <w:szCs w:val="20"/>
          <w:color w:val="auto"/>
        </w:rPr>
      </w:pPr>
    </w:p>
    <w:p>
      <w:pPr>
        <w:ind w:right="1340"/>
        <w:spacing w:after="0" w:line="453" w:lineRule="auto"/>
        <w:rPr>
          <w:sz w:val="20"/>
          <w:szCs w:val="20"/>
          <w:color w:val="auto"/>
        </w:rPr>
      </w:pPr>
      <w:r>
        <w:rPr>
          <w:rFonts w:ascii="Times New Roman" w:cs="Times New Roman" w:eastAsia="Times New Roman" w:hAnsi="Times New Roman"/>
          <w:sz w:val="18"/>
          <w:szCs w:val="18"/>
          <w:color w:val="auto"/>
        </w:rPr>
        <w:t xml:space="preserve">The Company incurred $0.1 million in reimbursable expenses due to Gilead in each of the three months ended March 31, 2026 and 2025. </w:t>
      </w:r>
      <w:r>
        <w:rPr>
          <w:rFonts w:ascii="Times New Roman" w:cs="Times New Roman" w:eastAsia="Times New Roman" w:hAnsi="Times New Roman"/>
          <w:sz w:val="18"/>
          <w:szCs w:val="18"/>
          <w:b w:val="1"/>
          <w:bCs w:val="1"/>
          <w:color w:val="auto"/>
        </w:rPr>
        <w:t>HPI Program License</w:t>
      </w:r>
    </w:p>
    <w:p>
      <w:pPr>
        <w:spacing w:after="0" w:line="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2025, Gilead exercised its option to exclusively license the Company's HPI program for the treatment of recurrent genital herpes, including 5366 and 1179. Under the terms of the Gilead Collaboration Agreement, the Company received a $35.0 million payment in connection with Gilead’s exercise of its HPI program. The $35.0 million payment reflects a $45.0 million option fee, net of $10.0 million in accelerated funding the Company received under the First Amendment to the Gilead Collaboration Agreement, which was creditable against future payments. Gilead received an exclusive license to 5366 and 1179 and will have the sole right and responsibility for further clinical development and commercialization of the HPI program. The Company recognized $35.0 million of collaboration revenue related to the exclusive license granted for the HPI program at a point in time upon transfer of the license, when Gilead obtained the ability to use and benefit from the license, in December 2025.</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remains eligible to receive up to $330.0 million in regulatory and commercial milestones, as well as tiered royalties on net sales ranging from the high single-digits to low teens. The Company also has the right to opt in to share 40% of all costs and profits in the United States (the Profit-Share) in lieu of receiving milestones and royalties for that program in the United States after receipt of a development plan and budget from Gilead. Variable consideration related to regulatory and commercial milestone payments, royalties and cost reimbursements are constrained as of March 31, 2026 because such amounts are highly susceptible to factors outside the Company's influence.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Segment Reporting</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operates as a single operating segment focusing on developing innovative therapeutics targeting serious viral diseases. The Company's chief operating decision maker (CODM) is its Chief Executive Officer and President, who reviews financial information presented on a consolidated basis for purposes of making operating decisions, assessing financial performance, and allocating resources. The measure of segment profit or loss used by the CODM to evaluate performance and allocate resources is consolidated net loss as reported in the Company's condensed consolidated statements of operations. This measure is used by the CODM to assess the Company's cash runway and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make strategic decisions about resource allocation. The CODM does not use asset measures to evaluate segment performance or make resource allocation decisions.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significant segment expenses and other segment items regularly reviewed by the Company's CODM:</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20" w:type="dxa"/>
            <w:vAlign w:val="bottom"/>
          </w:tcPr>
          <w:p>
            <w:pPr>
              <w:spacing w:after="0"/>
              <w:rPr>
                <w:sz w:val="15"/>
                <w:szCs w:val="15"/>
                <w:color w:val="auto"/>
              </w:rPr>
            </w:pPr>
          </w:p>
        </w:tc>
        <w:tc>
          <w:tcPr>
            <w:tcW w:w="3000" w:type="dxa"/>
            <w:vAlign w:val="bottom"/>
            <w:tcBorders>
              <w:bottom w:val="single" w:sz="8" w:color="auto"/>
            </w:tcBorders>
            <w:gridSpan w:val="4"/>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20" w:type="dxa"/>
            <w:vAlign w:val="bottom"/>
            <w:tcBorders>
              <w:bottom w:val="single" w:sz="8" w:color="auto"/>
            </w:tcBorders>
          </w:tcPr>
          <w:p>
            <w:pPr>
              <w:spacing w:after="0"/>
              <w:rPr>
                <w:sz w:val="15"/>
                <w:szCs w:val="15"/>
                <w:color w:val="auto"/>
              </w:rPr>
            </w:pPr>
          </w:p>
        </w:tc>
      </w:tr>
      <w:tr>
        <w:trPr>
          <w:trHeight w:val="196"/>
        </w:trPr>
        <w:tc>
          <w:tcPr>
            <w:tcW w:w="7520" w:type="dxa"/>
            <w:vAlign w:val="bottom"/>
          </w:tcPr>
          <w:p>
            <w:pPr>
              <w:spacing w:after="0"/>
              <w:rPr>
                <w:sz w:val="17"/>
                <w:szCs w:val="17"/>
                <w:color w:val="auto"/>
              </w:rPr>
            </w:pPr>
          </w:p>
        </w:tc>
        <w:tc>
          <w:tcPr>
            <w:tcW w:w="11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7"/>
                <w:szCs w:val="17"/>
                <w:color w:val="auto"/>
              </w:rPr>
            </w:pPr>
          </w:p>
        </w:tc>
      </w:tr>
      <w:tr>
        <w:trPr>
          <w:trHeight w:val="209"/>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 from a related party</w:t>
            </w:r>
          </w:p>
        </w:tc>
        <w:tc>
          <w:tcPr>
            <w:tcW w:w="1100" w:type="dxa"/>
            <w:vAlign w:val="bottom"/>
            <w:shd w:val="clear" w:color="auto" w:fill="CFF0FC"/>
          </w:tcPr>
          <w:p>
            <w:pPr>
              <w:jc w:val="right"/>
              <w:ind w:right="94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8,213</w:t>
            </w:r>
          </w:p>
        </w:tc>
        <w:tc>
          <w:tcPr>
            <w:tcW w:w="1180" w:type="dxa"/>
            <w:vAlign w:val="bottom"/>
            <w:gridSpan w:val="2"/>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9,419</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External program expenses:</w:t>
            </w:r>
          </w:p>
        </w:tc>
        <w:tc>
          <w:tcPr>
            <w:tcW w:w="1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5366</w:t>
            </w:r>
          </w:p>
        </w:tc>
        <w:tc>
          <w:tcPr>
            <w:tcW w:w="110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1,680</w:t>
            </w: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1179</w:t>
            </w:r>
          </w:p>
        </w:tc>
        <w:tc>
          <w:tcPr>
            <w:tcW w:w="11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734</w:t>
            </w: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6250</w:t>
            </w:r>
          </w:p>
        </w:tc>
        <w:tc>
          <w:tcPr>
            <w:tcW w:w="110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2,445</w:t>
            </w:r>
          </w:p>
        </w:tc>
      </w:tr>
      <w:tr>
        <w:trPr>
          <w:trHeight w:val="164"/>
        </w:trPr>
        <w:tc>
          <w:tcPr>
            <w:tcW w:w="7520" w:type="dxa"/>
            <w:vAlign w:val="bottom"/>
          </w:tcPr>
          <w:p>
            <w:pPr>
              <w:ind w:left="140"/>
              <w:spacing w:after="0" w:line="164" w:lineRule="exact"/>
              <w:rPr>
                <w:sz w:val="20"/>
                <w:szCs w:val="20"/>
                <w:color w:val="auto"/>
              </w:rPr>
            </w:pPr>
            <w:r>
              <w:rPr>
                <w:rFonts w:ascii="Times New Roman" w:cs="Times New Roman" w:eastAsia="Times New Roman" w:hAnsi="Times New Roman"/>
                <w:sz w:val="18"/>
                <w:szCs w:val="18"/>
                <w:color w:val="auto"/>
              </w:rPr>
              <w:t>4334</w:t>
            </w:r>
          </w:p>
        </w:tc>
        <w:tc>
          <w:tcPr>
            <w:tcW w:w="1100" w:type="dxa"/>
            <w:vAlign w:val="bottom"/>
          </w:tcPr>
          <w:p>
            <w:pPr>
              <w:spacing w:after="0"/>
              <w:rPr>
                <w:sz w:val="14"/>
                <w:szCs w:val="14"/>
                <w:color w:val="auto"/>
              </w:rPr>
            </w:pPr>
          </w:p>
        </w:tc>
        <w:tc>
          <w:tcPr>
            <w:tcW w:w="720" w:type="dxa"/>
            <w:vAlign w:val="bottom"/>
          </w:tcPr>
          <w:p>
            <w:pPr>
              <w:jc w:val="right"/>
              <w:ind w:right="30"/>
              <w:spacing w:after="0" w:line="164"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jc w:val="right"/>
              <w:ind w:right="30"/>
              <w:spacing w:after="0" w:line="164" w:lineRule="exact"/>
              <w:rPr>
                <w:sz w:val="20"/>
                <w:szCs w:val="20"/>
                <w:color w:val="auto"/>
              </w:rPr>
            </w:pPr>
            <w:r>
              <w:rPr>
                <w:rFonts w:ascii="Times New Roman" w:cs="Times New Roman" w:eastAsia="Times New Roman" w:hAnsi="Times New Roman"/>
                <w:sz w:val="18"/>
                <w:szCs w:val="18"/>
                <w:color w:val="auto"/>
              </w:rPr>
              <w:t>426</w:t>
            </w:r>
          </w:p>
        </w:tc>
      </w:tr>
      <w:tr>
        <w:trPr>
          <w:trHeight w:val="268"/>
        </w:trPr>
        <w:tc>
          <w:tcPr>
            <w:tcW w:w="7520" w:type="dxa"/>
            <w:vAlign w:val="bottom"/>
          </w:tcPr>
          <w:p>
            <w:pPr>
              <w:ind w:left="140"/>
              <w:spacing w:after="0" w:line="267" w:lineRule="exact"/>
              <w:rPr>
                <w:sz w:val="20"/>
                <w:szCs w:val="20"/>
                <w:color w:val="auto"/>
              </w:rPr>
            </w:pPr>
            <w:r>
              <w:rPr>
                <w:rFonts w:ascii="Times New Roman" w:cs="Times New Roman" w:eastAsia="Times New Roman" w:hAnsi="Times New Roman"/>
                <w:sz w:val="18"/>
                <w:szCs w:val="18"/>
                <w:color w:val="auto"/>
              </w:rPr>
              <w:t xml:space="preserve">7272 </w:t>
            </w:r>
            <w:r>
              <w:rPr>
                <w:rFonts w:ascii="Times New Roman" w:cs="Times New Roman" w:eastAsia="Times New Roman" w:hAnsi="Times New Roman"/>
                <w:sz w:val="24"/>
                <w:szCs w:val="24"/>
                <w:color w:val="auto"/>
                <w:vertAlign w:val="superscript"/>
              </w:rPr>
              <w:t>(1)</w:t>
            </w:r>
          </w:p>
        </w:tc>
        <w:tc>
          <w:tcPr>
            <w:tcW w:w="110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752</w:t>
            </w: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discovery</w:t>
            </w:r>
          </w:p>
        </w:tc>
        <w:tc>
          <w:tcPr>
            <w:tcW w:w="11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2,966</w:t>
            </w:r>
          </w:p>
        </w:tc>
        <w:tc>
          <w:tcPr>
            <w:tcW w:w="100" w:type="dxa"/>
            <w:vAlign w:val="bottom"/>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1,776</w:t>
            </w:r>
          </w:p>
        </w:tc>
      </w:tr>
      <w:tr>
        <w:trPr>
          <w:trHeight w:val="158"/>
        </w:trPr>
        <w:tc>
          <w:tcPr>
            <w:tcW w:w="7520" w:type="dxa"/>
            <w:vAlign w:val="bottom"/>
          </w:tcPr>
          <w:p>
            <w:pPr>
              <w:ind w:left="80"/>
              <w:spacing w:after="0" w:line="157" w:lineRule="exact"/>
              <w:rPr>
                <w:sz w:val="20"/>
                <w:szCs w:val="20"/>
                <w:color w:val="auto"/>
              </w:rPr>
            </w:pPr>
            <w:r>
              <w:rPr>
                <w:rFonts w:ascii="Times New Roman" w:cs="Times New Roman" w:eastAsia="Times New Roman" w:hAnsi="Times New Roman"/>
                <w:sz w:val="18"/>
                <w:szCs w:val="18"/>
                <w:color w:val="auto"/>
              </w:rPr>
              <w:t>Total external program expenses</w:t>
            </w:r>
          </w:p>
        </w:tc>
        <w:tc>
          <w:tcPr>
            <w:tcW w:w="1100" w:type="dxa"/>
            <w:vAlign w:val="bottom"/>
          </w:tcPr>
          <w:p>
            <w:pPr>
              <w:spacing w:after="0"/>
              <w:rPr>
                <w:sz w:val="13"/>
                <w:szCs w:val="13"/>
                <w:color w:val="auto"/>
              </w:rPr>
            </w:pPr>
          </w:p>
        </w:tc>
        <w:tc>
          <w:tcPr>
            <w:tcW w:w="720" w:type="dxa"/>
            <w:vAlign w:val="bottom"/>
          </w:tcPr>
          <w:p>
            <w:pPr>
              <w:jc w:val="right"/>
              <w:ind w:right="30"/>
              <w:spacing w:after="0" w:line="157" w:lineRule="exact"/>
              <w:rPr>
                <w:sz w:val="20"/>
                <w:szCs w:val="20"/>
                <w:color w:val="auto"/>
              </w:rPr>
            </w:pPr>
            <w:r>
              <w:rPr>
                <w:rFonts w:ascii="Times New Roman" w:cs="Times New Roman" w:eastAsia="Times New Roman" w:hAnsi="Times New Roman"/>
                <w:sz w:val="18"/>
                <w:szCs w:val="18"/>
                <w:color w:val="auto"/>
              </w:rPr>
              <w:t>6,923</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jc w:val="right"/>
              <w:ind w:right="30"/>
              <w:spacing w:after="0" w:line="157" w:lineRule="exact"/>
              <w:rPr>
                <w:sz w:val="20"/>
                <w:szCs w:val="20"/>
                <w:color w:val="auto"/>
              </w:rPr>
            </w:pPr>
            <w:r>
              <w:rPr>
                <w:rFonts w:ascii="Times New Roman" w:cs="Times New Roman" w:eastAsia="Times New Roman" w:hAnsi="Times New Roman"/>
                <w:sz w:val="18"/>
                <w:szCs w:val="18"/>
                <w:color w:val="auto"/>
              </w:rPr>
              <w:t>7,813</w:t>
            </w:r>
          </w:p>
        </w:tc>
      </w:tr>
      <w:tr>
        <w:trPr>
          <w:trHeight w:val="268"/>
        </w:trPr>
        <w:tc>
          <w:tcPr>
            <w:tcW w:w="7520" w:type="dxa"/>
            <w:vAlign w:val="bottom"/>
          </w:tcPr>
          <w:p>
            <w:pPr>
              <w:ind w:left="80"/>
              <w:spacing w:after="0" w:line="267" w:lineRule="exact"/>
              <w:rPr>
                <w:sz w:val="20"/>
                <w:szCs w:val="20"/>
                <w:color w:val="auto"/>
              </w:rPr>
            </w:pPr>
            <w:r>
              <w:rPr>
                <w:rFonts w:ascii="Times New Roman" w:cs="Times New Roman" w:eastAsia="Times New Roman" w:hAnsi="Times New Roman"/>
                <w:sz w:val="18"/>
                <w:szCs w:val="18"/>
                <w:color w:val="auto"/>
              </w:rPr>
              <w:t xml:space="preserve">Employee and contractor-related expenses </w:t>
            </w:r>
            <w:r>
              <w:rPr>
                <w:rFonts w:ascii="Times New Roman" w:cs="Times New Roman" w:eastAsia="Times New Roman" w:hAnsi="Times New Roman"/>
                <w:sz w:val="24"/>
                <w:szCs w:val="24"/>
                <w:color w:val="auto"/>
                <w:vertAlign w:val="superscript"/>
              </w:rPr>
              <w:t>(2)</w:t>
            </w:r>
          </w:p>
        </w:tc>
        <w:tc>
          <w:tcPr>
            <w:tcW w:w="110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6,854</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6,214</w:t>
            </w:r>
          </w:p>
        </w:tc>
      </w:tr>
      <w:tr>
        <w:trPr>
          <w:trHeight w:val="216"/>
        </w:trPr>
        <w:tc>
          <w:tcPr>
            <w:tcW w:w="7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Facility and other expenses</w:t>
            </w:r>
          </w:p>
        </w:tc>
        <w:tc>
          <w:tcPr>
            <w:tcW w:w="1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824</w:t>
            </w:r>
          </w:p>
        </w:tc>
      </w:tr>
      <w:tr>
        <w:trPr>
          <w:trHeight w:val="190"/>
        </w:trPr>
        <w:tc>
          <w:tcPr>
            <w:tcW w:w="752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Total research and development</w:t>
            </w:r>
          </w:p>
        </w:tc>
        <w:tc>
          <w:tcPr>
            <w:tcW w:w="1100" w:type="dxa"/>
            <w:vAlign w:val="bottom"/>
          </w:tcPr>
          <w:p>
            <w:pPr>
              <w:spacing w:after="0"/>
              <w:rPr>
                <w:sz w:val="16"/>
                <w:szCs w:val="16"/>
                <w:color w:val="auto"/>
              </w:rPr>
            </w:pPr>
          </w:p>
        </w:tc>
        <w:tc>
          <w:tcPr>
            <w:tcW w:w="720" w:type="dxa"/>
            <w:vAlign w:val="bottom"/>
          </w:tcPr>
          <w:p>
            <w:pPr>
              <w:jc w:val="right"/>
              <w:ind w:right="30"/>
              <w:spacing w:after="0" w:line="157" w:lineRule="exact"/>
              <w:rPr>
                <w:sz w:val="20"/>
                <w:szCs w:val="20"/>
                <w:color w:val="auto"/>
              </w:rPr>
            </w:pPr>
            <w:r>
              <w:rPr>
                <w:rFonts w:ascii="Times New Roman" w:cs="Times New Roman" w:eastAsia="Times New Roman" w:hAnsi="Times New Roman"/>
                <w:sz w:val="18"/>
                <w:szCs w:val="18"/>
                <w:color w:val="auto"/>
              </w:rPr>
              <w:t>14,900</w:t>
            </w:r>
          </w:p>
        </w:tc>
        <w:tc>
          <w:tcPr>
            <w:tcW w:w="100" w:type="dxa"/>
            <w:vAlign w:val="bottom"/>
          </w:tcPr>
          <w:p>
            <w:pPr>
              <w:spacing w:after="0"/>
              <w:rPr>
                <w:sz w:val="16"/>
                <w:szCs w:val="16"/>
                <w:color w:val="auto"/>
              </w:rPr>
            </w:pPr>
          </w:p>
        </w:tc>
        <w:tc>
          <w:tcPr>
            <w:tcW w:w="108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CFF0FC"/>
            </w:tcBorders>
            <w:shd w:val="clear" w:color="auto" w:fill="CFF0FC"/>
          </w:tcPr>
          <w:p>
            <w:pPr>
              <w:jc w:val="right"/>
              <w:ind w:right="30"/>
              <w:spacing w:after="0" w:line="157" w:lineRule="exact"/>
              <w:rPr>
                <w:sz w:val="20"/>
                <w:szCs w:val="20"/>
                <w:color w:val="auto"/>
              </w:rPr>
            </w:pPr>
            <w:r>
              <w:rPr>
                <w:rFonts w:ascii="Times New Roman" w:cs="Times New Roman" w:eastAsia="Times New Roman" w:hAnsi="Times New Roman"/>
                <w:sz w:val="18"/>
                <w:szCs w:val="18"/>
                <w:color w:val="auto"/>
              </w:rPr>
              <w:t>14,851</w:t>
            </w:r>
          </w:p>
        </w:tc>
      </w:tr>
      <w:tr>
        <w:trPr>
          <w:trHeight w:val="216"/>
        </w:trPr>
        <w:tc>
          <w:tcPr>
            <w:tcW w:w="75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(2)</w:t>
            </w:r>
          </w:p>
        </w:tc>
        <w:tc>
          <w:tcPr>
            <w:tcW w:w="110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4,683</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4,509</w:t>
            </w: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1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100" w:type="dxa"/>
            <w:vAlign w:val="bottom"/>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w:t>
            </w:r>
          </w:p>
        </w:tc>
      </w:tr>
      <w:tr>
        <w:trPr>
          <w:trHeight w:val="209"/>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00" w:type="dxa"/>
            <w:vAlign w:val="bottom"/>
            <w:tcBorders>
              <w:bottom w:val="single" w:sz="8" w:color="auto"/>
            </w:tcBorders>
          </w:tcPr>
          <w:p>
            <w:pPr>
              <w:jc w:val="right"/>
              <w:ind w:right="94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(9,079)</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(8,818)</w:t>
            </w:r>
          </w:p>
        </w:tc>
      </w:tr>
      <w:tr>
        <w:trPr>
          <w:trHeight w:val="20"/>
        </w:trPr>
        <w:tc>
          <w:tcPr>
            <w:tcW w:w="75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-1422400</wp:posOffset>
            </wp:positionV>
            <wp:extent cx="71323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-864870</wp:posOffset>
            </wp:positionV>
            <wp:extent cx="71323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592328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23280" cy="137160"/>
                    </a:xfrm>
                    <a:prstGeom prst="rect">
                      <a:avLst/>
                    </a:prstGeom>
                    <a:noFill/>
                  </pic:spPr>
                </pic:pic>
              </a:graphicData>
            </a:graphic>
          </wp:anchor>
        </w:drawing>
      </w:r>
    </w:p>
    <w:p>
      <w:pPr>
        <w:spacing w:after="0" w:line="218" w:lineRule="exact"/>
        <w:rPr>
          <w:sz w:val="20"/>
          <w:szCs w:val="20"/>
          <w:color w:val="auto"/>
        </w:rPr>
      </w:pPr>
    </w:p>
    <w:p>
      <w:pPr>
        <w:ind w:left="1020" w:right="60" w:hanging="499"/>
        <w:spacing w:after="0" w:line="223" w:lineRule="auto"/>
        <w:tabs>
          <w:tab w:leader="none" w:pos="1020"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 October 2025, the Company transitioned its discovery and development from ABI-7423 to its parent molecule, 7272, which is currently in regulatory filing-enabling preclinical studies.</w:t>
      </w:r>
    </w:p>
    <w:p>
      <w:pPr>
        <w:spacing w:after="0" w:line="49" w:lineRule="exact"/>
        <w:rPr>
          <w:rFonts w:ascii="Times New Roman" w:cs="Times New Roman" w:eastAsia="Times New Roman" w:hAnsi="Times New Roman"/>
          <w:sz w:val="24"/>
          <w:szCs w:val="24"/>
          <w:color w:val="auto"/>
          <w:vertAlign w:val="superscript"/>
        </w:rPr>
      </w:pPr>
    </w:p>
    <w:p>
      <w:pPr>
        <w:ind w:left="1020" w:hanging="499"/>
        <w:spacing w:after="0"/>
        <w:tabs>
          <w:tab w:leader="none" w:pos="1020"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stock-based compensation expense, see Note 7 - Stock-Based Compensation for further details.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condensed consolidated financial statements and this Management’s Discussion and Analysis of Financial Condition and Results of Operations should be read in conjunction with the consolidated financial statements and notes thereto for the year ended December 31, 2025 and the related Management’s Discussion and Analysis of Financial Condition and Results of Operations, both of which are contained in our Annual Report on Form 10-K for the fiscal year ended December 31, 2025 filed with the U.S. Securities and Exchange Commission on March 19, 2026 (2025 Annual Report). In addition to historical information, this discussion and analysis contains forward-looking statements that involve risks and uncertainties. Our actual results could differ materially from those expressed or implied in any forward-looking statements as a result of various factors, including those set forth under “Part I. Item 1A. Risk Factors” in our 2025 Annual Report and “Part II. Item 1A. Risk Factors” in this report.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are a biotechnology company developing innovative therapeutics targeting serious viral diseases with the potential to improve the lives of patients worldwide. Our pipeline includes multiple clinical-stage investigational therapies, including: (1) two long-acting helicase-primase inhibitors (HPI) for the treatment of recurrent genital herpes, ABI-5366 (5366) and ABI-1179 (1179); (2) an orally bioavailable hepatitis delta virus (HDV) entry inhibitor, ABI-6250 (6250); and (3) a highly potent next-generation capsid assembly modulator (CAM) designed to disrupt the replication cycle of hepatitis B virus (HBV) at several key points, ABI-4334 (4334). Our pipeline also includes a novel, oral broad-spectrum non-nucleoside polymerase inhibitor (NNPI) for the treatment of transplant-related herpesviruses, ABI-7272 (7272), which is currently undergoing studies to enable a regulatory filing, and we have additional research programs against multiple antiviral targets. In December 2025, pursuant to our collaboration with Gilead Sciences, Inc. (Gilead and the Gilead Collaboration), Gilead exercised its option to license our HPI program for the treatment of recurrent genital herpes, including our long-acting investigational candidates 1179 and 5366. For additional information regarding Gilead’s exercise of its option, see “Collaboration and License Agreement —Gilead Sciences, Inc.—Option Exercise.”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Clinical Programs and Regulatory Filing-Enabling Program</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2025 was a pivotal year for us, as we reported data readouts for 5366, 1179, 6250 and 4334. We also nominated 7272 and advanced it into regulatory-enabling studies. In 2026, we continued to progress each of these investigational product candidates.</w:t>
      </w:r>
    </w:p>
    <w:p>
      <w:pPr>
        <w:spacing w:after="0" w:line="54" w:lineRule="exact"/>
        <w:rPr>
          <w:sz w:val="20"/>
          <w:szCs w:val="20"/>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5366 and 1179 – All participants in the Phase 1a/b studies have completed dosing and follow up, reinforcing continued confidence in the safety and efficacy findings previously disclosed for both candidates. The transition of the HPI program to Gilead is on-going.</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6250 – All participants in the Phase 1a study have completed dosing and follow up. Chronic toxicology studies have been completed, establishing support for anticipated Phase 2 doses. Preparation for Phase 2 clinical studies is on-going, with initiation expected in the fourth quarter of 2026.</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7272 – Undergoing regulatory filing-enabling studies.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4334 – Initiated process to identify potential partners was initiated in the first quarter; we do not plan to advance 4334 further without a partner.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Recurrent Genital Herpes/HSV-1 and HSV-2</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Genital herpes can be caused by either herpes simplex virus type 1 (HSV-1) or herpes simplex virus type 2 (HSV-2). HSV-1 and HSV-2 are acquired by oral or genital contact either during symptomatic or asymptomatic reactivation of the virus. Both viruses replicate in neurons, where they can remain latent for the rest of the individual’s life and periodically reactivate, with the virus spreading, replicating and causing disease in epithelial tissues. Initial infection can be asymptomatic or can be marked by serious symptoms, including painful skin lesions, swelling of lymph nodes and urinary problems that can persist for two to three weeks. While genital herpes can be caused by either HSV-1 or HSV-2, recurrences are more likely to be experienced by individuals infected by HSV-2. Genital herpes recurrence can cause painful genital lesions that can lead to increased transmission and debilitate individuals, and symptoms may become more serious with additional episodes. Additional complications include increased risk of HIV infection, as 30% of HIV infections acquired through sexual transmission are attributable to HSV-2 infection. In addition, people with recurrent genital herpes often experience associated psychosocial impacts, including anxiety, concerns about transmission, depression and social stigma. Immunocompromised individuals may experience more severe and prolonged symptoms due to increased recurrence rates.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 w:name="page20"/>
    <w:bookmarkEnd w:id="19"/>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HPIs are antiviral agents in development for the treatment of recurrent genital herpes, with a clinically-validated mechanism of action. HPIs inhibit the HSV helicase-primase complex, which is a unique viral enzyme complex without a human homolog, consisting of helicase, primase and cofactor subunits. These subunits have functions that are essential for viral DNA replication and are conserved across HSV-1 and HSV-2. Unlike nucleoside analogs, these compounds do not require phosphorylation by the HSV thymidine kinase (TK) and ongoing viral replication to become active drugs. As a result, HPIs are active immediately upon reactivation of latent HSV-1 and HSV-2. Furthermore, HPIs are active against TK-deficient HSV-1 and HSV-2, which is a major mechanism of resistance to nucleoside analogs.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Most people with initial symptomatic genital herpes who are infected with HSV-2 have frequent recurrences, generally between three and 15 per year, impacting over four million people in the United States and France, Germany, Italy and Spain (collectively, the EU4) and the United Kingdom (UK). Currently, there are three antiviral drugs (all nucleoside analogs) that have been approved in the United States and the EU4/UK for the treatment of genital herpes. However, no new drugs have been approved in these regions to treat genital herpes for more than 25 years. In addition to the approved nucleoside analogs, agents such as local anesthetics or analgesics may be used to alleviate local symptoms of minor pain and discomfort.</w:t>
      </w:r>
    </w:p>
    <w:p>
      <w:pPr>
        <w:spacing w:after="0" w:line="14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Nucleoside analogs can be administered as episodic therapy as individual outbreaks arise or daily as chronic suppressive therapy for those with high post-exposure recurrences. However, these agents are only partially effective at controlling the infection or reducing transmission risk. With current nucleoside analog therapies, only one out of three people with recurrent genital herpes with six or more recurrences per year are able to make it through a year of treatment without a recurrence. There are still high titer (greater than 10</w:t>
      </w: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8"/>
          <w:szCs w:val="18"/>
          <w:color w:val="auto"/>
        </w:rPr>
        <w:t xml:space="preserve"> HSV-2 DNA copies/mL) shedding episodes under this current standard of care for recurrent genital herpes, which can lead to recurrent episodes and transmission of genital herpes. In addition, nucleoside analogs also carry a high pill burden as a lifelong daily treatment, with doses ranging from one to three times daily. There is also high treatment variability among those taking nucleoside analogs, as many seeking care may not consistently receive suppressive therapy.</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Based on the limitations of current therapies, we see a path to advancing the treatment paradigm for people suffering from recurrent genital herpes. To reach that goal, we discovered and began the clinical development of a novel, potent, long-acting HPI for recurrent genital herpes, 5366, which demonstrated low nanomolar potency in vitro against both HSV-1 and HSV-2 clinical isolates and a favorable nonclinical safety profile in the U.S. Food and Drug Administration's (FDA) Good Laboratory Practice (GLP) toxicology studies. In addition, we began development of a second novel, potent, long-acting HPI for genital herpes, 1179, which was in-licensed to us as part of our collaboration with Gilead. As Gilead has exercised its option to exclusively license our HPI program, including 5366 and 1179, development will be in Gilead’s sole control following completion of the Phase 1a/b studies of 5366 and 1179, which we are managing until they are complete. For additional information regarding the option exercise, see “Collaboration and License Agreements—Gilead Sciences, Inc.—Option Exercise.”</w:t>
      </w:r>
    </w:p>
    <w:p>
      <w:pPr>
        <w:spacing w:after="0" w:line="16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reported interim data from the Phase 1b portion of the 5366 study in August 2025, focused on two different oral doses of 5366 administered on a once-weekly basis. For the powered antiviral endpoint, HSV-2 shedding rate, highly potent antiviral activity was observed with a 94% reduction compared to placebo (p&lt;0.01) over the 29-day evaluation period in the cohort evaluating a 350 mg weekly dose. This reduction exceeded our target for the study of an 80-85% reduction in the rate of HSV-2 shedding. For a secondary clinical endpoint of genital lesion rate, a 94% reduction compared to placebo (p&lt;0.01) was observed with the 350 mg weekly dose. The rate of genital swabs with high viral load (i.e., &gt;10</w:t>
      </w: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8"/>
          <w:szCs w:val="18"/>
          <w:color w:val="auto"/>
        </w:rPr>
        <w:t xml:space="preserve"> copies/mL HSV DNA), a potential surrogate for HSV-2 transmission and a secondary endpoint, was reduced by 98% compared to placebo (p&lt;0.05) in this cohort.</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reported additional interim data from the Phase 1b portion of the 5366 study in December 2025, which included data from a monthly oral dosing regimen. In the 5366 monthly dose cohort, potent antiviral activity was observed, with a 76% reduction in HSV-2 shedding rate compared to placebo (p&lt;0.01) over the 29-day evaluation period. The majority of positive swabs (89%) were collected in the last two weeks of the evaluation period when drug levels were declining. We observed an 88% reduction in virologically confirmed genital lesion rate (p=0.01), along with an 81% reduction in the number of samples with high viral load (p&lt;0.01) compared to placebo in the monthly dose cohort.</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Across the two weekly oral dose cohorts and the monthly oral dose cohort of the Phase 1b study, 5366 demonstrated a pharmacokinetic (PK) profile that continues to support once-weekly and potentially once-monthly dosing.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5366 was observed to be well-tolerated at all dose levels tested in the Phase 1b portion of the study. The two weekly oral cohorts as well as the monthly oral cohort are complete and unblinded safety data has been reported. Across all cohorts, the proportion of participants reporting treatment-emergent adverse events (AEs) was similar between 5366 and placebo recipients, and all were Grade 1 or Grade 2. One Grade 3 AE was reported, hypertriglyceridemia, in a participant with relevant medical history who had Grade 4 elevated triglycerides pre-dose on Day 1. This AE resulted in study discontinuation but was not considered treatment related. The proportion of participants reporting treatment-emergent lab abnormalities was similar in 5366 and placebo recipients with the majority being Grade 1 or Grade 2. There were three participants with treatment-emergent Grade 3 lab abnormalities across all cohorts, all of which are considered unrelated to assigned treatment; one participant with exercise-associated elevation in creatine kinase (150/30 mg QW); one participant with an elevation of cholesterol in the follow up period, which participant had a Grade 2 elevation at baseline (350 mg QW); and one participant, who was dosed with placebo, with decreased neutrophils. There did not appear to be a dose-response relationship in either the frequency or severity of the treatment-emergent AEs or lab abnormalities. No serious AEs have been reported to date.</w:t>
      </w:r>
    </w:p>
    <w:p>
      <w:pPr>
        <w:spacing w:after="0" w:line="1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participants in the Phase 1b portion of the 5366 study have completed dosing and follow up. The observed PK profile continues to support once-weekly dosing and the potential for once-monthly oral dosing regimens. Additionally, all chronic toxicology studies have been completed. With these data, 5366 is ready to move into a Phase 2 clinical study.</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5366 data reported in August and December 2025 was presented in an oral presentation and two poster presentations at the Congress of the European Society of Clinical Microbiology and Infectious Diseases (ESCMID) in Munich, Germany in April 2026.</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5366, 1179, a structurally-differentiated HPI with single digit nanomolar potency against HSV-1 and HSV-2 and a nonclinical PK and safety profile to date that is supportive of a potential long-acting treatment by once-weekly oral administration is also in clinical development. We reported interim data from two oral weekly dose cohorts in the Phase 1b portion of the 1179 study in December 2025. For the powered antiviral endpoint, HSV-2 shedding rate, highly potent antiviral activity was observed with a 98% reduction in HSV-2 shedding rate compared to placebo (p&lt;0.01) over the 29-day evaluation period in the 50 mg weekly dose cohort. This reduction exceeded our target for the study of an 80-85% reduction in HSV-2 shedding rate. Further, data revealed a 91% reduction in virologically confirmed lesion rate compared to placebo (p&lt;0.01) with the 50 mg weekly dose. There was also a &gt;99% reduction in the number of samples with high viral load, a potential surrogate for HSV-2 transmission and a secondary endpoint.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Across both oral weekly dose cohorts, 1179 demonstrated a PK profile that continues to support once-weekly dosing. 1179 was observed to be well-tolerated at both doses. Overall, the proportion of participants reporting treatment-emergent AEs was similar between 1179 and placebo recipients. Of the treatment-emergent AEs reported, the majority were Grade 1 or Grade 2. The most common AEs were upper respiratory tract infection and headache. There have been no serious AEs reported to date. One Grade 3 AE of migraine was reported in a participant enrolled in the 20 mg/placebo cohort.</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participants in the Phase 1b portion of the 1179 study have completed dosing and follow up. With these data, 1179 can move directly into Phase 2 enabling studies for a once-weekly treatment regimen, subject to the completion of chronic toxicology studies, which are underway. The 1179 data reported in December 2025 was presented at ESCMID in April 2026.</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2025, Gilead exercised its option early to license our HPI program for the treatment of recurrent genital herpes, including 5366 and 1179. We expect to receive Gilead’s development plan and budget for the HPI program and make our decision regarding the Profit-Share (as defined below) by mid-2026. We anticipate Gilead will initiate a Phase 2 clinical study for the HPI program in 2026. For more information regarding Gilead’s exercise of its option, see “Collaboration and License Agreement—Gilead Sciences, Inc.—Option Exercise.”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HBV and HDV Programs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World Health Organization (WHO) estimates that 254 million people worldwide are chronically infected with HBV as of 2022, and 1.2 million new infections occur each year. HBV is a leading global cause of chronic liver disease and liver transplants, and the WHO estimates that 1.1 million people died in 2022 from HBV, mostly due to cirrhosis and hepatocellular carcinoma. Of the 254 million people living with chronic HBV infection, only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approximately 33 million, or 13%, were aware of their infection, and only approximately 7 million, or 3%, of those diagnosed received treatment. HBV is a highly prevalent disease that infects almost three times the number of people infected with hepatitis C virus and HIV infections combined, according to the WHO.</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HDV is a “satellite virus” of HBV because it can only infect people (1) who are already infected with HBV or (2) at the same time as a person is infected with HBV. HDV affects a subset of approximately 12 to 72 million HBV infected people. These individuals infected with HDV, which comprise an estimated 4.5% of hepatitis B surface antigen (HBsAg) positive individuals, experience a substantially increased disease burden, as they account for 18% of cirrhosis and 20% of hepatocellular carcinoma associated with HBV. HDV is considered the most severe form of hepatitis, as 70% of individuals infected with HDV progress to cirrhosis within ten years. While HDV is less prevalent in the United States, it is a significant and serious health problem with inadequate treatment in many parts of Europe, Africa, the Middle East, East Asia and parts of South America. HDV may be significantly underdiagnosed, because there were no HDV-targeted therapies approved until very recently, and the first therapy approved is only approved in the European Economic Area (EEA), the UK, Switzerland, Australia and Canada. HDV is known to accelerate disease progression and increase the incidence of liver cirrhosis and liver cancer, which results in higher morbidity and mortality rates than HBV alone.</w:t>
      </w:r>
    </w:p>
    <w:p>
      <w:pPr>
        <w:spacing w:after="0" w:line="18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current standard of care treatment for HDV is off-label pegylated interferon-α (IFN-α) injected weekly or, in the EEA, the UK, Switzerland, Australia and Canada, a large, complex peptide inhibitor that requires daily injections, bulevirtide. There are no approved HDV treatments in the United States. We believe a safe and effective oral small molecule entry inhibitor would be a significant innovation for people living with HDV, who face a significant and immediate disease burden.</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current standard of care for chronic HBV infection, nucleos(t)ide analog reverse transcriptase inhibitors (NrtIs), are taken life-long and reduce, but do not eliminate, the virus and result in very low cure rates. No new mechanisms of action (MOA) have been approved for the treatment of chronic HBV infection in over 25 years. The focus of our HBV program is to improve outcomes and increase the number of patients diagnosed and treated through the development of finite and curative therapies targeting an orthogonal MOA.</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HDV Entry Inhibitor</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HDV is a small RNA virus that encodes just two viral proteins and relies on host enzymes as well as the HBsAg from HBV to replicate, which limits the number of HDV-specific antiviral targets. Similar to HBV, HDV utilizes HBsAg to enter hepatocytes by binding the cellular transmembrane protein sodium taurocholate co-transporting peptide (NTCP). NTCP is highly expressed on human hepatocytes, where it serves as one of several proteins involved in the transport of bile acids. The binding of specific small or large molecules to NTCP has been shown to effectively inhibit the interaction of HBsAg with NTCP, which prevents HBV and HDV from infecting hepatocytes.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inhibition of HBV and HDV infection by molecules that bind NTCP has been demonstrated in vitro, in animal models and clinically. Notably, bulevirtide, a peptide inhibitor of NTCP, is the only approved therapy for HDV. 6250 has the same clinically-validated MOA as bulevirtide. The binding of NTCP-targeted HBV/HDV entry inhibitors to NTCP has also been shown to inhibit the transport of certain bile acids into cells, which results in plasma elevations of bile acids; this effect has been well-tolerated clinically and may serve as a biomarker of pharmacologically active concentrations of drug in the plasma.</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a safe and effective oral small molecule entry inhibitor would be a significant innovation for people living with HDV and could significantly improve treatment uptake and diagnosis rates, especially when compared with currently available injectable products.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Phase 1a clinical study of 6250 was initiated in the fourth quarter of 2024, and in August 2025, we announced interim PK, biomarker and safety data from single-ascending and multiple-ascending doses cohorts in healthy participants. Across the cohorts evaluated to date, a mean half-life of approximately four days was observed for 6250 when dosed orally, supporting the once-daily oral dosing profile target. Given this half-life, accumulation was observed in the multiple-dose cohorts with exposures on the last day of dosing generally reaching six- to seven-fold higher than the exposure seen after the first dose.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Dose-dependent elevations of total serum bile acids (TBAs) were observed for both the 5 mg and 25 mg single-dose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cohorts, indicative of NTCP target engagement. In the highest single-dose cohort of 25 mg, coproporphyrin I (CP-1), a biomarker for off-target engagement of the organic anion transporters, OATP1B1 and/or OATP1B3, was also elevated. CP-1 elevation was not noted at the other doses.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 predicted 6250 accumulation driven by the long half-life and the observed elevations of TBAs for the single-dose cohorts, doses at and below 1 mg daily were selected for the multiple-dose cohorts to characterize the lower end of the dose-response curve. Elevation of TBAs was observed for both the 0.2 mg and 1 mg daily multiple-dose cohorts at levels similar to or greater than those seen with steady-state dosing of bulevirtide, consistent with the respective 6250 exposures. Minimal TBA elevation was observed in the 0.05 mg daily multiple-dose cohort.</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Treatment-emergent AEs and laboratory abnormalities were all Grade 1 or 2 in severity with the majority being Grade 1. There were no serious AEs in any dose cohort. No protocol defined stopping criteria were met. There were no clinically significant electrocardiogram abnormalities or patterns of AEs noted.</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One Grade 2 alanine transminase (ALT) elevation was observed in the cohort evaluating the highest single-dose level of 25 mg. In this cohort, off-target engagement of other liver transporters was also seen as indicated by elevated CP-1 levels. Grade 1 ALT elevations were observed at a low frequency across the other cohorts. All ALT elevations were self-limited, and none were accompanied with elevations in bilirubin or other markers of liver injury. The elevations resolved in the study period with ongoing drug exposure due to 6250's four-day half-life.</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participants in the Phase 1a study have completed dosing and follow up. The chronic toxicology studies to enable longer term dosing are complete, and we are preparing for Phase 2 clinical studies, with Phase 2 initiation expected in the fourth quarter of 2026.</w:t>
      </w:r>
    </w:p>
    <w:p>
      <w:pPr>
        <w:spacing w:after="0" w:line="121" w:lineRule="exact"/>
        <w:rPr>
          <w:sz w:val="20"/>
          <w:szCs w:val="20"/>
          <w:color w:val="auto"/>
        </w:rPr>
      </w:pPr>
    </w:p>
    <w:p>
      <w:pPr>
        <w:ind w:right="520"/>
        <w:spacing w:after="0" w:line="461" w:lineRule="auto"/>
        <w:rPr>
          <w:sz w:val="20"/>
          <w:szCs w:val="20"/>
          <w:color w:val="auto"/>
        </w:rPr>
      </w:pPr>
      <w:r>
        <w:rPr>
          <w:rFonts w:ascii="Times New Roman" w:cs="Times New Roman" w:eastAsia="Times New Roman" w:hAnsi="Times New Roman"/>
          <w:sz w:val="18"/>
          <w:szCs w:val="18"/>
          <w:color w:val="auto"/>
        </w:rPr>
        <w:t xml:space="preserve">6250 Phase 1a data will be presented at the European Association for the Study of the Liver Congress taking place in Barcelona, Spain in May 2026. </w:t>
      </w:r>
      <w:r>
        <w:rPr>
          <w:rFonts w:ascii="Times New Roman" w:cs="Times New Roman" w:eastAsia="Times New Roman" w:hAnsi="Times New Roman"/>
          <w:sz w:val="18"/>
          <w:szCs w:val="18"/>
          <w:i w:val="1"/>
          <w:iCs w:val="1"/>
          <w:color w:val="auto"/>
        </w:rPr>
        <w:t>Capsid Assembly Modulator</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HBV is a DNA virus that infects hepatocytes and establishes a reservoir of covalently closed circular DNA (cccDNA), a unique viral DNA moiety that resides in the nucleus of HBV-infected hepatocytes and is associated with viral persistence and chronic infection. No currently approved oral therapies target cccDNA activity directly. As a result, we have worked to discover and develop compounds targeting the core protein, a viral protein involved in numerous aspects of the HBV replication cycle, including the generation of HBV cccDNA.</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benchmark for therapeutic agents aiming to decrease cccDNA levels is the use of several key viral antigens as surrogate biomarkers of active cccDNA. The same biomarkers can be used in both primary human hepatocytes and infected individuals. On this basis, our next-generation CAM, 4334, has shown nonclinical proof of principle. In a variety of cell culture models, 4334 has demonstrated the ability to reduce production of HBV DNA levels as well as the surrogate markers for cccDNA establishment: HBV e antigen (HBeAg), HBV core-related antigen (HBcrAg) and HBV pre-genomic RNA (pgRNA).</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next-generation CAM, 4334 was optimized to potently disrupt viral replication (MOA #1) and prevent the establishment and replenishment of new cccDNA (MOA #2). In contrast, while active against MOA #1, first-generation CAMs have not demonstrated adequate potency to sufficiently block MOA #2. Further, the current standard of care, NrtIs, impacts the viral life cycle after establishment of cccDNA and can only inhibit production of new viral particles, and it does so incompletely. The chemical scaffold of 4334 is novel and distinct from all our prior CAM candidates.</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4334 has a best-in-class nonclinical profile, with single-digit nanomolar potency against MOA #1 and MOA #2, pan-genotypic activity, an improved resistance profile and a favorable safety profile. Through mechanistic studies presented at multiple conferences, we have demonstrated that 4334 promotes the formation of empty capsids by acceleration of capsid assembly, prevents the formation of cccDNA by disrupting incoming capsids, and prematurely disrupts capsids containing duplex linear DNA, the precursor for integrated HBV DNA.</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Phase 1a study demonstrated that 4334 was well-tolerated when administered orally as single or multiple doses. During the second quarter of 2024, we dosed our first participant in a Phase 1b clinical study of 4334. We reported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interim clinical results from the initial 150 mg cohort in December 2024, and topline clinical results including a subsequent 400 mg cohort in June 2025. In both the 150 mg and 400 mg cohorts, 4334 continued to show a half-life supportive of once-daily oral dosing. In addition, results for both cohorts indicated that 4334 maintained clinical exposures multiple folds above those anticipated to be required for potent viral activity and inhibition of cccDNA formation. Mean declines in HBV DNA of 2.9 log10 IU/mL and 3.2 log10 IU/mL were observed over 28 days in a population of predominately HBeAg negative participants receiving 150 mg and 400 mg, respectively. Among the subset of participants with detectable HBV RNA at baseline, mean declines of 2.5 log10 U/mL and 2.3 log10 U/mL were observed over 28 days in the participants receiving 150 mg and 400 mg, respectively. As anticipated, limited changes in viral antigens were observed for the study population over the 28-day treatment period. These antiviral data are consistent with the high potency seen preclinically for 4334. The safety data also demonstrated that 4334 was well-tolerated with a favorable safety profile observed. The 400 mg cohort was the final cohort for this Phase 1b study and final data was presented at the American Association for the Study of Liver Disease, The Liver Meeting® in November 2025.</w:t>
      </w:r>
    </w:p>
    <w:p>
      <w:pPr>
        <w:spacing w:after="0" w:line="1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2026, Gilead declined to either exercise its option to license 4334 or defer its option until completion of Phase 2 studies. As a result, we retain full control of 4334, including the right to evaluate partnering opportunities for 4334 outside of the Gilead Collaboration. We are actively evaluating partnering opportunities for 4334 and have initiated a process to find potential partners. We do not plan to advance 4334 further without a partner.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Transplant-Associated Herpesviruses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 transplant setting, when patients are experiencing immunosuppression, they are at high risk of uncontrolled viral replication and severe disease brought on by one or more herpesviruses, including cytomegalovirus (CMV), HSV-1, HSV-2, varicella zoster virus (VZV) and Epstein-Barr virus (EBV). Each of these herpesviruses are highly prevalent, as approximately (1) 60% of transplant patients are CMV-positive; (2) 60% of transplant patients are HSV-positive; (3) 80% of transplant patients are VZV-positive and (4) 45% of transplant patients are EBV-positive. These viruses establish lifelong latent infections and frequently reactivate in transplant patients due to the use of immunosuppressive drugs following transplantation. These uncontrolled herpesvirus infections increase the risk of severe disease and serious complications, including organ rejection, graft loss and death, and impacted approximately 95,000 people receiving transplants in 2021 in the United States and Europe.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there are approved antivirals that are administered in a transplant setting, currently approved antivirals are not active against a broad spectrum of transplant-associated herpesviruses and pose the risk of potentially serious side effects and drug-drug interactions. As a result of these limitations, we identified an opportunity to develop an oral, broad-spectrum NNPI for transplant-associated herpesvirus infections, which could greatly advance treatment.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7272, our development candidate in our NNPI program, is currently in regulatory filing-enabling nonclinical studies.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Programs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our investigational therapy programs that have nominated development candidates and have advanced into clinical studies or regulatory-filing enabling studies, our research team continues to actively focus on proprietary research to discover and nominate novel antivirals to treat serious viral diseases.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Gilead Sciences, Inc.</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October 2023, we entered into an Option, License and Collaboration agreement (the Gilead Collaboration Agreement) with Gilead pursuant to which Gilead (1) exclusively licensed to us its HPI program and its NNPI program, while retaining opt-in rights to these programs, and (2) has an option to take an exclusive license, on a program-by-program basis, to all of our other current and future pipeline programs. During the 12-year collaboration term (subject to payment of certain extension fees) and for a specified period thereafter, Gilead may exercise its opt-in rights, on a program-by-program basis, at one of two timepoints—completion of a certain Phase 1 study or, upon payment of a deferral fee and completion of a certain Phase 2 study for the first product within the program—upon payment of an opt-in fee ranging from $45.0 million to $125.0 million per program depending on the type of program and when the option is exercised. Pursuant to the Gilead Collaboration Agreement, Gilead made an $84.8 million upfront cash payment to us. In December 2024, we and Gilead entered into the First Amendment to the Gilead Collaboration Agreement, which restructured the timing of specific options exercisable and the fees payable to us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Gilead Collaboration Agreement due to an agreed upon development plan for 6250. To facilitate this development plan, (1) we received a payment of $10.0 million from Gilead and (2) the opt-in fee payable by Gilead in connection with 6250 was restructured, though it remains in the range of opt-in fees detailed above. The $10.0 million payment received in connection with the First Amendment to the Gilead Collaboration Agreement is creditable towards future collaboration-related payments payable by Gilead. This credit was applied toward Gilead’s opt-in fee paid for the HPI program in December 2025.</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Gilead exercises its opt-in right to any current or future program under the collaboration, we are eligible to receive up to $330.0 million in potential regulatory and commercial milestones on that program, in addition to royalties ranging from the high single-digits to high teens, depending on the clinical stage of the program at the time of the opt-in. Following Gilead’s exercise of its option for each program, we may opt-in to cover 40% of the research and development costs in the United States and share 40% of the profits and operating loss in the United States for products within the program in lieu of receiving milestones and royalties for that program in the United States, unless we later opt out of the cost/profit share for the program. Prior to Gilead’s potential exercise of its opt-in, we are primarily responsible for all discovery, research and development on both our programs and the two Gilead-contributed programs. Following Gilead’s opt-in, Gilead will control the further discovery, research, development and commercialization on any optioned programs, and is responsible for all related costs unless we opt in to share 40% of all costs and profits in the United States. During the term, Gilead will continue to support the collaboration through extension fees of $75.0 million in each of the third, fifth and seventh anniversaries of the collaboration.</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Gilead Collaboration Agreement is subject to termination by either party for the other party’s uncured, material breach or insolvency. Subject to certain limitations, we and Gilead both have certain termination for convenience rights, upon sufficient prior written notice, with respect to programs that one party in-licenses from the other (subject to Gilead’s option rights), and with respect to Gilead, for programs it has option rights to (subject to certain time limitations with respect to existing Company programs). Gilead also has a right to terminate the collaborative activities under the Gilead Collaboration Agreement at certain specified points during the collaboration term. Other customary termination rights are further provided in the Gilead Collaboration Agreement.</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Also in October 2023, we and Gilead entered into a Common Stock Purchase Agreement and an Investor Rights Agreement (together, the Gilead Equity Agreements), which were both amended in June 2024. The Gilead Equity Agreements include a three-year standstill provision and a two-year lockup provision (which has expired), each with customary exceptions, and provide Gilead with certain other stock purchase rights and registration rights, as well as the right to designate two directors (or, alternatively, board observers at Gilead’s election) to our board of directors. In December 2023, Gilead designated Tomas Cihlar, Ph.D. to serve on our board of directors, and in March 2024, Gilead designated Robert D. Cook II to serve on our board of directors.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March 31, 2026, Gilead held (1) approximately 28.4% of our outstanding common stock, (2) a warrant to purchase up to 179,500 shares of our common stock at a price of $17.00 per share, which was acquired in a financing transaction in 2024 (the 2024 Warrant), (3) a Class A warrant to purchase up to 1,147,960 shares of our common stock at a price of $21.60 per share (Class A Warrant), which was acquired in a financing transaction in 2025 (the 2025 Financing) and (4) a Class B Warrant to purchase up to 1,147,960 shares of our common stock at a price of $21.60 per share (Class B Warrant), which was also acquired in the 2025 Financing. The 2024 Warrant is exercisable and expires on June 18, 2029. The Class A Warrant is also exercisable and expires on or prior to the earlier of (a) August 11, 2030 (five years from the date of issuance) and (b) the date that is 30 days after the public announcement that we have completed enrollment of at least 200 patients for our Phase 2 clinical study evaluating 5366 versus valacyclovir. The Class B Warrant is exercisable between November 15, 2026 and December 31, 2026, provided that if, prior to November 15, 2026, we publicly announce that we have received at least $75.0 million in the aggregate of non-dilutive capital in connection with a collaboration agreement, then the Class B Warrant automatically terminates in full.</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Exercise</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December 2025, Gilead exercised its option to exclusively license our HPI program for the treatment of recurrent genital herpes, including 5366 and 1179. This is the first program that Gilead will advance under the Gilead Collaboration.</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the terms of the Gilead Collaboration Agreement, we received a net $35 million payment in connection with Gilead’s exercise of our HPI program. The net $35 million payment reflects a $45 million option fee, net of $10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million in accelerated funding that we received under the First Amendment to the Gilead Collaboration Agreement, which was creditable against future payments. Gilead received an exclusive license to 5366 and 1179 and will have the sole right and responsibility for further clinical development and commercialization of the HPI program.</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remain eligible to receive up to $330 million in regulatory and commercial milestones, as well as tiered royalties on net sales ranging from the high single-digits to low teens. We will also have the right to opt in to share 40% of all costs and profits in the United States (the Profit-Share) in lieu of receiving milestones and royalties for that program in the United States after receipt of a development plan and budget from Gilead.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period-over-period changes in our collaboration revenue (in thousands, except for percentages):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0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5"/>
                <w:szCs w:val="15"/>
                <w:color w:val="auto"/>
              </w:rPr>
            </w:pPr>
          </w:p>
        </w:tc>
        <w:tc>
          <w:tcPr>
            <w:tcW w:w="164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34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8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tcPr>
          <w:p>
            <w:pPr>
              <w:jc w:val="center"/>
              <w:ind w:right="422"/>
              <w:spacing w:after="0" w:line="142" w:lineRule="exact"/>
              <w:rPr>
                <w:sz w:val="20"/>
                <w:szCs w:val="20"/>
                <w:color w:val="auto"/>
              </w:rPr>
            </w:pPr>
            <w:r>
              <w:rPr>
                <w:rFonts w:ascii="Times New Roman" w:cs="Times New Roman" w:eastAsia="Times New Roman" w:hAnsi="Times New Roman"/>
                <w:sz w:val="14"/>
                <w:szCs w:val="14"/>
                <w:b w:val="1"/>
                <w:bCs w:val="1"/>
                <w:color w:val="auto"/>
              </w:rPr>
              <w:t>2026 vs. 2025</w:t>
            </w:r>
          </w:p>
        </w:tc>
        <w:tc>
          <w:tcPr>
            <w:tcW w:w="200" w:type="dxa"/>
            <w:vAlign w:val="bottom"/>
          </w:tcPr>
          <w:p>
            <w:pPr>
              <w:spacing w:after="0"/>
              <w:rPr>
                <w:sz w:val="12"/>
                <w:szCs w:val="12"/>
                <w:color w:val="auto"/>
              </w:rPr>
            </w:pPr>
          </w:p>
        </w:tc>
        <w:tc>
          <w:tcPr>
            <w:tcW w:w="1640" w:type="dxa"/>
            <w:vAlign w:val="bottom"/>
            <w:tcBorders>
              <w:bottom w:val="single" w:sz="8" w:color="auto"/>
            </w:tcBorders>
          </w:tcPr>
          <w:p>
            <w:pPr>
              <w:jc w:val="center"/>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2026 vs. 2025</w:t>
            </w:r>
          </w:p>
        </w:tc>
      </w:tr>
      <w:tr>
        <w:trPr>
          <w:trHeight w:val="209"/>
        </w:trPr>
        <w:tc>
          <w:tcPr>
            <w:tcW w:w="34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Collaboration revenue from a related party</w:t>
            </w:r>
          </w:p>
        </w:tc>
        <w:tc>
          <w:tcPr>
            <w:tcW w:w="32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CFF"/>
          </w:tcPr>
          <w:p>
            <w:pPr>
              <w:jc w:val="right"/>
              <w:ind w:right="42"/>
              <w:spacing w:after="0"/>
              <w:rPr>
                <w:sz w:val="20"/>
                <w:szCs w:val="20"/>
                <w:color w:val="auto"/>
              </w:rPr>
            </w:pPr>
            <w:r>
              <w:rPr>
                <w:rFonts w:ascii="Times New Roman" w:cs="Times New Roman" w:eastAsia="Times New Roman" w:hAnsi="Times New Roman"/>
                <w:sz w:val="18"/>
                <w:szCs w:val="18"/>
                <w:color w:val="auto"/>
              </w:rPr>
              <w:t>8,213</w:t>
            </w:r>
          </w:p>
        </w:tc>
        <w:tc>
          <w:tcPr>
            <w:tcW w:w="6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CFF"/>
          </w:tcPr>
          <w:p>
            <w:pPr>
              <w:jc w:val="right"/>
              <w:ind w:right="39"/>
              <w:spacing w:after="0"/>
              <w:rPr>
                <w:sz w:val="20"/>
                <w:szCs w:val="20"/>
                <w:color w:val="auto"/>
              </w:rPr>
            </w:pPr>
            <w:r>
              <w:rPr>
                <w:rFonts w:ascii="Times New Roman" w:cs="Times New Roman" w:eastAsia="Times New Roman" w:hAnsi="Times New Roman"/>
                <w:sz w:val="18"/>
                <w:szCs w:val="18"/>
                <w:color w:val="auto"/>
              </w:rPr>
              <w:t>9,419</w:t>
            </w:r>
          </w:p>
        </w:tc>
        <w:tc>
          <w:tcPr>
            <w:tcW w:w="74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Collaboration revenue was $8.2 million for the three months ended March 31, 2026 compared to $9.4 million for the same period in 2025. The $1.2 million decrease reflects the timing of activities performed and progress toward completion of services under the Gilead Collaboration Agreement.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expenses, fees paid to contract resource organizations and contract manufacturing organizations, lab supplies and other third-party expenses that support our research and discovery, nonclinical and clinical activities. External program costs represent a significant portion of our research and development expenses, which we track by product candidate once it has been nominated. We use our employee and infrastructure resources, as well as certain third-party costs, across multiple research and development programs, and we do not specifically allocate these costs to our programs.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period-over-period changes in our research and development expenses (in thousands, except for percentages):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26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20" w:type="dxa"/>
            <w:vAlign w:val="bottom"/>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5"/>
                <w:szCs w:val="15"/>
                <w:color w:val="auto"/>
              </w:rPr>
            </w:pPr>
          </w:p>
        </w:tc>
        <w:tc>
          <w:tcPr>
            <w:tcW w:w="164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0"/>
        </w:trPr>
        <w:tc>
          <w:tcPr>
            <w:tcW w:w="3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200" w:type="dxa"/>
            <w:vAlign w:val="bottom"/>
          </w:tcPr>
          <w:p>
            <w:pPr>
              <w:spacing w:after="0"/>
              <w:rPr>
                <w:sz w:val="18"/>
                <w:szCs w:val="18"/>
                <w:color w:val="auto"/>
              </w:rPr>
            </w:pPr>
          </w:p>
        </w:tc>
        <w:tc>
          <w:tcPr>
            <w:tcW w:w="16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2026 vs. 2025</w:t>
            </w:r>
          </w:p>
        </w:tc>
      </w:tr>
      <w:tr>
        <w:trPr>
          <w:trHeight w:val="210"/>
        </w:trPr>
        <w:tc>
          <w:tcPr>
            <w:tcW w:w="34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External program expenses:</w:t>
            </w:r>
          </w:p>
        </w:tc>
        <w:tc>
          <w:tcPr>
            <w:tcW w:w="840" w:type="dxa"/>
            <w:vAlign w:val="bottom"/>
            <w:tcBorders>
              <w:top w:val="single" w:sz="8" w:color="auto"/>
            </w:tcBorders>
            <w:shd w:val="clear" w:color="auto" w:fill="CCECFF"/>
          </w:tcPr>
          <w:p>
            <w:pPr>
              <w:spacing w:after="0"/>
              <w:rPr>
                <w:sz w:val="18"/>
                <w:szCs w:val="18"/>
                <w:color w:val="auto"/>
              </w:rPr>
            </w:pPr>
          </w:p>
        </w:tc>
        <w:tc>
          <w:tcPr>
            <w:tcW w:w="620" w:type="dxa"/>
            <w:vAlign w:val="bottom"/>
            <w:tcBorders>
              <w:top w:val="single" w:sz="8" w:color="auto"/>
            </w:tcBorders>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840" w:type="dxa"/>
            <w:vAlign w:val="bottom"/>
            <w:tcBorders>
              <w:top w:val="single" w:sz="8" w:color="auto"/>
            </w:tcBorders>
            <w:shd w:val="clear" w:color="auto" w:fill="CCECFF"/>
          </w:tcPr>
          <w:p>
            <w:pPr>
              <w:spacing w:after="0"/>
              <w:rPr>
                <w:sz w:val="18"/>
                <w:szCs w:val="18"/>
                <w:color w:val="auto"/>
              </w:rPr>
            </w:pPr>
          </w:p>
        </w:tc>
        <w:tc>
          <w:tcPr>
            <w:tcW w:w="620" w:type="dxa"/>
            <w:vAlign w:val="bottom"/>
            <w:tcBorders>
              <w:top w:val="single" w:sz="8" w:color="auto"/>
            </w:tcBorders>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380" w:type="dxa"/>
            <w:vAlign w:val="bottom"/>
            <w:tcBorders>
              <w:top w:val="single" w:sz="8" w:color="auto"/>
            </w:tcBorders>
            <w:shd w:val="clear" w:color="auto" w:fill="CCECFF"/>
          </w:tcPr>
          <w:p>
            <w:pPr>
              <w:spacing w:after="0"/>
              <w:rPr>
                <w:sz w:val="18"/>
                <w:szCs w:val="18"/>
                <w:color w:val="auto"/>
              </w:rPr>
            </w:pPr>
          </w:p>
        </w:tc>
        <w:tc>
          <w:tcPr>
            <w:tcW w:w="1920" w:type="dxa"/>
            <w:vAlign w:val="bottom"/>
            <w:tcBorders>
              <w:top w:val="single" w:sz="8" w:color="auto"/>
            </w:tcBorders>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640" w:type="dxa"/>
            <w:vAlign w:val="bottom"/>
            <w:tcBorders>
              <w:top w:val="single" w:sz="8" w:color="auto"/>
            </w:tcBorders>
            <w:shd w:val="clear" w:color="auto" w:fill="CCECFF"/>
          </w:tcPr>
          <w:p>
            <w:pPr>
              <w:spacing w:after="0"/>
              <w:rPr>
                <w:sz w:val="18"/>
                <w:szCs w:val="18"/>
                <w:color w:val="auto"/>
              </w:rPr>
            </w:pPr>
          </w:p>
        </w:tc>
      </w:tr>
      <w:tr>
        <w:trPr>
          <w:trHeight w:val="216"/>
        </w:trPr>
        <w:tc>
          <w:tcPr>
            <w:tcW w:w="3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5366</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377</w:t>
            </w:r>
          </w:p>
        </w:tc>
        <w:tc>
          <w:tcPr>
            <w:tcW w:w="12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1,680</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34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1179</w:t>
            </w:r>
          </w:p>
        </w:tc>
        <w:tc>
          <w:tcPr>
            <w:tcW w:w="840" w:type="dxa"/>
            <w:vAlign w:val="bottom"/>
            <w:shd w:val="clear" w:color="auto" w:fill="CCECFF"/>
          </w:tcPr>
          <w:p>
            <w:pPr>
              <w:spacing w:after="0"/>
              <w:rPr>
                <w:sz w:val="18"/>
                <w:szCs w:val="18"/>
                <w:color w:val="auto"/>
              </w:rPr>
            </w:pPr>
          </w:p>
        </w:tc>
        <w:tc>
          <w:tcPr>
            <w:tcW w:w="6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1,786</w:t>
            </w:r>
          </w:p>
        </w:tc>
        <w:tc>
          <w:tcPr>
            <w:tcW w:w="360" w:type="dxa"/>
            <w:vAlign w:val="bottom"/>
            <w:shd w:val="clear" w:color="auto" w:fill="CCECFF"/>
          </w:tcPr>
          <w:p>
            <w:pPr>
              <w:spacing w:after="0"/>
              <w:rPr>
                <w:sz w:val="18"/>
                <w:szCs w:val="18"/>
                <w:color w:val="auto"/>
              </w:rPr>
            </w:pPr>
          </w:p>
        </w:tc>
        <w:tc>
          <w:tcPr>
            <w:tcW w:w="840" w:type="dxa"/>
            <w:vAlign w:val="bottom"/>
            <w:shd w:val="clear" w:color="auto" w:fill="CCECFF"/>
          </w:tcPr>
          <w:p>
            <w:pPr>
              <w:spacing w:after="0"/>
              <w:rPr>
                <w:sz w:val="18"/>
                <w:szCs w:val="18"/>
                <w:color w:val="auto"/>
              </w:rPr>
            </w:pPr>
          </w:p>
        </w:tc>
        <w:tc>
          <w:tcPr>
            <w:tcW w:w="6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734</w:t>
            </w:r>
          </w:p>
        </w:tc>
        <w:tc>
          <w:tcPr>
            <w:tcW w:w="36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1920" w:type="dxa"/>
            <w:vAlign w:val="bottom"/>
            <w:shd w:val="clear" w:color="auto" w:fill="CCECFF"/>
          </w:tcPr>
          <w:p>
            <w:pPr>
              <w:jc w:val="right"/>
              <w:ind w:right="53"/>
              <w:spacing w:after="0"/>
              <w:rPr>
                <w:sz w:val="20"/>
                <w:szCs w:val="20"/>
                <w:color w:val="auto"/>
              </w:rPr>
            </w:pPr>
            <w:r>
              <w:rPr>
                <w:rFonts w:ascii="Times New Roman" w:cs="Times New Roman" w:eastAsia="Times New Roman" w:hAnsi="Times New Roman"/>
                <w:sz w:val="18"/>
                <w:szCs w:val="18"/>
                <w:color w:val="auto"/>
              </w:rPr>
              <w:t>1,052</w:t>
            </w:r>
          </w:p>
        </w:tc>
        <w:tc>
          <w:tcPr>
            <w:tcW w:w="1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3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6250</w:t>
            </w:r>
          </w:p>
        </w:tc>
        <w:tc>
          <w:tcPr>
            <w:tcW w:w="8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1,489</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2,445</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164"/>
        </w:trPr>
        <w:tc>
          <w:tcPr>
            <w:tcW w:w="3460" w:type="dxa"/>
            <w:vAlign w:val="bottom"/>
          </w:tcPr>
          <w:p>
            <w:pPr>
              <w:ind w:left="60"/>
              <w:spacing w:after="0" w:line="164" w:lineRule="exact"/>
              <w:rPr>
                <w:sz w:val="20"/>
                <w:szCs w:val="20"/>
                <w:color w:val="auto"/>
              </w:rPr>
            </w:pPr>
            <w:r>
              <w:rPr>
                <w:rFonts w:ascii="Times New Roman" w:cs="Times New Roman" w:eastAsia="Times New Roman" w:hAnsi="Times New Roman"/>
                <w:sz w:val="18"/>
                <w:szCs w:val="18"/>
                <w:color w:val="auto"/>
              </w:rPr>
              <w:t>4334</w:t>
            </w:r>
          </w:p>
        </w:tc>
        <w:tc>
          <w:tcPr>
            <w:tcW w:w="840" w:type="dxa"/>
            <w:vAlign w:val="bottom"/>
          </w:tcPr>
          <w:p>
            <w:pPr>
              <w:spacing w:after="0"/>
              <w:rPr>
                <w:sz w:val="14"/>
                <w:szCs w:val="14"/>
                <w:color w:val="auto"/>
              </w:rPr>
            </w:pPr>
          </w:p>
        </w:tc>
        <w:tc>
          <w:tcPr>
            <w:tcW w:w="620" w:type="dxa"/>
            <w:vAlign w:val="bottom"/>
          </w:tcPr>
          <w:p>
            <w:pPr>
              <w:jc w:val="right"/>
              <w:ind w:right="30"/>
              <w:spacing w:after="0" w:line="164" w:lineRule="exact"/>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jc w:val="right"/>
              <w:ind w:right="30"/>
              <w:spacing w:after="0" w:line="164" w:lineRule="exact"/>
              <w:rPr>
                <w:sz w:val="20"/>
                <w:szCs w:val="20"/>
                <w:color w:val="auto"/>
              </w:rPr>
            </w:pPr>
            <w:r>
              <w:rPr>
                <w:rFonts w:ascii="Times New Roman" w:cs="Times New Roman" w:eastAsia="Times New Roman" w:hAnsi="Times New Roman"/>
                <w:sz w:val="18"/>
                <w:szCs w:val="18"/>
                <w:color w:val="auto"/>
              </w:rPr>
              <w:t>426</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(424)</w:t>
            </w:r>
          </w:p>
        </w:tc>
        <w:tc>
          <w:tcPr>
            <w:tcW w:w="184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8"/>
                <w:szCs w:val="18"/>
                <w:color w:val="auto"/>
              </w:rPr>
              <w:t>(100%)</w:t>
            </w:r>
          </w:p>
        </w:tc>
      </w:tr>
      <w:tr>
        <w:trPr>
          <w:trHeight w:val="268"/>
        </w:trPr>
        <w:tc>
          <w:tcPr>
            <w:tcW w:w="3460" w:type="dxa"/>
            <w:vAlign w:val="bottom"/>
          </w:tcPr>
          <w:p>
            <w:pPr>
              <w:ind w:left="60"/>
              <w:spacing w:after="0" w:line="267" w:lineRule="exact"/>
              <w:rPr>
                <w:sz w:val="20"/>
                <w:szCs w:val="20"/>
                <w:color w:val="auto"/>
              </w:rPr>
            </w:pPr>
            <w:r>
              <w:rPr>
                <w:rFonts w:ascii="Times New Roman" w:cs="Times New Roman" w:eastAsia="Times New Roman" w:hAnsi="Times New Roman"/>
                <w:sz w:val="18"/>
                <w:szCs w:val="18"/>
                <w:color w:val="auto"/>
              </w:rPr>
              <w:t xml:space="preserve">7272 </w:t>
            </w:r>
            <w:r>
              <w:rPr>
                <w:rFonts w:ascii="Times New Roman" w:cs="Times New Roman" w:eastAsia="Times New Roman" w:hAnsi="Times New Roman"/>
                <w:sz w:val="24"/>
                <w:szCs w:val="24"/>
                <w:color w:val="auto"/>
                <w:vertAlign w:val="superscript"/>
              </w:rPr>
              <w:t>(1)</w:t>
            </w:r>
          </w:p>
        </w:tc>
        <w:tc>
          <w:tcPr>
            <w:tcW w:w="8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303</w:t>
            </w: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752</w:t>
            </w: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3460" w:type="dxa"/>
            <w:vAlign w:val="bottom"/>
            <w:tcBorders>
              <w:bottom w:val="single" w:sz="8" w:color="CCECFF"/>
            </w:tcBorders>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Research and discovery</w:t>
            </w:r>
          </w:p>
        </w:tc>
        <w:tc>
          <w:tcPr>
            <w:tcW w:w="840" w:type="dxa"/>
            <w:vAlign w:val="bottom"/>
            <w:tcBorders>
              <w:bottom w:val="single" w:sz="8" w:color="auto"/>
            </w:tcBorders>
            <w:shd w:val="clear" w:color="auto" w:fill="CCECFF"/>
          </w:tcPr>
          <w:p>
            <w:pPr>
              <w:spacing w:after="0"/>
              <w:rPr>
                <w:sz w:val="18"/>
                <w:szCs w:val="18"/>
                <w:color w:val="auto"/>
              </w:rPr>
            </w:pPr>
          </w:p>
        </w:tc>
        <w:tc>
          <w:tcPr>
            <w:tcW w:w="620" w:type="dxa"/>
            <w:vAlign w:val="bottom"/>
            <w:tcBorders>
              <w:bottom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2,966</w:t>
            </w:r>
          </w:p>
        </w:tc>
        <w:tc>
          <w:tcPr>
            <w:tcW w:w="36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auto"/>
            </w:tcBorders>
            <w:shd w:val="clear" w:color="auto" w:fill="CCECFF"/>
          </w:tcPr>
          <w:p>
            <w:pPr>
              <w:spacing w:after="0"/>
              <w:rPr>
                <w:sz w:val="18"/>
                <w:szCs w:val="18"/>
                <w:color w:val="auto"/>
              </w:rPr>
            </w:pPr>
          </w:p>
        </w:tc>
        <w:tc>
          <w:tcPr>
            <w:tcW w:w="620" w:type="dxa"/>
            <w:vAlign w:val="bottom"/>
            <w:tcBorders>
              <w:bottom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1,776</w:t>
            </w:r>
          </w:p>
        </w:tc>
        <w:tc>
          <w:tcPr>
            <w:tcW w:w="360" w:type="dxa"/>
            <w:vAlign w:val="bottom"/>
            <w:tcBorders>
              <w:bottom w:val="single" w:sz="8" w:color="CCECFF"/>
            </w:tcBorders>
            <w:shd w:val="clear" w:color="auto" w:fill="CCECFF"/>
          </w:tcPr>
          <w:p>
            <w:pPr>
              <w:spacing w:after="0"/>
              <w:rPr>
                <w:sz w:val="18"/>
                <w:szCs w:val="18"/>
                <w:color w:val="auto"/>
              </w:rPr>
            </w:pPr>
          </w:p>
        </w:tc>
        <w:tc>
          <w:tcPr>
            <w:tcW w:w="380" w:type="dxa"/>
            <w:vAlign w:val="bottom"/>
            <w:tcBorders>
              <w:bottom w:val="single" w:sz="8" w:color="auto"/>
            </w:tcBorders>
            <w:shd w:val="clear" w:color="auto" w:fill="CCECFF"/>
          </w:tcPr>
          <w:p>
            <w:pPr>
              <w:spacing w:after="0"/>
              <w:rPr>
                <w:sz w:val="18"/>
                <w:szCs w:val="18"/>
                <w:color w:val="auto"/>
              </w:rPr>
            </w:pPr>
          </w:p>
        </w:tc>
        <w:tc>
          <w:tcPr>
            <w:tcW w:w="1920" w:type="dxa"/>
            <w:vAlign w:val="bottom"/>
            <w:tcBorders>
              <w:bottom w:val="single" w:sz="8" w:color="auto"/>
            </w:tcBorders>
            <w:shd w:val="clear" w:color="auto" w:fill="CCECFF"/>
          </w:tcPr>
          <w:p>
            <w:pPr>
              <w:jc w:val="right"/>
              <w:ind w:right="53"/>
              <w:spacing w:after="0"/>
              <w:rPr>
                <w:sz w:val="20"/>
                <w:szCs w:val="20"/>
                <w:color w:val="auto"/>
              </w:rPr>
            </w:pPr>
            <w:r>
              <w:rPr>
                <w:rFonts w:ascii="Times New Roman" w:cs="Times New Roman" w:eastAsia="Times New Roman" w:hAnsi="Times New Roman"/>
                <w:sz w:val="18"/>
                <w:szCs w:val="18"/>
                <w:color w:val="auto"/>
              </w:rPr>
              <w:t>1,190</w:t>
            </w:r>
          </w:p>
        </w:tc>
        <w:tc>
          <w:tcPr>
            <w:tcW w:w="200" w:type="dxa"/>
            <w:vAlign w:val="bottom"/>
            <w:tcBorders>
              <w:bottom w:val="single" w:sz="8" w:color="CCECFF"/>
            </w:tcBorders>
            <w:shd w:val="clear" w:color="auto" w:fill="CCECFF"/>
          </w:tcPr>
          <w:p>
            <w:pPr>
              <w:spacing w:after="0"/>
              <w:rPr>
                <w:sz w:val="18"/>
                <w:szCs w:val="18"/>
                <w:color w:val="auto"/>
              </w:rPr>
            </w:pPr>
          </w:p>
        </w:tc>
        <w:tc>
          <w:tcPr>
            <w:tcW w:w="1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Total external program expenses</w:t>
            </w:r>
          </w:p>
        </w:tc>
        <w:tc>
          <w:tcPr>
            <w:tcW w:w="8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6,923</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7,813</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34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Employee and contractor-related expenses</w:t>
            </w:r>
          </w:p>
        </w:tc>
        <w:tc>
          <w:tcPr>
            <w:tcW w:w="840" w:type="dxa"/>
            <w:vAlign w:val="bottom"/>
            <w:shd w:val="clear" w:color="auto" w:fill="CCECFF"/>
          </w:tcPr>
          <w:p>
            <w:pPr>
              <w:spacing w:after="0"/>
              <w:rPr>
                <w:sz w:val="18"/>
                <w:szCs w:val="18"/>
                <w:color w:val="auto"/>
              </w:rPr>
            </w:pPr>
          </w:p>
        </w:tc>
        <w:tc>
          <w:tcPr>
            <w:tcW w:w="6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6,854</w:t>
            </w:r>
          </w:p>
        </w:tc>
        <w:tc>
          <w:tcPr>
            <w:tcW w:w="360" w:type="dxa"/>
            <w:vAlign w:val="bottom"/>
            <w:shd w:val="clear" w:color="auto" w:fill="CCECFF"/>
          </w:tcPr>
          <w:p>
            <w:pPr>
              <w:spacing w:after="0"/>
              <w:rPr>
                <w:sz w:val="18"/>
                <w:szCs w:val="18"/>
                <w:color w:val="auto"/>
              </w:rPr>
            </w:pPr>
          </w:p>
        </w:tc>
        <w:tc>
          <w:tcPr>
            <w:tcW w:w="840" w:type="dxa"/>
            <w:vAlign w:val="bottom"/>
            <w:shd w:val="clear" w:color="auto" w:fill="CCECFF"/>
          </w:tcPr>
          <w:p>
            <w:pPr>
              <w:spacing w:after="0"/>
              <w:rPr>
                <w:sz w:val="18"/>
                <w:szCs w:val="18"/>
                <w:color w:val="auto"/>
              </w:rPr>
            </w:pPr>
          </w:p>
        </w:tc>
        <w:tc>
          <w:tcPr>
            <w:tcW w:w="6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6,214</w:t>
            </w:r>
          </w:p>
        </w:tc>
        <w:tc>
          <w:tcPr>
            <w:tcW w:w="36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1920" w:type="dxa"/>
            <w:vAlign w:val="bottom"/>
            <w:shd w:val="clear" w:color="auto" w:fill="CCECFF"/>
          </w:tcPr>
          <w:p>
            <w:pPr>
              <w:jc w:val="right"/>
              <w:ind w:right="53"/>
              <w:spacing w:after="0"/>
              <w:rPr>
                <w:sz w:val="20"/>
                <w:szCs w:val="20"/>
                <w:color w:val="auto"/>
              </w:rPr>
            </w:pPr>
            <w:r>
              <w:rPr>
                <w:rFonts w:ascii="Times New Roman" w:cs="Times New Roman" w:eastAsia="Times New Roman" w:hAnsi="Times New Roman"/>
                <w:sz w:val="18"/>
                <w:szCs w:val="18"/>
                <w:color w:val="auto"/>
              </w:rPr>
              <w:t>640</w:t>
            </w:r>
          </w:p>
        </w:tc>
        <w:tc>
          <w:tcPr>
            <w:tcW w:w="1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Facility and other expenses</w:t>
            </w:r>
          </w:p>
        </w:tc>
        <w:tc>
          <w:tcPr>
            <w:tcW w:w="8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1,123</w:t>
            </w:r>
          </w:p>
        </w:tc>
        <w:tc>
          <w:tcPr>
            <w:tcW w:w="36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824</w:t>
            </w:r>
          </w:p>
        </w:tc>
        <w:tc>
          <w:tcPr>
            <w:tcW w:w="3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299</w:t>
            </w:r>
          </w:p>
        </w:tc>
        <w:tc>
          <w:tcPr>
            <w:tcW w:w="20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34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40" w:type="dxa"/>
            <w:vAlign w:val="bottom"/>
            <w:shd w:val="clear" w:color="auto" w:fill="CCEC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96"/>
              </w:rPr>
              <w:t>14,900</w:t>
            </w:r>
          </w:p>
        </w:tc>
        <w:tc>
          <w:tcPr>
            <w:tcW w:w="1200" w:type="dxa"/>
            <w:vAlign w:val="bottom"/>
            <w:gridSpan w:val="2"/>
            <w:shd w:val="clear" w:color="auto" w:fill="CCEC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96"/>
              </w:rPr>
              <w:t>14,851</w:t>
            </w:r>
          </w:p>
        </w:tc>
        <w:tc>
          <w:tcPr>
            <w:tcW w:w="74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CFF"/>
          </w:tcPr>
          <w:p>
            <w:pPr>
              <w:jc w:val="right"/>
              <w:ind w:right="53"/>
              <w:spacing w:after="0"/>
              <w:rPr>
                <w:sz w:val="20"/>
                <w:szCs w:val="20"/>
                <w:color w:val="auto"/>
              </w:rPr>
            </w:pPr>
            <w:r>
              <w:rPr>
                <w:rFonts w:ascii="Times New Roman" w:cs="Times New Roman" w:eastAsia="Times New Roman" w:hAnsi="Times New Roman"/>
                <w:sz w:val="18"/>
                <w:szCs w:val="18"/>
                <w:color w:val="auto"/>
              </w:rPr>
              <w:t>49</w:t>
            </w:r>
          </w:p>
        </w:tc>
        <w:tc>
          <w:tcPr>
            <w:tcW w:w="1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0"/>
        </w:trPr>
        <w:tc>
          <w:tcPr>
            <w:tcW w:w="3460" w:type="dxa"/>
            <w:vAlign w:val="bottom"/>
            <w:tcBorders>
              <w:top w:val="single" w:sz="8" w:color="CCECFF"/>
            </w:tcBorders>
            <w:shd w:val="clear" w:color="auto" w:fill="CCEC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CFF"/>
            </w:tcBorders>
            <w:shd w:val="clear" w:color="auto" w:fill="CCEC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CFF"/>
            </w:tcBorders>
            <w:shd w:val="clear" w:color="auto" w:fill="CCEC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-1002030</wp:posOffset>
            </wp:positionV>
            <wp:extent cx="71323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-590550</wp:posOffset>
            </wp:positionV>
            <wp:extent cx="22288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-590550</wp:posOffset>
            </wp:positionV>
            <wp:extent cx="22288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-590550</wp:posOffset>
            </wp:positionV>
            <wp:extent cx="12890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-24765</wp:posOffset>
            </wp:positionV>
            <wp:extent cx="22288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-7620</wp:posOffset>
            </wp:positionV>
            <wp:extent cx="22288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-24765</wp:posOffset>
            </wp:positionV>
            <wp:extent cx="22288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22288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12890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2890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70" w:lineRule="exact"/>
        <w:rPr>
          <w:sz w:val="20"/>
          <w:szCs w:val="20"/>
          <w:color w:val="auto"/>
        </w:rPr>
      </w:pPr>
    </w:p>
    <w:p>
      <w:pPr>
        <w:ind w:left="1020" w:right="20" w:hanging="499"/>
        <w:spacing w:after="0" w:line="223" w:lineRule="auto"/>
        <w:tabs>
          <w:tab w:leader="none" w:pos="1020" w:val="left"/>
        </w:tabs>
        <w:numPr>
          <w:ilvl w:val="0"/>
          <w:numId w:val="1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 October 2025, we transitioned our discovery and development from ABI-7423 to its parent molecule, 7272, which is currently in regulatory filing-enabling preclinical studies.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remained flat at $14.9 million for both the three months ended March 31, 2026 and 2025. Employee-related expenses increased due to higher headcount, annual salary adjustments, and stock-based compensation expense associated with performance-based restricted stock units granted in mid-2025. This increase was partially offset by external program expenses, which mostly decreased due to the completion of clinical trials, partially offset by increases in our research and discovery efforts.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for personnel in executive, finance, accounting, business development, information technology, legal and human resources functions. Other significant costs include facility costs not otherwise included in research and development expenses, insurance costs, legal fees relating to patents and corporate matters and fees for accounting and consulting services.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period-over-period changes in our general and administrative expenses (in thousands, except for percentages):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700" w:type="dxa"/>
            <w:vAlign w:val="bottom"/>
            <w:tcBorders>
              <w:bottom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0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5"/>
                <w:szCs w:val="15"/>
                <w:color w:val="auto"/>
              </w:rPr>
            </w:pPr>
          </w:p>
        </w:tc>
        <w:tc>
          <w:tcPr>
            <w:tcW w:w="16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3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tcPr>
          <w:p>
            <w:pPr>
              <w:jc w:val="center"/>
              <w:ind w:right="422"/>
              <w:spacing w:after="0" w:line="142" w:lineRule="exact"/>
              <w:rPr>
                <w:sz w:val="20"/>
                <w:szCs w:val="20"/>
                <w:color w:val="auto"/>
              </w:rPr>
            </w:pPr>
            <w:r>
              <w:rPr>
                <w:rFonts w:ascii="Times New Roman" w:cs="Times New Roman" w:eastAsia="Times New Roman" w:hAnsi="Times New Roman"/>
                <w:sz w:val="14"/>
                <w:szCs w:val="14"/>
                <w:b w:val="1"/>
                <w:bCs w:val="1"/>
                <w:color w:val="auto"/>
              </w:rPr>
              <w:t>2026 vs. 2025</w:t>
            </w:r>
          </w:p>
        </w:tc>
        <w:tc>
          <w:tcPr>
            <w:tcW w:w="200" w:type="dxa"/>
            <w:vAlign w:val="bottom"/>
          </w:tcPr>
          <w:p>
            <w:pPr>
              <w:spacing w:after="0"/>
              <w:rPr>
                <w:sz w:val="12"/>
                <w:szCs w:val="12"/>
                <w:color w:val="auto"/>
              </w:rPr>
            </w:pPr>
          </w:p>
        </w:tc>
        <w:tc>
          <w:tcPr>
            <w:tcW w:w="1600" w:type="dxa"/>
            <w:vAlign w:val="bottom"/>
            <w:tcBorders>
              <w:bottom w:val="single" w:sz="8" w:color="auto"/>
            </w:tcBorders>
          </w:tcPr>
          <w:p>
            <w:pPr>
              <w:jc w:val="center"/>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2026 vs. 2025</w:t>
            </w:r>
          </w:p>
        </w:tc>
      </w:tr>
      <w:tr>
        <w:trPr>
          <w:trHeight w:val="210"/>
        </w:trPr>
        <w:tc>
          <w:tcPr>
            <w:tcW w:w="30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00" w:type="dxa"/>
            <w:vAlign w:val="bottom"/>
            <w:gridSpan w:val="2"/>
            <w:shd w:val="clear" w:color="auto" w:fill="CCECFF"/>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4,683</w:t>
            </w:r>
          </w:p>
        </w:tc>
        <w:tc>
          <w:tcPr>
            <w:tcW w:w="1220" w:type="dxa"/>
            <w:vAlign w:val="bottom"/>
            <w:gridSpan w:val="2"/>
            <w:shd w:val="clear" w:color="auto" w:fill="CCECFF"/>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4,509</w:t>
            </w:r>
          </w:p>
        </w:tc>
        <w:tc>
          <w:tcPr>
            <w:tcW w:w="74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CFF"/>
          </w:tcPr>
          <w:p>
            <w:pPr>
              <w:jc w:val="right"/>
              <w:ind w:right="42"/>
              <w:spacing w:after="0"/>
              <w:rPr>
                <w:sz w:val="20"/>
                <w:szCs w:val="20"/>
                <w:color w:val="auto"/>
              </w:rPr>
            </w:pPr>
            <w:r>
              <w:rPr>
                <w:rFonts w:ascii="Times New Roman" w:cs="Times New Roman" w:eastAsia="Times New Roman" w:hAnsi="Times New Roman"/>
                <w:sz w:val="18"/>
                <w:szCs w:val="18"/>
                <w:color w:val="auto"/>
              </w:rPr>
              <w:t>174</w:t>
            </w:r>
          </w:p>
        </w:tc>
        <w:tc>
          <w:tcPr>
            <w:tcW w:w="1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$4.7 million for the three months ended March 31, 2026 compared to $4.5 million for the same period in 2025. The $0.2 million increase was primarily driven by an increase in stock-based compensation expense associated with performance-based restricted stock units granted in mid-2025.</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Other Income,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consists of interest earned on our cash and cash equivalents and available-for-sale marketable securities.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period-over-period changes in our interest and other income, net (in thousands, except for percentages):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20" w:type="dxa"/>
            <w:vAlign w:val="bottom"/>
          </w:tcPr>
          <w:p>
            <w:pPr>
              <w:jc w:val="center"/>
              <w:ind w:right="42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5"/>
                <w:szCs w:val="15"/>
                <w:color w:val="auto"/>
              </w:rPr>
            </w:pPr>
          </w:p>
        </w:tc>
        <w:tc>
          <w:tcPr>
            <w:tcW w:w="15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35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6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tcPr>
          <w:p>
            <w:pPr>
              <w:jc w:val="center"/>
              <w:ind w:right="422"/>
              <w:spacing w:after="0" w:line="142" w:lineRule="exact"/>
              <w:rPr>
                <w:sz w:val="20"/>
                <w:szCs w:val="20"/>
                <w:color w:val="auto"/>
              </w:rPr>
            </w:pPr>
            <w:r>
              <w:rPr>
                <w:rFonts w:ascii="Times New Roman" w:cs="Times New Roman" w:eastAsia="Times New Roman" w:hAnsi="Times New Roman"/>
                <w:sz w:val="14"/>
                <w:szCs w:val="14"/>
                <w:b w:val="1"/>
                <w:bCs w:val="1"/>
                <w:color w:val="auto"/>
              </w:rPr>
              <w:t>2026 vs. 2025</w:t>
            </w:r>
          </w:p>
        </w:tc>
        <w:tc>
          <w:tcPr>
            <w:tcW w:w="200" w:type="dxa"/>
            <w:vAlign w:val="bottom"/>
          </w:tcPr>
          <w:p>
            <w:pPr>
              <w:spacing w:after="0"/>
              <w:rPr>
                <w:sz w:val="12"/>
                <w:szCs w:val="12"/>
                <w:color w:val="auto"/>
              </w:rPr>
            </w:pPr>
          </w:p>
        </w:tc>
        <w:tc>
          <w:tcPr>
            <w:tcW w:w="1580" w:type="dxa"/>
            <w:vAlign w:val="bottom"/>
            <w:tcBorders>
              <w:bottom w:val="single" w:sz="8" w:color="auto"/>
            </w:tcBorders>
          </w:tcPr>
          <w:p>
            <w:pPr>
              <w:jc w:val="center"/>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2026 vs. 2025</w:t>
            </w:r>
          </w:p>
        </w:tc>
      </w:tr>
      <w:tr>
        <w:trPr>
          <w:trHeight w:val="210"/>
        </w:trPr>
        <w:tc>
          <w:tcPr>
            <w:tcW w:w="35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300" w:type="dxa"/>
            <w:vAlign w:val="bottom"/>
            <w:shd w:val="clear" w:color="auto" w:fill="CCEC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CFF"/>
          </w:tcPr>
          <w:p>
            <w:pPr>
              <w:jc w:val="right"/>
              <w:ind w:right="42"/>
              <w:spacing w:after="0"/>
              <w:rPr>
                <w:sz w:val="20"/>
                <w:szCs w:val="20"/>
                <w:color w:val="auto"/>
              </w:rPr>
            </w:pPr>
            <w:r>
              <w:rPr>
                <w:rFonts w:ascii="Times New Roman" w:cs="Times New Roman" w:eastAsia="Times New Roman" w:hAnsi="Times New Roman"/>
                <w:sz w:val="18"/>
                <w:szCs w:val="18"/>
                <w:color w:val="auto"/>
              </w:rPr>
              <w:t>2,291</w:t>
            </w:r>
          </w:p>
        </w:tc>
        <w:tc>
          <w:tcPr>
            <w:tcW w:w="6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CFF"/>
          </w:tcPr>
          <w:p>
            <w:pPr>
              <w:jc w:val="right"/>
              <w:ind w:right="39"/>
              <w:spacing w:after="0"/>
              <w:rPr>
                <w:sz w:val="20"/>
                <w:szCs w:val="20"/>
                <w:color w:val="auto"/>
              </w:rPr>
            </w:pPr>
            <w:r>
              <w:rPr>
                <w:rFonts w:ascii="Times New Roman" w:cs="Times New Roman" w:eastAsia="Times New Roman" w:hAnsi="Times New Roman"/>
                <w:sz w:val="18"/>
                <w:szCs w:val="18"/>
                <w:color w:val="auto"/>
              </w:rPr>
              <w:t>1,123</w:t>
            </w:r>
          </w:p>
        </w:tc>
        <w:tc>
          <w:tcPr>
            <w:tcW w:w="72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CFF"/>
          </w:tcPr>
          <w:p>
            <w:pPr>
              <w:jc w:val="right"/>
              <w:ind w:right="42"/>
              <w:spacing w:after="0"/>
              <w:rPr>
                <w:sz w:val="20"/>
                <w:szCs w:val="20"/>
                <w:color w:val="auto"/>
              </w:rPr>
            </w:pPr>
            <w:r>
              <w:rPr>
                <w:rFonts w:ascii="Times New Roman" w:cs="Times New Roman" w:eastAsia="Times New Roman" w:hAnsi="Times New Roman"/>
                <w:sz w:val="18"/>
                <w:szCs w:val="18"/>
                <w:color w:val="auto"/>
              </w:rPr>
              <w:t>1,168</w:t>
            </w:r>
          </w:p>
        </w:tc>
        <w:tc>
          <w:tcPr>
            <w:tcW w:w="1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104%</w:t>
            </w: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and other income, net was $2.3 million for the three months ended March 31, 2026, compared to $1.1 million for the same period in 2025. The $1.2 million increase was primarily due to a larger portfolio balance following the investment of proceeds from our financing transaction in August 2025, as well as proceeds received from the $35.0 million payment from Gilead for an exclusive license to our HPI program in December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our significant research and development expenditures and the lack of any FDA-approved products to generate product sales revenue, we have not been profitable and have generated operating losses since we were incorporated in October 2005. We have funded our operations through March 31, 2026 principally through equity financings, raising an aggregate of $821.8 million in net proceeds, and strategic collaborations, raising an aggregate of $236.2 million.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Three Months Ended March 31, 2026 and 2025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activities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80" w:type="dxa"/>
            <w:vAlign w:val="bottom"/>
            <w:tcBorders>
              <w:bottom w:val="single" w:sz="8" w:color="auto"/>
            </w:tcBorders>
          </w:tcPr>
          <w:p>
            <w:pPr>
              <w:spacing w:after="0"/>
              <w:rPr>
                <w:sz w:val="15"/>
                <w:szCs w:val="15"/>
                <w:color w:val="auto"/>
              </w:rPr>
            </w:pPr>
          </w:p>
        </w:tc>
      </w:tr>
      <w:tr>
        <w:trPr>
          <w:trHeight w:val="196"/>
        </w:trPr>
        <w:tc>
          <w:tcPr>
            <w:tcW w:w="5860" w:type="dxa"/>
            <w:vAlign w:val="bottom"/>
          </w:tcPr>
          <w:p>
            <w:pPr>
              <w:spacing w:after="0"/>
              <w:rPr>
                <w:sz w:val="17"/>
                <w:szCs w:val="17"/>
                <w:color w:val="auto"/>
              </w:rPr>
            </w:pPr>
          </w:p>
        </w:tc>
        <w:tc>
          <w:tcPr>
            <w:tcW w:w="15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05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58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500" w:type="dxa"/>
            <w:vAlign w:val="bottom"/>
            <w:shd w:val="clear" w:color="auto" w:fill="CCECFF"/>
          </w:tcPr>
          <w:p>
            <w:pPr>
              <w:jc w:val="right"/>
              <w:ind w:right="131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(22,097)</w:t>
            </w:r>
          </w:p>
        </w:tc>
        <w:tc>
          <w:tcPr>
            <w:tcW w:w="1300" w:type="dxa"/>
            <w:vAlign w:val="bottom"/>
            <w:gridSpan w:val="2"/>
            <w:shd w:val="clear" w:color="auto" w:fill="CCEC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(23,439)</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(5,382)</w:t>
            </w: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6,586</w:t>
            </w:r>
          </w:p>
        </w:tc>
      </w:tr>
      <w:tr>
        <w:trPr>
          <w:trHeight w:val="216"/>
        </w:trPr>
        <w:tc>
          <w:tcPr>
            <w:tcW w:w="586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500" w:type="dxa"/>
            <w:vAlign w:val="bottom"/>
            <w:tcBorders>
              <w:bottom w:val="single" w:sz="8" w:color="auto"/>
            </w:tcBorders>
            <w:shd w:val="clear" w:color="auto" w:fill="CCECFF"/>
          </w:tcPr>
          <w:p>
            <w:pPr>
              <w:spacing w:after="0"/>
              <w:rPr>
                <w:sz w:val="18"/>
                <w:szCs w:val="18"/>
                <w:color w:val="auto"/>
              </w:rPr>
            </w:pPr>
          </w:p>
        </w:tc>
        <w:tc>
          <w:tcPr>
            <w:tcW w:w="1000" w:type="dxa"/>
            <w:vAlign w:val="bottom"/>
            <w:tcBorders>
              <w:bottom w:val="single" w:sz="8" w:color="auto"/>
            </w:tcBorders>
            <w:shd w:val="clear" w:color="auto" w:fill="CCECFF"/>
          </w:tcPr>
          <w:p>
            <w:pPr>
              <w:jc w:val="right"/>
              <w:ind w:right="34"/>
              <w:spacing w:after="0"/>
              <w:rPr>
                <w:sz w:val="20"/>
                <w:szCs w:val="20"/>
                <w:color w:val="auto"/>
              </w:rPr>
            </w:pPr>
            <w:r>
              <w:rPr>
                <w:rFonts w:ascii="Times New Roman" w:cs="Times New Roman" w:eastAsia="Times New Roman" w:hAnsi="Times New Roman"/>
                <w:sz w:val="18"/>
                <w:szCs w:val="18"/>
                <w:color w:val="auto"/>
              </w:rPr>
              <w:t>149</w:t>
            </w:r>
          </w:p>
        </w:tc>
        <w:tc>
          <w:tcPr>
            <w:tcW w:w="420" w:type="dxa"/>
            <w:vAlign w:val="bottom"/>
            <w:tcBorders>
              <w:bottom w:val="single" w:sz="8" w:color="CCECFF"/>
            </w:tcBorders>
            <w:shd w:val="clear" w:color="auto" w:fill="CCECFF"/>
          </w:tcPr>
          <w:p>
            <w:pPr>
              <w:spacing w:after="0"/>
              <w:rPr>
                <w:sz w:val="18"/>
                <w:szCs w:val="18"/>
                <w:color w:val="auto"/>
              </w:rPr>
            </w:pPr>
          </w:p>
        </w:tc>
        <w:tc>
          <w:tcPr>
            <w:tcW w:w="880" w:type="dxa"/>
            <w:vAlign w:val="bottom"/>
            <w:tcBorders>
              <w:bottom w:val="single" w:sz="8" w:color="auto"/>
            </w:tcBorders>
            <w:shd w:val="clear" w:color="auto" w:fill="CCECFF"/>
          </w:tcPr>
          <w:p>
            <w:pPr>
              <w:spacing w:after="0"/>
              <w:rPr>
                <w:sz w:val="18"/>
                <w:szCs w:val="18"/>
                <w:color w:val="auto"/>
              </w:rPr>
            </w:pPr>
          </w:p>
        </w:tc>
        <w:tc>
          <w:tcPr>
            <w:tcW w:w="1580" w:type="dxa"/>
            <w:vAlign w:val="bottom"/>
            <w:tcBorders>
              <w:bottom w:val="single" w:sz="8" w:color="auto"/>
            </w:tcBorders>
            <w:shd w:val="clear" w:color="auto" w:fill="CCECFF"/>
          </w:tcPr>
          <w:p>
            <w:pPr>
              <w:jc w:val="right"/>
              <w:ind w:right="14"/>
              <w:spacing w:after="0"/>
              <w:rPr>
                <w:sz w:val="20"/>
                <w:szCs w:val="20"/>
                <w:color w:val="auto"/>
              </w:rPr>
            </w:pPr>
            <w:r>
              <w:rPr>
                <w:rFonts w:ascii="Times New Roman" w:cs="Times New Roman" w:eastAsia="Times New Roman" w:hAnsi="Times New Roman"/>
                <w:sz w:val="18"/>
                <w:szCs w:val="18"/>
                <w:color w:val="auto"/>
              </w:rPr>
              <w:t>1,922</w:t>
            </w:r>
          </w:p>
        </w:tc>
      </w:tr>
      <w:tr>
        <w:trPr>
          <w:trHeight w:val="210"/>
        </w:trPr>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500" w:type="dxa"/>
            <w:vAlign w:val="bottom"/>
          </w:tcPr>
          <w:p>
            <w:pPr>
              <w:jc w:val="right"/>
              <w:ind w:right="131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(27,330)</w:t>
            </w:r>
          </w:p>
        </w:tc>
        <w:tc>
          <w:tcPr>
            <w:tcW w:w="13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(14,931)</w:t>
            </w:r>
          </w:p>
        </w:tc>
      </w:tr>
      <w:tr>
        <w:trPr>
          <w:trHeight w:val="20"/>
        </w:trPr>
        <w:tc>
          <w:tcPr>
            <w:tcW w:w="58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-170815</wp:posOffset>
            </wp:positionV>
            <wp:extent cx="274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$22.1 million for the three months ended March 31, 2026, compared to $23.4 million for the same period in 2025. The decrease was primarily attributable to the timing of vendor invoicing and payments, particularly as the Phase 1a/b studies for 5366 and 1179 were completed during the current period.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$5.4 million for the three months ended March 31, 2026, compared to net cash provided by investing activities of $6.6 million for the same period in 2025. The change was primarily due to our purchases of marketable securities during the current period as we invested excess cash and cash equivalents, including proceeds received in December 2025 from the $35.0 million payment from Gilead for an exclusive license to our HPI program. In contrast, during the prior year, proceeds from maturing securities were primarily used to fund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$0.1 million for the three months ended March 31, 2026, compared to $1.9 million for the same period in 2025. The change was primarily due to proceeds from the sale of shares of our common stock under "at-the-market" offerings during the three months ended March 31, 2025. We did not sell any shares of our common stock under "at-the-market" offerings for the three months ended March 31, 2026.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our future operating expenses to increase over the coming years as we continue to expand our pipeline and advance our candidates. We monitor our cash needs and the status of the capital markets on a continuous basis. From time to time, we opportunistically raise capital and have done so numerous times since our initial public offering by issuing equity securities. We expect to continue to raise capital when and as needed and at the time and in the manner most advantageous to us.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we held cash, cash equivalents and marketable securities of $226.6 million. Based on our current operating plan, we believe we have sufficient funds to meet our operating requirements into 2028. We have based our estimate on assumptions that may prove to be wrong, and we may utilize our available capital resources sooner than we currently expect.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85"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future potential benefits pursuant to the Gilead Collaboration and maintain the collaboration;</w:t>
      </w:r>
    </w:p>
    <w:p>
      <w:pPr>
        <w:spacing w:after="0" w:line="198"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development costs we would incur if we elect to participate in the Profit-Share for programs advanced by Gilead under the Gilead Collaboration;</w:t>
      </w:r>
    </w:p>
    <w:p>
      <w:pPr>
        <w:spacing w:after="0" w:line="12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our ongoing drug discovery, nonclinical development, laboratory testing and clinical studies of our product candidates and any additional clinical studies we may conduct in the future;</w:t>
      </w:r>
    </w:p>
    <w:p>
      <w:pPr>
        <w:spacing w:after="0" w:line="12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and to contract with third parties to manufacture, adequate supplies of our product candidates for our clinical studies and any eventual commercialization;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53"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 and</w:t>
      </w:r>
    </w:p>
    <w:p>
      <w:pPr>
        <w:spacing w:after="0" w:line="19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in the United States and abroad, maintaining and enforcing our intellectual property rights and defending intellectual property-related claims.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critical accounting policies and significant estimates are detailed in our 2025 Annual Report. There have been no material changes to our significant estimates from those previously disclosed in our 2025 Annual Report.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a system of disclosure controls and procedures, as defined in Rules 13a-15(e) and 15d-15(e) of the Exchange Act, that is designed to provide reasonable assurance that information that is required to be disclosed in our reports filed pursuant to the Exchange Act, is accumulated and communicated to management in a timely manner. At the end of the period covered by this report, we carried out an evaluation, under the supervision and with the participation of our management, including our Chief Executive Officer and President, who serves as our principal executive officer, and our VP, Finance, who serves as our principal financial officer, of the effectiveness of the design and operation of our disclosure controls and procedures pursuant to Exchange Act Rules 13a-15(b) and 15d-15(b) as of the end of the period covered by this report. Based upon that evaluation, our principal executive officer and principal financial officer concluded that our disclosure controls and procedures as of the end of the period covered by this report were effective at the reasonable assurance level.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in the quarter ended March 31, 2026 that materially affected, or are reasonably likely to materially affect, our internal control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not a party to any material legal proceedings. In the future, we may from time to time become involved in litigation relating to claims arising from our ordinary course of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together with all other information in this report, including our condensed consolidated financial statements and notes thereto, and in our other filings with the SEC. If any of the following risks, or other risks not presently known to us or that we currently believe to not be material,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 approved products and depend on the future success of the product candidates in our research and development pipeline. We cannot be certain that we or our collaborators will be able to obtain regulatory approval for, or successfully commercialize, product candidates from our current pipeline or any other product candidates that we may subsequently identify, license or otherwise acquire.</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and our collaborators are not permitted to market or promote any products in the United States, Europe, China or other countries before we receive regulatory approval from the FDA or comparable foreign regulatory authorities, and we may never receive such regulatory approval for our current product candidates. We have not submitted an NDA to the FDA or comparable applications to other regulatory authorities and do not expect to be in a position to do so in the near future.</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our product candidates are in clinical development or in varying stages of nonclinical development. Data supporting our clinical development programs are derived from nonclinical data that support our early stage clinical programs, which will determine whether larger, pivotal studies are appropriate. These pivotal studies are necessary to support regulatory approval, and it may be years before these studies are completed, if ever.</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our current product pipeline, we may identify, license or otherwise acquire rights to other technologies or product candidates. Any such transactions would involve numerous risks, and we may be unsuccessful in entering into any such transactions or developing any such technologies or product candidates.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these reasons, our drug discovery and development may not be successful, and we may be unable to continue clinical development of our product candidates and may not generate product approvals or product revenue, any of which could have a material adverse impact on our business, results of operations and financial condition.</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not currently profitable and might never become profitable, and we will need additional financing to complete the development of any product candidates and fund our activities into the future.</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not have any approved products, and we have a history of losses. We expect to continue to incur substantial operating and capital expenditures to advance our current product candidates through clinical development, continue research and discovery efforts to identify potential additional product candidates and seek regulatory approvals for our current and future product candidates. All operations and capital expenditures will be funded from cash on hand, securities offerings, debt financings and payments we may receive from out-licenses, collaborations or other strategic arrangements. Adverse geopolitical and macroeconomic developments, such as potential worsening global economic conditions or economic downturn, ongoing military conflicts, related sanctions, actual and anticipated changes in interest rates, economic inflation and the responses by central banking authorities to control such inflation, and tariffs or the imposition and enforceability of tariffs, trade wars, barriers or restrictions, or threats of such actions and the related uncertainty thereof including uncertainties regarding the ability to obtain refunds for previously paid tariffs that have subsequently been invalidated, could affect our ability to access capital as and when needed.</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is no assurance that we will be successful in raising any necessary additional capital on terms that are acceptable to us, or at all. If we are unable to develop and commercialize any product candidates and generate sufficient revenue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 w:name="page32"/>
    <w:bookmarkEnd w:id="31"/>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 raise capital, we could be forced to reduce staff, delay, scale back or discontinue product development and clinical studies, forego business opportunities, cease operations entirely and sell, or otherwise transfer, all or substantially all of our remaining assets, which would likely have a material adverse impact on our business, results of operations, financial condition and share price.</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our collaboration with Gilead to be a critical part of the development, manufacture and commercialization of our product candidates. If this collaboration is unsuccessful, our business could be adversely affected.</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October 2023, we entered into the Gilead Collaboration Agreement with Gilead, whereby Gilead exclusively licensed to us its HPI program and NNPI program, while retaining opt-in rights to these programs, and has an option to take an exclusive license, on a program-by-program basis, to all of our other current and future pipeline programs during the collaboration term. In connection with the entry into the Gilead Collaboration Agreement, we and Gilead also entered into a common stock purchase agreement and an investor rights agreement, which were both amended in June 2024. Also in June 2024, we and Gilead subsequently entered into a securities purchase agreement and warrant agreement. In December 2024, Gilead purchased additional shares of our common stock at a premium pursuant to the terms of the common stock purchase agreement, and we amended the Gilead Collaboration Agreement in connection with an updated development plan for 6250. In August 2025, Gilead purchased additional shares of our common stock and warrants to purchase additional shares of our common stock. In December 2025, Gilead exercised its option and took an exclusive license to our HPI program, and in March 2026, Gilead declined to exercise its option to license 4334 or defer its option until completion of Phase 2 studies. Our agreements and relationship with Gilead pose a number of risks, including, but not limited to, the following:</w:t>
      </w:r>
    </w:p>
    <w:p>
      <w:pPr>
        <w:spacing w:after="0" w:line="86" w:lineRule="exact"/>
        <w:rPr>
          <w:sz w:val="20"/>
          <w:szCs w:val="20"/>
          <w:color w:val="auto"/>
        </w:rPr>
      </w:pPr>
    </w:p>
    <w:p>
      <w:pPr>
        <w:jc w:val="both"/>
        <w:ind w:left="1020" w:hanging="503"/>
        <w:spacing w:after="0" w:line="26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may arise between us and Gilead, such as conflicts regarding the indications to pursue or concerning the clinical data supporting an opt-in decision, the commercial potential of any optioned investigational products, the interpretation of financial provisions or the ownership of intellectual property developed during the collaboration. Any such conflicts could slow or prevent the development or commercialization of our investigational products.</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collaboration with Gilead does not result in the successful development and commercialization of products or if Gilead terminates the Gilead Collaboration Agreement with us, we may not receive any future research funding or milestone or royalty payments under the collaboration. If we do not receive the funding we expect under these agreements, development of our investigational products could be delayed and we may need additional resources to develop our investigational products.</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heavily dependent on Gilead for further development and commercialization of the investigational products from the programs that it opts into, including our HPI program, and transition of these programs to Gilead could delay these programs' clinical and approval timelines.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this collaboration due to various other factors, including our ability to demonstrate proof of concept in one or more clinical studies so that Gilead will exercise its option to these programs. In addition, even if we demonstrate clinical proof of concept of a candidate, Gilead may choose not to exercise its option.</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has the right to designate (and has designated) two directors for appointment to our board of directors pursuant to the terms of the investor rights agreement and owns approximately 28% of our outstanding common stock. Gilead also has the right to acquire additional shares in the open market, up to an amount resulting in Gilead owning a total of 35% of our outstanding common stock. As a result, Gilead may be able to exert significant influence over us.</w:t>
      </w:r>
    </w:p>
    <w:p>
      <w:pPr>
        <w:spacing w:after="0" w:line="71"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could independently develop, or develop with third parties, products that compete directly or indirectly with our investigational products if Gilead believes that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Gilead has an option to all our current, and future, pipeline programs during the collaboration term, it may be difficult for us to enter into new collaborations.</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Nonclinical and clinical studies required for our product candidates are expensive and time-consuming and may fail to demonstrate the level of safety and efficacy necessary for product approval.</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Before we or any commercial partners can obtain FDA approval (or other foreign approvals) necessary to sell any of our product candidates, we must show that each potential product is safe and effective. To meet these requirements, we must conduct extensive nonclinical and sufficient, well-controlled clinical studies.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results of nonclinical studies may not be representative of the product candidates' behavior in a clinical setting and may not be predictive of the outcomes of our clinical studies. In addition, the results of early clinical studies of product candidates may not be predictive of the results of later-stage clinical studies.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Conducting nonclinical and clinical studies is a lengthy, time consuming and expensive process. The length of time varies substantially according to the type, complexity, novelty, and intended use of the product candidate, and often can be several years or more. In addition, failure or delays can occur at any time during the nonclinical and clinical study process, resulting in additional operating expenses or harm to our business.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commencement and rate of completion of clinical studies might be delayed by many factors, including, for example:</w:t>
      </w:r>
    </w:p>
    <w:p>
      <w:pPr>
        <w:spacing w:after="0" w:line="117"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with regulatory authorities on study design;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prospective contract research organizations (CROs) and clinical study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efficacy or the emergence of unforeseen safety issues;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quantities of qualified materials made using current good manufacturing practice (cGMP) for use in clinical studies due to manufacturing challenges, delays or interruptions in the supply chain;</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participant recruitment or failure to recruit a sufficient number of eligible participants, which may be due to a number of reasons, including the size of the participant population, the proximity of participants to clinical sites, the eligibility criteria for the study, the design of the clinical study, and other potential drug candidates being studied;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fewer available study sites and academic lab facilities due to changes in government funding of clinical research;</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participants completing participation in a study or return for post-treatment follow-up for any reason, including, product side effects or disease progression;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 of clinical study protocols;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the integrity of data collected in the study;</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suspension, or termination of clinical studies by the institutional review board or ethics committee responsible for overseeing the study at a particular study site;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or other regulatory agency delays or clinical holds requiring suspension or termination of our clinical studies due to safety, tolerability or other issues related to our product candidates.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failure of nonclinical and clinical studies to demonstrate safety and effectiveness of a product candidate for the desired indications, whether conducted by us or by a CRO, would harm the development of that product candidate and potentially other product candidates. This failure could cause us to abandon a product candidate and could delay development of other product candidates. Any delay in, or failure of, our nonclinical studies or clinical studies could delay, or preclude, the filing of our NDAs and comparable applications with the FDA and foreign regulatory agencies, as applicable, and materially harm our business, prospects, financial condition and results of operations.</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CROs to conduct some of our nonclinical and clinical studies due to our lack of suitable facilities and resources. In addition, parts of our business are reliant on CROs, vendors, suppliers and other service providers in locations outside of the United States, including China.</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have sufficient facilities or resources to conduct all our anticipated nonclinical and clinical studies internally. As a result, we contract with CROs to conduct a significant portion of the nonclinical and clinical studies required for regulatory approval for our product candidates. Our reliance on CROs reduces our control over these activities but does not relieve us of our responsibilities. For example, we are responsible for ensuring that each of our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studies is conducted in accordance with the applicable protocol, legal and regulatory requirements and scientific standards, including, in the case of clinical studies, Good Clinical Practices (GCPs), even if the study is conducted by a CRO. In the event CROs fail to perform their duties in such a fashion or we are unable to retain or continue with CROs on acceptable terms, we may be unable to complete our clinical studies and may fail to obtain regulatory approval for our product candidates.</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these CROs may also have relationships with other entities, some of which may be our competitors. CRO personnel are not our employees, and except for remedies available to us under our agreements with such third parties, we cannot control whether they devote sufficient time and resources to our clinical and nonclinical studies. If these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including GCPs, or for other reasons, our research, nonclinical or clinical studies may be extended, delayed or terminated and we may not be able to obtain, or may be delayed in obtaining, regulatory approvals for our product candidates, any of which could materially harm our business, prospects, financial condition and results of operations.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Furthermore, we are exposed to a number of risks related to our CROs, vendors, suppliers and other service providers that are located outside of the United States, many of which may be beyond our control. These risks include:</w:t>
      </w:r>
    </w:p>
    <w:p>
      <w:pPr>
        <w:spacing w:after="0" w:line="54" w:lineRule="exact"/>
        <w:rPr>
          <w:sz w:val="20"/>
          <w:szCs w:val="20"/>
          <w:color w:val="auto"/>
        </w:rPr>
      </w:pPr>
    </w:p>
    <w:p>
      <w:pPr>
        <w:jc w:val="both"/>
        <w:ind w:left="1020" w:hanging="503"/>
        <w:spacing w:after="0" w:line="258"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such as the war between Russia and Ukraine, the conflicts in the Middle East, including the recent hostilities involving Iran, and in Venezuela, tensions between China and Taiwan, as well as trade tension and/or the imposition and enforceability of tariffs (including tariffs that have been or may be in the future imposed by the United States and other countries and uncertainties regarding the ability to obtain refunds for previously paid tariffs that have subsequently been invalidated), other wars, acts of terrorism, natural disasters or outbreaks of disease;</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scrutiny or prohibitions on CROs located in foreign countries, including China;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drug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standards of care in various countries that could complicate the evaluation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U.S. and foreign drug import and export rules;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reimbursement systems and different competitive drugs indicated to treat the indication for which our product candidates are being developed;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certain countries;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trade, economic or other policies by the U.S. or foreign governments, which may result in new or unexpected changes in tariffs, trade wars, barriers or restrictions, or regulatory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United States Foreign Corrupt Practices Act (the FCPA) and other anti-corruption and anti-bribery laws;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and compliance with foreign currency exchange rules, which could result in increased operating expenses and reduced revenues, and other obligations incident to doing business in another country.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Top-line, preliminary or interim data may not accurately reflect the final results of a particular study.</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publicly disclose top-line, preliminary or interim data based on analysis of then-available efficacy, tolerability, PK and safety data, and the results and related findings and conclusions are subject to change following a more comprehensive data review related to the particular study. We also may make assumptions, estimates, calculations and conclusions as part of our data analyses, and we may not have received or had the opportunity to fully and carefully evaluate all data prior to release. As a result, the top-line, preliminary or interim results that we report may differ from final results of the same studies or different conclusions or considerations may qualify such results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once additional data have been received and fully evaluated. Top-line, preliminary or interim data also remain subject to audit and verification procedures that may result in the final data differing materially from previously published top-line, preliminary or interim data. As a result, top-line, preliminary or interim data should be viewed with caution until the final data are available.</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top-line, preliminary or interim results, the information that we may publicly disclose regarding a particular nonclinical or clinical study is based on extensive information, and you or others may not agree with what we determine is the material or otherwise appropriate information to include in our disclosure. In addition, any information we determine not to disclose may ultimately be deemed significant with respect to future decisions, conclusions, views, activities or otherwise regarding a particular drug, drug candidate or our business. If the top-line, preliminary or interim data that we report differ from final results, or if others, including regulatory authorities, disagree with, or do not accept, the data or conclusions reached, our ability to obtain approval for, and commercialize, our product candidates may be harmed or delayed, which could harm our business, financial condition, operating results or prospects.</w:t>
      </w:r>
    </w:p>
    <w:p>
      <w:pPr>
        <w:spacing w:after="0" w:line="14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formulate and manufacture our product candidates and products that we study in combination with our product candidates. Our use of third parties may increase the risk that we will not have sufficient quantities of our product candidates or other products on time or at an acceptable cost.</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third-party manufacturers to supply the quantities of our investigational product candidates used in our clinical and nonclinical studies. If any product candidate we develop or acquire in the future receives FDA or other regulatory approval, we expect to continue our reliance on one or more third-party contractors to manufacture our products. If, for any reason, we are unable to rely on any third-party sources we have identified to manufacture our product candidates, we would need to identify and contract with additional or replacement third-party manufacturers to manufacture drug substance and drug product for nonclinical, clinical and commercial purposes. We may be unsuccessful in identifying additional or replacement third-party manufacturers, or in negotiating acceptable terms with any that we do identify. If we are unable to establish and maintain manufacturing capacity, the development and sales of our products and our financial performance may be materially and adversely affected.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the following risks with respect to the manufacture of our product candidates:</w:t>
      </w:r>
    </w:p>
    <w:p>
      <w:pPr>
        <w:spacing w:after="0" w:line="117" w:lineRule="exact"/>
        <w:rPr>
          <w:sz w:val="20"/>
          <w:szCs w:val="20"/>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identify manufacturers for commercial supply on acceptable terms, which we may be unable to do because the number of potential manufacturers is limited, and the FDA must evaluate and approve any new or replacement contractor.</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third-party manufacturers with whom we contract might be unable to formulate and manufacture our product candidates in the volume and quality required to meet our nonclinical, clinical and, if approved, commercial needs in a timely manner.</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third-party manufacturers with whom we contract might be unable to manufacture or obtain from other third parties the active pharmaceutical ingredient needed to manufacture the finished dosage form of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third-party manufacturers with whom we contract might not perform as agreed or might not remain in the contract manufacturing business for the time required to supply our products.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of any third-party manufacturers with whom we contract could be foreign, which increases the risk of shipping delays and adds the risk of import restrictions.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complete control over, and cannot ensure, any third-party manufacturers’ compliance with cGMP and other government regulations and corresponding foreign requirements, including periodic FDA and state regulatory inspections.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obtain intellectual property rights from third parties to manufacture our product candidates, and if any third-party manufacturer makes improvements in the manufacturing process for our product candidates, we may not own, or may have to share, the intellectual property rights to the innovation.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86" w:lineRule="exact"/>
        <w:rPr>
          <w:sz w:val="20"/>
          <w:szCs w:val="20"/>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share our trade secrets and know-how with third parties, increasing risk of misappropriation or disclosure of our intellectual property by or to third parties.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contracting with third-party manufacturers, we might compete with other companies for access to these manufacturers’ facilities and might be subject to manufacturing delays if the manufacturers give other clients higher priority than we are given.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of these risks could delay our development efforts, nonclinical studies and clinical studies or the approval, if any, of our product candidates by the FDA or applicable non-U.S. regulatory authorities and the commercialization of our product candidates. Furthermore, workforce reductions at the FDA, and any future reductions of staffing or other resources at the FDA, may lead to delays in inspecting facilities and, in turn, delayed FDA approvals for manufacturing changes. This could result in higher costs or deprive us of potential product revenues and materially harm our business, financial condition and results of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lose key management personnel and cannot recruit and retain similarly qualified replacements, our business may materially suffer.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highly dependent on the services of our executive officers. Our employment agreements with our executive officers do not ensure their retention. We do not currently maintain, nor do we intend to obtain in the future, “key person” life insurance that would compensate us in the event of the death or disability of any of the members of our management team. Our executive officers are critical to our success, and unanticipated loss of any of these key employees could have a material adverse impact on our business, financial condition and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collaboration partners might delay, prevent or undermine the success of our product candidates.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operating and financial strategy for the development, nonclinical and clinical testing, manufacture and commercialization of drug candidates heavily depends on collaborating with corporations, academic institutions, licensors, licensees, and other parties. However, there can be no assurance that we will successfully establish or maintain these collaborations. If a collaboration is terminated, replacement collaborators might not be available on attractive terms, or at all.</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activities of any collaborator, including Gilead, will not be within our control and might not be within our power to influence. There can be no assurance that any collaborator will perform its obligations to our satisfaction or at all, that we will derive any revenue or profits from these collaborations, or that any collaborator will not compete with us. If any collaboration, including the Gilead Collaboration, is unsuccessful, we might require substantially greater capital to undertake development and marketing of our proposed products and might not be able to develop and market these products effectively, if at all. In addition, if Gilead does not opt-in to a program, it might lead to significant delays in introducing proposed products into certain markets and/or reduced sales of proposed products in such markets.</w:t>
      </w:r>
    </w:p>
    <w:p>
      <w:pPr>
        <w:spacing w:after="0" w:line="1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and maintaining collaborations, which could adversely affect our ability to develop certain of our product candidates.</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Developing pharmaceutical products, conducting clinical studies, obtaining regulatory approval and commercializing those products are expensive and lengthy undertakings that require significant resources and expertise. We may seek to enter into collaborations, including licensing or partnering arrangements, with other companies to support the development and commercialization of any or multiple of our programs that Gilead declines to opt into or to obtain financing or share costs on these programs. If we are unable to enter into such collaborations on acceptable terms, if at all, we may be unable to advance certain of our product candidates through further nonclinical or clinical development. We expect to face competition in seeking appropriate partners. Moreover, collaboration arrangements are complex and time consuming to negotiate, document and implement and they may require substantial resources to maintain. We may not be successful in our efforts to establish and implement collaborations or other alternative arrangements for the development of our product candidates that Gilead declines to opt into.</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unable to reach agreement on favorable terms with a suitable collaboration partner for any of our product candidates that Gilead declines to opt into, we may need to limit the number of our product candidates to advance through further nonclinical or clinical development. Failure to achieve such successful collaborations would limit our options for support of the development and commercialization of our programs and for financing and would likely have a material adverse impact on our business, results of operations, financial condition and share price.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data provided by third parties that has not been independently verified and could prove to be false, misleading or incomplete.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on third-party vendors, scientists, investigators and collaborators to provide us with significant data and other information related to our projects, nonclinical studies and clinical studies, and our business. If these third parties provide inaccurate, misleading, or incomplete data, our business, prospects, and results of operations could be materially and adversely affected.</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Research, development and commercialization goals, including data releases, may not be achieved in the timeframes that we publicly estimate, which could have an adverse impact on our business and could cause our stock price to decline.</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set goals and make public statements regarding our expectations on timing of certain accomplishments, developments and milestones under our research and development programs. The actual timing of these events can vary significantly due to a number of factors, including, the amount of time, effort and resources committed to our programs by us and any collaborators and the uncertainties inherent in the clinical development and regulatory approval process. As a result, there can be no assurance that we or any collaborators will initiate or complete clinical development activities, make regulatory submissions or receive regulatory approvals as planned or that we or any collaborators will be able to adhere to our current schedule for the achievement of key milestones under any of our programs. If we or any collaborators fail to achieve one or more of the milestones as planned, or Gilead does not opt-in to any of our programs, our business could be materially and adversely affected, and the price of our common stock could decline.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by competitors might render our product candidates or technologies obsolete or non-competitive.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pharmaceutical and biotechnology industries are intensely competitive. In addition, the clinical and commercial landscapes for recurrent genital herpes, HDV, HBV and transplant-related herpesviruses are rapidly changing; we expect new data from commercial and clinical-stage products to continue to emerge. We compete with organizations, some with significantly more resources, who are developing competitive product candidates. If our competitors develop effective treatments for recurrent genital herpes, HDV, HBV and transplant-related herpesviruses or any other indication or field we might pursue, and successfully commercialize those treatments, our business and prospects could be materially harmed.</w:t>
      </w:r>
    </w:p>
    <w:p>
      <w:pPr>
        <w:spacing w:after="0" w:line="13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Other companies with products using the same or similar mechanisms of action as ours may produce negative clinical data, which would adversely affect public and clinical communities’ perceptions of our product candidates, and may negatively impact regulatory approval of, or demand for, our potential products.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Negative data from clinical studies using a competitor’s product candidates with the same or similar mechanisms of action (MOA) as ours could adversely impact the perception of the therapeutic use of our product candidates and our ability to enroll individuals in clinical studies.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clinical and commercial success of our potential products will depend in part on the public and clinical communities’ acceptance of novel classes of product candidates. Moreover, our success depends upon physicians prescribing, and their patients being willing to receive, treatments that involve the use of our product candidates we may develop in lieu of, or in addition to, existing treatments with which they are already familiar and for which more clinical data may be available. Adverse events (AEs) in our nonclinical or clinical studies or those of our competitors or of academic researchers utilizing the same MOA as our product candidates, even if not ultimately attributable to our product candidates, and any resulting publicity could result in increased governmental regulation, larger, more complex, or an increased number of clinical trial requirements, unfavorable public perception, potential regulatory delays in the testing or approval of our product candidates, stricter labeling requirements for our product candidates that are approved, if any, and a decrease in demand for any such products.</w:t>
      </w:r>
    </w:p>
    <w:p>
      <w:pPr>
        <w:spacing w:after="0" w:line="80"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disruptions of information technology systems or breaches of data security, including cybersecurity incidents, could materially and adversely affect our business, results of operations and financial condition.</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collect and maintain information in digital form and are increasingly dependent on information technology systems and infrastructure to operate our business. In the ordinary course of our business, we collect, store and transmit large amounts of confidential information, including trade secrets, other proprietary business information and confidential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personal data. We rely on information technology systems that we or our third-party providers operate to process, transmit and store electronic information and otherwise to conduct our day-to-day operations (including confidential business, personal and patient health information in connection with our preclinical and clinical studies and our employees), which information technology systems may become subject to cyberattacks and other security breaches, and system outages. The information technology systems and infrastructure of our current and any future collaborators, contractors and consultants and other third parties on which we rely, are also vulnerable to such incidents.</w:t>
      </w:r>
    </w:p>
    <w:p>
      <w:pPr>
        <w:spacing w:after="0" w:line="1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risk of a cybersecurity incident or security breach or disruption, particularly through cyberattacks or cyber intrusion, has escalated as the frequency, intensity and sophistication of attempted attacks and intrusions from around the world have increased, become increasingly difficult to detect and could be enhanced or facilitated by artificial intelligence. In addition, the prevalent use of mobile devices that access confidential information increases the risk of data security breaches. A successful cyberattack could cause serious negative consequences for us, including, without limitation, the disruption of operations, the theft, misappropriation, destruction or other compromises of confidential or proprietary information (including financial information, corporate strategic plans, trade secrets and other intellectual property and data), improper access to, use or disclosure of personal and patient health information, other misappropriation of assets, and financial loss. Although we devote resources to protect our information systems, we realize that cyberattacks remain a threat, and there can be no assurance that our efforts (or those of our employees, contractors, consultants and the third-party providers on which we rely) will prevent security breaches that would result in business, legal, financial or reputational harm to us, or would have a material adverse effect on our results of operations and financial condition. In addition, although we carry cyber insurance, in the event of a material security incident, such coverage may not be sufficient to cover all losses. Any failure to prevent or mitigate security breaches or improper access to, use of, or disclosure of our clinical data or patients’ personal data could result in significant liability under various U.S. state and federal laws and regulations and laws of foreign jurisdictions regarding data privacy and security (or require notification to governmental agencies, the media or individuals pursuant to such laws) and may cause a material adverse impact to our reputation, affect our ability to use collected data, conduct new studies and potentially disrupt our business.</w:t>
      </w:r>
    </w:p>
    <w:p>
      <w:pPr>
        <w:spacing w:after="0" w:line="1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internal computer systems, or those of our third-party CROs or other contractors or consultants, may fail or suffer other disruptions, which could result in a material disruption of our current or future product candidates’ development programs. Despite the implementation of security, business continuity and back-up measures, in addition to cyberattacks and security incidents described above, our internal computer systems and those of our third-party CROs and other contractors and consultants are vulnerable to damage from natural disasters, terrorism, war and telecommunication and electrical failures. While we have not experienced any such system failure, or accident to date, if such an event were to occur and cause interruptions in our operations (or those of our business partners or other third parties on which we rely), it could result in a material disruption of our programs. For example, any loss of clinical study data from completed or ongoing or planned clinical studies could result in delays in our regulatory approval efforts and significantly increase our costs to recover or reproduce the data. To the extent that any such disruption results in a loss of or damage to our data or applications, other data or applications relating to our technology or current or future product candidates, or inappropriate disclosure of confidential or proprietary information, we could incur liabilities and the further development of our current or future product candidates could be delayed.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and credit carryforwards and certain other tax attributes may be limited.</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net operating loss carryforwards due to losses generated before January 1, 2018, which if not utilized, will begin to expire in 2029. If we are unable to generate sufficient taxable income to utilize our net operating loss carryforwards, pre-2018 carryforwards could expire unused and be unavailable to offset future income tax liabilities.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(the Code), a corporation that undergoes an “ownership change” (generally defined as a greater than 50% change (by value) in its equity ownership over a three-year period) is subject to annual limitations on its ability to use its pre-change net operating loss carryforwards and other pre-change tax attributes (such as research tax credits) to offset its post-change income or taxes. We have experienced ownership changes in the past, most recently in August 2025, and future equity issuances may result in additional ownership change. Accordingly, some of our net operating losses or credits could expire unutilized, and our ability to utilize our net operating losses or credits to offset U.S. federal taxable income could be limited, which would result in increased future tax liability to us. We may also be subject to similar limitations at the state level.</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Regulatory and Legal Environment</w:t>
      </w:r>
    </w:p>
    <w:p>
      <w:pPr>
        <w:spacing w:after="0" w:line="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and will be subject to extensive and costly government regulation, and the failure to comply with these regulations may have a material adverse effect on our operations and business.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product candidates are subject to extensive and rigorous domestic government regulation, including regulation by the FDA, the Centers for Medicare and Medicaid Services, other divisions of the U.S. Department of Health and Human Services (HHS), the U.S. Department of Justice, state and local governments, and their respective foreign equivalents. Both before and after approval of any product, we and our collaborators, suppliers, contract manufacturers and clinical investigators are subject to extensive regulation by governmental authorities in the United States and other countries, covering, among other things, testing, manufacturing, quality control, clinical studies, post-marketing studies, labeling, advertising, promotion, distribution, import and export, governmental pricing, price reporting and rebate requirements. Failure to comply with applicable requirements could result in one or more of the following actions: warning or untitled letters; unanticipated expenditures; delays in approval or refusal to approve a product candidate; voluntary or mandatory product recall; product seizure; interruption of manufacturing or clinical studies; operating or marketing restrictions; injunctions; criminal prosecution and civil or criminal penalties, including fines and other monetary penalties; exclusion from federal health care programs such as Medicare and Medicaid; adverse publicity; and disruptions to our business.</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or our collaborators obtain regulatory approval for a particular product, the approval might limit the intended medical uses for the product, limit our ability to promote, sell, and distribute the product, require that we conduct costly post-marketing surveillance, and/or require that we conduct ongoing post-marketing studies. Once obtained, any approvals might be withdrawn, including, for example, if there is a later discovery of previously unknown problems with the product, such as a previously unknown safety issue. If we, our collaborators, our contractors or our contract manufacturers fail to comply with applicable regulatory requirements at any stage during the regulatory process, such noncompliance could result in delays in the approval of applications or supplements to approved applications, refusal by a regulatory authority (including the FDA) to review pending marketing authorization applications or supplements to approved applications, untitled letters or warning letters, fines, import and export restrictions, product recalls or seizures, injunctions, total or partial suspension of production, civil penalties, withdrawals of previously approved marketing authorizations, recommendations by the FDA or other regulatory authorities against governmental contracts, and/or criminal prosecutions.</w:t>
      </w:r>
    </w:p>
    <w:p>
      <w:pPr>
        <w:spacing w:after="0" w:line="15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 consuming and inherently unpredictable, and if we or our collaborators are ultimately unable to obtain regulatory approval for our product candidates, our business will be substantially harmed.</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or any current or future collaborators, cannot assure you that we will receive the approvals necessary to commercialize for sale any of our product candidates, or any product candidate we acquire or develop in the future. We will need FDA approval to commercialize our product candidates in the United States and approvals from applicable regulatory authorities in foreign jurisdictions to commercialize our product candidates in those jurisdictions. To obtain FDA approval of any product candidate, we must submit to the FDA an NDA demonstrating that the product candidate is safe and effective for its intended use. This requires significant research, nonclinical studies, and clinical studies.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drugs that the FDA considers safe and effective for their indicated uses. The FDA has substantial discretion in the approval process and might require us to conduct additional nonclinical and clinical testing, perform post-marketing studies or otherwise limit or impose conditions on any approval we obtain.</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ability of the FDA to review and approve new products has been in the past and may in the future be affected by a variety of factors, including government budget and funding levels, authorization and payment of user fees, the ability to hire and retain key personnel, as well as other statutory, regulatory and policy changes. In addition, funding of other government agencies that support research and development activities that pertain to FDA review, such as research to understand new technologies or establish new standards, can shift in response to changing administrative policies and priorities. Such policy shifts, including, for example, the recent efforts to downsize the federal workforce by restructuring the HHS and eliminating positions at the FDA, including teams critical to the FDA's ability to conduct regular inspections, reviews and other regulatory activities, such as issuing guidance for industry and regulations,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federal agencies, may affect the timelines, completeness or duration of the FDA review process. In addition, the HHS may change the user fee reauthorization process or fail to reauthorize user fee programs. As a result, average review times at the FDA may fluctuate, and the outcome of any such review process may be impacted. A prolonged government shutdown or a widespread freeze on federal funding could also significantly impact the ability of the FDA to timely review and process our regulatory submissions and the National Institutes of Health to conduct research or provide grants, or cause other agencies that support the FDA to slow their work. In addition, if future legislation or administrative action or changes in FDA policy prevent the FDA or other regulatory authorities from conducting routine inspections, reviews, or other regulatory activities, it could significantly impact the ability of the FDA to timely review and process our regulatory submissions, which could have a material adverse effect on our business. Delays in obtaining regulatory approvals might: delay commercialization of, and our ability to derive product revenues from, our product candidates; impose costly procedures on us; and diminish any competitive advantages that we might otherwise enjoy.</w:t>
      </w:r>
    </w:p>
    <w:p>
      <w:pPr>
        <w:spacing w:after="0" w:line="1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if we comply with all FDA requirements, the FDA might ultimately refuse to approve one or more of our NDAs. We cannot be sure that we will ever obtain regulatory approval to commercialize any of our current or future product candidates. In foreign jurisdictions, we are subject to regulatory approval processes and risks similar to those associated with the FDA described above. We cannot assure you that we will receive the approvals necessary to commercialize our product candidates for sale outside the United States.</w:t>
      </w:r>
    </w:p>
    <w:p>
      <w:pPr>
        <w:spacing w:after="0" w:line="13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and our third-party partners and service providers are subject to stringent privacy laws, information security laws, regulations, policies and contractual obligations related to data privacy and security, and compliance with such laws, regulations, policies and contractual obligations could result in additional costs and liabilities to us and failure to comply could adversely affect our business, financial condition, results of operations and prospects.</w:t>
      </w:r>
    </w:p>
    <w:p>
      <w:pPr>
        <w:spacing w:after="0" w:line="1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maintain and process certain confidential, sensitive, or personal information in the operation of our business, and rely on certain third-party vendors to process confidential, sensitive or personal information on our behalf, including in the conduct of our clinical trials. We and our third party partners and service providers, including our CROs and other vendors and contractors, are subject to data privacy and security laws and regulations that govern the collection, transmission, storage, use, processing, destruction, retention and security of personal information, including additional laws or regulations relating to health information. The legislative and regulatory landscape for privacy and data protection continues to evolve in jurisdictions worldwide, and these laws may at times be conflicting. It is possible that these laws may be interpreted or applied in a manner that is inconsistent with the practices we or our third party partners maintain, and any of our efforts to comply with the evolving data protection rules may be unsuccessful. Neither we nor our third party partners can guarantee that we or they are and have been in compliance with all applicable data privacy and protection laws, rules regulations, policies and standards. We may need to devote significant resources to seek to understand and comply with this changing landscape, and it is possible that these ongoing compliance efforts may be costly and require modifications to our policies, procedures and systems over time. Failure, or perceived failure, by us or our third-party partners and service providers to comply with laws and regulations regarding privacy and security of personal information could result in penalties under such laws, such as orders requiring a change in business practices, claims for damages or other liabilities, government investigations and enforcement actions, litigation and significant costs for remediation, any of which could adversely affect our business. Even if it is determined that there was no violation of these laws, government investigations into these issues typically require the expenditure of significant resources and generate negative publicity. Any resulting enforcement actions against us or our third party partners could lead to the imposition of fines, criminal prosecution of employees, claims for damages by affected individuals and reputational damage and loss of goodwill. Additionally, if we and any CROs or third parties we use to conduct clinical trials, are unable to properly protect the privacy and security of personal information, including protected health information, we and they could be found to have breached our and their contracts with certain third parties.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are numerous U.S. federal and state laws and regulations related to the privacy and security of personal information. In particular, the Health Insurance Portability and Accountability Act (HIPAA), as amended by HITECH and their respective implementing regulations, establish privacy and security standards for Covered Entities and Business Associates (as defined by HIPAA)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We do not believe that we are currently acting as a covered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jc w:val="both"/>
        <w:spacing w:after="0" w:line="254" w:lineRule="auto"/>
        <w:rPr>
          <w:sz w:val="20"/>
          <w:szCs w:val="20"/>
          <w:color w:val="auto"/>
        </w:rPr>
      </w:pPr>
      <w:r>
        <w:rPr>
          <w:rFonts w:ascii="Times New Roman" w:cs="Times New Roman" w:eastAsia="Times New Roman" w:hAnsi="Times New Roman"/>
          <w:sz w:val="18"/>
          <w:szCs w:val="18"/>
          <w:color w:val="auto"/>
        </w:rPr>
        <w:t>entity or business associate under HIPAA and thus are not directly subject to its requirements or penalties. However, we may obtain health information from third parties, including research institutions from which we obtain clinical trial data, that are subject to privacy and security requirements under HIPAA. Determining whether protected health information has been handled in compliance with applicable privacy standards and contractual obligations can be complex and may be subject to changing interpretation. If we or our third party partners fail to comply with applicable privacy laws, including applicable HIPAA privacy and security standards, we could face civil and criminal penalties. HHS enforcement activity can result in financial liability and reputational harm, and responses to such enforcement activity can consume significant internal resources; the HHS also has discretion to impose penalties without attempting to first resolve violations. In addition, state attorneys general are authorized pursuant to certain federal and state laws to bring civil actions seeking either injunctions or damages in response to violations that threaten the privacy of state residents. We cannot be sure how these laws and regulations will be interpreted, enforced or applied to our operations or the operations of our third party partners.</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U.S. state laws may be more stringent or broader in scope, or offer greater individual rights, with respect to sensitive and personal information than international, federal, or other state laws, and such laws may differ from each other, which may complicate compliance efforts. For example, in June 2018, California enacted the California Consumer Privacy Act (CCPA), which broadly defines personal information, gives California residents expanded privacy rights and protections, including the right to access and delete certain personal information, as well as the right to opt-out of certain sales of personal information, and provides for civil penalties for violations and a private right of action for data breaches. Additional states have passed privacy laws, such as the Virginia Consumer Data Protection Act and the Colorado Privacy Act, which are similar to the CCPA. Such new privacy laws add further complexity in interpreting and implementing data privacy requirements and restrictions and thus create additional potential legal risk, require additional investment in resources for compliance programs, and could impact business strategies and the availability of previously useful data. This complexity applies to data security as well. Certain other states, including California, Massachusetts and Nevada have adopted laws requiring the implementation of certain security measures to protect personal information, and all 50 states and the District of Columbia, Puerto Rico, the U.S. Virgin Islands and Guam have adopted laws including obligations to provide notification of security breaches of computer databases that contain personal information to affected individuals, state officers and others. We may also be subject to U.S. federal rules, regulations and guidance with respect to data privacy and security practices. According to the Federal Trade Commission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These federal and state laws regarding data privacy and security may differ from one another, and the interplay between them may be subject to varying interpretations by courts and government agencies, increasing our costs of compliance and exposing us to potential legal risk.</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European Union (EU), the processing of personal data, including personal health data, is governed by the provisions of the EU General Data Protection Regulation (EU GDPR), in addition to other applicable laws and regulations. The EU GDPR, together with national legislation, regulations and guidelines of the EU Member States governing the processing of personal data, impose strict obligations with respect to, and restrictions on, the collection, use, retention, protection, disclosure, transfer and processing of personal data. The EU GDPR also imposes strict rules on the transfer of personal data to countries outside the EU that are not deemed to have adequate protections for personal information, including the United States. The EU GDPR authorizes fines for certain violations that are in addition to any civil litigation claims by data subjects. Separately, Brexit has led and could lead to further legislative and regulatory changes and may increase our compliance costs. Data processing in the United Kingdom (UK) is governed by the UK General Data Protection Regulation (UK GDPR), creating two parallel regimes, each of which authorizes similar fines and other potentially divergent enforcement actions for certain violations. Failure to comply with the EU GDPR or the UK GDPR can result in significant fines and other liability, including, under the EU GDPR, fines of up to €20 million (or £17.5 million under the UK GDPR) or four percent (4%) of global revenue, whichever is greater.</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jurisdictions worldwide are similarly introducing or enhancing privacy and data security laws, rules and regulations, which could increase our compliance costs and the risks associated with noncompliance. Compliance with data protection laws and regulations in the U.S. and internationally could require us to take on more onerous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1" w:name="page42"/>
    <w:bookmarkEnd w:id="41"/>
    <w:p>
      <w:pPr>
        <w:jc w:val="both"/>
        <w:spacing w:after="0" w:line="254" w:lineRule="auto"/>
        <w:rPr>
          <w:sz w:val="20"/>
          <w:szCs w:val="20"/>
          <w:color w:val="auto"/>
        </w:rPr>
      </w:pPr>
      <w:r>
        <w:rPr>
          <w:rFonts w:ascii="Times New Roman" w:cs="Times New Roman" w:eastAsia="Times New Roman" w:hAnsi="Times New Roman"/>
          <w:sz w:val="18"/>
          <w:szCs w:val="18"/>
          <w:color w:val="auto"/>
        </w:rPr>
        <w:t>obligations in our contracts, restrict our ability to collect, use and disclose data, or in some cases, impact our ability to operate in certain jurisdictions. 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CROs, collaborators, development partners or other third party partners and service providers to comply with such requirements or adequately address privacy and security concerns, even if unfounded, could have a material adverse effect on our business, financial condition, results of operations and prospects. We cannot guarantee that we and our employees, representatives, contractors, consultants, CROs, collaborators, development partners and other third parties on whom we rely are, and will be, in compliance with all applicable international laws and regulations as they are enforced now or as such laws and regulations evolve or are interpreted.</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and our collaborators may be subject, directly or indirectly, to applicable U.S. federal and state anti-kickback, false claims laws, physician payment transparency laws, other fraud and abuse laws or similar healthcare and security laws and regulations, and health information privacy and security laws, which could expose us or them to criminal sanctions, civil penalties, exclusion or suspension from federal and state healthcare programs, contractual damages, reputational harm and diminished profits and future earnings.</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Healthcare providers, physicians and others play a primary role in the recommendation and prescription of any products for which we obtain regulatory approval. If we obtain FDA approval for any of our drug candidates and begin commercializing those drugs in the United States, our operations may be subject to various federal and state fraud and abuse laws, including the federal Anti-Kickback Statute, the federal False Claims Act, and physician payment sunshine laws and regulations. Additionally, we are subject to state and non-U.S. equivalents of each of the healthcare laws described above, among others, some of which may be broader in scope and may apply regardless of the payor. These laws may impact, among other things, our proposed sales, marketing and education programs. For example, there are federal and state healthcare laws and regulations that govern prescription drug marketing practices, including off-label promotion, and increased scrutiny of direct-to-consumer advertisements. In addition, we may be subject to patient privacy regulation by both the federal government and the states and foreign jurisdictions in which we conduct our business. Additionally, clinical trial activities can present enforcement risk where data integrity issues arise or there are concerns regarding the financial arrangements between clinical trial sponsors and physician employees or consultants, investigators or sites when federal healthcare programs reimburse trial-related costs. If we fail to comply with any applicable federal, state or foreign legal requirement, we could be subject to penalties.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Violations of these laws may be punishable by criminal and/or civil sanctions, including penalties, fines and/or exclusion or suspension from federal and state healthcare programs such as Medicare and Medicaid and debarment from contracting with the U.S. government. In addition, private individuals have the ability to bring actions on behalf of the U.S. government under the federal False Claims Act as well as under the false claims laws of several states.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or any of the physicians or other providers or entities with whom we do business with are found to be not in compliance with applicable laws, such noncompliance may be subject to criminal, civil or administrative sanctions, including exclusions from government funded healthcare programs, which may also adversely affect our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the risk of product liability claims and might not be able to obtain insurance.</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exposes us to the risk of product liability claims that are inherent in drug development. If the use of one or more of our product candidates or approved drugs, if any, harms people, we might be subject to costly and damaging product liability claims brought against us by clinical study participants, consumers, health care providers, pharmaceutical companies or others selling our products. Our inability to obtain sufficient product liability/clinical study insurance at an acceptable cost to protect against potential product liability claims could prevent or inhibit the commercialization of pharmaceutical products we develop. We cannot predict all of the possible harms or side effects that might result and, therefore, the amount of insurance coverage we maintain might not be adequate to cover all liabilities we might incur. If we are unable to obtain insurance at an acceptable cost or otherwise protect against potential product liability claims, we will be exposed to significant liabilities, which might materially and adversely affect our business and financial position. If we are sued for any injury allegedly caused by our products, our liability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2" w:name="page43"/>
    <w:bookmarkEnd w:id="42"/>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could exceed our total assets and our ability to pay. Any successful product liability claims brought against us would decrease our cash and may adversely affect our business, stock price and financial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be exposed to liability claims associated with the use of hazardous materials and chemicals.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research, development and manufacturing activities and/or those of our third-party contractors might involve the controlled use of hazardous materials and chemicals. Although we will strive to have our safety procedures, and those of our contractors, comply with federal, state and local laws and regulations for using, storing, handling and disposing of these materials, we cannot completely eliminate the risk of accidental injury or contamination from these materials. In the event of such an accident, we could be held liable for any resulting damages, and any liability could materially and adversely affect our business, financial condition and results of operations. In addition, the federal, state and local laws and regulations governing the use, manufacture, storage, handling and disposal of hazardous or radioactive materials and waste products might require us to incur substantial compliance costs that could materially and adversely affect our business, financial condition and results of operations.</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collaborators and CROs may engage in misconduct or other improper activities, including noncompliance with regulatory standards and requirements for which we may be held responsible and which could result in significant liability for us and harm our reputation.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the risk of fraud or other misconduct, including failure to:</w:t>
      </w:r>
    </w:p>
    <w:p>
      <w:pPr>
        <w:spacing w:after="0" w:line="117"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applicable regulations of, and provide accurate information to, the FDA or comparable foreign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federal and state healthcare fraud and abuse laws and regulations and similar laws and regulations established and enforced by comparable foreign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FCPA, the U.K. Bribery Act 2010, the PRC Criminal Law, the PRC Anti-unfair Competition Law and other anti-bribery and trade laws;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financial information and data accurately;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unauthorized activities.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Misconduct could also involve the improper use or misrepresentation of information obtained during clinical studies, creating fraudulent data in our nonclinical studies or clinical studies or illegal misappropriation of product materials, which could result in regulatory sanctions, delays in clinical studies, or serious harm to our reputation.</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is not always possible to identify and deter misconduct.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on protecting our intellectual property.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our licensors and our collaborators do not obtain protection for our respective intellectual property rights, our competitors might be able to take advantage of our research and development efforts to develop competing drugs. Our success, competitive position and future revenues, if any, depend in part on our ability and the abilities of our licensors to obtain and maintain patent protection for our products, methods, processes and other technologies, to preserve our trade secrets, to prevent third parties from infringing on our proprietary rights and to operate without infringing the proprietary rights of third parties.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positions allow us to do so. We cannot be certain that we will secure any rights to any issued patents with claims that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cover any of our proprietary product candidates and technologies. The patent prosecution process is expensive and time-consuming, and we may be unable to file and prosecute all necessary or desirable patent applications at a reasonable cost or in a timely manner. We could fail to identify patentable aspects of our research and development output before it is too late to obtain patent protection or before our competitors secure patents covering such discoveries. The patent process also is subject to numerous risks and uncertainties, and there can be no assurance that we will be successful in protecting our products by obtaining and defending patents.</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Composition-of-matter patents relating to the active pharmaceutical ingredient are generally considered to be the strongest form of intellectual property protection for pharmaceutical products.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Formulation patents protect the formulation of a product and do not prevent a competitor from making and marketing a product that has an identical active pharmaceutical ingredient to our product if the product is formulated differently than the patented formulation. We rely on a combination of these and other types of patents to protect our product candidates, and there can be no assurance that our intellectual property will create and sustain the competitive position of our product candidates.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Biotechnology and pharmaceutical product patents involve highly complex legal and scientific questions. Any patent applications that we own or license may fail to result in issued patents. In addition, the U.S. Patent and Trademark Office (USPTO) and patent offices in other jurisdictions often require that patent applications concerning pharmaceutical and/or biotechnology-related inventions are limited or narrowed substantially to cover only the specific innovations exemplified in the patent application, thereby limiting the scope of protection against competitive challenges. As a result, even if we or our licensors obtain patents, the patents might be substantially narrower than anticipated.</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patents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Patent and other intellectual property protection is crucial to the success of our business and prospects, and there is a substantial risk that such protections, if obtained, will prove inadequate. The legal systems of certain countries, including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Beyond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collaborators, contractors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costs as a result of litigation or other proceedings relating to our patents and other intellectual property rights.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in the future be involved in legal or administrative proceedings involving our intellectual property, including infringement of our intellectual property by third parties. These lawsuits or proceedings likely would be expensive, consume time and resources and divert the attention of managerial and scientific personnel, even if we were successful in stopping the infringement of such patents. There is a risk that these proceedings will decide that such patents or other intellectual property rights are not valid and that we do not have the right to stop the other party from using our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inventions. There is also the risk that, even if the validity of such patents is upheld, the court or administrative agency will refuse to stop the other party on the ground that such other party’s activities do not infringe our rights to such patents. If we were not successful in defending our intellectual property, our competitors could develop and market products based on our discoveries, which may reduce demand for our products.</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 candidates.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success will depend in part on our ability to operate without infringing the proprietary rights of third parties. Our competitors may have filed, and may in the future file, patent applications covering products and technologies similar to ours. Any such patent application may have priority over our patent applications, which could further require us to obtain rights from third parties to issued patents covering such products and technologies. We cannot guarantee that the manufacture, use or marketing of any product candidates that we develop will not infringe third-party patents.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 patent infringement suit were brought against us, we may be forced to stop or delay developing, manufacturing, or selling potential products that are claimed to infringe a third party’s intellectual property, unless that third party grants us rights to use its intellectual property. In such cases, we may be required to obtain licenses to patents or proprietary rights of others to continue development, manufacture or sale of our products. If we are unable to obtain a license or develop or obtain non-infringing technology, or if we fail to defend an infringement action successfully, or if we are found to have infringed a valid patent, we may incur substantial costs and monetary damages, encounter significant delays in bringing our product candidates to market and be precluded from manufacturing or selling our product candidates, any of which could harm our business significantly.</w:t>
      </w:r>
    </w:p>
    <w:p>
      <w:pPr>
        <w:spacing w:after="0" w:line="15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cost of maintaining our patent protection globally is high and requires continuous review and compliance. We may not be able to effectively maintain our intellectual property position throughout the major markets of the world.</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USPTO and foreign patent authorities require maintenance fees, payments and continued compliance with a number of procedural and documentary requirements. Noncompliance may result in abandonment or lapse of patents or patent applications and a partial or complete loss of patent rights in the relevant jurisdiction. Such a loss could reduce royalty payments for lack of patent coverage from our collaboration partners or may result in competition, either of which could have a material adverse effect on our business.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made, and will continue to make, certain strategic decisions in balancing the costs and the potential protections afforded by the patent laws of certain countries. As a result, we may not be able to prevent third parties from practicing our inventions in all countries, or from selling or importing products made using our inventions in and into the United States or other countries. Third parties may use our technologies in territories in which we have not obtained patent protection to develop their own products and may infringe our patents in territories which provide inadequate enforcement mechanisms. Such third-party products may compete with our product candidates, and our patents or other intellectual property rights may not be effective or sufficient to prevent them from competing. Such competition could materially and adversely affect our business and financial condition.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address all potential threats to any competitive advantage we may have.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54" w:lineRule="exact"/>
        <w:rPr>
          <w:sz w:val="20"/>
          <w:szCs w:val="20"/>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licensors or strategic partners might not have been the first to make the inventions covered by the issued patents or pending patent applications that we own or have exclusively licensed.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licensors or strategic partners might not have been the first to file patent applications covering certain of our inventions.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86"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prosecution of our pending patent applications may not result in granted patents.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patents that we own or have exclusively licensed may not provide us with any competitive advantages, or may be held invalid or unenforceable, because of legal challenges by our competitors.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protection on our product candidates may expire before we are able to develop and commercialize the product, or before we are able to recover our investment in the product.</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in the past and may continue to fluctuate significantly, and you could lose all or part of your investment.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price of our common stock fluctuates widely. Continued volatility in the market price of our common stock might prevent a stockholder from being able to sell shares of our common stock at or above the price paid for such shares. The trading price of our common stock has in the past and may continue to be volatile and subject to wide price fluctuations in response to various factors, many of which are beyond our control, such as the progress, results and timing of our clinical and nonclinical studies and other studies involving our product candidates, the success or failure of our product candidates, the receipt or loss of required regulatory approvals for our product candidates, the availability of capital or the other risks discussed in this “Risk Factors” section.</w:t>
      </w:r>
    </w:p>
    <w:p>
      <w:pPr>
        <w:spacing w:after="0" w:line="13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will be the sole and exclusive forum for certain types of actions and proceedings that may be initiated by our stockholders, which could limit our stockholders’ ability to bring a claim in a judicial forum they find favorable for disputes with us or our directors, officers or other employees.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amended and restated bylaws provide that, with certain limited exceptions, unless we consent to the selection of an alternative forum, the Court of Chancery of the State of Delaware is the sole and exclusive forum for (1) any derivative action or proceeding brought on our behalf; (2) any action asserting a claim of breach of fiduciary duty owed by any of our current or former directors, officers or other employees to us or to our stockholders; (3) any action asserting a claim arising pursuant to the Delaware General Corporation Law, or our certificate of incorporation or bylaws (as each may be amended from time to time); or (4) any action asserting a claim governed by the internal affairs doctrine. Alternatively, if such court does not have jurisdiction, the Superior Court of Delaware, or, if such other court does not have jurisdiction, the United States District Court for the District of Delaware, will be the sole and exclusive forum for such actions and proceedings.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bylaws to be inapplicable or unenforceable in an action, we may incur additional costs associated with resolving such action in other jurisdictions, which could have a material adverse impact on our business. The choice of forum provision in our amended and restated bylaws will not preclude or contract the scope of exclusive federal or concurrent jurisdiction for actions brought under the federal securities laws, including the Exchange Act or the Securities Act, or the respective rules and regulations promulgated thereunder.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xml:space="preserve"> The following exhibits are filed or furnished, as applicable, as part of this quarterly report on Form 10-Q:</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12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40" w:type="dxa"/>
            <w:vAlign w:val="bottom"/>
            <w:gridSpan w:val="6"/>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by Reference</w:t>
            </w:r>
          </w:p>
        </w:tc>
        <w:tc>
          <w:tcPr>
            <w:tcW w:w="10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840" w:type="dxa"/>
            <w:vAlign w:val="bottom"/>
            <w:tcBorders>
              <w:bottom w:val="single" w:sz="8" w:color="auto"/>
            </w:tcBorders>
            <w:gridSpan w:val="6"/>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from</w:t>
            </w:r>
          </w:p>
        </w:tc>
        <w:tc>
          <w:tcPr>
            <w:tcW w:w="100" w:type="dxa"/>
            <w:vAlign w:val="bottom"/>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120" w:type="dxa"/>
            <w:vAlign w:val="bottom"/>
          </w:tcPr>
          <w:p>
            <w:pPr>
              <w:spacing w:after="0"/>
              <w:rPr>
                <w:sz w:val="21"/>
                <w:szCs w:val="21"/>
                <w:color w:val="auto"/>
              </w:rPr>
            </w:pPr>
          </w:p>
        </w:tc>
        <w:tc>
          <w:tcPr>
            <w:tcW w:w="5500" w:type="dxa"/>
            <w:vAlign w:val="bottom"/>
            <w:gridSpan w:val="7"/>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2026 Corporate Bonus Plan.</w:t>
              </w:r>
            </w:hyperlink>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8-K</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03/30/2026</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10.1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120" w:type="dxa"/>
            <w:vAlign w:val="bottom"/>
          </w:tcPr>
          <w:p>
            <w:pPr>
              <w:spacing w:after="0"/>
              <w:rPr>
                <w:sz w:val="24"/>
                <w:szCs w:val="24"/>
                <w:color w:val="auto"/>
              </w:rPr>
            </w:pPr>
          </w:p>
        </w:tc>
        <w:tc>
          <w:tcPr>
            <w:tcW w:w="5500" w:type="dxa"/>
            <w:vAlign w:val="bottom"/>
            <w:gridSpan w:val="7"/>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Amendment No. 1 to Amended and Restated Employment Agreement,</w:t>
              </w:r>
            </w:hyperlink>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8-K</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03/30/2026</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10.2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right w:val="single" w:sz="8" w:color="0000FF"/>
            </w:tcBorders>
            <w:gridSpan w:val="2"/>
            <w:shd w:val="clear" w:color="auto" w:fill="0000FF"/>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7"/>
          </w:tcPr>
          <w:p>
            <w:pPr>
              <w:spacing w:after="0" w:line="19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dated March 26, 2026, between Assembly Biosciences, Inc. and Jason A.</w:t>
              </w:r>
            </w:hyperlink>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right w:val="single" w:sz="8" w:color="0000FF"/>
            </w:tcBorders>
            <w:gridSpan w:val="2"/>
            <w:shd w:val="clear" w:color="auto" w:fill="0000FF"/>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7"/>
          </w:tcPr>
          <w:p>
            <w:pPr>
              <w:spacing w:after="0" w:line="19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Okazaki.</w:t>
              </w:r>
            </w:hyperlink>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55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3"/>
            <w:shd w:val="clear" w:color="auto" w:fill="0000FF"/>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gridSpan w:val="3"/>
            <w:shd w:val="clear" w:color="auto" w:fill="0000FF"/>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55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Section 302 of the</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20" w:type="dxa"/>
            <w:vAlign w:val="bottom"/>
            <w:gridSpan w:val="6"/>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gridSpan w:val="3"/>
            <w:shd w:val="clear" w:color="auto" w:fill="0000FF"/>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120" w:type="dxa"/>
            <w:vAlign w:val="bottom"/>
          </w:tcPr>
          <w:p>
            <w:pPr>
              <w:spacing w:after="0"/>
              <w:rPr>
                <w:sz w:val="24"/>
                <w:szCs w:val="24"/>
                <w:color w:val="auto"/>
              </w:rPr>
            </w:pPr>
          </w:p>
        </w:tc>
        <w:tc>
          <w:tcPr>
            <w:tcW w:w="55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120" w:type="dxa"/>
            <w:vAlign w:val="bottom"/>
            <w:gridSpan w:val="4"/>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gridSpan w:val="3"/>
            <w:shd w:val="clear" w:color="auto" w:fill="0000FF"/>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32.2*</w:t>
            </w:r>
          </w:p>
        </w:tc>
        <w:tc>
          <w:tcPr>
            <w:tcW w:w="120" w:type="dxa"/>
            <w:vAlign w:val="bottom"/>
          </w:tcPr>
          <w:p>
            <w:pPr>
              <w:spacing w:after="0"/>
              <w:rPr>
                <w:sz w:val="24"/>
                <w:szCs w:val="24"/>
                <w:color w:val="auto"/>
              </w:rPr>
            </w:pPr>
          </w:p>
        </w:tc>
        <w:tc>
          <w:tcPr>
            <w:tcW w:w="55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Section 906 of the</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20" w:type="dxa"/>
            <w:vAlign w:val="bottom"/>
            <w:gridSpan w:val="6"/>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gridSpan w:val="3"/>
            <w:shd w:val="clear" w:color="auto" w:fill="0000FF"/>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20" w:type="dxa"/>
            <w:vAlign w:val="bottom"/>
          </w:tcPr>
          <w:p>
            <w:pPr>
              <w:spacing w:after="0"/>
              <w:rPr>
                <w:sz w:val="24"/>
                <w:szCs w:val="24"/>
                <w:color w:val="auto"/>
              </w:rPr>
            </w:pPr>
          </w:p>
        </w:tc>
        <w:tc>
          <w:tcPr>
            <w:tcW w:w="55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 appear in</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Interactive Data File as its XBRL</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20" w:type="dxa"/>
            <w:vAlign w:val="bottom"/>
          </w:tcPr>
          <w:p>
            <w:pPr>
              <w:spacing w:after="0"/>
              <w:rPr>
                <w:sz w:val="24"/>
                <w:szCs w:val="24"/>
                <w:color w:val="auto"/>
              </w:rPr>
            </w:pPr>
          </w:p>
        </w:tc>
        <w:tc>
          <w:tcPr>
            <w:tcW w:w="55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Documents</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120" w:type="dxa"/>
            <w:vAlign w:val="bottom"/>
          </w:tcPr>
          <w:p>
            <w:pPr>
              <w:spacing w:after="0"/>
              <w:rPr>
                <w:sz w:val="24"/>
                <w:szCs w:val="24"/>
                <w:color w:val="auto"/>
              </w:rPr>
            </w:pPr>
          </w:p>
        </w:tc>
        <w:tc>
          <w:tcPr>
            <w:tcW w:w="55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Exhibits 101</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60" w:hanging="352"/>
        <w:spacing w:after="0"/>
        <w:tabs>
          <w:tab w:leader="none" w:pos="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management contracts or compensatory plans or arrangements.</w:t>
      </w:r>
    </w:p>
    <w:p>
      <w:pPr>
        <w:spacing w:after="0" w:line="27" w:lineRule="exact"/>
        <w:rPr>
          <w:sz w:val="20"/>
          <w:szCs w:val="20"/>
          <w:color w:val="auto"/>
        </w:rPr>
      </w:pPr>
    </w:p>
    <w:p>
      <w:pPr>
        <w:jc w:val="both"/>
        <w:ind w:firstLine="8"/>
        <w:spacing w:after="0" w:line="253" w:lineRule="auto"/>
        <w:tabs>
          <w:tab w:leader="none" w:pos="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attached as Exhibit 32.1 that accompanies this Quarterly Report on Form 10-Q is to be deemed furnished and shall not be deemed “filed” with the SEC and is not to be incorporated by reference into any filing of Assembly Biosciences,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8" w:name="page49"/>
    <w:bookmarkEnd w:id="48"/>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accordance with the requirements of the Securities Exchange Act of 1934, the registrant caused this report to be signed on its behalf by the undersigned, thereunto duly authorized.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Assembly Biosciences,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58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Jason A. Okazaki</w:t>
            </w:r>
          </w:p>
        </w:tc>
      </w:tr>
      <w:tr>
        <w:trPr>
          <w:trHeight w:val="191"/>
        </w:trPr>
        <w:tc>
          <w:tcPr>
            <w:tcW w:w="35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Jason A. Okazaki</w:t>
            </w:r>
          </w:p>
        </w:tc>
      </w:tr>
      <w:tr>
        <w:trPr>
          <w:trHeight w:val="216"/>
        </w:trPr>
        <w:tc>
          <w:tcPr>
            <w:tcW w:w="35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34"/>
        </w:trPr>
        <w:tc>
          <w:tcPr>
            <w:tcW w:w="3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58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Jeanette M. Bjorkquist</w:t>
            </w:r>
          </w:p>
        </w:tc>
      </w:tr>
      <w:tr>
        <w:trPr>
          <w:trHeight w:val="191"/>
        </w:trPr>
        <w:tc>
          <w:tcPr>
            <w:tcW w:w="35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Jeanette M. Bjorkquist</w:t>
            </w:r>
          </w:p>
        </w:tc>
      </w:tr>
      <w:tr>
        <w:trPr>
          <w:trHeight w:val="216"/>
        </w:trPr>
        <w:tc>
          <w:tcPr>
            <w:tcW w:w="35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Finance</w:t>
            </w:r>
          </w:p>
        </w:tc>
      </w:tr>
      <w:tr>
        <w:trPr>
          <w:trHeight w:val="234"/>
        </w:trPr>
        <w:tc>
          <w:tcPr>
            <w:tcW w:w="3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A. Okazaki, certify that:</w:t>
      </w:r>
    </w:p>
    <w:p>
      <w:pPr>
        <w:spacing w:after="0" w:line="76" w:lineRule="exact"/>
        <w:rPr>
          <w:sz w:val="20"/>
          <w:szCs w:val="20"/>
          <w:color w:val="auto"/>
        </w:rPr>
      </w:pPr>
    </w:p>
    <w:p>
      <w:pPr>
        <w:ind w:left="520" w:hanging="512"/>
        <w:spacing w:after="0" w:line="207" w:lineRule="exact"/>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Assembly Biosciences, Inc.;</w:t>
      </w:r>
    </w:p>
    <w:p>
      <w:pPr>
        <w:spacing w:after="0" w:line="157"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hanging="512"/>
        <w:spacing w:after="0" w:line="226" w:lineRule="exact"/>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w:t>
      </w:r>
    </w:p>
    <w:p>
      <w:pPr>
        <w:ind w:left="52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9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ind w:left="574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Jason A. Okazaki</w:t>
            </w:r>
          </w:p>
        </w:tc>
      </w:tr>
      <w:tr>
        <w:trPr>
          <w:trHeight w:val="191"/>
        </w:trPr>
        <w:tc>
          <w:tcPr>
            <w:tcW w:w="6300" w:type="dxa"/>
            <w:vAlign w:val="bottom"/>
          </w:tcPr>
          <w:p>
            <w:pPr>
              <w:spacing w:after="0"/>
              <w:rPr>
                <w:sz w:val="16"/>
                <w:szCs w:val="16"/>
                <w:color w:val="auto"/>
              </w:rPr>
            </w:pP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Jason A. Okazaki</w:t>
            </w:r>
          </w:p>
        </w:tc>
      </w:tr>
      <w:tr>
        <w:trPr>
          <w:trHeight w:val="216"/>
        </w:trPr>
        <w:tc>
          <w:tcPr>
            <w:tcW w:w="630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34"/>
        </w:trPr>
        <w:tc>
          <w:tcPr>
            <w:tcW w:w="63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627"/>
        </w:trPr>
        <w:tc>
          <w:tcPr>
            <w:tcW w:w="630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Jeanette M. Bjorkquist, certify that:</w:t>
      </w:r>
    </w:p>
    <w:p>
      <w:pPr>
        <w:spacing w:after="0" w:line="76" w:lineRule="exact"/>
        <w:rPr>
          <w:sz w:val="20"/>
          <w:szCs w:val="20"/>
          <w:color w:val="auto"/>
        </w:rPr>
      </w:pPr>
    </w:p>
    <w:p>
      <w:pPr>
        <w:ind w:left="520" w:hanging="512"/>
        <w:spacing w:after="0" w:line="207" w:lineRule="exact"/>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Assembly Biosciences, Inc.;</w:t>
      </w:r>
    </w:p>
    <w:p>
      <w:pPr>
        <w:spacing w:after="0" w:line="157"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hanging="512"/>
        <w:spacing w:after="0" w:line="226" w:lineRule="exact"/>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w:t>
      </w:r>
    </w:p>
    <w:p>
      <w:pPr>
        <w:ind w:left="52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9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ind w:left="574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Jeanette M. Bjorkquist</w:t>
            </w:r>
          </w:p>
        </w:tc>
      </w:tr>
      <w:tr>
        <w:trPr>
          <w:trHeight w:val="191"/>
        </w:trPr>
        <w:tc>
          <w:tcPr>
            <w:tcW w:w="6300" w:type="dxa"/>
            <w:vAlign w:val="bottom"/>
          </w:tcPr>
          <w:p>
            <w:pPr>
              <w:spacing w:after="0"/>
              <w:rPr>
                <w:sz w:val="16"/>
                <w:szCs w:val="16"/>
                <w:color w:val="auto"/>
              </w:rPr>
            </w:pP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Jeanette M. Bjorkquist</w:t>
            </w:r>
          </w:p>
        </w:tc>
      </w:tr>
      <w:tr>
        <w:trPr>
          <w:trHeight w:val="216"/>
        </w:trPr>
        <w:tc>
          <w:tcPr>
            <w:tcW w:w="630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VP, Finance</w:t>
            </w:r>
          </w:p>
        </w:tc>
      </w:tr>
      <w:tr>
        <w:trPr>
          <w:trHeight w:val="234"/>
        </w:trPr>
        <w:tc>
          <w:tcPr>
            <w:tcW w:w="63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627"/>
        </w:trPr>
        <w:tc>
          <w:tcPr>
            <w:tcW w:w="630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26"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color w:val="auto"/>
        </w:rPr>
        <w:t>In connection with the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Assembly Biosciences, Inc. (the Company) for the period ended March 31, 2026 as filed with the Securities and Exchange Commission on or about the date hereof (the Report), I, Jason A. Okazaki, Chief Executive Officer and President, hereby certify, pursuant to 18 U.S.C. Section 1350, as adopted pursuant to Section 906 of the Sarbanes-Oxley Act of 2002, that, to my knowledge:</w:t>
      </w:r>
    </w:p>
    <w:p>
      <w:pPr>
        <w:spacing w:after="0" w:line="171"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37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Jason A. Okazaki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Jason A. Okazaki</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Date: May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26"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color w:val="auto"/>
        </w:rPr>
        <w:t>In connection with the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Assembly Biosciences, Inc. (the Company) for the period ended March 31, 2026 as filed with the Securities and Exchange Commission on or about the date hereof (the Report), I, Jeanette M. Bjorkquist, VP, Finance, hereby certify, pursuant to 18 U.S.C. Section 1350, as adopted pursuant to Section 906 of the Sarbanes-Oxley Act of 2002, that, to my knowledge:</w:t>
      </w:r>
    </w:p>
    <w:p>
      <w:pPr>
        <w:spacing w:after="0" w:line="171"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37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Jeanette M. Bjorkquist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Jeanette M. Bjorkquist</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VP, Finance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Date: May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3" w:name="page54"/>
    <w:bookmarkEnd w:id="5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48" Type="http://schemas.openxmlformats.org/officeDocument/2006/relationships/hyperlink" Target="https://www.sec.gov/Archives/edgar/data/1426800/000119312526131872/asmb-ex10_1.htm" TargetMode="External"/><Relationship Id="rId149" Type="http://schemas.openxmlformats.org/officeDocument/2006/relationships/hyperlink" Target="https://www.sec.gov/Archives/edgar/data/1426800/000119312526131872/asmb-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2026-05-07T15:28:23Z</dcterms:created>
  <dcterms:modified xsi:type="dcterms:W3CDTF">2026-05-07T15:28:23Z</dcterms:modified>
</cp:coreProperties>
</file>