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double" w:sz="6" w:space="1" w:color="000000"/>
        </w:pBdr>
        <w:spacing w:before="0" w:after="0"/>
        <w:rPr/>
      </w:pPr>
      <w:bookmarkStart w:id="0" w:name="asmb-10q_20220331.htm"/>
      <w:bookmarkStart w:id="1" w:name="ksasmb10q_20220331"/>
      <w:bookmarkEnd w:id="0"/>
      <w:bookmarkEnd w:id="1"/>
      <w:r>
        <w:rPr/>
        <w:t> </w:t>
      </w:r>
    </w:p>
    <w:p>
      <w:pPr>
        <w:pStyle w:val="TextBody"/>
        <w:spacing w:before="8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UNITED STATES</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SECURITIES AND EXCHANGE COMMISSION</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Washington, D.C. 20549</w:t>
      </w:r>
    </w:p>
    <w:p>
      <w:pPr>
        <w:pStyle w:val="TextBody"/>
        <w:pBdr>
          <w:bottom w:val="single" w:sz="6" w:space="1" w:color="000000"/>
        </w:pBdr>
        <w:spacing w:before="0" w:after="120"/>
        <w:jc w:val="center"/>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FORM 10-Q</w:t>
      </w:r>
    </w:p>
    <w:p>
      <w:pPr>
        <w:pStyle w:val="TextBody"/>
        <w:pBdr>
          <w:bottom w:val="single" w:sz="6" w:space="1" w:color="000000"/>
        </w:pBdr>
        <w:spacing w:before="0" w:after="0"/>
        <w:jc w:val="center"/>
        <w:rPr/>
      </w:pPr>
      <w:r>
        <w:rPr/>
        <w:t> </w:t>
      </w:r>
    </w:p>
    <w:p>
      <w:pPr>
        <w:pStyle w:val="TextBody"/>
        <w:spacing w:before="0" w:after="0"/>
        <w:jc w:val="both"/>
        <w:rPr/>
      </w:pPr>
      <w:r>
        <w:rPr/>
        <w:t> </w:t>
      </w:r>
    </w:p>
    <w:tbl>
      <w:tblPr>
        <w:tblW w:w="9520" w:type="dxa"/>
        <w:jc w:val="left"/>
        <w:tblInd w:w="0" w:type="dxa"/>
        <w:tblCellMar>
          <w:top w:w="0" w:type="dxa"/>
          <w:left w:w="0" w:type="dxa"/>
          <w:bottom w:w="0" w:type="dxa"/>
          <w:right w:w="0" w:type="dxa"/>
        </w:tblCellMar>
      </w:tblPr>
      <w:tblGrid>
        <w:gridCol w:w="230"/>
        <w:gridCol w:w="9290"/>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290" w:type="dxa"/>
            <w:tcBorders/>
            <w:shd w:fill="auto" w:val="clear"/>
          </w:tcPr>
          <w:p>
            <w:pPr>
              <w:pStyle w:val="TableContents"/>
              <w:spacing w:before="0" w:after="0"/>
              <w:ind w:left="0" w:right="0" w:hanging="0"/>
              <w:rPr>
                <w:rFonts w:ascii="Times New Roman" w:hAnsi="Times New Roman"/>
                <w:b/>
                <w:i w:val="false"/>
                <w:caps w:val="false"/>
                <w:smallCaps w:val="false"/>
                <w:sz w:val="18"/>
              </w:rPr>
            </w:pPr>
            <w:r>
              <w:rPr>
                <w:rFonts w:ascii="Times New Roman" w:hAnsi="Times New Roman"/>
                <w:b/>
                <w:i w:val="false"/>
                <w:caps w:val="false"/>
                <w:smallCaps w:val="false"/>
                <w:sz w:val="18"/>
              </w:rPr>
              <w:t>QUARTERLY REPORT PURSUANT TO SECTION 13 OR 15(d) OF THE SECURITIES EXCHANGE ACT OF 1934</w:t>
            </w:r>
          </w:p>
        </w:tc>
      </w:tr>
    </w:tbl>
    <w:p>
      <w:pPr>
        <w:pStyle w:val="TextBody"/>
        <w:spacing w:before="0" w:after="0"/>
        <w:jc w:val="both"/>
        <w:rPr/>
      </w:pPr>
      <w:r>
        <w:rPr/>
        <w: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For the quarterly period ended March 31, 2022</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OR</w:t>
      </w:r>
    </w:p>
    <w:p>
      <w:pPr>
        <w:pStyle w:val="TextBody"/>
        <w:spacing w:before="0" w:after="0"/>
        <w:jc w:val="both"/>
        <w:rPr/>
      </w:pPr>
      <w:r>
        <w:rPr/>
        <w:t> </w:t>
      </w:r>
    </w:p>
    <w:tbl>
      <w:tblPr>
        <w:tblW w:w="9520" w:type="dxa"/>
        <w:jc w:val="left"/>
        <w:tblInd w:w="0" w:type="dxa"/>
        <w:tblCellMar>
          <w:top w:w="0" w:type="dxa"/>
          <w:left w:w="0" w:type="dxa"/>
          <w:bottom w:w="0" w:type="dxa"/>
          <w:right w:w="0" w:type="dxa"/>
        </w:tblCellMar>
      </w:tblPr>
      <w:tblGrid>
        <w:gridCol w:w="230"/>
        <w:gridCol w:w="9290"/>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290" w:type="dxa"/>
            <w:tcBorders/>
            <w:shd w:fill="auto" w:val="clear"/>
          </w:tcPr>
          <w:p>
            <w:pPr>
              <w:pStyle w:val="TableContents"/>
              <w:spacing w:before="0" w:after="0"/>
              <w:ind w:left="0" w:right="0" w:hanging="0"/>
              <w:rPr>
                <w:rFonts w:ascii="Times New Roman" w:hAnsi="Times New Roman"/>
                <w:b/>
                <w:i w:val="false"/>
                <w:caps w:val="false"/>
                <w:smallCaps w:val="false"/>
                <w:sz w:val="18"/>
              </w:rPr>
            </w:pPr>
            <w:r>
              <w:rPr>
                <w:rFonts w:ascii="Times New Roman" w:hAnsi="Times New Roman"/>
                <w:b/>
                <w:i w:val="false"/>
                <w:caps w:val="false"/>
                <w:smallCaps w:val="false"/>
                <w:sz w:val="18"/>
              </w:rPr>
              <w:t>TRANSITION REPORT PURSUANT TO SECTION 13 OR 15(d) OF THE SECURITIES EXCHANGE ACT OF 1934</w:t>
            </w:r>
          </w:p>
        </w:tc>
      </w:tr>
    </w:tbl>
    <w:p>
      <w:pPr>
        <w:pStyle w:val="TextBody"/>
        <w:spacing w:before="0" w:after="0"/>
        <w:jc w:val="both"/>
        <w:rPr/>
      </w:pPr>
      <w:r>
        <w:rPr/>
        <w: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For the transition period from ___________to___________.</w:t>
      </w:r>
    </w:p>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Commission file number: 001-35005</w:t>
      </w:r>
    </w:p>
    <w:p>
      <w:pPr>
        <w:pStyle w:val="TextBody"/>
        <w:pBdr>
          <w:bottom w:val="single" w:sz="6" w:space="1" w:color="000000"/>
        </w:pBdr>
        <w:spacing w:before="60" w:after="120"/>
        <w:jc w:val="center"/>
        <w:rPr/>
      </w:pPr>
      <w:r>
        <w:rPr/>
        <w:t> </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ASSEMBLY BIOSCIENCES, INC.</w:t>
      </w:r>
    </w:p>
    <w:p>
      <w:pPr>
        <w:pStyle w:val="TextBody"/>
        <w:spacing w:before="0" w:after="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(Exact name of Registrant as specified in its charter)</w:t>
      </w:r>
    </w:p>
    <w:p>
      <w:pPr>
        <w:pStyle w:val="TextBody"/>
        <w:spacing w:before="0" w:after="0"/>
        <w:jc w:val="both"/>
        <w:rPr/>
      </w:pPr>
      <w:r>
        <w:rPr/>
        <w:t> </w:t>
      </w:r>
    </w:p>
    <w:tbl>
      <w:tblPr>
        <w:tblW w:w="4720" w:type="dxa"/>
        <w:jc w:val="left"/>
        <w:tblInd w:w="0" w:type="dxa"/>
        <w:tblCellMar>
          <w:top w:w="0" w:type="dxa"/>
          <w:left w:w="0" w:type="dxa"/>
          <w:bottom w:w="0" w:type="dxa"/>
          <w:right w:w="0" w:type="dxa"/>
        </w:tblCellMar>
      </w:tblPr>
      <w:tblGrid>
        <w:gridCol w:w="2135"/>
        <w:gridCol w:w="2585"/>
      </w:tblGrid>
      <w:tr>
        <w:trPr/>
        <w:tc>
          <w:tcPr>
            <w:tcW w:w="2135" w:type="dxa"/>
            <w:tcBorders/>
            <w:shd w:fill="auto" w:val="clear"/>
          </w:tcPr>
          <w:p>
            <w:pPr>
              <w:pStyle w:val="TableContents"/>
              <w:spacing w:before="0" w:after="0"/>
              <w:ind w:left="0"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Delaware</w:t>
            </w:r>
          </w:p>
        </w:tc>
        <w:tc>
          <w:tcPr>
            <w:tcW w:w="2585" w:type="dxa"/>
            <w:tcBorders/>
            <w:shd w:fill="auto" w:val="clear"/>
          </w:tcPr>
          <w:p>
            <w:pPr>
              <w:pStyle w:val="TableContents"/>
              <w:spacing w:before="0" w:after="0"/>
              <w:ind w:left="0"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20-8729264</w:t>
            </w:r>
          </w:p>
        </w:tc>
      </w:tr>
      <w:tr>
        <w:trPr/>
        <w:tc>
          <w:tcPr>
            <w:tcW w:w="21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(State or other jurisdiction of</w:t>
            </w:r>
          </w:p>
        </w:tc>
        <w:tc>
          <w:tcPr>
            <w:tcW w:w="258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(I.R.S. Employer Identification No.)</w:t>
            </w:r>
          </w:p>
        </w:tc>
      </w:tr>
      <w:tr>
        <w:trPr/>
        <w:tc>
          <w:tcPr>
            <w:tcW w:w="213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incorporation or organization)</w:t>
            </w:r>
          </w:p>
        </w:tc>
        <w:tc>
          <w:tcPr>
            <w:tcW w:w="2585" w:type="dxa"/>
            <w:tcBorders/>
            <w:shd w:fill="auto" w:val="clear"/>
          </w:tcPr>
          <w:p>
            <w:pPr>
              <w:pStyle w:val="TableContents"/>
              <w:spacing w:before="0" w:after="0"/>
              <w:ind w:left="0" w:right="0" w:hanging="0"/>
              <w:rPr/>
            </w:pPr>
            <w:r>
              <w:rPr/>
              <w:t> </w:t>
            </w:r>
          </w:p>
        </w:tc>
      </w:tr>
    </w:tbl>
    <w:p>
      <w:pPr>
        <w:pStyle w:val="TextBody"/>
        <w:spacing w:before="0" w:after="0"/>
        <w:jc w:val="both"/>
        <w:rPr/>
      </w:pPr>
      <w:r>
        <w:rPr/>
        <w:t> </w:t>
      </w:r>
    </w:p>
    <w:tbl>
      <w:tblPr>
        <w:tblW w:w="3550" w:type="dxa"/>
        <w:jc w:val="left"/>
        <w:tblInd w:w="0" w:type="dxa"/>
        <w:tblCellMar>
          <w:top w:w="0" w:type="dxa"/>
          <w:left w:w="0" w:type="dxa"/>
          <w:bottom w:w="0" w:type="dxa"/>
          <w:right w:w="0" w:type="dxa"/>
        </w:tblCellMar>
      </w:tblPr>
      <w:tblGrid>
        <w:gridCol w:w="2825"/>
        <w:gridCol w:w="725"/>
      </w:tblGrid>
      <w:tr>
        <w:trPr/>
        <w:tc>
          <w:tcPr>
            <w:tcW w:w="2825" w:type="dxa"/>
            <w:tcBorders/>
            <w:shd w:fill="auto" w:val="clear"/>
          </w:tcPr>
          <w:p>
            <w:pPr>
              <w:pStyle w:val="TableContents"/>
              <w:spacing w:before="0" w:after="0"/>
              <w:ind w:left="0"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331 Oyster Point Blvd., Fourth Floor</w:t>
            </w:r>
          </w:p>
        </w:tc>
        <w:tc>
          <w:tcPr>
            <w:tcW w:w="725" w:type="dxa"/>
            <w:tcBorders/>
            <w:shd w:fill="auto" w:val="clear"/>
          </w:tcPr>
          <w:p>
            <w:pPr>
              <w:pStyle w:val="TableContents"/>
              <w:spacing w:before="0" w:after="0"/>
              <w:ind w:left="0" w:right="0" w:hanging="0"/>
              <w:jc w:val="center"/>
              <w:rPr>
                <w:caps w:val="false"/>
                <w:smallCaps w:val="false"/>
              </w:rPr>
            </w:pPr>
            <w:r>
              <w:rPr>
                <w:caps w:val="false"/>
                <w:smallCaps w:val="false"/>
              </w:rPr>
              <w:t> </w:t>
            </w:r>
          </w:p>
        </w:tc>
      </w:tr>
      <w:tr>
        <w:trPr/>
        <w:tc>
          <w:tcPr>
            <w:tcW w:w="2825" w:type="dxa"/>
            <w:tcBorders/>
            <w:shd w:fill="auto" w:val="clear"/>
          </w:tcPr>
          <w:p>
            <w:pPr>
              <w:pStyle w:val="TableContents"/>
              <w:spacing w:before="0" w:after="0"/>
              <w:ind w:left="0"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South San Francisco, California</w:t>
            </w:r>
          </w:p>
        </w:tc>
        <w:tc>
          <w:tcPr>
            <w:tcW w:w="725" w:type="dxa"/>
            <w:tcBorders/>
            <w:shd w:fill="auto" w:val="clear"/>
          </w:tcPr>
          <w:p>
            <w:pPr>
              <w:pStyle w:val="TableContents"/>
              <w:spacing w:before="0" w:after="0"/>
              <w:ind w:left="0"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94080</w:t>
            </w:r>
          </w:p>
        </w:tc>
      </w:tr>
      <w:tr>
        <w:trPr/>
        <w:tc>
          <w:tcPr>
            <w:tcW w:w="282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(Address of principal executive offices)</w:t>
            </w:r>
          </w:p>
        </w:tc>
        <w:tc>
          <w:tcPr>
            <w:tcW w:w="725"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(zip code)</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(833) 509-4583</w:t>
      </w:r>
    </w:p>
    <w:p>
      <w:pPr>
        <w:pStyle w:val="TextBody"/>
        <w:spacing w:before="0" w:after="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(Registrant’s telephone number, including area code)</w:t>
      </w:r>
    </w:p>
    <w:p>
      <w:pPr>
        <w:pStyle w:val="TextBody"/>
        <w:pBdr>
          <w:bottom w:val="single" w:sz="6" w:space="1" w:color="000000"/>
        </w:pBdr>
        <w:spacing w:before="0" w:after="120"/>
        <w:jc w:val="center"/>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Securities registered pursuant to Section 12(b) of the Act:</w:t>
      </w:r>
    </w:p>
    <w:p>
      <w:pPr>
        <w:pStyle w:val="TextBody"/>
        <w:spacing w:before="0" w:after="0"/>
        <w:jc w:val="both"/>
        <w:rPr/>
      </w:pPr>
      <w:r>
        <w:rPr/>
        <w:t> </w:t>
      </w:r>
    </w:p>
    <w:tbl>
      <w:tblPr>
        <w:tblW w:w="6840" w:type="dxa"/>
        <w:jc w:val="left"/>
        <w:tblInd w:w="0" w:type="dxa"/>
        <w:tblCellMar>
          <w:top w:w="28" w:type="dxa"/>
          <w:left w:w="28" w:type="dxa"/>
          <w:bottom w:w="28" w:type="dxa"/>
          <w:right w:w="28" w:type="dxa"/>
        </w:tblCellMar>
      </w:tblPr>
      <w:tblGrid>
        <w:gridCol w:w="2405"/>
        <w:gridCol w:w="1340"/>
        <w:gridCol w:w="3095"/>
      </w:tblGrid>
      <w:tr>
        <w:trPr/>
        <w:tc>
          <w:tcPr>
            <w:tcW w:w="2405" w:type="dxa"/>
            <w:tcBorders>
              <w:top w:val="single" w:sz="8" w:space="0" w:color="000000"/>
              <w:left w:val="single" w:sz="8" w:space="0" w:color="000000"/>
              <w:bottom w:val="single" w:sz="8" w:space="0" w:color="000000"/>
              <w:right w:val="single" w:sz="8" w:space="0" w:color="000000"/>
            </w:tcBorders>
            <w:shd w:fill="auto" w:val="clear"/>
            <w:vAlign w:val="bottom"/>
          </w:tcPr>
          <w:p>
            <w:pPr>
              <w:pStyle w:val="TableContents"/>
              <w:spacing w:before="4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Title of each class</w:t>
            </w:r>
          </w:p>
        </w:tc>
        <w:tc>
          <w:tcPr>
            <w:tcW w:w="1340"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4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Trading Symbol(s)</w:t>
            </w:r>
          </w:p>
        </w:tc>
        <w:tc>
          <w:tcPr>
            <w:tcW w:w="3095"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4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Name of each exchange on which registered</w:t>
            </w:r>
          </w:p>
        </w:tc>
      </w:tr>
      <w:tr>
        <w:trPr/>
        <w:tc>
          <w:tcPr>
            <w:tcW w:w="2405" w:type="dxa"/>
            <w:tcBorders>
              <w:left w:val="single" w:sz="8" w:space="0" w:color="000000"/>
              <w:bottom w:val="single" w:sz="8" w:space="0" w:color="000000"/>
              <w:right w:val="single" w:sz="8" w:space="0" w:color="000000"/>
            </w:tcBorders>
            <w:shd w:fill="auto" w:val="clear"/>
            <w:tcMar>
              <w:top w:w="0" w:type="dxa"/>
            </w:tcMar>
            <w:vAlign w:val="bottom"/>
          </w:tcPr>
          <w:p>
            <w:pPr>
              <w:pStyle w:val="TableContents"/>
              <w:spacing w:before="4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Common Stock, par value $0.001</w:t>
            </w:r>
          </w:p>
        </w:tc>
        <w:tc>
          <w:tcPr>
            <w:tcW w:w="1340" w:type="dxa"/>
            <w:tcBorders>
              <w:bottom w:val="single" w:sz="8" w:space="0" w:color="000000"/>
              <w:right w:val="single" w:sz="8" w:space="0" w:color="000000"/>
            </w:tcBorders>
            <w:shd w:fill="auto" w:val="clear"/>
            <w:tcMar>
              <w:top w:w="0" w:type="dxa"/>
              <w:left w:w="0" w:type="dxa"/>
            </w:tcMar>
            <w:vAlign w:val="bottom"/>
          </w:tcPr>
          <w:p>
            <w:pPr>
              <w:pStyle w:val="TableContents"/>
              <w:spacing w:before="4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ASMB</w:t>
            </w:r>
          </w:p>
        </w:tc>
        <w:tc>
          <w:tcPr>
            <w:tcW w:w="3095" w:type="dxa"/>
            <w:tcBorders>
              <w:bottom w:val="single" w:sz="8" w:space="0" w:color="000000"/>
              <w:right w:val="single" w:sz="8" w:space="0" w:color="000000"/>
            </w:tcBorders>
            <w:shd w:fill="auto" w:val="clear"/>
            <w:tcMar>
              <w:top w:w="0" w:type="dxa"/>
              <w:left w:w="0" w:type="dxa"/>
            </w:tcMar>
            <w:vAlign w:val="bottom"/>
          </w:tcPr>
          <w:p>
            <w:pPr>
              <w:pStyle w:val="TableContents"/>
              <w:spacing w:before="4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The Nasdaq Global Select Market</w:t>
            </w:r>
          </w:p>
        </w:tc>
      </w:tr>
    </w:tbl>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both"/>
        <w:rPr/>
      </w:pPr>
      <w:r>
        <w:rPr/>
        <w:t> </w:t>
      </w:r>
    </w:p>
    <w:tbl>
      <w:tblPr>
        <w:tblW w:w="4520" w:type="dxa"/>
        <w:jc w:val="left"/>
        <w:tblInd w:w="0" w:type="dxa"/>
        <w:tblCellMar>
          <w:top w:w="0" w:type="dxa"/>
          <w:left w:w="0" w:type="dxa"/>
          <w:bottom w:w="0" w:type="dxa"/>
          <w:right w:w="0" w:type="dxa"/>
        </w:tblCellMar>
      </w:tblPr>
      <w:tblGrid>
        <w:gridCol w:w="1955"/>
        <w:gridCol w:w="230"/>
        <w:gridCol w:w="60"/>
        <w:gridCol w:w="2045"/>
        <w:gridCol w:w="230"/>
      </w:tblGrid>
      <w:tr>
        <w:trPr/>
        <w:tc>
          <w:tcPr>
            <w:tcW w:w="1955" w:type="dxa"/>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Large 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0"/>
              <w:ind w:left="0" w:right="0" w:hanging="0"/>
              <w:rPr/>
            </w:pPr>
            <w:r>
              <w:rPr/>
              <w:t> </w:t>
            </w:r>
          </w:p>
        </w:tc>
        <w:tc>
          <w:tcPr>
            <w:tcW w:w="2045" w:type="dxa"/>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955" w:type="dxa"/>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Non-accelerated Filer</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0"/>
              <w:ind w:left="0" w:right="0" w:hanging="0"/>
              <w:rPr/>
            </w:pPr>
            <w:r>
              <w:rPr/>
              <w:t> </w:t>
            </w:r>
          </w:p>
        </w:tc>
        <w:tc>
          <w:tcPr>
            <w:tcW w:w="2045" w:type="dxa"/>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Smaller Reporting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r>
      <w:tr>
        <w:trPr/>
        <w:tc>
          <w:tcPr>
            <w:tcW w:w="1955" w:type="dxa"/>
            <w:tcBorders/>
            <w:shd w:fill="auto" w:val="clear"/>
            <w:vAlign w:val="cente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Emerging growth company</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0" w:type="dxa"/>
            <w:tcBorders/>
            <w:shd w:fill="auto" w:val="clear"/>
            <w:vAlign w:val="center"/>
          </w:tcPr>
          <w:p>
            <w:pPr>
              <w:pStyle w:val="TableContents"/>
              <w:spacing w:before="0" w:after="0"/>
              <w:ind w:left="0" w:right="0" w:hanging="0"/>
              <w:rPr/>
            </w:pPr>
            <w:r>
              <w:rPr/>
              <w:t> </w:t>
            </w:r>
          </w:p>
        </w:tc>
        <w:tc>
          <w:tcPr>
            <w:tcW w:w="2275" w:type="dxa"/>
            <w:gridSpan w:val="2"/>
            <w:tcBorders/>
            <w:shd w:fill="auto" w:val="clear"/>
            <w:vAlign w:val="cente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shell company (as defined in Rule 12b-2 of the Exchange Act). Yes  ☐     No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As of May 9, 2022, there were 48,216,473 shares of the registrant’s common stock outstanding.</w:t>
      </w:r>
    </w:p>
    <w:p>
      <w:pPr>
        <w:pStyle w:val="TextBody"/>
        <w:pBdr>
          <w:bottom w:val="double" w:sz="6" w:space="1" w:color="000000"/>
        </w:pBdr>
        <w:spacing w:before="0" w:after="0"/>
        <w:jc w:val="both"/>
        <w:rPr/>
      </w:pPr>
      <w:r>
        <w:rPr/>
        <w:t> </w:t>
      </w:r>
    </w:p>
    <w:p>
      <w:pPr>
        <w:pStyle w:val="TextBody"/>
        <w:spacing w:before="0" w:after="0"/>
        <w:jc w:val="both"/>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Index</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679"/>
        <w:gridCol w:w="8920"/>
        <w:gridCol w:w="606"/>
      </w:tblGrid>
      <w:tr>
        <w:trPr/>
        <w:tc>
          <w:tcPr>
            <w:tcW w:w="679" w:type="dxa"/>
            <w:tcBorders>
              <w:bottom w:val="single" w:sz="6" w:space="0" w:color="000000"/>
            </w:tcBorders>
            <w:shd w:fill="auto" w:val="clear"/>
            <w:vAlign w:val="bottom"/>
          </w:tcPr>
          <w:p>
            <w:pPr>
              <w:pStyle w:val="TableContents"/>
              <w:spacing w:before="0" w:after="80"/>
              <w:ind w:left="0" w:right="0" w:hanging="0"/>
              <w:rPr/>
            </w:pPr>
            <w:r>
              <w:rPr/>
              <w:t> </w:t>
            </w:r>
          </w:p>
        </w:tc>
        <w:tc>
          <w:tcPr>
            <w:tcW w:w="8920" w:type="dxa"/>
            <w:tcBorders>
              <w:bottom w:val="single" w:sz="6" w:space="0" w:color="000000"/>
            </w:tcBorders>
            <w:shd w:fill="auto" w:val="clear"/>
            <w:vAlign w:val="bottom"/>
          </w:tcPr>
          <w:p>
            <w:pPr>
              <w:pStyle w:val="TableContents"/>
              <w:spacing w:before="0" w:after="80"/>
              <w:ind w:left="0" w:right="0" w:hanging="0"/>
              <w:rPr/>
            </w:pPr>
            <w:r>
              <w:rPr/>
              <w:t> </w:t>
            </w:r>
          </w:p>
        </w:tc>
        <w:tc>
          <w:tcPr>
            <w:tcW w:w="606" w:type="dxa"/>
            <w:tcBorders>
              <w:bottom w:val="single" w:sz="6" w:space="0" w:color="000000"/>
            </w:tcBorders>
            <w:shd w:fill="auto" w:val="clear"/>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Page</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top w:val="single" w:sz="6" w:space="0" w:color="000000"/>
            </w:tcBorders>
            <w:shd w:fill="auto" w:val="clear"/>
            <w:tcMar>
              <w:top w:w="28" w:type="dxa"/>
              <w:bottom w:w="0" w:type="dxa"/>
            </w:tcMar>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PART I:</w:t>
            </w:r>
          </w:p>
        </w:tc>
        <w:tc>
          <w:tcPr>
            <w:tcW w:w="8920" w:type="dxa"/>
            <w:tcBorders/>
            <w:shd w:fill="auto" w:val="clear"/>
            <w:tcMar>
              <w:bottom w:w="0" w:type="dxa"/>
            </w:tcMar>
            <w:vAlign w:val="bottom"/>
          </w:tcPr>
          <w:p>
            <w:pPr>
              <w:pStyle w:val="TableContents"/>
              <w:spacing w:before="0" w:after="0"/>
              <w:ind w:left="0" w:right="0" w:hanging="0"/>
              <w:rPr/>
            </w:pPr>
            <w:hyperlink w:anchor="PART_I_FINANCIAL_INFORMATION">
              <w:r>
                <w:rPr>
                  <w:rStyle w:val="InternetLink"/>
                  <w:rFonts w:ascii="Times New Roman" w:hAnsi="Times New Roman"/>
                  <w:b w:val="false"/>
                  <w:i w:val="false"/>
                  <w:caps w:val="false"/>
                  <w:smallCaps w:val="false"/>
                  <w:sz w:val="20"/>
                  <w:u w:val="single"/>
                </w:rPr>
                <w:t>FINANCIAL INFORMATION</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8920" w:type="dxa"/>
            <w:tcBorders/>
            <w:shd w:fill="auto" w:val="clear"/>
            <w:tcMar>
              <w:bottom w:w="0" w:type="dxa"/>
            </w:tcMar>
            <w:vAlign w:val="bottom"/>
          </w:tcPr>
          <w:p>
            <w:pPr>
              <w:pStyle w:val="TableContents"/>
              <w:spacing w:before="0" w:after="0"/>
              <w:ind w:left="0" w:right="0" w:hanging="0"/>
              <w:rPr/>
            </w:pPr>
            <w:hyperlink w:anchor="ITEM_1_FINANCIAL_STATEMENTS">
              <w:r>
                <w:rPr>
                  <w:rStyle w:val="InternetLink"/>
                  <w:rFonts w:ascii="Times New Roman" w:hAnsi="Times New Roman"/>
                  <w:b w:val="false"/>
                  <w:i w:val="false"/>
                  <w:caps w:val="false"/>
                  <w:smallCaps w:val="false"/>
                  <w:sz w:val="20"/>
                  <w:u w:val="single"/>
                </w:rPr>
                <w:t>Financial Statements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hyperlink w:anchor="CONDENSED_CONSOLIDATED_BALANCE_SHEETS">
              <w:r>
                <w:rPr>
                  <w:rStyle w:val="InternetLink"/>
                  <w:rFonts w:ascii="Times New Roman" w:hAnsi="Times New Roman"/>
                  <w:b w:val="false"/>
                  <w:i w:val="false"/>
                  <w:caps w:val="false"/>
                  <w:smallCaps w:val="false"/>
                  <w:sz w:val="20"/>
                  <w:u w:val="single"/>
                </w:rPr>
                <w:t>Condensed Consolidated Balance Sheets at March 31, 2022 (unaudited) and December 31, 2021</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hyperlink w:anchor="CONDENSED_CONSOLIDATED_STATEMENTS_OPERAT">
              <w:r>
                <w:rPr>
                  <w:rStyle w:val="InternetLink"/>
                  <w:rFonts w:ascii="Times New Roman" w:hAnsi="Times New Roman"/>
                  <w:b w:val="false"/>
                  <w:i w:val="false"/>
                  <w:caps w:val="false"/>
                  <w:smallCaps w:val="false"/>
                  <w:sz w:val="20"/>
                  <w:u w:val="single"/>
                </w:rPr>
                <w:t>Condensed Consolidated Statements of Operations and Comprehensive Loss for the Three Months Ended March 31, 2022 and 2021 (unaudited)</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hyperlink w:anchor="CONDENSED_CONSOLIDATED_STATEMENTS_CHANGE">
              <w:r>
                <w:rPr>
                  <w:rStyle w:val="InternetLink"/>
                  <w:rFonts w:ascii="Times New Roman" w:hAnsi="Times New Roman"/>
                  <w:b w:val="false"/>
                  <w:i w:val="false"/>
                  <w:caps w:val="false"/>
                  <w:smallCaps w:val="false"/>
                  <w:sz w:val="20"/>
                  <w:u w:val="single"/>
                </w:rPr>
                <w:t>Condensed Consolidated Statements of Changes in Stockholders’ Equity for the Three Months Ended March 31, 2022 and 2021 (unaudited)</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hyperlink w:anchor="CONDENSED_CONSOLIDATED_STATEMENTS_CASH_F">
              <w:r>
                <w:rPr>
                  <w:rStyle w:val="InternetLink"/>
                  <w:rFonts w:ascii="Times New Roman" w:hAnsi="Times New Roman"/>
                  <w:b w:val="false"/>
                  <w:i w:val="false"/>
                  <w:caps w:val="false"/>
                  <w:smallCaps w:val="false"/>
                  <w:sz w:val="20"/>
                  <w:u w:val="single"/>
                </w:rPr>
                <w:t>Condensed Consolidated Statements of Cash Flows for the Three Months Ended March 31, 2022 and 2021 (unaudited)</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72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hyperlink w:anchor="NOTES_TO_CONDENSED_CONSOLIDATED_FINANCIA">
              <w:r>
                <w:rPr>
                  <w:rStyle w:val="InternetLink"/>
                  <w:rFonts w:ascii="Times New Roman" w:hAnsi="Times New Roman"/>
                  <w:b w:val="false"/>
                  <w:i w:val="false"/>
                  <w:caps w:val="false"/>
                  <w:smallCaps w:val="false"/>
                  <w:sz w:val="20"/>
                  <w:u w:val="single"/>
                </w:rPr>
                <w:t>Notes to the Condensed Consolidated Financial Statements (unaudited)</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8920" w:type="dxa"/>
            <w:tcBorders/>
            <w:shd w:fill="auto" w:val="clear"/>
            <w:tcMar>
              <w:bottom w:w="0" w:type="dxa"/>
            </w:tcMar>
            <w:vAlign w:val="bottom"/>
          </w:tcPr>
          <w:p>
            <w:pPr>
              <w:pStyle w:val="TableContents"/>
              <w:spacing w:before="0" w:after="0"/>
              <w:ind w:left="0" w:right="0" w:hanging="0"/>
              <w:rPr/>
            </w:pPr>
            <w:hyperlink w:anchor="ITEM_2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8920" w:type="dxa"/>
            <w:tcBorders/>
            <w:shd w:fill="auto" w:val="clear"/>
            <w:tcMar>
              <w:bottom w:w="0" w:type="dxa"/>
            </w:tcMar>
            <w:vAlign w:val="bottom"/>
          </w:tcPr>
          <w:p>
            <w:pPr>
              <w:pStyle w:val="TableContents"/>
              <w:spacing w:before="0" w:after="0"/>
              <w:ind w:left="0" w:right="0" w:hanging="0"/>
              <w:rPr/>
            </w:pPr>
            <w:hyperlink w:anchor="ITEM_3_QUANTITATIVE_QUALITATIVE_DISCLOSU">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8920" w:type="dxa"/>
            <w:tcBorders/>
            <w:shd w:fill="auto" w:val="clear"/>
            <w:tcMar>
              <w:bottom w:w="0" w:type="dxa"/>
            </w:tcMar>
            <w:vAlign w:val="bottom"/>
          </w:tcPr>
          <w:p>
            <w:pPr>
              <w:pStyle w:val="TableContents"/>
              <w:spacing w:before="0" w:after="0"/>
              <w:ind w:left="0" w:right="0" w:hanging="0"/>
              <w:rPr/>
            </w:pPr>
            <w:hyperlink w:anchor="ITEM_4_CONTROLS_PROCEDURES">
              <w:r>
                <w:rPr>
                  <w:rStyle w:val="InternetLink"/>
                  <w:rFonts w:ascii="Times New Roman" w:hAnsi="Times New Roman"/>
                  <w:b w:val="false"/>
                  <w:i w:val="false"/>
                  <w:caps w:val="false"/>
                  <w:smallCaps w:val="false"/>
                  <w:sz w:val="20"/>
                  <w:u w:val="single"/>
                </w:rPr>
                <w:t>Controls and Procedures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PART II:</w:t>
            </w:r>
          </w:p>
        </w:tc>
        <w:tc>
          <w:tcPr>
            <w:tcW w:w="8920" w:type="dxa"/>
            <w:tcBorders/>
            <w:shd w:fill="auto" w:val="clear"/>
            <w:tcMar>
              <w:bottom w:w="0" w:type="dxa"/>
            </w:tcMar>
            <w:vAlign w:val="bottom"/>
          </w:tcPr>
          <w:p>
            <w:pPr>
              <w:pStyle w:val="TableContents"/>
              <w:spacing w:before="0" w:after="0"/>
              <w:ind w:left="0" w:right="0" w:hanging="0"/>
              <w:rPr/>
            </w:pPr>
            <w:hyperlink w:anchor="PART_II_OR_INFORMATION">
              <w:r>
                <w:rPr>
                  <w:rStyle w:val="InternetLink"/>
                  <w:rFonts w:ascii="Times New Roman" w:hAnsi="Times New Roman"/>
                  <w:b w:val="false"/>
                  <w:i w:val="false"/>
                  <w:caps w:val="false"/>
                  <w:smallCaps w:val="false"/>
                  <w:sz w:val="20"/>
                  <w:u w:val="single"/>
                </w:rPr>
                <w:t>OTHER INFORMATION</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8920" w:type="dxa"/>
            <w:tcBorders/>
            <w:shd w:fill="auto" w:val="clear"/>
            <w:tcMar>
              <w:bottom w:w="0" w:type="dxa"/>
            </w:tcMar>
            <w:vAlign w:val="bottom"/>
          </w:tcPr>
          <w:p>
            <w:pPr>
              <w:pStyle w:val="TableContents"/>
              <w:spacing w:before="0" w:after="0"/>
              <w:ind w:left="0" w:right="0" w:hanging="0"/>
              <w:rPr/>
            </w:pPr>
            <w:hyperlink w:anchor="ITEM_1_LEGAL_PROCEEDINGS">
              <w:r>
                <w:rPr>
                  <w:rStyle w:val="InternetLink"/>
                  <w:rFonts w:ascii="Times New Roman" w:hAnsi="Times New Roman"/>
                  <w:b w:val="false"/>
                  <w:i w:val="false"/>
                  <w:caps w:val="false"/>
                  <w:smallCaps w:val="false"/>
                  <w:sz w:val="20"/>
                  <w:u w:val="single"/>
                </w:rPr>
                <w:t>Legal Proceedings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8920" w:type="dxa"/>
            <w:tcBorders/>
            <w:shd w:fill="auto" w:val="clear"/>
            <w:tcMar>
              <w:bottom w:w="0" w:type="dxa"/>
            </w:tcMar>
            <w:vAlign w:val="bottom"/>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8920" w:type="dxa"/>
            <w:tcBorders/>
            <w:shd w:fill="auto" w:val="clear"/>
            <w:tcMar>
              <w:bottom w:w="0" w:type="dxa"/>
            </w:tcMar>
            <w:vAlign w:val="bottom"/>
          </w:tcPr>
          <w:p>
            <w:pPr>
              <w:pStyle w:val="TableContents"/>
              <w:spacing w:before="0" w:after="0"/>
              <w:ind w:left="0" w:right="0" w:hanging="0"/>
              <w:rPr/>
            </w:pPr>
            <w:hyperlink w:anchor="ITEM_2_UNREGISTERED_SALES_EQUITY_SECURIT">
              <w:r>
                <w:rPr>
                  <w:rStyle w:val="InternetLink"/>
                  <w:rFonts w:ascii="Times New Roman" w:hAnsi="Times New Roman"/>
                  <w:b w:val="false"/>
                  <w:i w:val="false"/>
                  <w:caps w:val="false"/>
                  <w:smallCaps w:val="false"/>
                  <w:sz w:val="20"/>
                  <w:u w:val="single"/>
                </w:rPr>
                <w:t>Unregistered Sales of Equity Securities and Use of Proceeds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8920" w:type="dxa"/>
            <w:tcBorders/>
            <w:shd w:fill="auto" w:val="clear"/>
            <w:tcMar>
              <w:bottom w:w="0" w:type="dxa"/>
            </w:tcMar>
            <w:vAlign w:val="bottom"/>
          </w:tcPr>
          <w:p>
            <w:pPr>
              <w:pStyle w:val="TableContents"/>
              <w:spacing w:before="0" w:after="0"/>
              <w:ind w:left="0" w:right="0" w:hanging="0"/>
              <w:rPr/>
            </w:pPr>
            <w:hyperlink w:anchor="ITEM_3_DEFAULTS_UPON_SENIOR_SECURITIES">
              <w:r>
                <w:rPr>
                  <w:rStyle w:val="InternetLink"/>
                  <w:rFonts w:ascii="Times New Roman" w:hAnsi="Times New Roman"/>
                  <w:b w:val="false"/>
                  <w:i w:val="false"/>
                  <w:caps w:val="false"/>
                  <w:smallCaps w:val="false"/>
                  <w:sz w:val="20"/>
                  <w:u w:val="single"/>
                </w:rPr>
                <w:t>Defaults Upon Senior Securities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8920" w:type="dxa"/>
            <w:tcBorders/>
            <w:shd w:fill="auto" w:val="clear"/>
            <w:tcMar>
              <w:bottom w:w="0" w:type="dxa"/>
            </w:tcMar>
            <w:vAlign w:val="bottom"/>
          </w:tcPr>
          <w:p>
            <w:pPr>
              <w:pStyle w:val="TableContents"/>
              <w:spacing w:before="0" w:after="0"/>
              <w:ind w:left="0" w:right="0" w:hanging="0"/>
              <w:rPr/>
            </w:pPr>
            <w:hyperlink w:anchor="ITEM_4_MINE_SAFETY_DISCLOSURES">
              <w:r>
                <w:rPr>
                  <w:rStyle w:val="InternetLink"/>
                  <w:rFonts w:ascii="Times New Roman" w:hAnsi="Times New Roman"/>
                  <w:b w:val="false"/>
                  <w:i w:val="false"/>
                  <w:caps w:val="false"/>
                  <w:smallCaps w:val="false"/>
                  <w:sz w:val="20"/>
                  <w:u w:val="single"/>
                </w:rPr>
                <w:t>Mine Safety Disclosures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8920" w:type="dxa"/>
            <w:tcBorders/>
            <w:shd w:fill="auto" w:val="clear"/>
            <w:tcMar>
              <w:bottom w:w="0" w:type="dxa"/>
            </w:tcMar>
            <w:vAlign w:val="bottom"/>
          </w:tcPr>
          <w:p>
            <w:pPr>
              <w:pStyle w:val="TableContents"/>
              <w:spacing w:before="0" w:after="0"/>
              <w:ind w:left="0" w:right="0" w:hanging="0"/>
              <w:rPr/>
            </w:pPr>
            <w:hyperlink w:anchor="ITEM_5_OR_INFORMATION">
              <w:r>
                <w:rPr>
                  <w:rStyle w:val="InternetLink"/>
                  <w:rFonts w:ascii="Times New Roman" w:hAnsi="Times New Roman"/>
                  <w:b w:val="false"/>
                  <w:i w:val="false"/>
                  <w:caps w:val="false"/>
                  <w:smallCaps w:val="false"/>
                  <w:sz w:val="20"/>
                  <w:u w:val="single"/>
                </w:rPr>
                <w:t>Other Information</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tc>
      </w:tr>
      <w:tr>
        <w:trPr/>
        <w:tc>
          <w:tcPr>
            <w:tcW w:w="679" w:type="dxa"/>
            <w:tcBorders/>
            <w:shd w:fill="auto" w:val="clear"/>
            <w:tcMar>
              <w:bottom w:w="0" w:type="dxa"/>
            </w:tcMar>
            <w:vAlign w:val="bottom"/>
          </w:tcPr>
          <w:p>
            <w:pPr>
              <w:pStyle w:val="TableContents"/>
              <w:spacing w:before="0" w:after="0"/>
              <w:ind w:left="0" w:right="0" w:hanging="0"/>
              <w:rPr/>
            </w:pPr>
            <w:r>
              <w:rPr/>
              <w:t> </w:t>
            </w:r>
          </w:p>
        </w:tc>
        <w:tc>
          <w:tcPr>
            <w:tcW w:w="8920" w:type="dxa"/>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679"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8920" w:type="dxa"/>
            <w:tcBorders/>
            <w:shd w:fill="auto" w:val="clear"/>
            <w:tcMar>
              <w:bottom w:w="0" w:type="dxa"/>
            </w:tcMar>
            <w:vAlign w:val="bottom"/>
          </w:tcPr>
          <w:p>
            <w:pPr>
              <w:pStyle w:val="TableContents"/>
              <w:spacing w:before="0" w:after="0"/>
              <w:ind w:left="0" w:right="0" w:hanging="0"/>
              <w:rPr/>
            </w:pPr>
            <w:hyperlink w:anchor="ITEM_5_OR_INFORMATION">
              <w:r>
                <w:rPr>
                  <w:rStyle w:val="InternetLink"/>
                  <w:rFonts w:ascii="Times New Roman" w:hAnsi="Times New Roman"/>
                  <w:b w:val="false"/>
                  <w:i w:val="false"/>
                  <w:caps w:val="false"/>
                  <w:smallCaps w:val="false"/>
                  <w:sz w:val="20"/>
                  <w:u w:val="single"/>
                </w:rPr>
                <w:t>Exhibits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tc>
      </w:tr>
      <w:tr>
        <w:trPr/>
        <w:tc>
          <w:tcPr>
            <w:tcW w:w="9599" w:type="dxa"/>
            <w:gridSpan w:val="2"/>
            <w:tcBorders/>
            <w:shd w:fill="auto" w:val="clear"/>
            <w:tcMar>
              <w:bottom w:w="0" w:type="dxa"/>
            </w:tcMar>
            <w:vAlign w:val="bottom"/>
          </w:tcPr>
          <w:p>
            <w:pPr>
              <w:pStyle w:val="TableContents"/>
              <w:spacing w:before="0" w:after="0"/>
              <w:ind w:left="0" w:right="0" w:hanging="0"/>
              <w:rPr/>
            </w:pPr>
            <w:r>
              <w:rPr/>
              <w:t> </w:t>
            </w:r>
          </w:p>
        </w:tc>
        <w:tc>
          <w:tcPr>
            <w:tcW w:w="606" w:type="dxa"/>
            <w:tcBorders/>
            <w:shd w:fill="auto" w:val="clear"/>
            <w:tcMar>
              <w:bottom w:w="0" w:type="dxa"/>
            </w:tcMar>
            <w:vAlign w:val="bottom"/>
          </w:tcPr>
          <w:p>
            <w:pPr>
              <w:pStyle w:val="TableContents"/>
              <w:spacing w:before="0" w:after="0"/>
              <w:ind w:left="0" w:right="0" w:hanging="0"/>
              <w:jc w:val="right"/>
              <w:rPr/>
            </w:pPr>
            <w:r>
              <w:rPr/>
              <w:t> </w:t>
            </w:r>
          </w:p>
        </w:tc>
      </w:tr>
      <w:tr>
        <w:trPr/>
        <w:tc>
          <w:tcPr>
            <w:tcW w:w="9599" w:type="dxa"/>
            <w:gridSpan w:val="2"/>
            <w:tcBorders/>
            <w:shd w:fill="auto" w:val="clear"/>
            <w:tcMar>
              <w:bottom w:w="0" w:type="dxa"/>
            </w:tcMar>
            <w:vAlign w:val="bottom"/>
          </w:tcPr>
          <w:p>
            <w:pPr>
              <w:pStyle w:val="TableContents"/>
              <w:spacing w:before="0" w:after="0"/>
              <w:ind w:left="0" w:right="0" w:hanging="0"/>
              <w:rPr/>
            </w:pPr>
            <w:hyperlink w:anchor="SIGNATHURE">
              <w:r>
                <w:rPr>
                  <w:rStyle w:val="InternetLink"/>
                  <w:rFonts w:ascii="Times New Roman" w:hAnsi="Times New Roman"/>
                  <w:b w:val="false"/>
                  <w:i w:val="false"/>
                  <w:caps w:val="false"/>
                  <w:smallCaps w:val="false"/>
                  <w:sz w:val="20"/>
                  <w:u w:val="single"/>
                </w:rPr>
                <w:t>SIGNATURES</w:t>
              </w:r>
            </w:hyperlink>
          </w:p>
        </w:tc>
        <w:tc>
          <w:tcPr>
            <w:tcW w:w="606" w:type="dxa"/>
            <w:tcBorders/>
            <w:shd w:fill="auto"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References to Assembly Biosciences, Inc.</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Throughout this Quarterly Report on Form 10-Q, the “Company,” “Assembly,” “we,” “us,” and “our,” except where the context requires </w:t>
      </w:r>
      <w:r>
        <w:rPr>
          <w:rFonts w:ascii="Times New Roman" w:hAnsi="Times New Roman"/>
          <w:b w:val="false"/>
          <w:i w:val="false"/>
          <w:caps w:val="false"/>
          <w:smallCaps w:val="false"/>
          <w:color w:val="000000"/>
          <w:sz w:val="20"/>
        </w:rPr>
        <w:t>otherwise, refer to Assembly Biosciences, Inc. and its consolidated subsidiaries, and “our board of directors” or “the Board” refers to the board of directors of Assembly Biosciences, Inc.</w:t>
      </w:r>
    </w:p>
    <w:p>
      <w:pPr>
        <w:pStyle w:val="TextBody"/>
        <w:spacing w:before="20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Forward-Looking Statements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Quarterly Report on Form 10-Q contains “forward-looking statements” that are subject to certain risks and uncertainties, including, without limitation, those set forth in Part I, Item 1A of our Annual Report on Form 10-K filed with the U.S. Securities and Exchanges Commission (SEC) on March 11, 2022 (2021 Annual Report) and Part II, Item 1A of this Quarterly Report on Form 10-Q under the heading “Risk Factors,” that could cause actual results to materially differ. Such risks and uncertainties include, among other things: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initiate and complete clinical trials involving our therapeutic product candidates, including studies contemplated by our clinical collaboration agreements, in the currently anticipated timeframes;</w:t>
            </w:r>
          </w:p>
        </w:tc>
      </w:tr>
    </w:tbl>
    <w:tbl>
      <w:tblPr>
        <w:tblW w:w="9010" w:type="dxa"/>
        <w:jc w:val="left"/>
        <w:tblInd w:w="0" w:type="dxa"/>
        <w:tblCellMar>
          <w:top w:w="0" w:type="dxa"/>
          <w:left w:w="0" w:type="dxa"/>
          <w:bottom w:w="0" w:type="dxa"/>
          <w:right w:w="0" w:type="dxa"/>
        </w:tblCellMar>
      </w:tblPr>
      <w:tblGrid>
        <w:gridCol w:w="60"/>
        <w:gridCol w:w="110"/>
        <w:gridCol w:w="8840"/>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8840"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safety and efficacy data from clinical studies may not warrant further development of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clinical and nonclinical data presented at conferences may not differentiate our product candidates from other companies’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results of nonclinical studies may not be representative of disease behavior in a clinical setting and may not be predictive of the outcomes of clinical studies;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continued development and commercialization of our hepatitis B virus (HBV) product candidates, if successful, in the China territory will be dependent on, and subject to, our collaboration agreement governing our HBV-related activity in the China territory;</w:t>
            </w:r>
          </w:p>
        </w:tc>
      </w:tr>
    </w:tbl>
    <w:tbl>
      <w:tblPr>
        <w:tblW w:w="9775" w:type="dxa"/>
        <w:jc w:val="left"/>
        <w:tblInd w:w="0" w:type="dxa"/>
        <w:tblCellMar>
          <w:top w:w="0" w:type="dxa"/>
          <w:left w:w="0" w:type="dxa"/>
          <w:bottom w:w="0" w:type="dxa"/>
          <w:right w:w="0" w:type="dxa"/>
        </w:tblCellMar>
      </w:tblPr>
      <w:tblGrid>
        <w:gridCol w:w="60"/>
        <w:gridCol w:w="110"/>
        <w:gridCol w:w="960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960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maintain financial resources necessary to continue our clinical studies and fund business operations;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any impact that the COVID-19 pandemic may have on our business and operations, including initiation, enrollment and continuation of our clinical studies or timing of discussions with regulatory authorities.</w:t>
            </w:r>
          </w:p>
        </w:tc>
      </w:tr>
    </w:tbl>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our ability to successfully complete, and receive favorable results in, clinical trials for our product candidates; and the expected impact of the COVID-19 pandemic on our business and operations. We intend such forward-looking statements to be covered by the safe harbor provisions contained in Section 27A of the Securities Act of 1933, as amended (the </w:t>
      </w:r>
      <w:r>
        <w:rPr>
          <w:rFonts w:ascii="Times New Roman" w:hAnsi="Times New Roman"/>
          <w:b w:val="false"/>
          <w:i w:val="false"/>
          <w:caps w:val="false"/>
          <w:smallCaps w:val="false"/>
          <w:color w:val="000000"/>
          <w:sz w:val="20"/>
        </w:rPr>
        <w:t>Securities</w:t>
      </w:r>
      <w:r>
        <w:rPr>
          <w:rFonts w:ascii="Times New Roman" w:hAnsi="Times New Roman"/>
          <w:b w:val="false"/>
          <w:i w:val="false"/>
          <w:caps w:val="false"/>
          <w:smallCaps w:val="false"/>
          <w:sz w:val="20"/>
        </w:rPr>
        <w:t xml:space="preserve">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HorizontalLine"/>
        <w:rPr/>
      </w:pPr>
      <w:r>
        <w:rPr/>
      </w:r>
    </w:p>
    <w:p>
      <w:pPr>
        <w:pStyle w:val="TextBody"/>
        <w:spacing w:before="0" w:after="0"/>
        <w:jc w:val="both"/>
        <w:rPr>
          <w:rFonts w:ascii="Times New Roman" w:hAnsi="Times New Roman"/>
          <w:b/>
          <w:i w:val="false"/>
          <w:caps w:val="false"/>
          <w:smallCaps w:val="false"/>
          <w:sz w:val="20"/>
        </w:rPr>
      </w:pPr>
      <w:bookmarkStart w:id="2" w:name="PART_I_FINANCIAL_INFORMATION"/>
      <w:bookmarkEnd w:id="2"/>
      <w:r>
        <w:rPr>
          <w:rFonts w:ascii="Times New Roman" w:hAnsi="Times New Roman"/>
          <w:b/>
          <w:i w:val="false"/>
          <w:caps w:val="false"/>
          <w:smallCaps w:val="false"/>
          <w:sz w:val="20"/>
        </w:rPr>
        <w:t>PART I - FINANCIAL INFORMATION</w:t>
      </w:r>
    </w:p>
    <w:p>
      <w:pPr>
        <w:pStyle w:val="TextBody"/>
        <w:spacing w:before="0" w:after="0"/>
        <w:jc w:val="both"/>
        <w:rPr>
          <w:rFonts w:ascii="Times New Roman" w:hAnsi="Times New Roman"/>
          <w:b/>
          <w:i w:val="false"/>
          <w:caps w:val="false"/>
          <w:smallCaps w:val="false"/>
          <w:sz w:val="20"/>
        </w:rPr>
      </w:pPr>
      <w:bookmarkStart w:id="3" w:name="ITEM_1_FINANCIAL_STATEMENTS"/>
      <w:bookmarkEnd w:id="3"/>
      <w:r>
        <w:rPr>
          <w:rFonts w:ascii="Times New Roman" w:hAnsi="Times New Roman"/>
          <w:b/>
          <w:i w:val="false"/>
          <w:caps w:val="false"/>
          <w:smallCaps w:val="false"/>
          <w:sz w:val="20"/>
        </w:rPr>
        <w:t>Item 1. Financial Statements</w:t>
      </w:r>
    </w:p>
    <w:p>
      <w:pPr>
        <w:pStyle w:val="TextBody"/>
        <w:spacing w:before="12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ASSEMBLY BIOSCIENCES, INC.</w:t>
      </w:r>
    </w:p>
    <w:p>
      <w:pPr>
        <w:pStyle w:val="TextBody"/>
        <w:spacing w:before="0" w:after="0"/>
        <w:jc w:val="center"/>
        <w:rPr>
          <w:rFonts w:ascii="Times New Roman" w:hAnsi="Times New Roman"/>
          <w:b/>
          <w:i w:val="false"/>
          <w:caps w:val="false"/>
          <w:smallCaps w:val="false"/>
          <w:sz w:val="20"/>
        </w:rPr>
      </w:pPr>
      <w:bookmarkStart w:id="4" w:name="CONDENSED_CONSOLIDATED_BALANCE_SHEETS"/>
      <w:bookmarkEnd w:id="4"/>
      <w:r>
        <w:rPr>
          <w:rFonts w:ascii="Times New Roman" w:hAnsi="Times New Roman"/>
          <w:b/>
          <w:i w:val="false"/>
          <w:caps w:val="false"/>
          <w:smallCaps w:val="false"/>
          <w:sz w:val="20"/>
        </w:rPr>
        <w:t>CONDENSED CONSOLIDATED BALANCE SHEETS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for share amounts and par value)</w:t>
      </w:r>
    </w:p>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8083"/>
        <w:gridCol w:w="60"/>
        <w:gridCol w:w="120"/>
        <w:gridCol w:w="735"/>
        <w:gridCol w:w="80"/>
        <w:gridCol w:w="60"/>
        <w:gridCol w:w="138"/>
        <w:gridCol w:w="846"/>
        <w:gridCol w:w="83"/>
      </w:tblGrid>
      <w:tr>
        <w:trPr/>
        <w:tc>
          <w:tcPr>
            <w:tcW w:w="8083" w:type="dxa"/>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5"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5"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5" w:type="dxa"/>
            <w:gridSpan w:val="2"/>
            <w:tcBorders>
              <w:top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(Unaudited)</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Current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51,174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45,627</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Marketable securities - short-term</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71,826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101,000</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Accounts receivable from collaborations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336</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Prepaid expenses and other current assets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7,253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7,241</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current assets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130,777</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154,204</w:t>
            </w:r>
          </w:p>
        </w:tc>
        <w:tc>
          <w:tcPr>
            <w:tcW w:w="83"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Marketable securities - long-term</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23,459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27,972</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Property and equipment,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1,139</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Operating lease right-of-use (ROU)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6,042</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Other assets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2,175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1,703</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 assets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162,730</w:t>
            </w:r>
          </w:p>
        </w:tc>
        <w:tc>
          <w:tcPr>
            <w:tcW w:w="8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84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191,060</w:t>
            </w:r>
          </w:p>
        </w:tc>
        <w:tc>
          <w:tcPr>
            <w:tcW w:w="83"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LIABILITIES AND STOCKHOLDERS' EQUITY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Current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Accounts payable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7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1,407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2,659</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Accrued research and development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3,596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3,400</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Other accrued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2,499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6,863</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Operating lease liabilities - short-term</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3,207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3,151</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current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10,709</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16,073</w:t>
            </w:r>
          </w:p>
        </w:tc>
        <w:tc>
          <w:tcPr>
            <w:tcW w:w="83"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Deferred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2,733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2,733</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Operating lease liabilities - long-term</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2,497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3,325</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15,939</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22,131</w:t>
            </w:r>
          </w:p>
        </w:tc>
        <w:tc>
          <w:tcPr>
            <w:tcW w:w="83"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Commitments and contingencies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 equity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Preferred stock, $0.001 par value; 5,000,000 shares authorized; no shares issued or outstanding</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Common stock, $0.001 par value; 100,000,000 shares authorized as of March 31, 2022 and December 31, 2021; 48,132,937 and 48,120,437 shares issued and outstanding as of March 31, 2022 and December 31, 2021, respectively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tc>
        <w:tc>
          <w:tcPr>
            <w:tcW w:w="83"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Additional paid-in capital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802,170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800,728</w:t>
            </w:r>
          </w:p>
        </w:tc>
        <w:tc>
          <w:tcPr>
            <w:tcW w:w="8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Accumulated other comprehensive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(908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(419</w:t>
            </w:r>
          </w:p>
        </w:tc>
        <w:tc>
          <w:tcPr>
            <w:tcW w:w="83"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8083"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Accumulated deficit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(654,519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(631,428</w:t>
            </w:r>
          </w:p>
        </w:tc>
        <w:tc>
          <w:tcPr>
            <w:tcW w:w="83"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8083"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Total stockholders' equity</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146,791</w:t>
            </w:r>
          </w:p>
        </w:tc>
        <w:tc>
          <w:tcPr>
            <w:tcW w:w="8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168,929</w:t>
            </w:r>
          </w:p>
        </w:tc>
        <w:tc>
          <w:tcPr>
            <w:tcW w:w="83"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083"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 liabilities and stockholders' equity</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3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162,730</w:t>
            </w:r>
          </w:p>
        </w:tc>
        <w:tc>
          <w:tcPr>
            <w:tcW w:w="8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84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191,060</w:t>
            </w:r>
          </w:p>
        </w:tc>
        <w:tc>
          <w:tcPr>
            <w:tcW w:w="8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See Accompanying Notes to Condensed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ASSEMBLY BIOSCIENCES, INC.</w:t>
      </w:r>
    </w:p>
    <w:p>
      <w:pPr>
        <w:pStyle w:val="TextBody"/>
        <w:spacing w:before="0" w:after="0"/>
        <w:jc w:val="center"/>
        <w:rPr>
          <w:rFonts w:ascii="Times New Roman" w:hAnsi="Times New Roman"/>
          <w:b/>
          <w:i w:val="false"/>
          <w:caps w:val="false"/>
          <w:smallCaps w:val="false"/>
          <w:sz w:val="20"/>
        </w:rPr>
      </w:pPr>
      <w:bookmarkStart w:id="5" w:name="CONDENSED_CONSOLIDATED_STATEMENTS_OPERAT"/>
      <w:bookmarkEnd w:id="5"/>
      <w:r>
        <w:rPr>
          <w:rFonts w:ascii="Times New Roman" w:hAnsi="Times New Roman"/>
          <w:b/>
          <w:i w:val="false"/>
          <w:caps w:val="false"/>
          <w:smallCaps w:val="false"/>
          <w:sz w:val="20"/>
        </w:rPr>
        <w:t>CONDENSED CONSOLIDATED STATEMENTS OF OPERATIONS AND COMPREHENSIVE LOSS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for share and per share amounts)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spacing w:before="0" w:after="0"/>
        <w:rPr/>
      </w:pPr>
      <w:r>
        <w:rPr/>
        <w:t> </w:t>
      </w:r>
    </w:p>
    <w:tbl>
      <w:tblPr>
        <w:tblW w:w="7797" w:type="dxa"/>
        <w:jc w:val="left"/>
        <w:tblInd w:w="0" w:type="dxa"/>
        <w:tblCellMar>
          <w:top w:w="0" w:type="dxa"/>
          <w:left w:w="0" w:type="dxa"/>
          <w:bottom w:w="28" w:type="dxa"/>
          <w:right w:w="0" w:type="dxa"/>
        </w:tblCellMar>
      </w:tblPr>
      <w:tblGrid>
        <w:gridCol w:w="5285"/>
        <w:gridCol w:w="60"/>
        <w:gridCol w:w="126"/>
        <w:gridCol w:w="960"/>
        <w:gridCol w:w="80"/>
        <w:gridCol w:w="60"/>
        <w:gridCol w:w="126"/>
        <w:gridCol w:w="960"/>
        <w:gridCol w:w="80"/>
        <w:gridCol w:w="60"/>
      </w:tblGrid>
      <w:tr>
        <w:trPr/>
        <w:tc>
          <w:tcPr>
            <w:tcW w:w="528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52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528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17,205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18,554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5,957</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8,704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23,162</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27,258</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Loss from operations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(23,162</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(27,258</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Other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and other income,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income</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(23,091</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(27,200</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Other comprehensive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loss on marketable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Comprehensive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(23,580</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9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(27,201</w:t>
            </w:r>
          </w:p>
        </w:tc>
        <w:tc>
          <w:tcPr>
            <w:tcW w:w="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shares outstanding,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48,123,930</w:t>
            </w:r>
          </w:p>
        </w:tc>
        <w:tc>
          <w:tcPr>
            <w:tcW w:w="8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39,679,734</w:t>
            </w:r>
          </w:p>
        </w:tc>
        <w:tc>
          <w:tcPr>
            <w:tcW w:w="8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See Accompanying Notes to Condensed Consolidated Financial Statements</w:t>
      </w:r>
    </w:p>
    <w:p>
      <w:pPr>
        <w:pStyle w:val="TextBody"/>
        <w:spacing w:before="0" w:after="0"/>
        <w:jc w:val="center"/>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ASSEMBLY BIOSCIENCES, INC.</w:t>
      </w:r>
    </w:p>
    <w:p>
      <w:pPr>
        <w:pStyle w:val="TextBody"/>
        <w:spacing w:before="0" w:after="0"/>
        <w:jc w:val="center"/>
        <w:rPr>
          <w:rFonts w:ascii="Times New Roman" w:hAnsi="Times New Roman"/>
          <w:b/>
          <w:i w:val="false"/>
          <w:caps w:val="false"/>
          <w:smallCaps w:val="false"/>
          <w:sz w:val="20"/>
        </w:rPr>
      </w:pPr>
      <w:bookmarkStart w:id="6" w:name="CONDENSED_CONSOLIDATED_STATEMENTS_CHANGE"/>
      <w:bookmarkEnd w:id="6"/>
      <w:r>
        <w:rPr>
          <w:rFonts w:ascii="Times New Roman" w:hAnsi="Times New Roman"/>
          <w:b/>
          <w:i w:val="false"/>
          <w:caps w:val="false"/>
          <w:smallCaps w:val="false"/>
          <w:sz w:val="20"/>
        </w:rPr>
        <w:t>CONDENSED CONSOLIDATED STATEMENTS OF CHANGES IN STOCKHOLDERS’ EQUITY</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for share amounts)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spacing w:before="0" w:after="0"/>
        <w:jc w:val="center"/>
        <w:rPr/>
      </w:pPr>
      <w:r>
        <w:rPr/>
        <w:t> </w:t>
      </w:r>
    </w:p>
    <w:tbl>
      <w:tblPr>
        <w:tblW w:w="10205" w:type="dxa"/>
        <w:jc w:val="left"/>
        <w:tblInd w:w="0" w:type="dxa"/>
        <w:tblCellMar>
          <w:top w:w="0" w:type="dxa"/>
          <w:left w:w="0" w:type="dxa"/>
          <w:bottom w:w="28" w:type="dxa"/>
          <w:right w:w="0" w:type="dxa"/>
        </w:tblCellMar>
      </w:tblPr>
      <w:tblGrid>
        <w:gridCol w:w="3919"/>
        <w:gridCol w:w="60"/>
        <w:gridCol w:w="60"/>
        <w:gridCol w:w="950"/>
        <w:gridCol w:w="60"/>
        <w:gridCol w:w="60"/>
        <w:gridCol w:w="196"/>
        <w:gridCol w:w="409"/>
        <w:gridCol w:w="60"/>
        <w:gridCol w:w="60"/>
        <w:gridCol w:w="125"/>
        <w:gridCol w:w="695"/>
        <w:gridCol w:w="60"/>
        <w:gridCol w:w="60"/>
        <w:gridCol w:w="270"/>
        <w:gridCol w:w="860"/>
        <w:gridCol w:w="80"/>
        <w:gridCol w:w="60"/>
        <w:gridCol w:w="137"/>
        <w:gridCol w:w="828"/>
        <w:gridCol w:w="80"/>
        <w:gridCol w:w="60"/>
        <w:gridCol w:w="147"/>
        <w:gridCol w:w="828"/>
        <w:gridCol w:w="81"/>
      </w:tblGrid>
      <w:tr>
        <w:trPr/>
        <w:tc>
          <w:tcPr>
            <w:tcW w:w="3919"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1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19"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December 31,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48,120,437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40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800,728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(419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(631,428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168,929</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1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for settlement of restricted stock units (RSUs)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12,500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19" w:type="dxa"/>
            <w:tcBorders/>
            <w:shd w:fill="CEF1FE"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loss on marketable debt securities</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EF1FE"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EF1FE"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EF1FE"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CEF1FE"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w:t>
            </w:r>
          </w:p>
        </w:tc>
        <w:tc>
          <w:tcPr>
            <w:tcW w:w="80" w:type="dxa"/>
            <w:tcBorders/>
            <w:shd w:fill="CEF1FE"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EF1FE"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CEF1FE"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EF1FE"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w:t>
            </w:r>
          </w:p>
        </w:tc>
        <w:tc>
          <w:tcPr>
            <w:tcW w:w="81" w:type="dxa"/>
            <w:tcBorders/>
            <w:shd w:fill="CEF1FE"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19"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1,442</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19" w:type="dxa"/>
            <w:tcBorders>
              <w:bottom w:val="single" w:sz="6" w:space="0" w:color="000000"/>
            </w:tcBorders>
            <w:shd w:fill="CEF1FE"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EF1FE"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CEF1FE"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EF1FE"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bottom w:val="single" w:sz="6" w:space="0" w:color="000000"/>
            </w:tcBorders>
            <w:shd w:fill="CEF1FE"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CEF1FE"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(23,091</w:t>
            </w:r>
          </w:p>
        </w:tc>
        <w:tc>
          <w:tcPr>
            <w:tcW w:w="80" w:type="dxa"/>
            <w:tcBorders>
              <w:bottom w:val="single" w:sz="6" w:space="0" w:color="000000"/>
            </w:tcBorders>
            <w:shd w:fill="CEF1FE"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bottom w:val="single" w:sz="6" w:space="0" w:color="000000"/>
            </w:tcBorders>
            <w:shd w:fill="CEF1FE"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CEF1FE"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(23,091</w:t>
            </w:r>
          </w:p>
        </w:tc>
        <w:tc>
          <w:tcPr>
            <w:tcW w:w="81" w:type="dxa"/>
            <w:tcBorders>
              <w:bottom w:val="single" w:sz="6" w:space="0" w:color="000000"/>
            </w:tcBorders>
            <w:shd w:fill="CEF1FE"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19"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March 31, 2022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48,132,937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4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802,170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(908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(654,519</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146,791</w:t>
            </w:r>
          </w:p>
        </w:tc>
        <w:tc>
          <w:tcPr>
            <w:tcW w:w="8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3907"/>
        <w:gridCol w:w="60"/>
        <w:gridCol w:w="60"/>
        <w:gridCol w:w="950"/>
        <w:gridCol w:w="60"/>
        <w:gridCol w:w="60"/>
        <w:gridCol w:w="196"/>
        <w:gridCol w:w="409"/>
        <w:gridCol w:w="60"/>
        <w:gridCol w:w="60"/>
        <w:gridCol w:w="125"/>
        <w:gridCol w:w="695"/>
        <w:gridCol w:w="80"/>
        <w:gridCol w:w="60"/>
        <w:gridCol w:w="270"/>
        <w:gridCol w:w="860"/>
        <w:gridCol w:w="80"/>
        <w:gridCol w:w="60"/>
        <w:gridCol w:w="137"/>
        <w:gridCol w:w="828"/>
        <w:gridCol w:w="80"/>
        <w:gridCol w:w="60"/>
        <w:gridCol w:w="146"/>
        <w:gridCol w:w="820"/>
        <w:gridCol w:w="82"/>
      </w:tblGrid>
      <w:tr>
        <w:trPr/>
        <w:tc>
          <w:tcPr>
            <w:tcW w:w="3907"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Other</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6"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Comprehensive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6"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7"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34,026,680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40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742,387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(270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(501,573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240,578</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7"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under at-the-market (ATM) equity offering program, net of issuance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5,991,858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34,131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34,137</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7"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for settlement of RSUs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86,146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07"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Unrealized loss on marketable debt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07"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07"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(27,200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(27,200</w:t>
            </w:r>
          </w:p>
        </w:tc>
        <w:tc>
          <w:tcPr>
            <w:tcW w:w="8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907"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March 31,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40,104,684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4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776,248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(271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(528,773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247,244</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See Accompanying Notes to Condensed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ASSEMBLY BIOSCIENCES, INC.</w:t>
      </w:r>
    </w:p>
    <w:p>
      <w:pPr>
        <w:pStyle w:val="TextBody"/>
        <w:spacing w:before="0" w:after="0"/>
        <w:jc w:val="center"/>
        <w:rPr>
          <w:rFonts w:ascii="Times New Roman" w:hAnsi="Times New Roman"/>
          <w:b/>
          <w:i w:val="false"/>
          <w:caps w:val="false"/>
          <w:smallCaps w:val="false"/>
          <w:sz w:val="20"/>
        </w:rPr>
      </w:pPr>
      <w:bookmarkStart w:id="7" w:name="CONDENSED_CONSOLIDATED_STATEMENTS_CASH_F"/>
      <w:bookmarkEnd w:id="7"/>
      <w:r>
        <w:rPr>
          <w:rFonts w:ascii="Times New Roman" w:hAnsi="Times New Roman"/>
          <w:b/>
          <w:i w:val="false"/>
          <w:caps w:val="false"/>
          <w:smallCaps w:val="false"/>
          <w:sz w:val="20"/>
        </w:rPr>
        <w:t>CONDENSED CONSOLIDATED STATEMENTS OF CASH FLOWS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spacing w:before="0" w:after="0"/>
        <w:rPr/>
      </w:pPr>
      <w:r>
        <w:rPr/>
        <w:t> </w:t>
      </w:r>
    </w:p>
    <w:tbl>
      <w:tblPr>
        <w:tblW w:w="10048" w:type="dxa"/>
        <w:jc w:val="left"/>
        <w:tblInd w:w="0" w:type="dxa"/>
        <w:tblCellMar>
          <w:top w:w="0" w:type="dxa"/>
          <w:left w:w="0" w:type="dxa"/>
          <w:bottom w:w="28" w:type="dxa"/>
          <w:right w:w="0" w:type="dxa"/>
        </w:tblCellMar>
      </w:tblPr>
      <w:tblGrid>
        <w:gridCol w:w="7415"/>
        <w:gridCol w:w="60"/>
        <w:gridCol w:w="181"/>
        <w:gridCol w:w="950"/>
        <w:gridCol w:w="132"/>
        <w:gridCol w:w="99"/>
        <w:gridCol w:w="181"/>
        <w:gridCol w:w="950"/>
        <w:gridCol w:w="80"/>
      </w:tblGrid>
      <w:tr>
        <w:trPr/>
        <w:tc>
          <w:tcPr>
            <w:tcW w:w="741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9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Three Months Ended March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2022</w:t>
            </w:r>
          </w:p>
        </w:tc>
        <w:tc>
          <w:tcPr>
            <w:tcW w:w="13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2021</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Cash flows from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(23,091</w:t>
            </w:r>
          </w:p>
        </w:tc>
        <w:tc>
          <w:tcPr>
            <w:tcW w:w="13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(27,200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74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Adjustments to reconcile net loss to 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Depreciation and amortization</w:t>
            </w:r>
          </w:p>
        </w:tc>
        <w:tc>
          <w:tcPr>
            <w:tcW w:w="60" w:type="dxa"/>
            <w:tcBorders/>
            <w:shd w:fill="FFFFFF"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120</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Stock-based compensation</w:t>
            </w:r>
          </w:p>
        </w:tc>
        <w:tc>
          <w:tcPr>
            <w:tcW w:w="60" w:type="dxa"/>
            <w:tcBorders/>
            <w:shd w:fill="CFF0FC"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1,443</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(286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74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amortization of investments in marketable debt securities</w:t>
            </w:r>
          </w:p>
        </w:tc>
        <w:tc>
          <w:tcPr>
            <w:tcW w:w="60" w:type="dxa"/>
            <w:tcBorders/>
            <w:shd w:fill="FFFFFF"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149</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Non-cash rent expense</w:t>
            </w:r>
          </w:p>
        </w:tc>
        <w:tc>
          <w:tcPr>
            <w:tcW w:w="60" w:type="dxa"/>
            <w:tcBorders/>
            <w:shd w:fill="CFF0FC"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893</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1,135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Loss on disposal of property and equipment</w:t>
            </w:r>
          </w:p>
        </w:tc>
        <w:tc>
          <w:tcPr>
            <w:tcW w:w="60" w:type="dxa"/>
            <w:tcBorders/>
            <w:shd w:fill="FFFFFF"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1,611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Changes in operating assets and liabilities:</w:t>
            </w:r>
          </w:p>
        </w:tc>
        <w:tc>
          <w:tcPr>
            <w:tcW w:w="60" w:type="dxa"/>
            <w:tcBorders/>
            <w:shd w:fill="CFF0FC"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Accounts receivable from collaboration</w:t>
            </w:r>
          </w:p>
        </w:tc>
        <w:tc>
          <w:tcPr>
            <w:tcW w:w="60" w:type="dxa"/>
            <w:tcBorders/>
            <w:shd w:fill="FFFFFF"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(188</w:t>
            </w:r>
          </w:p>
        </w:tc>
        <w:tc>
          <w:tcPr>
            <w:tcW w:w="13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Prepaid expenses and other current assets</w:t>
            </w:r>
          </w:p>
        </w:tc>
        <w:tc>
          <w:tcPr>
            <w:tcW w:w="60" w:type="dxa"/>
            <w:tcBorders/>
            <w:shd w:fill="CFF0FC"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w:t>
            </w:r>
          </w:p>
        </w:tc>
        <w:tc>
          <w:tcPr>
            <w:tcW w:w="13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Other assets</w:t>
            </w:r>
          </w:p>
        </w:tc>
        <w:tc>
          <w:tcPr>
            <w:tcW w:w="60" w:type="dxa"/>
            <w:tcBorders/>
            <w:shd w:fill="FFFFFF"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(472</w:t>
            </w:r>
          </w:p>
        </w:tc>
        <w:tc>
          <w:tcPr>
            <w:tcW w:w="13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358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Accounts payable</w:t>
            </w:r>
          </w:p>
        </w:tc>
        <w:tc>
          <w:tcPr>
            <w:tcW w:w="60" w:type="dxa"/>
            <w:tcBorders/>
            <w:shd w:fill="CFF0FC"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(1,252</w:t>
            </w:r>
          </w:p>
        </w:tc>
        <w:tc>
          <w:tcPr>
            <w:tcW w:w="13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(1,036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741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Accrued research and development expenses</w:t>
            </w:r>
          </w:p>
        </w:tc>
        <w:tc>
          <w:tcPr>
            <w:tcW w:w="60" w:type="dxa"/>
            <w:tcBorders/>
            <w:shd w:fill="FFFFFF"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196</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741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Other accrued expenses</w:t>
            </w:r>
          </w:p>
        </w:tc>
        <w:tc>
          <w:tcPr>
            <w:tcW w:w="60" w:type="dxa"/>
            <w:tcBorders/>
            <w:shd w:fill="CFF0FC"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(4,365</w:t>
            </w:r>
          </w:p>
        </w:tc>
        <w:tc>
          <w:tcPr>
            <w:tcW w:w="13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(8,312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741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Operating lease liabilities</w:t>
            </w:r>
          </w:p>
        </w:tc>
        <w:tc>
          <w:tcPr>
            <w:tcW w:w="60" w:type="dxa"/>
            <w:tcBorders>
              <w:bottom w:val="single" w:sz="6" w:space="0" w:color="000000"/>
            </w:tcBorders>
            <w:shd w:fill="FFFFFF" w:val="cle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(923</w:t>
            </w:r>
          </w:p>
        </w:tc>
        <w:tc>
          <w:tcPr>
            <w:tcW w:w="13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(1,041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74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cash used in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(27,502</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(33,344</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741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Cash flows from 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Purchases of property and equipment</w:t>
            </w:r>
          </w:p>
        </w:tc>
        <w:tc>
          <w:tcPr>
            <w:tcW w:w="60" w:type="dxa"/>
            <w:tcBorders/>
            <w:shd w:fill="FFFFFF"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(3,078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741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Proceeds from sale of property and equipment</w:t>
            </w:r>
          </w:p>
        </w:tc>
        <w:tc>
          <w:tcPr>
            <w:tcW w:w="60" w:type="dxa"/>
            <w:tcBorders/>
            <w:shd w:fill="CFF0FC"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857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Purchases of marketable securities</w:t>
            </w:r>
          </w:p>
        </w:tc>
        <w:tc>
          <w:tcPr>
            <w:tcW w:w="60" w:type="dxa"/>
            <w:tcBorders/>
            <w:shd w:fill="FFFFFF"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(3,951</w:t>
            </w:r>
          </w:p>
        </w:tc>
        <w:tc>
          <w:tcPr>
            <w:tcW w:w="13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(49,213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r>
        <w:trPr/>
        <w:tc>
          <w:tcPr>
            <w:tcW w:w="7415" w:type="dxa"/>
            <w:tcBorders/>
            <w:shd w:fill="CFF0FC" w:val="clear"/>
            <w:tcMar>
              <w:bottom w:w="0" w:type="dxa"/>
            </w:tcM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Proceeds from maturities of marketable securities</w:t>
            </w:r>
          </w:p>
        </w:tc>
        <w:tc>
          <w:tcPr>
            <w:tcW w:w="60" w:type="dxa"/>
            <w:tcBorders/>
            <w:shd w:fill="CFF0FC" w:val="clear"/>
            <w:tcMar>
              <w:bottom w:w="0" w:type="dxa"/>
            </w:tcM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30,000</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66,450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Proceeds from sale of marketable securities</w:t>
            </w:r>
          </w:p>
        </w:tc>
        <w:tc>
          <w:tcPr>
            <w:tcW w:w="60" w:type="dxa"/>
            <w:tcBorders>
              <w:bottom w:val="single" w:sz="6" w:space="0" w:color="000000"/>
            </w:tcBorders>
            <w:shd w:fill="FFFFFF" w:val="cle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7,000</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3,000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cash provided by investing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33,049</w:t>
            </w:r>
          </w:p>
        </w:tc>
        <w:tc>
          <w:tcPr>
            <w:tcW w:w="13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18,016</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Cash flows from 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bottom w:val="single" w:sz="6" w:space="0" w:color="000000"/>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Proceeds from the issuance of common stock under ATM equity offering program, net of issuance costs</w:t>
            </w:r>
          </w:p>
        </w:tc>
        <w:tc>
          <w:tcPr>
            <w:tcW w:w="60" w:type="dxa"/>
            <w:tcBorders>
              <w:bottom w:val="single" w:sz="6" w:space="0" w:color="000000"/>
            </w:tcBorders>
            <w:shd w:fill="FFFFFF" w:val="clear"/>
            <w:vAlign w:val="bottom"/>
          </w:tcPr>
          <w:p>
            <w:pPr>
              <w:pStyle w:val="TableContents"/>
              <w:spacing w:before="0" w:after="0"/>
              <w:ind w:left="137"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34,137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cash provided by 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34,137</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Net increase in cash and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5,547</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18,809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Cash and cash equivalents at the beginning of the period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45,627</w:t>
            </w:r>
          </w:p>
        </w:tc>
        <w:tc>
          <w:tcPr>
            <w:tcW w:w="13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59,444</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Cash and cash equivalents at the end of the period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51,174</w:t>
            </w:r>
          </w:p>
        </w:tc>
        <w:tc>
          <w:tcPr>
            <w:tcW w:w="1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78,253</w:t>
            </w:r>
          </w:p>
        </w:tc>
        <w:tc>
          <w:tcPr>
            <w:tcW w:w="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Supplemental non-cash investing and financing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2"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Operating lease liabilities arising from obtaining ROU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42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4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Remeasurement of lease liabilities arising from modification of ROU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(788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8"/>
              </w:rPr>
            </w:pPr>
            <w:r>
              <w:rPr>
                <w:rFonts w:ascii="Times New Roman" w:hAnsi="Times New Roman"/>
                <w:b w:val="false"/>
                <w:i w:val="false"/>
                <w:caps w:val="false"/>
                <w:smallCaps w:val="false"/>
                <w:color w:val="000000"/>
                <w:sz w:val="18"/>
              </w:rPr>
              <w:t>)</w:t>
            </w:r>
          </w:p>
        </w:tc>
      </w:tr>
    </w:tbl>
    <w:p>
      <w:pPr>
        <w:pStyle w:val="TextBody"/>
        <w:spacing w:before="0" w:after="0"/>
        <w:rPr/>
      </w:pPr>
      <w:r>
        <w:rPr/>
        <w:t> </w:t>
      </w:r>
    </w:p>
    <w:p>
      <w:pPr>
        <w:pStyle w:val="TextBody"/>
        <w:spacing w:before="0" w:after="0"/>
        <w:jc w:val="center"/>
        <w:rPr>
          <w:rFonts w:ascii="Times New Roman" w:hAnsi="Times New Roman"/>
          <w:b w:val="false"/>
          <w:i/>
          <w:caps w:val="false"/>
          <w:smallCaps w:val="false"/>
          <w:sz w:val="20"/>
        </w:rPr>
      </w:pPr>
      <w:r>
        <w:rPr>
          <w:rFonts w:ascii="Times New Roman" w:hAnsi="Times New Roman"/>
          <w:b w:val="false"/>
          <w:i/>
          <w:caps w:val="false"/>
          <w:smallCaps w:val="false"/>
          <w:sz w:val="20"/>
        </w:rPr>
        <w:t>See Accompanying Notes to Condensed Consolidated Financial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ASSEMBLY BIOSCIENCES, INC.</w:t>
      </w:r>
    </w:p>
    <w:p>
      <w:pPr>
        <w:pStyle w:val="TextBody"/>
        <w:spacing w:before="0" w:after="0"/>
        <w:jc w:val="center"/>
        <w:rPr>
          <w:rFonts w:ascii="Times New Roman" w:hAnsi="Times New Roman"/>
          <w:b/>
          <w:i w:val="false"/>
          <w:caps w:val="false"/>
          <w:smallCaps w:val="false"/>
          <w:sz w:val="20"/>
        </w:rPr>
      </w:pPr>
      <w:bookmarkStart w:id="8" w:name="NOTES_TO_CONDENSED_CONSOLIDATED_FINANCIA"/>
      <w:bookmarkEnd w:id="8"/>
      <w:r>
        <w:rPr>
          <w:rFonts w:ascii="Times New Roman" w:hAnsi="Times New Roman"/>
          <w:b/>
          <w:i w:val="false"/>
          <w:caps w:val="false"/>
          <w:smallCaps w:val="false"/>
          <w:sz w:val="20"/>
        </w:rPr>
        <w:t>NOTES TO THE CONDENSED CONSOLIDATED FINANCIAL STATEMENTS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spacing w:before="200" w:after="0"/>
        <w:rPr>
          <w:rFonts w:ascii="Times New Roman" w:hAnsi="Times New Roman"/>
          <w:b/>
          <w:i w:val="false"/>
          <w:caps w:val="false"/>
          <w:smallCaps w:val="false"/>
          <w:sz w:val="20"/>
        </w:rPr>
      </w:pPr>
      <w:r>
        <w:rPr>
          <w:rFonts w:ascii="Times New Roman" w:hAnsi="Times New Roman"/>
          <w:b/>
          <w:i w:val="false"/>
          <w:caps w:val="false"/>
          <w:smallCaps w:val="false"/>
          <w:sz w:val="20"/>
        </w:rPr>
        <w:t>Note 1 - Nature of Business</w:t>
      </w:r>
    </w:p>
    <w:p>
      <w:pPr>
        <w:pStyle w:val="TextBody"/>
        <w:spacing w:before="200" w:after="0"/>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Assembly Biosciences, Inc. (together with its subsidiaries, Assembly or the Company), incorporated in Delaware in October 2005, is a clinical-stage biotechnology company advancing a novel class of oral therapeutic candidates for the treatment of chronic hepatitis B virus (HBV) infection and other viral diseases. The Company operates in one segment and is headquartered in South San Francisco, California, with operations in California and China. Prior to the Company’s wind-down of its Microbiome program in January 2021, the Company also had operations in Connecticut.</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research and development programs are pursuing multiple drug candidates that inhibit the HBV replication cycle and block the generation of covalently closed circular DNA (cccDNA), with the aim of discovering and developing finite and curative therapies for patients with HBV. The Company has discovered several novel core inhibitors, which are small molecules that directly target and allosterically modify the HBV core (HBc) protein in a way that affects assembly and stability of HBV nucleocapsids</w:t>
      </w:r>
      <w:r>
        <w:rPr>
          <w:rFonts w:ascii="Times New Roman" w:hAnsi="Times New Roman"/>
          <w:b w:val="false"/>
          <w:i w:val="false"/>
          <w:caps w:val="false"/>
          <w:smallCaps w:val="false"/>
          <w:color w:val="000000"/>
          <w:sz w:val="20"/>
        </w:rPr>
        <w:t xml:space="preserve"> and is currently advancing an early-stage program evaluating a novel small molecule approach to inhibit entry for both HBV and hepatitis delta viruses.</w:t>
      </w:r>
    </w:p>
    <w:p>
      <w:pPr>
        <w:pStyle w:val="TextBody"/>
        <w:spacing w:before="200" w:after="0"/>
        <w:rPr>
          <w:rFonts w:ascii="Times New Roman" w:hAnsi="Times New Roman"/>
          <w:b w:val="false"/>
          <w:i/>
          <w:caps w:val="false"/>
          <w:smallCaps w:val="false"/>
          <w:sz w:val="20"/>
        </w:rPr>
      </w:pPr>
      <w:r>
        <w:rPr>
          <w:rFonts w:ascii="Times New Roman" w:hAnsi="Times New Roman"/>
          <w:b w:val="false"/>
          <w:i/>
          <w:caps w:val="false"/>
          <w:smallCaps w:val="false"/>
          <w:sz w:val="20"/>
        </w:rPr>
        <w:t>Liquidity</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not derived any revenue from product sales to date and currently has no approved products. Once a product has been developed, it will need to be approved for sale by the U.S. Food and Drug Administration or an applicable foreign regulatory agency. Since inception, the Company’s operations have been financed primarily through the sale of equity securities, proceeds from the exercise of warrants and stock options,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 Market volatility resulting from the global novel coronavirus disease (COVID-19) pandemic or other factors could also adversely impact the Company’s ability to access capital when and as needed.</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the Company is unable to generate enough revenue from its collaborations,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2 - Summary of Significant Accounting Policies</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Basis of Presentation</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unaudited condensed consolidated financial statements include the accounts of the Company and its subsidiaries. All intercompany balances and transactions have been eliminated in consolidation.</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notes for the fiscal year ended December 31, 2021, which are contained in the 2021 Annual Report. The results for the three months ended March 31, 2022 are not necessarily indicative of results to be expected for the entire year ending December 31, 2022 or future operating periods.</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Use of Estimates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Estimates inherent in the preparation of the accompanying unaudited condensed consolidated financial statements include estimates of costs incurred but not yet invoiced for research and development accruals, recoverability and useful lives of our long-lived assets, amounts receivable under collaboration agreements, measurement of operating lease liabilities, and the fair value of stock options, stock appreciation rights, and RSUs granted to employees, directors, and consultants.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Other Risks and Uncertainties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March 2020, the World Health Organization declared the COVID-19 outbreak a pandemic. The ongoing COVID-19 pandemic and its broad, global impacts, including supply chain disruptions, have impacted certain aspects of the Company’s business, including where and how the Company’s employees work in its labs and offices and how and when the Company’s nonclinical and clinical studies are conducted. Early in the pandemic, the Company’s clinical and preclinical studies were largely unaffected, but as the pandemic has continued, the Company has experienced enrollment delays for two of its multi-drug combination clinical studies, delayed animal studies and delayed shipping of compounds necessary for the Company’s research programs. Although the clinical studies that experienced enrollment delays are now fully enrolled, the lockdowns resulting from China’s strict “zero covid” policy are also impacting execution of one of these multi-drug clinical studies. The Company relies on contract research organizations (CROs), some of which are in China and India. While these CROs have experienced pandemic-related impacts from time to time, the latest shutdowns in China have impacted the Company more than earlier in the pandemic.</w:t>
      </w:r>
      <w:r>
        <w:rPr>
          <w:rFonts w:ascii="Times New Roman" w:hAnsi="Times New Roman"/>
          <w:b w:val="false"/>
          <w:i w:val="false"/>
          <w:caps w:val="false"/>
          <w:smallCaps w:val="false"/>
          <w:color w:val="000000"/>
          <w:sz w:val="20"/>
          <w:highlight w:val="white"/>
        </w:rPr>
        <w:t xml:space="preserve"> </w:t>
      </w:r>
      <w:r>
        <w:rPr>
          <w:rFonts w:ascii="Times New Roman" w:hAnsi="Times New Roman"/>
          <w:b w:val="false"/>
          <w:i w:val="false"/>
          <w:caps w:val="false"/>
          <w:smallCaps w:val="false"/>
          <w:sz w:val="20"/>
        </w:rPr>
        <w:t>The Company cannot at this time predict the specific extent, duration, or full impact the COVID-19 pandemic will have on its business, operations, strategy, prospects and financial condition and results. The impact of the COVID-19 pandemic on the Company’s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If the financial markets and/or the overall economy are impacted for an extended period, the Company’s results may be adversely affected.</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study plan of the Company’s triple combination study with Antios Therapeutics, Inc. (Antios) initially included a site in Ukraine, but the study will no longer be conducted there due to the instability resulting from Russia’s invasion. These changes to the Company’s study plan will result in a delayed data readout.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Income Taxes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Effective January 1, 2022, a provision of the Tax Cuts and Jobs Act (TCJA) has taken effect creating a significant change to the treatment of research and experimental expenditures under Section 174 of the IRC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U.S to be capitalized and amortized over a five-year period. For expenses associated with research outside of the United States, Sec. 174 expenses will be capitalized and amortized over a 15-year period. The Company prepared an analysis of the tax impact of capitalizing and amortizing these costs over the required periods and for calendar year 2022, it is expecting to be in a loss position after the estimated addback.</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Net Loss per Share</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Basic net loss per share of common stock excludes dilution and is computed by dividing net loss by the weighted average number of shares of common stock outstanding during the period. Diluted net loss per share of common stock reflects the potential dilution </w:t>
      </w:r>
      <w:r>
        <w:rPr>
          <w:rFonts w:ascii="Times New Roman" w:hAnsi="Times New Roman"/>
          <w:b w:val="false"/>
          <w:i w:val="false"/>
          <w:caps w:val="false"/>
          <w:smallCaps w:val="false"/>
          <w:color w:val="000000"/>
          <w:sz w:val="20"/>
        </w:rPr>
        <w:t>that</w:t>
      </w:r>
      <w:r>
        <w:rPr>
          <w:rFonts w:ascii="Times New Roman" w:hAnsi="Times New Roman"/>
          <w:b w:val="false"/>
          <w:i w:val="false"/>
          <w:caps w:val="false"/>
          <w:smallCaps w:val="false"/>
          <w:sz w:val="20"/>
        </w:rPr>
        <w:t xml:space="preserve"> could occur if securities or other contracts to issue common stock were exercised or converted into common stock or resulted in the issuance of common stock that then shared in the earnings of the entity unless inclusion of such shares would be anti-dilutive. </w:t>
      </w:r>
    </w:p>
    <w:p>
      <w:pPr>
        <w:pStyle w:val="TextBody"/>
        <w:spacing w:before="240" w:after="0"/>
        <w:jc w:val="both"/>
        <w:rPr>
          <w:caps w:val="false"/>
          <w:smallCaps w:val="false"/>
        </w:rPr>
      </w:pPr>
      <w:r>
        <w:rPr>
          <w:caps w:val="false"/>
          <w:smallCaps w:val="false"/>
        </w:rPr>
        <w:t>     </w:t>
      </w:r>
      <w:r>
        <w:rPr>
          <w:rFonts w:ascii="Times New Roman" w:hAnsi="Times New Roman"/>
          <w:b w:val="false"/>
          <w:i w:val="false"/>
          <w:caps w:val="false"/>
          <w:smallCaps w:val="false"/>
          <w:sz w:val="20"/>
        </w:rPr>
        <w:t>A reconciliation of the numerators and the denominators of the basic and diluted net loss per common share computations is as follows (in thousands, except per share amounts):</w:t>
      </w:r>
    </w:p>
    <w:p>
      <w:pPr>
        <w:pStyle w:val="TextBody"/>
        <w:spacing w:before="0" w:after="0"/>
        <w:rPr/>
      </w:pPr>
      <w:r>
        <w:rPr/>
        <w:t> </w:t>
      </w:r>
    </w:p>
    <w:tbl>
      <w:tblPr>
        <w:tblW w:w="6800" w:type="dxa"/>
        <w:jc w:val="left"/>
        <w:tblInd w:w="0" w:type="dxa"/>
        <w:tblCellMar>
          <w:top w:w="0" w:type="dxa"/>
          <w:left w:w="0" w:type="dxa"/>
          <w:bottom w:w="28" w:type="dxa"/>
          <w:right w:w="0" w:type="dxa"/>
        </w:tblCellMar>
      </w:tblPr>
      <w:tblGrid>
        <w:gridCol w:w="4370"/>
        <w:gridCol w:w="60"/>
        <w:gridCol w:w="125"/>
        <w:gridCol w:w="950"/>
        <w:gridCol w:w="80"/>
        <w:gridCol w:w="60"/>
        <w:gridCol w:w="125"/>
        <w:gridCol w:w="950"/>
        <w:gridCol w:w="80"/>
      </w:tblGrid>
      <w:tr>
        <w:trPr/>
        <w:tc>
          <w:tcPr>
            <w:tcW w:w="437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9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Three Months Ended March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2022</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2021</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Numerator: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(23,091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(27,200</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3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Denominator: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bottom w:val="doub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common shares and</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pre-funded warrants outstanding - basic and 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48,123,930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doub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39,679,734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37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 basic and diluted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(0.48</w:t>
            </w:r>
          </w:p>
        </w:tc>
        <w:tc>
          <w:tcPr>
            <w:tcW w:w="80" w:type="dxa"/>
            <w:tcBorders>
              <w:top w:val="doub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(0.69</w:t>
            </w:r>
          </w:p>
        </w:tc>
        <w:tc>
          <w:tcPr>
            <w:tcW w:w="80" w:type="dxa"/>
            <w:tcBorders>
              <w:top w:val="doub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Securities excluded from the computation of diluted net loss per share because including them would have been antidilutive are as follows:</w:t>
      </w:r>
    </w:p>
    <w:p>
      <w:pPr>
        <w:pStyle w:val="TextBody"/>
        <w:spacing w:before="0" w:after="0"/>
        <w:jc w:val="both"/>
        <w:rPr/>
      </w:pPr>
      <w:r>
        <w:rPr/>
        <w:t> </w:t>
      </w:r>
    </w:p>
    <w:tbl>
      <w:tblPr>
        <w:tblW w:w="8880" w:type="dxa"/>
        <w:jc w:val="left"/>
        <w:tblInd w:w="0" w:type="dxa"/>
        <w:tblCellMar>
          <w:top w:w="0" w:type="dxa"/>
          <w:left w:w="0" w:type="dxa"/>
          <w:bottom w:w="28" w:type="dxa"/>
          <w:right w:w="0" w:type="dxa"/>
        </w:tblCellMar>
      </w:tblPr>
      <w:tblGrid>
        <w:gridCol w:w="6830"/>
        <w:gridCol w:w="60"/>
        <w:gridCol w:w="60"/>
        <w:gridCol w:w="845"/>
        <w:gridCol w:w="60"/>
        <w:gridCol w:w="60"/>
        <w:gridCol w:w="60"/>
        <w:gridCol w:w="845"/>
        <w:gridCol w:w="60"/>
      </w:tblGrid>
      <w:tr>
        <w:trPr/>
        <w:tc>
          <w:tcPr>
            <w:tcW w:w="683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3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March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2022</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2021</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to purchase common stock</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7,475,876</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7,382,515</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3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subject to purchase under our Employee Stock Purchase Plan (ESPP)</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129,107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44,870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3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RSUs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1,553,755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666,574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83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9,158,738</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8,093,959</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3 – Fair Value Measurements and Investments in Marketable Securities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uses the following three-level hierarchy that maximizes the use of observable inputs and minimizes the use of unobservable inputs to value its financial instruments: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1: Observable inputs such as unadjusted quoted prices in active markets for identical instruments.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2: Quoted prices for similar instruments that are directly or indirectly observable in the marketplace.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Investments in marketable securities consisted of the following (in thousands):</w:t>
      </w:r>
    </w:p>
    <w:tbl>
      <w:tblPr>
        <w:tblW w:w="7690" w:type="dxa"/>
        <w:jc w:val="left"/>
        <w:tblInd w:w="0" w:type="dxa"/>
        <w:tblCellMar>
          <w:top w:w="0" w:type="dxa"/>
          <w:left w:w="0" w:type="dxa"/>
          <w:bottom w:w="28" w:type="dxa"/>
          <w:right w:w="0" w:type="dxa"/>
        </w:tblCellMar>
      </w:tblPr>
      <w:tblGrid>
        <w:gridCol w:w="3950"/>
        <w:gridCol w:w="60"/>
        <w:gridCol w:w="125"/>
        <w:gridCol w:w="695"/>
        <w:gridCol w:w="60"/>
        <w:gridCol w:w="60"/>
        <w:gridCol w:w="259"/>
        <w:gridCol w:w="541"/>
        <w:gridCol w:w="60"/>
        <w:gridCol w:w="60"/>
        <w:gridCol w:w="192"/>
        <w:gridCol w:w="608"/>
        <w:gridCol w:w="80"/>
        <w:gridCol w:w="60"/>
        <w:gridCol w:w="125"/>
        <w:gridCol w:w="695"/>
        <w:gridCol w:w="60"/>
      </w:tblGrid>
      <w:tr>
        <w:trPr/>
        <w:tc>
          <w:tcPr>
            <w:tcW w:w="39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20"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Gain</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equivalents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48,361</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48,361</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Asset-backed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21,978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21,881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commercial paper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45,913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45,911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marketable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71,988</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71,826</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corporate debt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14,966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8,966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8,773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long-term marketable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23,932</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(473</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23,459</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equivalents and marketable securities</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144,281</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(635</w:t>
            </w:r>
          </w:p>
        </w:tc>
        <w:tc>
          <w:tcPr>
            <w:tcW w:w="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143,646</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both"/>
        <w:rPr/>
      </w:pPr>
      <w:r>
        <w:rPr/>
        <w:t> </w:t>
      </w:r>
    </w:p>
    <w:tbl>
      <w:tblPr>
        <w:tblW w:w="7690" w:type="dxa"/>
        <w:jc w:val="left"/>
        <w:tblInd w:w="0" w:type="dxa"/>
        <w:tblCellMar>
          <w:top w:w="0" w:type="dxa"/>
          <w:left w:w="0" w:type="dxa"/>
          <w:bottom w:w="28" w:type="dxa"/>
          <w:right w:w="0" w:type="dxa"/>
        </w:tblCellMar>
      </w:tblPr>
      <w:tblGrid>
        <w:gridCol w:w="3950"/>
        <w:gridCol w:w="60"/>
        <w:gridCol w:w="125"/>
        <w:gridCol w:w="695"/>
        <w:gridCol w:w="60"/>
        <w:gridCol w:w="60"/>
        <w:gridCol w:w="259"/>
        <w:gridCol w:w="541"/>
        <w:gridCol w:w="60"/>
        <w:gridCol w:w="60"/>
        <w:gridCol w:w="192"/>
        <w:gridCol w:w="608"/>
        <w:gridCol w:w="80"/>
        <w:gridCol w:w="60"/>
        <w:gridCol w:w="125"/>
        <w:gridCol w:w="695"/>
        <w:gridCol w:w="60"/>
      </w:tblGrid>
      <w:tr>
        <w:trPr/>
        <w:tc>
          <w:tcPr>
            <w:tcW w:w="39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20"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Amortized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Cost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Gain</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Gross</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Unrealized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Loss</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equivalents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7,013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Asset-backed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29,059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commercial paper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64,929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64,928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marketable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101,041</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101,000</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corporate debt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19,117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8,960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8,929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long-term marketable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28,077</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27,972</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5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equivalents and marketable securities</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171,625</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w:t>
            </w:r>
          </w:p>
        </w:tc>
        <w:tc>
          <w:tcPr>
            <w:tcW w:w="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171,479</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Short-term marketable securities held as of March 31, 2022 had contractual maturities of less than one year. Long-term marketable securities held as of March 31, 2022 had contractual maturities of at least one year but less than two years.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Realized gains and losses for the three months ended March 31, 2022 and 2021 were not significant. None of the Company’s investments have been in a continuous unrealized loss position for more than 12 months as of March 31, 2022.</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tables present the fair value of the Company’s financial assets measured at fair value on a recurring basis (in thousands):</w:t>
      </w:r>
    </w:p>
    <w:p>
      <w:pPr>
        <w:pStyle w:val="TextBody"/>
        <w:spacing w:before="0" w:after="0"/>
        <w:rPr/>
      </w:pPr>
      <w:r>
        <w:rPr/>
        <w:t> </w:t>
      </w:r>
    </w:p>
    <w:tbl>
      <w:tblPr>
        <w:tblW w:w="6624" w:type="dxa"/>
        <w:jc w:val="left"/>
        <w:tblInd w:w="0" w:type="dxa"/>
        <w:tblCellMar>
          <w:top w:w="0" w:type="dxa"/>
          <w:left w:w="0" w:type="dxa"/>
          <w:bottom w:w="28" w:type="dxa"/>
          <w:right w:w="0" w:type="dxa"/>
        </w:tblCellMar>
      </w:tblPr>
      <w:tblGrid>
        <w:gridCol w:w="3350"/>
        <w:gridCol w:w="60"/>
        <w:gridCol w:w="125"/>
        <w:gridCol w:w="590"/>
        <w:gridCol w:w="60"/>
        <w:gridCol w:w="60"/>
        <w:gridCol w:w="125"/>
        <w:gridCol w:w="590"/>
        <w:gridCol w:w="60"/>
        <w:gridCol w:w="60"/>
        <w:gridCol w:w="176"/>
        <w:gridCol w:w="368"/>
        <w:gridCol w:w="60"/>
        <w:gridCol w:w="60"/>
        <w:gridCol w:w="125"/>
        <w:gridCol w:w="695"/>
        <w:gridCol w:w="60"/>
      </w:tblGrid>
      <w:tr>
        <w:trPr/>
        <w:tc>
          <w:tcPr>
            <w:tcW w:w="33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54"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equivalents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48,361</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48,361</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4,034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Asset-backed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21,881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21,881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commercial paper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45,911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45,911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marketable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71,826</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71,826</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corporate debt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8,773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8,773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long-term marketable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23,459</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23,459</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 measured at fair value</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48,361</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95,285</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143,646</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6729" w:type="dxa"/>
        <w:jc w:val="left"/>
        <w:tblInd w:w="0" w:type="dxa"/>
        <w:tblCellMar>
          <w:top w:w="0" w:type="dxa"/>
          <w:left w:w="0" w:type="dxa"/>
          <w:bottom w:w="28" w:type="dxa"/>
          <w:right w:w="0" w:type="dxa"/>
        </w:tblCellMar>
      </w:tblPr>
      <w:tblGrid>
        <w:gridCol w:w="3350"/>
        <w:gridCol w:w="60"/>
        <w:gridCol w:w="125"/>
        <w:gridCol w:w="590"/>
        <w:gridCol w:w="60"/>
        <w:gridCol w:w="60"/>
        <w:gridCol w:w="125"/>
        <w:gridCol w:w="695"/>
        <w:gridCol w:w="60"/>
        <w:gridCol w:w="60"/>
        <w:gridCol w:w="176"/>
        <w:gridCol w:w="368"/>
        <w:gridCol w:w="60"/>
        <w:gridCol w:w="60"/>
        <w:gridCol w:w="125"/>
        <w:gridCol w:w="695"/>
        <w:gridCol w:w="60"/>
      </w:tblGrid>
      <w:tr>
        <w:trPr/>
        <w:tc>
          <w:tcPr>
            <w:tcW w:w="33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59"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cash equivalents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Short-term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corporate debt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7,013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7,013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Asset-backed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29,059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29,059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commercial paper</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64,928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64,928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short-term marketable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101,000</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101,000</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and foreign 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8,929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8,929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long-term marketable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27,972</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27,972</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5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 measured at fair value</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42,507</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128,972</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171,479</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were no transfers between Level 1, Level 2 or Level 3 during the periods presented.</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4 – Other Accrued Expenses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accrued expenses consist of the following (in thousands):</w:t>
      </w:r>
    </w:p>
    <w:p>
      <w:pPr>
        <w:pStyle w:val="TextBody"/>
        <w:spacing w:before="0" w:after="0"/>
        <w:jc w:val="both"/>
        <w:rPr/>
      </w:pPr>
      <w:r>
        <w:rPr/>
        <w:t> </w:t>
      </w:r>
    </w:p>
    <w:tbl>
      <w:tblPr>
        <w:tblW w:w="4963" w:type="dxa"/>
        <w:jc w:val="left"/>
        <w:tblInd w:w="0" w:type="dxa"/>
        <w:tblCellMar>
          <w:top w:w="0" w:type="dxa"/>
          <w:left w:w="0" w:type="dxa"/>
          <w:bottom w:w="0" w:type="dxa"/>
          <w:right w:w="0" w:type="dxa"/>
        </w:tblCellMar>
      </w:tblPr>
      <w:tblGrid>
        <w:gridCol w:w="2900"/>
        <w:gridCol w:w="60"/>
        <w:gridCol w:w="167"/>
        <w:gridCol w:w="647"/>
        <w:gridCol w:w="60"/>
        <w:gridCol w:w="60"/>
        <w:gridCol w:w="206"/>
        <w:gridCol w:w="803"/>
        <w:gridCol w:w="60"/>
      </w:tblGrid>
      <w:tr>
        <w:trPr/>
        <w:tc>
          <w:tcPr>
            <w:tcW w:w="290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xml:space="preserve">March 31,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0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6,426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professional fees and other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437</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0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accrued expenses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2,499</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6,863</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Note 5 – </w:t>
      </w:r>
      <w:r>
        <w:rPr>
          <w:rFonts w:ascii="Times New Roman" w:hAnsi="Times New Roman"/>
          <w:b/>
          <w:i w:val="false"/>
          <w:caps w:val="false"/>
          <w:smallCaps w:val="false"/>
          <w:color w:val="000000"/>
          <w:sz w:val="20"/>
        </w:rPr>
        <w:t>Sale of Common Stock</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During the three months ended March 31, 2021, the Company sold 5,991,858 shares of common stock under the 2020 ATM, for which the Company received net proceeds of $34.1 million, after deducting commissions, fees and expenses. The Company did not sell any shares of common stock under the 2020 ATM during the three months ended March 31, 2022. </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6 – Stock Plans and Stock-Based Compensation</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Equity Incentive Plans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May 2021, the Company’s stockholders approved an amendment to the Assembly Biosciences, Inc. 2018 Stock Incentive Plan (2018 Plan) that increased the aggregate number of shares of common stock reserved under the 2018 Plan to 6,600,000 and an Amended and Restated Assembly Biosciences, Inc. 2018 Employee Stock Purchase Plan (the 2018 ESPP) that, among other things, increased the number of shares of common stock reserved to an aggregate of 1,300,000.</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2022, the Company had awards outstanding under the following shareholder-approved plans: the </w:t>
      </w:r>
      <w:r>
        <w:rPr>
          <w:rFonts w:ascii="Times New Roman" w:hAnsi="Times New Roman"/>
          <w:b w:val="false"/>
          <w:i w:val="false"/>
          <w:caps w:val="false"/>
          <w:smallCaps w:val="false"/>
          <w:color w:val="000000"/>
          <w:sz w:val="20"/>
        </w:rPr>
        <w:t>2010 Equity Incentive Plan (the 2010 Plan), which has been frozen;</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color w:val="000000"/>
          <w:sz w:val="20"/>
        </w:rPr>
        <w:t xml:space="preserve">the Amended and Restated 2014 Stock Incentive Plan (the 2014 Plan); and the 2018 Plan. </w:t>
      </w:r>
      <w:r>
        <w:rPr>
          <w:rFonts w:ascii="Times New Roman" w:hAnsi="Times New Roman"/>
          <w:b w:val="false"/>
          <w:i w:val="false"/>
          <w:caps w:val="false"/>
          <w:smallCaps w:val="false"/>
          <w:sz w:val="20"/>
        </w:rPr>
        <w:t>Shares of common stock underlying awards that are forfeited under the 2010 Plan on or after June 2, 2016 will become available for issuance under the 2014 Plan. As of March 31, 2022, the Company also had awards outstanding under the Assembly Biosciences, Inc. 2017 Inducement Award Plan, the Assembly Biosciences, Inc. 2019 Inducement Award Plan and the Assembly Biosciences, Inc. 2020 Inducement Award Plan.</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issues new shares of common stock to settle options exercised and vested RSUs. The Company also issues new shares of common stock in connection with purchases of shares of common stock by eligible employees under the Company’s 2018 ESPP.</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Stock Plan Activity</w:t>
      </w:r>
    </w:p>
    <w:p>
      <w:pPr>
        <w:pStyle w:val="TextBody"/>
        <w:spacing w:before="12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Stock Options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summary of the Company’s option activity and related information for the three months ended March 31, 2022 is as follows:</w:t>
      </w:r>
    </w:p>
    <w:tbl>
      <w:tblPr>
        <w:tblW w:w="8143" w:type="dxa"/>
        <w:jc w:val="left"/>
        <w:tblInd w:w="0" w:type="dxa"/>
        <w:tblCellMar>
          <w:top w:w="0" w:type="dxa"/>
          <w:left w:w="0" w:type="dxa"/>
          <w:bottom w:w="28" w:type="dxa"/>
          <w:right w:w="0" w:type="dxa"/>
        </w:tblCellMar>
      </w:tblPr>
      <w:tblGrid>
        <w:gridCol w:w="4295"/>
        <w:gridCol w:w="60"/>
        <w:gridCol w:w="60"/>
        <w:gridCol w:w="845"/>
        <w:gridCol w:w="80"/>
        <w:gridCol w:w="60"/>
        <w:gridCol w:w="151"/>
        <w:gridCol w:w="588"/>
        <w:gridCol w:w="60"/>
        <w:gridCol w:w="60"/>
        <w:gridCol w:w="162"/>
        <w:gridCol w:w="743"/>
        <w:gridCol w:w="60"/>
        <w:gridCol w:w="60"/>
        <w:gridCol w:w="259"/>
        <w:gridCol w:w="540"/>
        <w:gridCol w:w="60"/>
      </w:tblGrid>
      <w:tr>
        <w:trPr/>
        <w:tc>
          <w:tcPr>
            <w:tcW w:w="429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 Shares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Exercise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Price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Per Share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Remaining</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Contractual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Term</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(Years)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Intrinsic</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 (in</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December 31,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6,161,901</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11.77</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1,479,550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(141,264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Expired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(24,311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26.86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9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as of March 31, 2022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7,475,876</w:t>
            </w:r>
          </w:p>
        </w:tc>
        <w:tc>
          <w:tcPr>
            <w:tcW w:w="8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vested and exercisable as of March 31, 2022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4,120,830</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8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9"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weighted-average grant-date fair value of options granted was $1.63 and $3.15 during the three months ended March 31, 2022 and 2021, respectively. There were no options exercised during the three months ended March 31, 2022 or 2021. </w:t>
      </w:r>
    </w:p>
    <w:p>
      <w:pPr>
        <w:pStyle w:val="TextBody"/>
        <w:spacing w:before="20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RSUs</w:t>
      </w:r>
    </w:p>
    <w:p>
      <w:pPr>
        <w:pStyle w:val="TextBody"/>
        <w:spacing w:before="12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summary of the Company’s RSUs and related information for the three months ended March 31, 2022 is as follows:</w:t>
      </w:r>
    </w:p>
    <w:tbl>
      <w:tblPr>
        <w:tblW w:w="5209" w:type="dxa"/>
        <w:jc w:val="left"/>
        <w:tblInd w:w="0" w:type="dxa"/>
        <w:tblCellMar>
          <w:top w:w="0" w:type="dxa"/>
          <w:left w:w="0" w:type="dxa"/>
          <w:bottom w:w="28" w:type="dxa"/>
          <w:right w:w="0" w:type="dxa"/>
        </w:tblCellMar>
      </w:tblPr>
      <w:tblGrid>
        <w:gridCol w:w="2930"/>
        <w:gridCol w:w="60"/>
        <w:gridCol w:w="60"/>
        <w:gridCol w:w="845"/>
        <w:gridCol w:w="80"/>
        <w:gridCol w:w="60"/>
        <w:gridCol w:w="227"/>
        <w:gridCol w:w="887"/>
        <w:gridCol w:w="60"/>
      </w:tblGrid>
      <w:tr>
        <w:trPr/>
        <w:tc>
          <w:tcPr>
            <w:tcW w:w="29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Number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of RSUs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Weighted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Average Fair</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Value Per RSU</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at Grant Price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Nonvested as of December 31, 2021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970,339</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7.04</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730,275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(92,286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(54,573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3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Nonvested as of March 31, 2022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1,553,755</w:t>
            </w:r>
          </w:p>
        </w:tc>
        <w:tc>
          <w:tcPr>
            <w:tcW w:w="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Pr>
          <w:p>
            <w:pPr>
              <w:pStyle w:val="TableContents"/>
              <w:spacing w:lineRule="auto" w:line="288" w:before="0" w:after="0"/>
              <w:ind w:left="0" w:right="0" w:hanging="0"/>
              <w:jc w:val="center"/>
              <w:rPr>
                <w:caps w:val="false"/>
                <w:smallCaps w:val="false"/>
                <w:color w:val="000000"/>
              </w:rPr>
            </w:pPr>
            <w:r>
              <w:rPr>
                <w:caps w:val="false"/>
                <w:smallCaps w:val="false"/>
                <w:color w:val="000000"/>
              </w:rPr>
              <w:t> </w:t>
            </w:r>
          </w:p>
        </w:tc>
        <w:tc>
          <w:tcPr>
            <w:tcW w:w="227"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7"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total fair value of RSUs vested and settled during the three months ended March 31, 2022 and 2021 was $1.1 million and $2.5 million, respectively. The total intrinsic value of RSUs vested and settled during the three months ended March 31, 2022 and 2021 was $0.2 million and $0.6 million, respectively.</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September 2019, the Company granted 100,000 RSUs with performance-based vesting conditions to its chief executive officer. On March 31, 2021, 25,000 of these awards were forfeited back to the Company due to the expiration of the time period to complete one of the performance conditions. On July 31, 2021, an additional 25,000 of these awards were forfeited back to the Company due to the expiration of the time period to complete one of the performance conditions. The outstanding 50,000 awards with an aggregate fair value of $0.4 million vest upon performance conditions not yet deemed probable. Accordingly, no stock-based compensation expense has been recognized as of March 31, 2022.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2021, the Company granted a total of 324,214 RSUs with performance-based vesting conditions upon the achievement of clinical milestones to the majority of employees, including its executive officers. The awards had a grant date fair value of $1.2 million and vest upon performance conditions not yet deemed probable. Accordingly, no stock-based compensation expense has been recognized as of March 31, 2022.</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March 2022, the Company granted 255,000 RSUs with market-based vesting conditions to members of management, including its executive officers. The awards had a grant date fair value of $0.4 million and are being recognized over the derived service period of 1.5 years and vest upon the achievement of certain market-based conditions which have not been achieved as of March 31, 2022. Stock-based compensation expense for the awards was nominal during the three months ended March 31, 2022.</w:t>
      </w:r>
    </w:p>
    <w:p>
      <w:pPr>
        <w:pStyle w:val="TextBody"/>
        <w:spacing w:before="20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ESPP</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were no shares purchased under the 2018 ESPP during the three months ended March 31, 2022 or 2021. </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Valuation Assumptions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fair value of the stock options granted or modified during the periods indicated was estimated using the Black-Scholes option pricing model, based on the following assumptions:</w:t>
      </w:r>
    </w:p>
    <w:tbl>
      <w:tblPr>
        <w:tblW w:w="4710" w:type="dxa"/>
        <w:jc w:val="left"/>
        <w:tblInd w:w="0" w:type="dxa"/>
        <w:tblCellMar>
          <w:top w:w="0" w:type="dxa"/>
          <w:left w:w="0" w:type="dxa"/>
          <w:bottom w:w="28" w:type="dxa"/>
          <w:right w:w="0" w:type="dxa"/>
        </w:tblCellMar>
      </w:tblPr>
      <w:tblGrid>
        <w:gridCol w:w="2030"/>
        <w:gridCol w:w="60"/>
        <w:gridCol w:w="1220"/>
        <w:gridCol w:w="60"/>
        <w:gridCol w:w="60"/>
        <w:gridCol w:w="1220"/>
        <w:gridCol w:w="60"/>
      </w:tblGrid>
      <w:tr>
        <w:trPr/>
        <w:tc>
          <w:tcPr>
            <w:tcW w:w="203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60" w:type="dxa"/>
            <w:gridSpan w:val="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Three Months Ended March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2022</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2021</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 price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$1.53 - $2.45</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$4.33 - $5.79</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volatility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79.2% - 81.6%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81.4% - 91.2%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Risk-free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 - 2.48%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0.50% - 1.37%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term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5.5 - 7.0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FFFFFF"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5.5 - 7.0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Expected dividend yield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20" w:type="dxa"/>
            <w:tcBorders/>
            <w:shd w:fill="CFF0FC"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fair value of RSUs granted is determined based on the price of the Company’s common stock on the date of grant. The fair value of market-based RSUs granted is determined using the Monte-Carlo simulation model.</w:t>
      </w:r>
    </w:p>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fair value of ESPP purchase rights were not material for any period presented.</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Stock-Based Compensation Expense</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components of total stock-based compensation expense included in the condensed consolidated statements of operations and comprehensive loss (in thousands):</w:t>
      </w:r>
    </w:p>
    <w:p>
      <w:pPr>
        <w:pStyle w:val="TextBody"/>
        <w:spacing w:before="0" w:after="0"/>
        <w:jc w:val="both"/>
        <w:rPr/>
      </w:pPr>
      <w:r>
        <w:rPr/>
        <w:t> </w:t>
      </w:r>
    </w:p>
    <w:tbl>
      <w:tblPr>
        <w:tblW w:w="5611" w:type="dxa"/>
        <w:jc w:val="left"/>
        <w:tblInd w:w="0" w:type="dxa"/>
        <w:tblCellMar>
          <w:top w:w="0" w:type="dxa"/>
          <w:left w:w="0" w:type="dxa"/>
          <w:bottom w:w="28" w:type="dxa"/>
          <w:right w:w="0" w:type="dxa"/>
        </w:tblCellMar>
      </w:tblPr>
      <w:tblGrid>
        <w:gridCol w:w="3350"/>
        <w:gridCol w:w="60"/>
        <w:gridCol w:w="167"/>
        <w:gridCol w:w="651"/>
        <w:gridCol w:w="80"/>
        <w:gridCol w:w="80"/>
        <w:gridCol w:w="167"/>
        <w:gridCol w:w="731"/>
        <w:gridCol w:w="80"/>
        <w:gridCol w:w="245"/>
      </w:tblGrid>
      <w:tr>
        <w:trPr/>
        <w:tc>
          <w:tcPr>
            <w:tcW w:w="335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Three Months Ended March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3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2022</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2021</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3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778</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(2,091</w:t>
            </w:r>
          </w:p>
        </w:tc>
        <w:tc>
          <w:tcPr>
            <w:tcW w:w="8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45" w:type="dxa"/>
            <w:tcBorders/>
            <w:shd w:fill="CFF0FC" w:val="clear"/>
            <w:tcMar>
              <w:bottom w:w="0"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33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tcPr>
          <w:p>
            <w:pPr>
              <w:pStyle w:val="TableContents"/>
              <w:spacing w:lineRule="auto" w:line="288" w:before="0" w:after="0"/>
              <w:ind w:left="0" w:right="0" w:hanging="0"/>
              <w:jc w:val="center"/>
              <w:rPr>
                <w:caps w:val="false"/>
                <w:smallCaps w:val="false"/>
                <w:color w:val="000000"/>
              </w:rPr>
            </w:pPr>
            <w:r>
              <w:rPr>
                <w:caps w:val="false"/>
                <w:smallCaps w:val="false"/>
                <w:color w:val="000000"/>
              </w:rPr>
              <w:t> </w:t>
            </w:r>
          </w:p>
        </w:tc>
        <w:tc>
          <w:tcPr>
            <w:tcW w:w="1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r>
        <w:trPr/>
        <w:tc>
          <w:tcPr>
            <w:tcW w:w="335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stock-based compensation expense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1,443</w:t>
            </w:r>
          </w:p>
        </w:tc>
        <w:tc>
          <w:tcPr>
            <w:tcW w:w="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double" w:sz="6" w:space="0" w:color="000000"/>
            </w:tcBorders>
            <w:shd w:fill="CFF0FC" w:val="clear"/>
            <w:vAlign w:val="bottom"/>
          </w:tcPr>
          <w:p>
            <w:pPr>
              <w:pStyle w:val="TableContents"/>
              <w:spacing w:lineRule="auto" w:line="288" w:before="0" w:after="0"/>
              <w:ind w:left="0" w:right="0" w:hanging="0"/>
              <w:rPr>
                <w:caps w:val="false"/>
                <w:smallCaps w:val="false"/>
                <w:color w:val="000000"/>
              </w:rPr>
            </w:pPr>
            <w:r>
              <w:rPr>
                <w:caps w:val="false"/>
                <w:smallCaps w:val="false"/>
                <w:color w:val="000000"/>
              </w:rPr>
              <w:t> </w:t>
            </w:r>
          </w:p>
        </w:tc>
        <w:tc>
          <w:tcPr>
            <w:tcW w:w="16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(286</w:t>
            </w:r>
          </w:p>
        </w:tc>
        <w:tc>
          <w:tcPr>
            <w:tcW w:w="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45"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tcPr>
          <w:p>
            <w:pPr>
              <w:pStyle w:val="TableContents"/>
              <w:spacing w:lineRule="auto" w:line="288" w:before="0" w:after="0"/>
              <w:jc w:val="both"/>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9955" w:type="dxa"/>
            <w:tcBorders/>
            <w:shd w:fill="auto" w:val="clear"/>
          </w:tcPr>
          <w:p>
            <w:pPr>
              <w:pStyle w:val="TableContents"/>
              <w:spacing w:before="0" w:after="0"/>
              <w:jc w:val="both"/>
              <w:rPr>
                <w:b w:val="false"/>
                <w:i w:val="false"/>
                <w:caps w:val="false"/>
                <w:smallCaps w:val="false"/>
              </w:rPr>
            </w:pPr>
            <w:r>
              <w:rPr>
                <w:b w:val="false"/>
                <w:i w:val="false"/>
                <w:caps w:val="false"/>
                <w:smallCaps w:val="false"/>
                <w:color w:val="000000"/>
                <w:sz w:val="20"/>
              </w:rPr>
              <w:t>Includes the reversal of previously recognized stock-based compensation expense of $3.6 million related to forfeited awards of terminated employees, $2.7 million of which resulted from the wind-down of the Company’s Microbiome program.</w:t>
            </w:r>
            <w:r>
              <w:rPr>
                <w:b w:val="false"/>
                <w:i w:val="false"/>
                <w:caps w:val="false"/>
                <w:smallCaps w:val="false"/>
              </w:rPr>
              <w:t xml:space="preserve"> </w:t>
            </w:r>
          </w:p>
        </w:tc>
      </w:tr>
    </w:tbl>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2022, there was $10.9 million of total unrecognized stock-based compensation related to outstanding equity awards, which is expected to be recognized over a weighted average remaining amortization period of 1.8 years.</w:t>
      </w:r>
    </w:p>
    <w:p>
      <w:pPr>
        <w:pStyle w:val="TextBody"/>
        <w:spacing w:before="0" w:after="0"/>
        <w:jc w:val="both"/>
        <w:rPr/>
      </w:pPr>
      <w:r>
        <w:rPr/>
        <w:t> </w:t>
      </w:r>
    </w:p>
    <w:p>
      <w:pPr>
        <w:pStyle w:val="TextBody"/>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Note 7 - Collaboration Agreements</w:t>
      </w:r>
    </w:p>
    <w:p>
      <w:pPr>
        <w:pStyle w:val="TextBody"/>
        <w:spacing w:before="0" w:after="0"/>
        <w:jc w:val="both"/>
        <w:rPr>
          <w:caps w:val="false"/>
          <w:smallCaps w:val="false"/>
        </w:rPr>
      </w:pPr>
      <w:r>
        <w:rPr>
          <w:caps w:val="false"/>
          <w:smallCaps w:val="false"/>
        </w:rPr>
        <w:t> </w:t>
      </w:r>
    </w:p>
    <w:p>
      <w:pPr>
        <w:pStyle w:val="TextBody"/>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BeiGene Agreement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July 2020, the Company and BeiGene, Ltd. (BeiGene) entered into a Collaboration Agreement (the BeiGene Agreement) to develop and commercialize the Company’s novel core inhibitor product candidates VBR, ABI-H2158 and ABI-H3733 (the Licensed Product Candidates) for chronic HBV infection in the People’s Republic of China, Hong Kong, Taiwan and Macau.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March 31, 2022 the only remaining performance obligation under the BeiGene Agreement not considered to be complete is the transfer of the ABI-H3733 License. The transaction price allocated to ABI-H3733 of $2.7 million was recognized as a long-term deferred revenue contract liability as of both March 31, 2022 and December 31, 2021, and will be recognized as revenue when the Company provides pre-Phase 3 clinical study know-how and development results for ABI-H3733 to BeiGene or a termination of the BeiGene Agreement for ABI-H3733. During the three months ended March 31, 2022 and 2021, the Company did not recognize any revenue or increase or reduction of research and development expense under the BeiGene Agreement.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 incurred $3.5 million in incremental costs of obtaining the BeiGene Agreement in 2020. These contract costs have been capitalized and are being recognized consistent with the pattern of recognition of revenue associated with the Licensed Product Candidates. As of March 31, 2022 and December 31, 2021, the remaining unamortized contract costs are $0.2 million and are included in other assets on the condensed consolidated balance sheet.</w:t>
      </w:r>
    </w:p>
    <w:p>
      <w:pPr>
        <w:pStyle w:val="TextBody"/>
        <w:spacing w:before="0" w:after="0"/>
        <w:jc w:val="both"/>
        <w:rPr/>
      </w:pPr>
      <w:r>
        <w:rPr/>
        <w:t> </w:t>
      </w:r>
    </w:p>
    <w:p>
      <w:pPr>
        <w:pStyle w:val="TextBody"/>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Arbutus Biopharma Agreement</w:t>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August 2020, the Company and Arbutus Biopharma Corporation (Arbutus Biopharma) entered into a Clinical Trial Collaboration Agreement (the Arbutus Biopharma Agreement) to </w:t>
      </w:r>
      <w:r>
        <w:rPr>
          <w:rFonts w:ascii="Times New Roman" w:hAnsi="Times New Roman"/>
          <w:b w:val="false"/>
          <w:i w:val="false"/>
          <w:caps w:val="false"/>
          <w:smallCaps w:val="false"/>
          <w:color w:val="000000"/>
          <w:sz w:val="20"/>
          <w:highlight w:val="white"/>
        </w:rPr>
        <w:t>conduct a randomized, multi-center, open-label Phase 2 clinical trial to explore the safety, PK and antiviral activity of the triple combination of VBR, AB-729 and an NrtI compared to the double combinations of VBR with an NrtI and AB-729 with an NrtI.</w:t>
      </w:r>
      <w:r>
        <w:rPr>
          <w:rFonts w:ascii="Times New Roman" w:hAnsi="Times New Roman"/>
          <w:b w:val="false"/>
          <w:i w:val="false"/>
          <w:caps w:val="false"/>
          <w:smallCaps w:val="false"/>
          <w:color w:val="000000"/>
          <w:sz w:val="20"/>
        </w:rPr>
        <w:t xml:space="preserve"> Under the Arbutus Biopharma Agreement, Assembly and Arbutus Biopharma share responsibility for the costs of the trial equally, excluding manufacturing supply which are the burden of each company to supply their respective drugs, VBR and AB-729.</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the three months ended March 31, 2022 and 2021, the Company recognized a reduction of research and development expenses of $0.6 million and $0.5 million, respectively, under the Arbutus </w:t>
      </w:r>
      <w:r>
        <w:rPr>
          <w:rFonts w:ascii="Times New Roman" w:hAnsi="Times New Roman"/>
          <w:b w:val="false"/>
          <w:i w:val="false"/>
          <w:caps w:val="false"/>
          <w:smallCaps w:val="false"/>
          <w:color w:val="000000"/>
          <w:sz w:val="20"/>
        </w:rPr>
        <w:t>Biopharma</w:t>
      </w:r>
      <w:r>
        <w:rPr>
          <w:rFonts w:ascii="Times New Roman" w:hAnsi="Times New Roman"/>
          <w:b w:val="false"/>
          <w:i w:val="false"/>
          <w:caps w:val="false"/>
          <w:smallCaps w:val="false"/>
          <w:sz w:val="20"/>
        </w:rPr>
        <w:t xml:space="preserve"> Agreement. </w:t>
      </w:r>
    </w:p>
    <w:p>
      <w:pPr>
        <w:pStyle w:val="TextBody"/>
        <w:spacing w:before="0" w:after="0"/>
        <w:jc w:val="both"/>
        <w:rPr/>
      </w:pPr>
      <w:r>
        <w:rPr/>
        <w:t> </w:t>
      </w:r>
    </w:p>
    <w:p>
      <w:pPr>
        <w:pStyle w:val="TextBody"/>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Antios Agreement</w:t>
      </w:r>
    </w:p>
    <w:p>
      <w:pPr>
        <w:pStyle w:val="TextBody"/>
        <w:spacing w:before="20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In July 2021, the Company and Antios entered into a Clinical Trial Collaboration Agreement (the Antios Agreement) to collaborate on a triple combination therapy using VBR and Antios’s active site polymerase inhibitor nucleotide ATI-2173 for the treatment of HBV. Assembly and Antios are individually responsible for the study’s manufacturing costs but will equally share the remaining costs of the study.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During the </w:t>
      </w:r>
      <w:r>
        <w:rPr>
          <w:rFonts w:ascii="Times New Roman" w:hAnsi="Times New Roman"/>
          <w:b w:val="false"/>
          <w:i w:val="false"/>
          <w:caps w:val="false"/>
          <w:smallCaps w:val="false"/>
          <w:color w:val="000000"/>
          <w:sz w:val="20"/>
        </w:rPr>
        <w:t>three months ended March 31, 2022</w:t>
      </w:r>
      <w:r>
        <w:rPr>
          <w:rFonts w:ascii="Times New Roman" w:hAnsi="Times New Roman"/>
          <w:b w:val="false"/>
          <w:i w:val="false"/>
          <w:caps w:val="false"/>
          <w:smallCaps w:val="false"/>
          <w:color w:val="000000"/>
          <w:sz w:val="20"/>
          <w:highlight w:val="white"/>
        </w:rPr>
        <w:t xml:space="preserve">, the Company incurred $0.1 million in research and development expenses under the Antios Agreement. </w:t>
      </w:r>
    </w:p>
    <w:p>
      <w:pPr>
        <w:pStyle w:val="TextBody"/>
        <w:spacing w:before="200" w:after="0"/>
        <w:rPr>
          <w:rFonts w:ascii="Times New Roman" w:hAnsi="Times New Roman"/>
          <w:b/>
          <w:i w:val="false"/>
          <w:caps w:val="false"/>
          <w:smallCaps w:val="false"/>
          <w:sz w:val="20"/>
        </w:rPr>
      </w:pPr>
      <w:r>
        <w:rPr>
          <w:rFonts w:ascii="Times New Roman" w:hAnsi="Times New Roman"/>
          <w:b/>
          <w:i w:val="false"/>
          <w:caps w:val="false"/>
          <w:smallCaps w:val="false"/>
          <w:sz w:val="20"/>
        </w:rPr>
        <w:t>Note 8 - Milestones and Research Agreements</w:t>
      </w:r>
    </w:p>
    <w:p>
      <w:pPr>
        <w:pStyle w:val="TextBody"/>
        <w:spacing w:before="200" w:after="0"/>
        <w:rPr>
          <w:rFonts w:ascii="Times New Roman" w:hAnsi="Times New Roman"/>
          <w:b w:val="false"/>
          <w:i/>
          <w:caps w:val="false"/>
          <w:smallCaps w:val="false"/>
          <w:sz w:val="20"/>
        </w:rPr>
      </w:pPr>
      <w:r>
        <w:rPr>
          <w:rFonts w:ascii="Times New Roman" w:hAnsi="Times New Roman"/>
          <w:b w:val="false"/>
          <w:i/>
          <w:caps w:val="false"/>
          <w:smallCaps w:val="false"/>
          <w:sz w:val="20"/>
        </w:rPr>
        <w:t>HBV Research Agreement with Indiana University</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The Company paid IURTC $0.1 million in diligence maintenance fees during the three months ended March 31, 2022. No amounts were paid during the three months ended March 31, 2021.</w:t>
      </w:r>
    </w:p>
    <w:p>
      <w:pPr>
        <w:pStyle w:val="TextBody"/>
        <w:spacing w:before="200" w:after="0"/>
        <w:rPr>
          <w:rFonts w:ascii="Times New Roman" w:hAnsi="Times New Roman"/>
          <w:b w:val="false"/>
          <w:i/>
          <w:caps w:val="false"/>
          <w:smallCaps w:val="false"/>
          <w:sz w:val="20"/>
        </w:rPr>
      </w:pPr>
      <w:r>
        <w:rPr>
          <w:rFonts w:ascii="Times New Roman" w:hAnsi="Times New Roman"/>
          <w:b w:val="false"/>
          <w:i/>
          <w:caps w:val="false"/>
          <w:smallCaps w:val="false"/>
          <w:sz w:val="20"/>
        </w:rPr>
        <w:t>Microbiome Targeted Colonic Delivery Platform</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wind-down of the Microbiome program, the License and Collaboration Agreement with Therabiome was terminated in January 2021, and the termination became effective in April 2021. No amounts were accrued for this agreement as of and for the three months ended March 31, 2022 or 2021.</w:t>
      </w:r>
      <w:r>
        <w:rPr>
          <w:rFonts w:ascii="Times New Roman" w:hAnsi="Times New Roman"/>
          <w:b w:val="false"/>
          <w:i w:val="false"/>
          <w:caps w:val="false"/>
          <w:smallCaps w:val="false"/>
          <w:color w:val="000000"/>
          <w:sz w:val="20"/>
        </w:rPr>
        <w:t xml:space="preserve"> </w:t>
      </w:r>
    </w:p>
    <w:p>
      <w:pPr>
        <w:pStyle w:val="TextBody"/>
        <w:spacing w:before="0" w:after="0"/>
        <w:jc w:val="both"/>
        <w:rPr/>
      </w:pPr>
      <w:r>
        <w:rPr/>
        <w:t> </w:t>
      </w:r>
    </w:p>
    <w:p>
      <w:pPr>
        <w:pStyle w:val="TextBody"/>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Door Pharma Agreement</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In November 2020, the Company and Door Pharmaceuticals, LLC (Door Pharma) entered into an exclusive, two-year Collaboration Agreement and Sublicense Agreement (collectively, the Door Pharma Agreement) </w:t>
      </w:r>
      <w:r>
        <w:rPr>
          <w:rFonts w:ascii="Times New Roman" w:hAnsi="Times New Roman"/>
          <w:b w:val="false"/>
          <w:i w:val="false"/>
          <w:caps w:val="false"/>
          <w:smallCaps w:val="false"/>
          <w:color w:val="000000"/>
          <w:sz w:val="20"/>
        </w:rPr>
        <w:t xml:space="preserve">focused on the development of a novel class of HBV inhibitors.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highlight w:val="white"/>
        </w:rPr>
        <w:t xml:space="preserve">During the three months ended March 31, 2022 and 2021, the Company incurred research and development funding of $0.7 million and $0.4 million, respectively, under the Door Pharma Agreement. No success-based milestones were determined to have occurred under this agreement during the three months ended March 31, 2022 or 2021. The Company terminated the Door Pharma Agreement in May 2022, effective September 2022, </w:t>
      </w:r>
      <w:r>
        <w:rPr>
          <w:rFonts w:ascii="Times New Roman" w:hAnsi="Times New Roman"/>
          <w:b w:val="false"/>
          <w:i w:val="false"/>
          <w:caps w:val="false"/>
          <w:smallCaps w:val="false"/>
          <w:color w:val="000000"/>
          <w:sz w:val="20"/>
        </w:rPr>
        <w:t>to focus its resources on its other internal HBV programs and its programs targeting other viruses</w:t>
      </w:r>
      <w:r>
        <w:rPr>
          <w:rFonts w:ascii="Times New Roman" w:hAnsi="Times New Roman"/>
          <w:b w:val="false"/>
          <w:i w:val="false"/>
          <w:caps w:val="false"/>
          <w:smallCaps w:val="false"/>
          <w:color w:val="000000"/>
          <w:sz w:val="20"/>
          <w:highlight w:val="white"/>
        </w:rPr>
        <w:t>.</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consolidation accounting standard, the Company determined Door Pharma is a variable interest entity. The Company does not have the power to direct the activities which most significantly affect the economic performance of Door Pharma and as such the Company is not the primary beneficiary and consolidation is not required. As of March 31, 2022, the Company has not provided financial or other support to Door Pharma that was not contractually required.</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bookmarkStart w:id="9" w:name="ITEM_2_MANAGEMENTS_DISCUSSION_ANALYSIS_F"/>
      <w:bookmarkEnd w:id="9"/>
      <w:r>
        <w:rPr>
          <w:rFonts w:ascii="Times New Roman" w:hAnsi="Times New Roman"/>
          <w:b/>
          <w:i w:val="false"/>
          <w:caps w:val="false"/>
          <w:smallCaps w:val="false"/>
          <w:sz w:val="20"/>
        </w:rPr>
        <w:t>Item 2. Management’s Discussion and Analysis of Financial Condition and Results of Operations</w:t>
      </w:r>
    </w:p>
    <w:p>
      <w:pPr>
        <w:pStyle w:val="TextBody"/>
        <w:spacing w:before="20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The condensed consolidated financial statements and this Management’s Discussion and Analysis of Financial Condition and Results of Operations should be read in conjunction with the consolidated financial statements and notes thereto for the year ended December 31, 2021 and the related Management’s Discussion and Analysis of Financial Condition and Results of Operations, both of which are contained in our Annual Report on Form 10-K for the fiscal year ended December 31, 2021 filed with the U.S. Securities and Exchange Commission on March 11, 2022 (2021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2021 Annual Report and “Part II. Item 1A. Risk Factors” in this report.</w:t>
      </w:r>
    </w:p>
    <w:p>
      <w:pPr>
        <w:pStyle w:val="TextBody"/>
        <w:spacing w:before="20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Overview</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a clinical-stage biotechnology company focused on discovery and development of innovative therapeutics targeting hepatitis B virus (HBV) and other viral diseases.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World Health Organization (WHO) estimates that 296 million people worldwide are chronically infected with HBV as of 2019. Our research and development organizations are pursuing multiple drug candidates designed to inhibit the HBV replication cycle and block the generation of covalently closed circular DNA (cccDNA), with the aim of discovering and developing finite and curative therapies for patients with chronic HBV infection. We have discovered several novel core inhibitors, which are small molecules that directly target and allosterically modulate the HBV core protein in a way that affects assembly and stability of HBV nucleocapsids, and we are currently advancing an early-stage program evaluating a novel small molecule approach to inhibit entry for HBV and hepatitis delta virus (HDV). HDV is estimated to impact approximately 5% of those chronically infected with HBV, or approximately 12 million people. In addition, our research organization is working on discovering and developing small molecules targeting an additional novel, currently undisclosed HBV target.</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While we continue our efforts to develop finite and curative therapies for patients with chronic HBV and HDV infection, our research organization recently launched an exploratory virology discovery program for compounds directed at a number of non-HBV viral targets. These targets, which we currently expect to disclose in mid-2022, were selected to leverage the deep antiviral expertise and experience of our research and development organizations against diseases with significant unmet medical need.</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ongoing COVID-19 pandemic and its broad, global impacts, including supply chain disruptions, have impacted certain aspects of our business, including where and how our employees work in our labs and offices and how and when our nonclinical and clinical studies are conducted. Early in the pandemic, our clinical and preclinical studies were largely unaffected, but as the pandemic has continued, we have experienced enrollment delays for two of our multi-drug combination clinical studies, delayed animal studies and delayed shipping of compounds necessary for our research programs. Although the clinical studies that experienced enrollment delays are now fully enrolled, the lockdowns resulting from China’s strict “zero covid” policy are also impacting execution of one of these multi-drug clinical studies. We rely on contract research organizations (CROs), some of which are in China and India. While these CROs have experienced pandemic-related impacts from time to time, the latest shutdowns in China have impacted us more than earlier in the pandemic.</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previously announced, in January 2021, we wound down our Microbiome program to prioritize and focus our resources on our virology programs. Our Microbiome program had been developing a novel class of oral live microbial biotherapeutics candidates designed to treat disorders associated with the microbiome.</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Our Primary Focus: Targeting HBV Core Protein to Achieve a Cure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HBV is a DNA virus that infects hepatocytes and establishes a reservoir of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most of our research and development efforts to date have focused on discovering and developing compounds targeting the core protein, a viral protein involved in numerous aspects of the HBV replication cycle, including the generation of HBV cccDNA. Through our research efforts, we have discovered several chemically distinct series of small molecule core inhibitors that directly target and allosterically inhibit core protein functions.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Vebicorvir</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Vebicorvir (VBR), our lead core inhibitor product candidate, is licensed from Indiana University. The conduct of our initial Phase 2 studies, Study 201 and 202, is complete. In these studies, VBR administered with NrtI therapy demonstrated a favorable safety profile and led to greater viral suppression of both HBV DNA and viral pgRNA than NrtI therapy alone.</w:t>
      </w:r>
    </w:p>
    <w:p>
      <w:pPr>
        <w:pStyle w:val="TextBody"/>
        <w:spacing w:lineRule="auto" w:line="288"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most recently completed study for VBR, Study 211, involved transitioning patients who met the requisite stopping criteria, as determined in collaboration with our lead investigators and the U.S. Food and Drug Administration (FDA), off of therapy to test for sustained virologic response (SVR). SVR refers to sustained viral suppression (more than six months) of HBV DNA below LLOQ and would be consistent with a successful finite treatment for chronic HBV infection. During the trial, it became clear that patients who stopped therapy in Study 211 had not achieved SVR, as all patients relapsed, meaning they had detectable HBV and the dual combination therapy of VBR + NrtI was insufficient to cure chronic HBV infection in the studied population. Based on these results, we terminated Study 211 in the fourth quarter of 2020. We presented follow-up data from Study 211 related to virologic response, safety and resistance following treatment discontinuation, at the European Association for the Study of the Liver’s (EASL) International Liver CongressTM in June 2021 (EASL 2021). At the American Association for the Study of Liver Diseases (AASLD) Annual Meeting in November 2021 (AASLD 2021), we presented additional follow-up data from Study 211 demonstrating that patients had increases of HBV DNA and pgRNA after discontinuation of VBR despite continued NrtI treatment, further supporting that core inhibitors deepen viral suppression in combination with NrtIs. At the EASL International Liver CongressTM in June 2022 (EASL 2022), we plan to present additional VBR data related to the correlation between deeper virologic suppression and fibrosis-4 index in treatment naïve patients with HBeAg positive chronic HBV infection, an evaluation of the drug-drug interaction profile of VBR and an evaluation of the disposition and mass balance recovery of VBR in rats and humans.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Based on discussions with leading viral hepatitis experts, global regulatory discussions and feedback, and, with respect to the China territory, discussions and agreement with our collaboration partner, BeiGene, Ltd. (BeiGene), in early 2021, we decided to not move forward with the global registrational studies for VBR as a chronic suppressive treatment (CST) in combination with NrtI. The decision was made to focus on the greatest unmet medical need of patients, which lies predominantly in cure, rather than CST. As a result, we terminated Study 205 and began to focus our efforts with VBR in combination with NrtI and additional mechanisms targeting finite and curative combination therapy.</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currently have three Phase 2 triple combination studies involving VBR ongoing. These studies are detailed below. See “—Multi-Drug Combination Studies.”</w:t>
      </w:r>
    </w:p>
    <w:p>
      <w:pPr>
        <w:pStyle w:val="TextBody"/>
        <w:spacing w:before="20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Next Generation Core Inhibitors</w:t>
      </w:r>
    </w:p>
    <w:p>
      <w:pPr>
        <w:pStyle w:val="TextBody"/>
        <w:spacing w:before="200" w:after="0"/>
        <w:jc w:val="both"/>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ABI-H3733</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first of two next-generation core inhibitor product candidates, ABI-H3733 (3733), was internally discovered and developed. The chemical scaffold of 3733 is novel and distinct from each of VBR, ABI-4334 (4334) and our discontinued core inhibitor product candidate, ABI-H2158 (2158).</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2020, we initiated and completed a Phase 1a clinical study of 3733 to evaluate safety, tolerability and pharmacokinetics (PK) following single ascending dose and multiple ascending dose administration in healthy subjects in New Zealand. Preliminary data indicate that 3733 was generally well-tolerated and had favorable PK. Results detailing 3733’s safety and PK from this study were presented in a poster presentation at AASLD 2021.</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at EASL 2021, we presented observations on 3733’s enhanced potency and target coverage for both antiviral activity and inhibition of cccDNA generation as compared to VBR and 2158. At EASL 2022, we plan to present 3733’s improved PK profile resulting from new formulation activities.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to initiate a Phase 1b study with the improved formulation of 3733 in patients with chronic HBV infection in the first half of 2022.</w:t>
      </w:r>
    </w:p>
    <w:p>
      <w:pPr>
        <w:pStyle w:val="TextBody"/>
        <w:spacing w:before="200" w:after="0"/>
        <w:jc w:val="both"/>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ABI-4334</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mid-2021, we announced the selection of 4334, our other next-generation core inhibitor product candidate. As with all of our core inhibitor product candidates nominated after VBR, 4334 was internally discovered and developed. In addition, the chemical scaffold of 4334 is also novel and distinct from each of VBR, 3733 and 2158.</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nominated 4334 based on a preclinical target drug profile that indicates enhanced target coverage and potency to prevent both formation of new virus and cccDNA, which is responsible for maintaining the HBV viral reservoir.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was shared in a poster presentation at AASLD in November 2021. At EASL 2022, we plan to present preclinical data demonstrating that 4334 promotes formation of empty capsids and prevents cccDNA formation by disrupting incoming capsids.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preclinical work on 4334 is ongoing, with the aim of completing Investigational New Drug (IND) enabling studies and initiating a Phase 1a clinical study in the second half of 2022.</w:t>
      </w:r>
    </w:p>
    <w:p>
      <w:pPr>
        <w:pStyle w:val="TextBody"/>
        <w:spacing w:before="20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ABI-H2158</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September 2021, we discontinued development of 2158 following the observation of elevated alanine transaminase (ALT) levels in the Phase 2 clinical study consistent with drug-induced hepatotoxicity.</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Multi-Drug Combination Studies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believe that core inhibitors and NrtI will be central to finite and curative therapies for chronic HBV infection. Therefore, as we continue to develop and advance our current and future core inhibitors through clinical studies, we plan to conduct multi-drug combination studies in parallel that add additional drugs (or compounds) with nonoverlapping mechanisms of action to the core inhibitor + NrtI antiviral backbone. We currently have three ongoing triple combination studies.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first triple combination study is being conducted pursuant to a Clinical Trial Agreement with Arbutus Biopharma Corporation (Arbutus Biopharma) and consists of a randomized, multi-center, open-label Phase 2 clinical study to explore the safety, PK and antiviral activity of the triple combination of VBR, NrtI and AB-729 (Arbutus Biopharma’s investigational RNAi candidate) compared to the double combinations of VBR + NrtI and AB-729 + NrtI in virologically suppressed patients. This clinical study initiated in the first quarter of 2021 and completed enrollment in February 2022. We expect to share interim on-treatment results from this study in the second half of 2022.</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second triple combination study evaluates VBR and NrtI in combination with interferon in treatment-naïve HBeAg positive subjects. This study was also initiated in the first quarter of 2021 and completed enrollment in March 2022. We expect to share interim on-treatment results from this study in the second half of 2022.</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third triple combination study is being conducted pursuant to a Clinical Trial Collaboration Agreement with Antios Therapeutics, Inc. (Antios) to evaluate ATI-2173, Antios’s investigational proprietary active site polymerase inhibitor nucleotide (ASPIN), VBR and tenofovir disoproxil fumarate, an NrtI. This multi-center, double-blinded, placebo-controlled study to explore the safety, PK and antiviral activity of this all-oral triple combination. This study, which will enroll ten treatment-naïve or off-treatment HBeAg negative or positive patients in a 12-week treatment study, was initiated in April 2022. The study plan initially included a site in Ukraine, but the study will no longer be conducted there due to the instability resulting from Russia’s invasion. We expect these changes to our study plan to result in a delayed data readout.</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Both our first and second triple combination studies have experienced enrollment delays due to the ongoing COVID-19 pandemic. The pandemic has impacted patients and study sites through patient screening delays, travel restrictions and hesitancy to travel to study sites. The pandemic has also impacted our vendors, as our central laboratories have been unable to meet their contractual obligations, and our vendors have experienced staffing constraints and supply chain challenges as they seek to obtain lab kits, reagents and other items necessary to enroll patients in our studies. As a result, we were unable to fully enroll our first and second triple combination studies in 2021 as initially planned; however, enrollment for both of these studies was completed in the first quarter of 2022, and we do not believe these delays will impact interim data readouts for these studies, which remains on schedule in the second half of 2022.</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Beyond Core Inhibitors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to the development and advancement of our core inhibitor portfolio and our current and future multi-drug combination studies, our research and development team is working on discovering and developing small molecules to inhibit HBV and HDV viral entry and small molecules targeting an additional novel, currently undisclosed HBV target, which we expect to announce in the first half of 2022, to complement our HBV cure strategy.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HBV/HDV Inhibitor</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March 2022, we announced our new research focused on a novel, orally bioavailable small molecule approach to inhibit entry of HBV and HDV. While HDV is less well known in the U.S., it is a significant and serious health problem with inadequate treatment in many parts of Europe, Africa, the Middle East, East Asia and parts of South America. HDV is a “satellite virus,” because it can only infect people (1) that are already infected with HBV or (2) at the same time as a person is infected with HBV. HDV is known to accelerate disease progression and increase the incidence of liver cirrhosis and liver cancer, which results in higher morbidity and mortality rates than HBV alone. The current standard of care treatment for HDV is a large, complex molecule that requires daily injections. Our research team has identified a potential opportunity to develop a safe and effective oral small molecule, which could significantly improve convenience and potentially enhance treatment uptake and diagnosis rates. Based on current progress, our research team’s aim is to nominate a product candidate for development in the first half of 2023.</w:t>
      </w:r>
    </w:p>
    <w:p>
      <w:pPr>
        <w:pStyle w:val="TextBody"/>
        <w:spacing w:before="20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cccDNA Disruptors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November 2020, we entered into an exclusive, two-year collaboration and option agreement with Door Pharmaceuticals, LLC (Door Pharma) focused on the development of a novel class of HBV inhibitors, which we terminated in May 2022. The termination will be effective September 2022. Prior to the termination of collaboration with Door Pharma, we worked with Door Pharma on identifying cccDNA disruptors aimed at inhibiting different intra-nuclear steps in the viral replication cycle that complement the activity of our core inhibitors.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terminated this collaboration to focus our resources on our other internal HBV programs and our programs targeting other viruses.</w:t>
      </w:r>
    </w:p>
    <w:p>
      <w:pPr>
        <w:pStyle w:val="TextBody"/>
        <w:spacing w:before="20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Additional Antiviral Opportunities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to our work toward developing finite and curative therapies for patients with chronic HBV infection, we have expanded our research and development organizations’ reach by pursuing exploratory research on novel compounds targeting other viruses. Our expanded focus leverages the depth and breadth of virology expertise of our research and development organization to diversify our pipeline into areas of high unmet medical need.</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to disclose more information regarding these discovery programs on additional viral targets in mid-2022.</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Operations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currently have corporate and administrative offices and research laboratory space in South San Francisco, California as well as registrational offices in China.</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generated significant losses to date, and we expect to</w:t>
      </w:r>
      <w:r>
        <w:rPr>
          <w:rFonts w:ascii="Times New Roman" w:hAnsi="Times New Roman"/>
          <w:b w:val="false"/>
          <w:i w:val="false"/>
          <w:caps w:val="false"/>
          <w:smallCaps w:val="false"/>
          <w:color w:val="000000"/>
          <w:sz w:val="20"/>
        </w:rPr>
        <w:t xml:space="preserve"> continue to generate losses as we develop our product candidates. As of March 31, 2022, we had an accumulated deficit of $654.5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COVID-19 pandemic resulted in substantially all of our U.S.-based non-research employees working from their homes beginning in mid-March 2020. In addition, we took the additional step of requiring all of our employees be fully vaccinated against COVID-19. As government restrictions have relaxed, our employees began returning to the office during the first quarter of 2022. We have adopted a hybrid working model, which allows our employees flexibility regarding when and how frequently to return to the office.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has not been any significant interruption to date of essential activities at our offices, including work in our laboratories with proper protections and procedures in place. While we have experienced some shipping delays or shortages of personal protective equipment (PPE) that are important to maintaining normal workflows in our laboratories, we have been able to continue our critical research activities through schedule shifts, use of PPE 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hand and reallocation of certain resources that allow our employees to practice “social distancing” and comply with applicable laws. </w:t>
      </w:r>
      <w:r>
        <w:rPr>
          <w:rFonts w:ascii="Times New Roman" w:hAnsi="Times New Roman"/>
          <w:b w:val="false"/>
          <w:i w:val="false"/>
          <w:caps w:val="false"/>
          <w:smallCaps w:val="false"/>
          <w:color w:val="000000"/>
          <w:sz w:val="20"/>
        </w:rPr>
        <w:t xml:space="preserve">Early in the pandemic, our clinical and preclinical studies were largely unaffected, but as the pandemic has continued, we have experienced enrollment delays for two of our multi-drug combination clinical studies, delayed animal studies and delayed shipping of compounds necessary for our research programs. Although the clinical studies that experienced enrollment delays are now fully enrolled, the lockdowns resulting from China’s strict “zero covid” policy are also impacting execution of one of these multi-drug clinical studies. </w:t>
      </w:r>
      <w:r>
        <w:rPr>
          <w:rFonts w:ascii="Times New Roman" w:hAnsi="Times New Roman"/>
          <w:b w:val="false"/>
          <w:i w:val="false"/>
          <w:caps w:val="false"/>
          <w:smallCaps w:val="false"/>
          <w:sz w:val="20"/>
        </w:rPr>
        <w:t xml:space="preserve">We continually work with our CROs and other vendors to ensure, to the extent possible, that services are provided in a timely manner while also identifying alternative vendors and strategies to utilize in the event that COVID- or third party-related delays threaten our ability to meet our timelines. </w:t>
      </w:r>
      <w:r>
        <w:rPr>
          <w:rFonts w:ascii="Times New Roman" w:hAnsi="Times New Roman"/>
          <w:b w:val="false"/>
          <w:i w:val="false"/>
          <w:caps w:val="false"/>
          <w:smallCaps w:val="false"/>
          <w:color w:val="000000"/>
          <w:sz w:val="20"/>
        </w:rPr>
        <w:t>However, some of our CROs are in China and India, and while these CROs have experienced pandemic-related impacts from time to time, the latest shutdowns in China have impacted us more than earlier in the pandemic. We cannot currently predict the specific extent, duration or full impact the COVID-19 pandemic will have on our ongoing and planned research efforts, clinical studies and other business operations. We continue to monitor the situation regularly for additional potential delays, or modifications to our ongoing and planned studies and, if circumstances warrant, we may adjust our budget and operating plan.</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Estimates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management’s discussion and analysis of our financial condition and results of operations are based on our condensed consolidated financial statements, which have been prepared in accordance with accounting principles generally accepted in the United States (U.S. GAAP). The preparation of these financial statements requires us to make estimates and assumptions that affect the reported amounts of assets, liabilities, revenues, and expenses.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evaluate our estimates and judgments, including those related to research and development expense and accruals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critical accounting policies and significant estimates are detailed in our 2021 Annual Report. Our critical accounting policies and significant estimates have not changed from those previously disclosed in our 2021 Annual Report.</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Results of Operations </w:t>
      </w:r>
    </w:p>
    <w:p>
      <w:pPr>
        <w:pStyle w:val="TextBody"/>
        <w:spacing w:before="200" w:after="0"/>
        <w:jc w:val="both"/>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March 31, 2022 and 2021</w:t>
      </w:r>
    </w:p>
    <w:p>
      <w:pPr>
        <w:pStyle w:val="TextBody"/>
        <w:spacing w:before="20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Research and Development Expense</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the period-over-period changes in our research and development expenses (in thousands, except for percentages): </w:t>
      </w:r>
    </w:p>
    <w:tbl>
      <w:tblPr>
        <w:tblW w:w="8380" w:type="dxa"/>
        <w:jc w:val="left"/>
        <w:tblInd w:w="0" w:type="dxa"/>
        <w:tblCellMar>
          <w:top w:w="0" w:type="dxa"/>
          <w:left w:w="0" w:type="dxa"/>
          <w:bottom w:w="28" w:type="dxa"/>
          <w:right w:w="0" w:type="dxa"/>
        </w:tblCellMar>
      </w:tblPr>
      <w:tblGrid>
        <w:gridCol w:w="3455"/>
        <w:gridCol w:w="60"/>
        <w:gridCol w:w="186"/>
        <w:gridCol w:w="881"/>
        <w:gridCol w:w="89"/>
        <w:gridCol w:w="89"/>
        <w:gridCol w:w="186"/>
        <w:gridCol w:w="881"/>
        <w:gridCol w:w="60"/>
        <w:gridCol w:w="60"/>
        <w:gridCol w:w="190"/>
        <w:gridCol w:w="834"/>
        <w:gridCol w:w="80"/>
        <w:gridCol w:w="60"/>
        <w:gridCol w:w="134"/>
        <w:gridCol w:w="890"/>
        <w:gridCol w:w="245"/>
      </w:tblGrid>
      <w:tr>
        <w:trPr/>
        <w:tc>
          <w:tcPr>
            <w:tcW w:w="3455" w:type="dxa"/>
            <w:tcBorders>
              <w:bottom w:val="sing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31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24"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Change</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 vs. 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 vs. 2021</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CCEC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External expenses:</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45"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VBR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1,921</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5,568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shd w:fill="CCEC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2158</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901</w:t>
            </w:r>
          </w:p>
        </w:tc>
        <w:tc>
          <w:tcPr>
            <w:tcW w:w="89"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2,386</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(1,485</w:t>
            </w:r>
          </w:p>
        </w:tc>
        <w:tc>
          <w:tcPr>
            <w:tcW w:w="80" w:type="dxa"/>
            <w:tcBorders/>
            <w:shd w:fill="CCEC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tc>
        <w:tc>
          <w:tcPr>
            <w:tcW w:w="245" w:type="dxa"/>
            <w:tcBorders/>
            <w:shd w:fill="CCEC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3733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1,195</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193</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shd w:fill="CCEC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4334</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1,257</w:t>
            </w:r>
          </w:p>
        </w:tc>
        <w:tc>
          <w:tcPr>
            <w:tcW w:w="89"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558</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699</w:t>
            </w:r>
          </w:p>
        </w:tc>
        <w:tc>
          <w:tcPr>
            <w:tcW w:w="8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w:t>
            </w:r>
          </w:p>
        </w:tc>
        <w:tc>
          <w:tcPr>
            <w:tcW w:w="245" w:type="dxa"/>
            <w:tcBorders/>
            <w:shd w:fill="CCEC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Microbiome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bottom w:val="single" w:sz="6" w:space="0" w:color="000000"/>
            </w:tcBorders>
            <w:shd w:fill="CCEC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discovery</w:t>
            </w:r>
          </w:p>
        </w:tc>
        <w:tc>
          <w:tcPr>
            <w:tcW w:w="60"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2,087</w:t>
            </w:r>
          </w:p>
        </w:tc>
        <w:tc>
          <w:tcPr>
            <w:tcW w:w="89"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1,148</w:t>
            </w:r>
          </w:p>
        </w:tc>
        <w:tc>
          <w:tcPr>
            <w:tcW w:w="60"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bottom w:val="sing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939</w:t>
            </w:r>
          </w:p>
        </w:tc>
        <w:tc>
          <w:tcPr>
            <w:tcW w:w="80"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CEC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tc>
        <w:tc>
          <w:tcPr>
            <w:tcW w:w="245" w:type="dxa"/>
            <w:tcBorders>
              <w:bottom w:val="sing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external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7,361</w:t>
            </w:r>
          </w:p>
        </w:tc>
        <w:tc>
          <w:tcPr>
            <w:tcW w:w="8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10,556</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(3,195</w:t>
            </w:r>
          </w:p>
        </w:tc>
        <w:tc>
          <w:tcPr>
            <w:tcW w:w="80"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shd w:fill="CCEC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Employee and contractor-related expenses</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8,185</w:t>
            </w:r>
          </w:p>
        </w:tc>
        <w:tc>
          <w:tcPr>
            <w:tcW w:w="89"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4,896</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3,289</w:t>
            </w:r>
          </w:p>
        </w:tc>
        <w:tc>
          <w:tcPr>
            <w:tcW w:w="8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w:t>
            </w:r>
          </w:p>
        </w:tc>
        <w:tc>
          <w:tcPr>
            <w:tcW w:w="245" w:type="dxa"/>
            <w:tcBorders/>
            <w:shd w:fill="CCEC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Facility and other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1,659</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55" w:type="dxa"/>
            <w:tcBorders>
              <w:bottom w:val="doub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research and development expenses</w:t>
            </w:r>
          </w:p>
        </w:tc>
        <w:tc>
          <w:tcPr>
            <w:tcW w:w="60" w:type="dxa"/>
            <w:tcBorders>
              <w:bottom w:val="doub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top w:val="single" w:sz="6" w:space="0" w:color="000000"/>
              <w:bottom w:val="double" w:sz="6" w:space="0" w:color="000000"/>
            </w:tcBorders>
            <w:shd w:fill="CCEC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1" w:type="dxa"/>
            <w:tcBorders>
              <w:top w:val="single" w:sz="6" w:space="0" w:color="000000"/>
              <w:bottom w:val="double" w:sz="6" w:space="0" w:color="000000"/>
            </w:tcBorders>
            <w:shd w:fill="CCEC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17,205</w:t>
            </w:r>
          </w:p>
        </w:tc>
        <w:tc>
          <w:tcPr>
            <w:tcW w:w="89" w:type="dxa"/>
            <w:tcBorders>
              <w:top w:val="single" w:sz="6" w:space="0" w:color="000000"/>
              <w:bottom w:val="double" w:sz="6" w:space="0" w:color="000000"/>
            </w:tcBorders>
            <w:shd w:fill="CCEC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bottom w:val="doub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6" w:type="dxa"/>
            <w:tcBorders>
              <w:top w:val="single" w:sz="6" w:space="0" w:color="000000"/>
              <w:bottom w:val="double" w:sz="6" w:space="0" w:color="000000"/>
            </w:tcBorders>
            <w:shd w:fill="CCEC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1" w:type="dxa"/>
            <w:tcBorders>
              <w:top w:val="single" w:sz="6" w:space="0" w:color="000000"/>
              <w:bottom w:val="double" w:sz="6" w:space="0" w:color="000000"/>
            </w:tcBorders>
            <w:shd w:fill="CCEC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18,554</w:t>
            </w:r>
          </w:p>
        </w:tc>
        <w:tc>
          <w:tcPr>
            <w:tcW w:w="60" w:type="dxa"/>
            <w:tcBorders>
              <w:top w:val="single" w:sz="6" w:space="0" w:color="000000"/>
              <w:bottom w:val="double" w:sz="6" w:space="0" w:color="000000"/>
            </w:tcBorders>
            <w:shd w:fill="CCEC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bottom w:val="double" w:sz="6" w:space="0" w:color="000000"/>
            </w:tcBorders>
            <w:shd w:fill="CCEC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top w:val="single" w:sz="6" w:space="0" w:color="000000"/>
              <w:bottom w:val="double" w:sz="6" w:space="0" w:color="000000"/>
            </w:tcBorders>
            <w:shd w:fill="CCEC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(1,350</w:t>
            </w:r>
          </w:p>
        </w:tc>
        <w:tc>
          <w:tcPr>
            <w:tcW w:w="80" w:type="dxa"/>
            <w:tcBorders>
              <w:top w:val="single" w:sz="6" w:space="0" w:color="000000"/>
              <w:bottom w:val="double" w:sz="6" w:space="0" w:color="000000"/>
            </w:tcBorders>
            <w:shd w:fill="CCEC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CEC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4" w:type="dxa"/>
            <w:tcBorders>
              <w:bottom w:val="doub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doub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245" w:type="dxa"/>
            <w:tcBorders>
              <w:bottom w:val="doub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expenses were $17.2 million for the three months ended March 31, 2022 compared to $18.6 million for the same period in 2021. VBR external expenses decreased due to the termination of Studies 211 and 205 and because costs under two of our currently ongoing Phase 2 triple combination studies are being shared with collaboration partners. Decreases in 2158 and Microbiome external expenses were due to the termination of both programs and were largely offset by increases in our external expenses for 3733, 4334 and our research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discovery program as we advance those programs. Employee and contractor-related expenses increased by $3.3 million primarily due to the reversal of $3.6 million of previously recognized stock-based compensation expense related to forfeited awards of terminated employees during the three months ended March 31, 2021, $2.7 million of which resulted from the wind-down of our Microbiome program. Facility and other expenses consist primarily of rent and maintenance of our premises and other costs which are allocated based on headcount in each department. The decrease in facility and other expenses of $1.4 million is primarily attributable to asset impairment and other charges incurred during the three months ended March 31, 2021 in connection with the wind-down of the Microbiome program.</w:t>
      </w:r>
    </w:p>
    <w:p>
      <w:pPr>
        <w:pStyle w:val="TextBody"/>
        <w:spacing w:before="20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General and Administrative Expense</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the period-over-period changes in our general and administrative expenses (in thousands, except for percentages):</w:t>
      </w:r>
    </w:p>
    <w:p>
      <w:pPr>
        <w:pStyle w:val="TextBody"/>
        <w:spacing w:before="0" w:after="0"/>
        <w:jc w:val="both"/>
        <w:rPr/>
      </w:pPr>
      <w:r>
        <w:rPr/>
        <w:t> </w:t>
      </w:r>
    </w:p>
    <w:tbl>
      <w:tblPr>
        <w:tblW w:w="7913" w:type="dxa"/>
        <w:jc w:val="left"/>
        <w:tblInd w:w="0" w:type="dxa"/>
        <w:tblCellMar>
          <w:top w:w="0" w:type="dxa"/>
          <w:left w:w="0" w:type="dxa"/>
          <w:bottom w:w="28" w:type="dxa"/>
          <w:right w:w="0" w:type="dxa"/>
        </w:tblCellMar>
      </w:tblPr>
      <w:tblGrid>
        <w:gridCol w:w="2990"/>
        <w:gridCol w:w="60"/>
        <w:gridCol w:w="215"/>
        <w:gridCol w:w="837"/>
        <w:gridCol w:w="103"/>
        <w:gridCol w:w="103"/>
        <w:gridCol w:w="215"/>
        <w:gridCol w:w="837"/>
        <w:gridCol w:w="60"/>
        <w:gridCol w:w="60"/>
        <w:gridCol w:w="190"/>
        <w:gridCol w:w="834"/>
        <w:gridCol w:w="80"/>
        <w:gridCol w:w="60"/>
        <w:gridCol w:w="174"/>
        <w:gridCol w:w="850"/>
        <w:gridCol w:w="245"/>
      </w:tblGrid>
      <w:tr>
        <w:trPr/>
        <w:tc>
          <w:tcPr>
            <w:tcW w:w="2990" w:type="dxa"/>
            <w:tcBorders>
              <w:bottom w:val="single" w:sz="6" w:space="0" w:color="000000"/>
            </w:tcBorders>
            <w:shd w:fill="FFFFFF" w:val="clear"/>
            <w:vAlign w:val="bottom"/>
          </w:tcPr>
          <w:p>
            <w:pPr>
              <w:pStyle w:val="TableContents"/>
              <w:spacing w:before="0" w:after="0"/>
              <w:ind w:left="0" w:right="0" w:hanging="0"/>
              <w:jc w:val="right"/>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31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Change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24"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Change</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0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5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 vs. 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 vs. 2021</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CEC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expenses</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tcBorders>
            <w:shd w:fill="CCEC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7"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5,957</w:t>
            </w:r>
          </w:p>
        </w:tc>
        <w:tc>
          <w:tcPr>
            <w:tcW w:w="103"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5" w:type="dxa"/>
            <w:tcBorders>
              <w:top w:val="single" w:sz="6" w:space="0" w:color="000000"/>
            </w:tcBorders>
            <w:shd w:fill="CCEC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7"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8,704</w:t>
            </w:r>
          </w:p>
        </w:tc>
        <w:tc>
          <w:tcPr>
            <w:tcW w:w="60"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CCEC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4"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(2,747</w:t>
            </w:r>
          </w:p>
        </w:tc>
        <w:tc>
          <w:tcPr>
            <w:tcW w:w="80" w:type="dxa"/>
            <w:tcBorders>
              <w:top w:val="single" w:sz="6" w:space="0" w:color="000000"/>
            </w:tcBorders>
            <w:shd w:fill="CCEC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4" w:type="dxa"/>
            <w:tcBorders>
              <w:top w:val="single" w:sz="6" w:space="0" w:color="000000"/>
            </w:tcBorders>
            <w:shd w:fill="CCEC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0"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tc>
        <w:tc>
          <w:tcPr>
            <w:tcW w:w="245" w:type="dxa"/>
            <w:tcBorders>
              <w:top w:val="single" w:sz="6" w:space="0" w:color="000000"/>
            </w:tcBorders>
            <w:shd w:fill="CCEC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both"/>
        <w:rPr/>
      </w:pPr>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 consists primarily of salaries, consulting fees and other related costs, professional fees for legal services, accounting and tax services, insurance and travel expenses, as well as stock-based compensation expense associated with equity awards to our employees and directors.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General and administrative expenses were $6.0 million for the three months ended March 31, 2022 compared to $8.7 million for the same period in 2021. General and administrative expenses consist of stock-based compensation expense of $0.7 million for the three months ended March 31, 2022 and $1.8 million for the same period in 2021. The decrease in stock-based compensation expense of $1.1 million was due to a decrease in the grant date fair value of recent option grants, a decrease in the number of employees and a reversal of $0.4 million of previously recognized expense in the three months ended March 31, 2022 related to forfeited awards from terminated employees. We also experienced decreases of $0.7 million in facility-related expenses due to termination of lease agreements related to the Microbiome program, $0.3 million in recruitment expenses due to hiring of fewer employees during the three months ended March 31, 2022 compared to the same period in 2021, $0.3 million in professional fees primarily due to decreases in legal expenses and $0.2 million in salary and benefits primarily attributable to a decrease in headcount. </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spacing w:before="200" w:after="0"/>
        <w:jc w:val="both"/>
        <w:rPr>
          <w:rFonts w:ascii="Times New Roman" w:hAnsi="Times New Roman"/>
          <w:b/>
          <w:i/>
          <w:caps w:val="false"/>
          <w:smallCaps w:val="false"/>
          <w:sz w:val="20"/>
        </w:rPr>
      </w:pPr>
      <w:r>
        <w:rPr>
          <w:rFonts w:ascii="Times New Roman" w:hAnsi="Times New Roman"/>
          <w:b/>
          <w:i/>
          <w:caps w:val="false"/>
          <w:smallCaps w:val="false"/>
          <w:sz w:val="20"/>
        </w:rPr>
        <w:t>Sources of Liquidity</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March 31, 2022 principally through equity financings, raising an aggregate of $604.6 million in net proceeds, and strategic collaborations, raising an aggregate of $90.0 million through upfront payments.</w:t>
      </w:r>
    </w:p>
    <w:p>
      <w:pPr>
        <w:pStyle w:val="TextBody"/>
        <w:spacing w:before="200" w:after="0"/>
        <w:jc w:val="both"/>
        <w:rPr>
          <w:rFonts w:ascii="Times New Roman" w:hAnsi="Times New Roman"/>
          <w:b/>
          <w:i/>
          <w:caps w:val="false"/>
          <w:smallCaps w:val="false"/>
          <w:sz w:val="20"/>
        </w:rPr>
      </w:pPr>
      <w:r>
        <w:rPr>
          <w:rFonts w:ascii="Times New Roman" w:hAnsi="Times New Roman"/>
          <w:b/>
          <w:i/>
          <w:caps w:val="false"/>
          <w:smallCaps w:val="false"/>
          <w:sz w:val="20"/>
        </w:rPr>
        <w:t>Cash Flows for the Three Months Ended March 31, 2022 and 2021</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cash flow activities (in thousands):</w:t>
      </w:r>
    </w:p>
    <w:p>
      <w:pPr>
        <w:pStyle w:val="TextBody"/>
        <w:spacing w:before="0" w:after="0"/>
        <w:jc w:val="both"/>
        <w:rPr/>
      </w:pPr>
      <w:r>
        <w:rPr/>
        <w:t> </w:t>
      </w:r>
    </w:p>
    <w:tbl>
      <w:tblPr>
        <w:tblW w:w="4768" w:type="dxa"/>
        <w:jc w:val="left"/>
        <w:tblInd w:w="0" w:type="dxa"/>
        <w:tblCellMar>
          <w:top w:w="0" w:type="dxa"/>
          <w:left w:w="0" w:type="dxa"/>
          <w:bottom w:w="28" w:type="dxa"/>
          <w:right w:w="0" w:type="dxa"/>
        </w:tblCellMar>
      </w:tblPr>
      <w:tblGrid>
        <w:gridCol w:w="2315"/>
        <w:gridCol w:w="60"/>
        <w:gridCol w:w="171"/>
        <w:gridCol w:w="890"/>
        <w:gridCol w:w="109"/>
        <w:gridCol w:w="82"/>
        <w:gridCol w:w="171"/>
        <w:gridCol w:w="890"/>
        <w:gridCol w:w="80"/>
      </w:tblGrid>
      <w:tr>
        <w:trPr/>
        <w:tc>
          <w:tcPr>
            <w:tcW w:w="231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31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provided by (used 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0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shd w:fill="CCEC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activities</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CEC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(27,502</w:t>
            </w:r>
          </w:p>
        </w:tc>
        <w:tc>
          <w:tcPr>
            <w:tcW w:w="109" w:type="dxa"/>
            <w:tcBorders>
              <w:top w:val="single" w:sz="6" w:space="0" w:color="000000"/>
            </w:tcBorders>
            <w:shd w:fill="CCEC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CEC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tcBorders>
            <w:shd w:fill="CCEC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(33,344</w:t>
            </w:r>
          </w:p>
        </w:tc>
        <w:tc>
          <w:tcPr>
            <w:tcW w:w="80" w:type="dxa"/>
            <w:tcBorders>
              <w:top w:val="single" w:sz="6" w:space="0" w:color="000000"/>
            </w:tcBorders>
            <w:shd w:fill="CCEC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3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33,049</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18,016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shd w:fill="CCEC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activities</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9"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CEC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34,137</w:t>
            </w:r>
          </w:p>
        </w:tc>
        <w:tc>
          <w:tcPr>
            <w:tcW w:w="8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Net Cash from Operating Activities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operating activities was $27.5 million for the three months ended March 31, 2022. This was primarily due to our $23.1 million net loss and a decrease of $4.4 million in other accrued expenses due to payment of our 2021 annual bonuses during the three months ended March 31, 2022.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operating activities was $33.3 million for the three months ended March 31, 2021. This was primarily due to our $27.2 million net loss and a decrease of $8.3 million in other accrued expenses due to payment of our 2020 annual bonuses and accrued severances associated with the wind-down of our Microbiome program, partially offset by a $1.6 million loss on disposal of property and equipment associated with the wind-down of our Microbiome program during the three months ended March 31, 2021. </w:t>
      </w:r>
    </w:p>
    <w:p>
      <w:pPr>
        <w:pStyle w:val="TextBody"/>
        <w:spacing w:before="20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Net Cash from Investing Activities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investing activities for the three months ended March 31, 2022 was $33.0 million, due to proceeds from sales and maturities of marketable securities, net of purchases.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investing activities for the three months ended March 31, 2021 was $18.0 million. This was due to proceeds of $20.2 million from sales and maturities of marketable securities, net of purchases, offset by our purchase of leased equipment for $3.1 million that we then sold for $0.9 million in connection with the wind-down of the Microbiome program.</w:t>
      </w:r>
    </w:p>
    <w:p>
      <w:pPr>
        <w:pStyle w:val="TextBody"/>
        <w:spacing w:before="20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Net Cash from Financing Activities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did not have any cash flows from financing activities for the three months ended March 31, 2022.</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provided by financing activities for the three months ended March 31, 2021 was $34.1 million resulting </w:t>
      </w:r>
      <w:r>
        <w:rPr>
          <w:rFonts w:ascii="Times New Roman" w:hAnsi="Times New Roman"/>
          <w:b w:val="false"/>
          <w:i w:val="false"/>
          <w:caps w:val="false"/>
          <w:smallCaps w:val="false"/>
          <w:color w:val="000000"/>
          <w:sz w:val="20"/>
        </w:rPr>
        <w:t>from the sale of 5,991,858 shares of our common stock under the 2020 ATM</w:t>
      </w:r>
      <w:r>
        <w:rPr>
          <w:rFonts w:ascii="Times New Roman" w:hAnsi="Times New Roman"/>
          <w:b w:val="false"/>
          <w:i w:val="false"/>
          <w:caps w:val="false"/>
          <w:smallCaps w:val="false"/>
          <w:sz w:val="20"/>
        </w:rPr>
        <w:t>.</w:t>
      </w:r>
    </w:p>
    <w:p>
      <w:pPr>
        <w:pStyle w:val="TextBody"/>
        <w:spacing w:before="200" w:after="0"/>
        <w:jc w:val="both"/>
        <w:rPr>
          <w:rFonts w:ascii="Times New Roman" w:hAnsi="Times New Roman"/>
          <w:b/>
          <w:i/>
          <w:caps w:val="false"/>
          <w:smallCaps w:val="false"/>
          <w:sz w:val="20"/>
        </w:rPr>
      </w:pPr>
      <w:r>
        <w:rPr>
          <w:rFonts w:ascii="Times New Roman" w:hAnsi="Times New Roman"/>
          <w:b/>
          <w:i/>
          <w:caps w:val="false"/>
          <w:smallCaps w:val="false"/>
          <w:sz w:val="20"/>
        </w:rPr>
        <w:t>Funding Requirements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monitor our cash needs and the status of the capital markets on a continuous basis. From time to time, we opportunistically raise capital and have done so numerous times since our initial public offering by issuing equity securities, most recently in November 2021. We expect to continue to raise capital when and as needed and at the time and in the manner most advantageous to us.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expect that our existing cash, cash equivalents and marketable securities will enable us to fund our operating expenses and capital expenditure requirements for at least the next twelve months. There were no material changes in our commitments under the contractual obligations disclosed in our 2021 Annual Report. Since our inception, we have not engaged in any off-balance sheet arrangements as defined in Item 303(a)(4) of Regulation S-K.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future capital requirements will depend on many factors, including: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scope, progress, results and costs of our ongoing drug discovery, nonclinical development, laboratory testing and clinical studies of our product candidates and any additional clinical studies we may conduct in the future;</w:t>
            </w:r>
          </w:p>
        </w:tc>
      </w:tr>
    </w:tbl>
    <w:tbl>
      <w:tblPr>
        <w:tblW w:w="7855" w:type="dxa"/>
        <w:jc w:val="left"/>
        <w:tblInd w:w="0" w:type="dxa"/>
        <w:tblCellMar>
          <w:top w:w="0" w:type="dxa"/>
          <w:left w:w="0" w:type="dxa"/>
          <w:bottom w:w="0" w:type="dxa"/>
          <w:right w:w="0" w:type="dxa"/>
        </w:tblCellMar>
      </w:tblPr>
      <w:tblGrid>
        <w:gridCol w:w="60"/>
        <w:gridCol w:w="110"/>
        <w:gridCol w:w="768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768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extent to which we further acquire or in-license other product candidates and technologies;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manufacture, and to contract with third parties to manufacture, adequate supplies of our product candidates for our clinical studies and any eventual commercialization;</w:t>
            </w:r>
          </w:p>
        </w:tc>
      </w:tr>
    </w:tbl>
    <w:tbl>
      <w:tblPr>
        <w:tblW w:w="6475" w:type="dxa"/>
        <w:jc w:val="left"/>
        <w:tblInd w:w="0" w:type="dxa"/>
        <w:tblCellMar>
          <w:top w:w="0" w:type="dxa"/>
          <w:left w:w="0" w:type="dxa"/>
          <w:bottom w:w="0" w:type="dxa"/>
          <w:right w:w="0" w:type="dxa"/>
        </w:tblCellMar>
      </w:tblPr>
      <w:tblGrid>
        <w:gridCol w:w="60"/>
        <w:gridCol w:w="110"/>
        <w:gridCol w:w="630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630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costs, timing and outcome of regulatory review of our product candidates;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costs of preparing, filing and prosecuting patent applications in the United States and abroad, maintaining and enforcing our intellectual property rights and defending intellectual property-related claims; and</w:t>
            </w:r>
          </w:p>
        </w:tc>
      </w:tr>
    </w:tbl>
    <w:tbl>
      <w:tblPr>
        <w:tblW w:w="6595" w:type="dxa"/>
        <w:jc w:val="left"/>
        <w:tblInd w:w="0" w:type="dxa"/>
        <w:tblCellMar>
          <w:top w:w="0" w:type="dxa"/>
          <w:left w:w="0" w:type="dxa"/>
          <w:bottom w:w="0" w:type="dxa"/>
          <w:right w:w="0" w:type="dxa"/>
        </w:tblCellMar>
      </w:tblPr>
      <w:tblGrid>
        <w:gridCol w:w="60"/>
        <w:gridCol w:w="110"/>
        <w:gridCol w:w="642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642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ability to establish and maintain collaborations on favorable terms, if at all.</w:t>
            </w:r>
          </w:p>
        </w:tc>
      </w:tr>
    </w:tbl>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spacing w:before="200" w:after="0"/>
        <w:jc w:val="both"/>
        <w:rPr>
          <w:rFonts w:ascii="Times New Roman" w:hAnsi="Times New Roman"/>
          <w:b/>
          <w:i w:val="false"/>
          <w:caps w:val="false"/>
          <w:smallCaps w:val="false"/>
          <w:sz w:val="20"/>
        </w:rPr>
      </w:pPr>
      <w:bookmarkStart w:id="10" w:name="ITEM_3_QUANTITATIVE_QUALITATIVE_DISCLOSU"/>
      <w:bookmarkEnd w:id="10"/>
      <w:r>
        <w:rPr>
          <w:rFonts w:ascii="Times New Roman" w:hAnsi="Times New Roman"/>
          <w:b/>
          <w:i w:val="false"/>
          <w:caps w:val="false"/>
          <w:smallCaps w:val="false"/>
          <w:sz w:val="20"/>
        </w:rPr>
        <w:t>Item 3. Quantitative and Qualitative Disclosures about Market Risk</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 applicable. </w:t>
      </w:r>
    </w:p>
    <w:p>
      <w:pPr>
        <w:pStyle w:val="TextBody"/>
        <w:spacing w:before="200" w:after="0"/>
        <w:jc w:val="both"/>
        <w:rPr>
          <w:rFonts w:ascii="Times New Roman" w:hAnsi="Times New Roman"/>
          <w:b/>
          <w:i w:val="false"/>
          <w:caps w:val="false"/>
          <w:smallCaps w:val="false"/>
          <w:sz w:val="20"/>
        </w:rPr>
      </w:pPr>
      <w:bookmarkStart w:id="11" w:name="ITEM_4_CONTROLS_PROCEDURES"/>
      <w:bookmarkEnd w:id="11"/>
      <w:r>
        <w:rPr>
          <w:rFonts w:ascii="Times New Roman" w:hAnsi="Times New Roman"/>
          <w:b/>
          <w:i w:val="false"/>
          <w:caps w:val="false"/>
          <w:smallCaps w:val="false"/>
          <w:sz w:val="20"/>
        </w:rPr>
        <w:t>Item 4. Controls and Procedures</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Evaluation of Disclosure Controls and Procedures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as of the end of the period covered by this report. Based upon that evaluation, our Chief Executive Officer and our Chief Financial Officer concluded that our disclosure controls and procedures as of the end of the period covered by this report were effective at the reasonable assurance level.</w:t>
      </w:r>
    </w:p>
    <w:p>
      <w:pPr>
        <w:pStyle w:val="TextBody"/>
        <w:spacing w:before="20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Changes in Internal Control over Financial Reporting</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were no changes in our internal control over financial reporting in the quarter ended March 31, 2022 that materially affected, or are reasonably likely to materially affect, our internal control over financial reporting.</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bookmarkStart w:id="12" w:name="PART_II_OR_INFORMATION"/>
      <w:bookmarkEnd w:id="12"/>
      <w:r>
        <w:rPr>
          <w:rFonts w:ascii="Times New Roman" w:hAnsi="Times New Roman"/>
          <w:b/>
          <w:i w:val="false"/>
          <w:caps w:val="false"/>
          <w:smallCaps w:val="false"/>
          <w:sz w:val="20"/>
        </w:rPr>
        <w:t>PART II – OTHER INFORMATION</w:t>
      </w:r>
    </w:p>
    <w:p>
      <w:pPr>
        <w:pStyle w:val="TextBody"/>
        <w:spacing w:before="200" w:after="0"/>
        <w:jc w:val="both"/>
        <w:rPr>
          <w:rFonts w:ascii="Times New Roman" w:hAnsi="Times New Roman"/>
          <w:b/>
          <w:i w:val="false"/>
          <w:caps w:val="false"/>
          <w:smallCaps w:val="false"/>
          <w:color w:val="000000"/>
          <w:sz w:val="20"/>
        </w:rPr>
      </w:pPr>
      <w:bookmarkStart w:id="13" w:name="ITEM_1_LEGAL_PROCEEDINGS"/>
      <w:bookmarkEnd w:id="13"/>
      <w:r>
        <w:rPr>
          <w:rFonts w:ascii="Times New Roman" w:hAnsi="Times New Roman"/>
          <w:b/>
          <w:i w:val="false"/>
          <w:caps w:val="false"/>
          <w:smallCaps w:val="false"/>
          <w:color w:val="000000"/>
          <w:sz w:val="20"/>
        </w:rPr>
        <w:t>Item 1. Legal Proceedings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not a party to any material legal proceedings. In the future, we may from time to time become involved in litigation relating to claims arising from our ordinary course of business.</w:t>
      </w:r>
    </w:p>
    <w:p>
      <w:pPr>
        <w:pStyle w:val="TextBody"/>
        <w:spacing w:before="200" w:after="0"/>
        <w:jc w:val="both"/>
        <w:rPr>
          <w:rFonts w:ascii="Times New Roman" w:hAnsi="Times New Roman"/>
          <w:b/>
          <w:i w:val="false"/>
          <w:caps w:val="false"/>
          <w:smallCaps w:val="false"/>
          <w:color w:val="000000"/>
          <w:sz w:val="20"/>
        </w:rPr>
      </w:pPr>
      <w:bookmarkStart w:id="14" w:name="ITEM_1A_RISK_FACTORS"/>
      <w:bookmarkEnd w:id="14"/>
      <w:r>
        <w:rPr>
          <w:rFonts w:ascii="Times New Roman" w:hAnsi="Times New Roman"/>
          <w:b/>
          <w:i w:val="false"/>
          <w:caps w:val="false"/>
          <w:smallCaps w:val="false"/>
          <w:color w:val="000000"/>
          <w:sz w:val="20"/>
        </w:rPr>
        <w:t>Item 1A. Risk Factors</w:t>
      </w:r>
    </w:p>
    <w:p>
      <w:pPr>
        <w:pStyle w:val="TextBody"/>
        <w:spacing w:before="200" w:after="0"/>
        <w:jc w:val="both"/>
        <w:rPr>
          <w:rFonts w:ascii="Times New Roman" w:hAnsi="Times New Roman"/>
          <w:b w:val="false"/>
          <w:i/>
          <w:caps w:val="false"/>
          <w:smallCaps w:val="false"/>
          <w:color w:val="000000"/>
          <w:sz w:val="20"/>
        </w:rPr>
      </w:pPr>
      <w:r>
        <w:rPr>
          <w:rFonts w:ascii="Times New Roman" w:hAnsi="Times New Roman"/>
          <w:b w:val="false"/>
          <w:i/>
          <w:caps w:val="false"/>
          <w:smallCaps w:val="false"/>
          <w:color w:val="000000"/>
          <w:sz w:val="20"/>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spacing w:before="20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Related to Our Business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 </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The COVID-19 pandemic may materially and adversely affect our business.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continued spread of COVID-19, including through infection by variants of the SARS-CoV-2 virus, could continue to adversely impact our research and development through delay, modification or suspension of our clinical and/or nonclinical studies. Other clinical-stage biotechnology companies, like us, have had their clinical and nonclinical studies affected by the COVID-19 pandemic.</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which could increase the cost of, and time for, conducting clinical studies; (3) disrupt or suspend the business operations of our third-party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PPE and disinfectants, each of which are necessary for our laboratories and our CROs’ laboratories to maintain normal workflows. Even if we are able to collect timely clinical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data while the pandemic is ongoing, COVID-19 may negatively affect the quality, completeness, integrity, interpretability and cost of obtaining such clinical study data.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full extent of the pandemic’s impact on our business will depend on future developments, which are highly uncertain and cannot be predicted with confidence, such as the duration and severity of the pandemic and the effectiveness of actions for containment, treatment and prevention of COVID-19. However, any COVID-19-related business interruptions or delays could materially and adversely affect our ability to conduct our research and development activities in the manner and on the timelines presently planned as well as negatively affect the accuracy of our estimates regarding capital requirements, needs for additional financing and our ability to produce accurate and timely financial statements. Any of these disruptions could have a material adverse impact on our business, results of operations, financial condition and share price.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a result of the COVID-19 pandemic, governments around the world implemented significant measures to control the spread of the virus, including quarantines, travel restrictions, stay-at-home orders and business shutdowns. While governments have relaxed these measures as case numbers decreased, periodic surges in COVID-19 cases have prompted, and may in the future prompt, many governments to reimplement these restrictions, including in the United States, Europe, India and China, which is currently experiencing severe lockdowns in connection with its zero covid policy. We continue to take precautionary measures intended to minimize our employees’ potential exposure to the virus, including temporarily requiring all employees who can do so to work remotely and suspending all non-essential business travel worldwide for our employees and requiring employees to be fully vaccinated against COVID-19. The majority of our employees continuing to work remotely may disrupt our operations, increase the risk of a cybersecurity incident or otherwise negatively affect our business.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to the risks related to the COVID-19 pandemic discussed above, the uncertainty surrounding, and risks created by, the pandemic may have the effect of heightening many of the other risks discussed in this section impacting our operations.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are not currently profitable and might never become profitable, and we will need additional financing to complete the development of any product candidates and fund our activities into the future.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or debt financings and payments we may receive from out-licenses, collaborations or other strategic arrangements. However, there is no assurance that we will be successful in raising any necessary additional capital on terms that are acceptable to us, or at all.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 xml:space="preserve">Nonclinical and clinical studies required for our product candidates are expensive and time-consuming and may fail to demonstrate the level of safety and efficacy necessary for product approval.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commencement and rate of completion of clinical studies might be delayed by many factors, including, for example:</w:t>
      </w:r>
    </w:p>
    <w:tbl>
      <w:tblPr>
        <w:tblW w:w="6160" w:type="dxa"/>
        <w:jc w:val="left"/>
        <w:tblInd w:w="0" w:type="dxa"/>
        <w:tblCellMar>
          <w:top w:w="0" w:type="dxa"/>
          <w:left w:w="0" w:type="dxa"/>
          <w:bottom w:w="0" w:type="dxa"/>
          <w:right w:w="0" w:type="dxa"/>
        </w:tblCellMar>
      </w:tblPr>
      <w:tblGrid>
        <w:gridCol w:w="60"/>
        <w:gridCol w:w="110"/>
        <w:gridCol w:w="5990"/>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5990"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delays in reaching agreement with regulatory authorities on study design;</w:t>
            </w:r>
          </w:p>
        </w:tc>
      </w:tr>
    </w:tbl>
    <w:tbl>
      <w:tblPr>
        <w:tblW w:w="8095" w:type="dxa"/>
        <w:jc w:val="left"/>
        <w:tblInd w:w="0" w:type="dxa"/>
        <w:tblCellMar>
          <w:top w:w="0" w:type="dxa"/>
          <w:left w:w="0" w:type="dxa"/>
          <w:bottom w:w="0" w:type="dxa"/>
          <w:right w:w="0" w:type="dxa"/>
        </w:tblCellMar>
      </w:tblPr>
      <w:tblGrid>
        <w:gridCol w:w="60"/>
        <w:gridCol w:w="110"/>
        <w:gridCol w:w="792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792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delays in reaching agreement on acceptable terms with prospective CROs and clinical study sites;</w:t>
            </w:r>
          </w:p>
        </w:tc>
      </w:tr>
    </w:tbl>
    <w:tbl>
      <w:tblPr>
        <w:tblW w:w="6325" w:type="dxa"/>
        <w:jc w:val="left"/>
        <w:tblInd w:w="0" w:type="dxa"/>
        <w:tblCellMar>
          <w:top w:w="0" w:type="dxa"/>
          <w:left w:w="0" w:type="dxa"/>
          <w:bottom w:w="0" w:type="dxa"/>
          <w:right w:w="0" w:type="dxa"/>
        </w:tblCellMar>
      </w:tblPr>
      <w:tblGrid>
        <w:gridCol w:w="60"/>
        <w:gridCol w:w="110"/>
        <w:gridCol w:w="615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615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failure to demonstrate efficacy or the emergence of unforeseen safety issues;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insufficient quantities of qualified materials under current good manufacturing practice (cGMP) for use in clinical studies due to manufacturing challenges, delays or interruptions in the supply chain;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delays in patients completing participation in a study or return for post-treatment follow-up for any reason, including, product side effects or disease progression;</w:t>
            </w:r>
          </w:p>
        </w:tc>
      </w:tr>
    </w:tbl>
    <w:tbl>
      <w:tblPr>
        <w:tblW w:w="3475" w:type="dxa"/>
        <w:jc w:val="left"/>
        <w:tblInd w:w="0" w:type="dxa"/>
        <w:tblCellMar>
          <w:top w:w="0" w:type="dxa"/>
          <w:left w:w="0" w:type="dxa"/>
          <w:bottom w:w="0" w:type="dxa"/>
          <w:right w:w="0" w:type="dxa"/>
        </w:tblCellMar>
      </w:tblPr>
      <w:tblGrid>
        <w:gridCol w:w="60"/>
        <w:gridCol w:w="110"/>
        <w:gridCol w:w="330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330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modification of clinical study protocols;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delays, suspension, or termination of clinical studies by the institutional review board or ethics committee responsible for overseeing the study at a particular study site;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government or other regulatory agency delays or clinical holds requiring suspension or termination of our clinical studies due to safety, tolerability or other issues related to our product candidates.</w:t>
            </w:r>
          </w:p>
        </w:tc>
      </w:tr>
    </w:tbl>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rely on CROs to conduct some of our nonclinical and clinical studies due to our lack of suitable facilities and resources.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Furthermore,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have international operations, including in China, and conduct clinical studies and discovery research activities outside of the United States, including in Eastern Europe. A number of risks associated with international operations could materially and adversely affect our business.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expect to be subject to a number of risks related with our international operations, many of which may be beyond our control. These risks include: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business interruptions resulting from geopolitical actions such as Russia’s invasion of Ukraine and the resulting war, as well as tariffs, other wars, acts of terrorism, natural disasters or outbreaks of disease;</w:t>
            </w:r>
          </w:p>
        </w:tc>
      </w:tr>
    </w:tbl>
    <w:tbl>
      <w:tblPr>
        <w:tblW w:w="6085" w:type="dxa"/>
        <w:jc w:val="left"/>
        <w:tblInd w:w="0" w:type="dxa"/>
        <w:tblCellMar>
          <w:top w:w="0" w:type="dxa"/>
          <w:left w:w="0" w:type="dxa"/>
          <w:bottom w:w="0" w:type="dxa"/>
          <w:right w:w="0" w:type="dxa"/>
        </w:tblCellMar>
      </w:tblPr>
      <w:tblGrid>
        <w:gridCol w:w="60"/>
        <w:gridCol w:w="110"/>
        <w:gridCol w:w="591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591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different regulatory requirements for drug approvals in foreign countries;</w:t>
            </w:r>
          </w:p>
        </w:tc>
      </w:tr>
    </w:tbl>
    <w:tbl>
      <w:tblPr>
        <w:tblW w:w="9130" w:type="dxa"/>
        <w:jc w:val="left"/>
        <w:tblInd w:w="0" w:type="dxa"/>
        <w:tblCellMar>
          <w:top w:w="0" w:type="dxa"/>
          <w:left w:w="0" w:type="dxa"/>
          <w:bottom w:w="0" w:type="dxa"/>
          <w:right w:w="0" w:type="dxa"/>
        </w:tblCellMar>
      </w:tblPr>
      <w:tblGrid>
        <w:gridCol w:w="60"/>
        <w:gridCol w:w="110"/>
        <w:gridCol w:w="8960"/>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8960"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different standards of care in various countries that could complicate the evaluation of our product candidates;</w:t>
            </w:r>
          </w:p>
        </w:tc>
      </w:tr>
    </w:tbl>
    <w:tbl>
      <w:tblPr>
        <w:tblW w:w="4645" w:type="dxa"/>
        <w:jc w:val="left"/>
        <w:tblInd w:w="0" w:type="dxa"/>
        <w:tblCellMar>
          <w:top w:w="0" w:type="dxa"/>
          <w:left w:w="0" w:type="dxa"/>
          <w:bottom w:w="0" w:type="dxa"/>
          <w:right w:w="0" w:type="dxa"/>
        </w:tblCellMar>
      </w:tblPr>
      <w:tblGrid>
        <w:gridCol w:w="60"/>
        <w:gridCol w:w="110"/>
        <w:gridCol w:w="447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447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different U.S. and foreign drug import and export rules;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different reimbursement systems and different competitive drugs indicated to treat the indication for which our product candidates are being developed;</w:t>
            </w:r>
          </w:p>
        </w:tc>
      </w:tr>
    </w:tbl>
    <w:tbl>
      <w:tblPr>
        <w:tblW w:w="5875" w:type="dxa"/>
        <w:jc w:val="left"/>
        <w:tblInd w:w="0" w:type="dxa"/>
        <w:tblCellMar>
          <w:top w:w="0" w:type="dxa"/>
          <w:left w:w="0" w:type="dxa"/>
          <w:bottom w:w="0" w:type="dxa"/>
          <w:right w:w="0" w:type="dxa"/>
        </w:tblCellMar>
      </w:tblPr>
      <w:tblGrid>
        <w:gridCol w:w="60"/>
        <w:gridCol w:w="110"/>
        <w:gridCol w:w="570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570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reduced protection for intellectual property rights in certain countries;</w:t>
            </w:r>
          </w:p>
        </w:tc>
      </w:tr>
    </w:tbl>
    <w:tbl>
      <w:tblPr>
        <w:tblW w:w="6085" w:type="dxa"/>
        <w:jc w:val="left"/>
        <w:tblInd w:w="0" w:type="dxa"/>
        <w:tblCellMar>
          <w:top w:w="0" w:type="dxa"/>
          <w:left w:w="0" w:type="dxa"/>
          <w:bottom w:w="0" w:type="dxa"/>
          <w:right w:w="0" w:type="dxa"/>
        </w:tblCellMar>
      </w:tblPr>
      <w:tblGrid>
        <w:gridCol w:w="60"/>
        <w:gridCol w:w="110"/>
        <w:gridCol w:w="591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591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unexpected changes in tariffs, trade barriers and regulatory requirements;</w:t>
            </w:r>
          </w:p>
        </w:tc>
      </w:tr>
    </w:tbl>
    <w:tbl>
      <w:tblPr>
        <w:tblW w:w="6265" w:type="dxa"/>
        <w:jc w:val="left"/>
        <w:tblInd w:w="0" w:type="dxa"/>
        <w:tblCellMar>
          <w:top w:w="0" w:type="dxa"/>
          <w:left w:w="0" w:type="dxa"/>
          <w:bottom w:w="0" w:type="dxa"/>
          <w:right w:w="0" w:type="dxa"/>
        </w:tblCellMar>
      </w:tblPr>
      <w:tblGrid>
        <w:gridCol w:w="60"/>
        <w:gridCol w:w="110"/>
        <w:gridCol w:w="609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609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compliance with the FCPA and other anti-corruption and anti-bribery laws;</w:t>
            </w:r>
          </w:p>
        </w:tc>
      </w:tr>
    </w:tbl>
    <w:tbl>
      <w:tblPr>
        <w:tblW w:w="8635" w:type="dxa"/>
        <w:jc w:val="left"/>
        <w:tblInd w:w="0" w:type="dxa"/>
        <w:tblCellMar>
          <w:top w:w="0" w:type="dxa"/>
          <w:left w:w="0" w:type="dxa"/>
          <w:bottom w:w="0" w:type="dxa"/>
          <w:right w:w="0" w:type="dxa"/>
        </w:tblCellMar>
      </w:tblPr>
      <w:tblGrid>
        <w:gridCol w:w="60"/>
        <w:gridCol w:w="110"/>
        <w:gridCol w:w="846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846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compliance with tax, employment, immigration and labor laws for employees living or traveling abroad;</w:t>
            </w:r>
          </w:p>
        </w:tc>
      </w:tr>
    </w:tbl>
    <w:tbl>
      <w:tblPr>
        <w:tblW w:w="4885" w:type="dxa"/>
        <w:jc w:val="left"/>
        <w:tblInd w:w="0" w:type="dxa"/>
        <w:tblCellMar>
          <w:top w:w="0" w:type="dxa"/>
          <w:left w:w="0" w:type="dxa"/>
          <w:bottom w:w="0" w:type="dxa"/>
          <w:right w:w="0" w:type="dxa"/>
        </w:tblCellMar>
      </w:tblPr>
      <w:tblGrid>
        <w:gridCol w:w="60"/>
        <w:gridCol w:w="110"/>
        <w:gridCol w:w="471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471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foreign taxes, including withholding of payroll taxes;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foreign currency fluctuations and compliance with foreign currency exchange rules, which could result in increased operating expenses and reduced revenues, and other obligations incident to doing business in another country.</w:t>
            </w:r>
          </w:p>
        </w:tc>
      </w:tr>
    </w:tbl>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Top-line or preliminary data may not accurately reflect the final results of a particular study.</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to top-line or preliminary results, the information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rely on third-party manufacturers to supply the quantities of VBR, 3733 and 4334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compounds, drug substances and drug products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exposed to the following risks with respect to the manufacture of our product candidates: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will need to identify manufacturers for commercial supply on acceptable terms, which we may be unable to do because the number of potential manufacturers is limited, and the FDA must evaluate and approve any new or replacement contractor.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Any third-party manufacturers with whom we contract might be unable to formulate and manufacture our product candidates in the volume and quality required to meet our clinical and, if approved, commercial needs in a timely manner.</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Any third-party manufacturers with whom we contract might not perform as agreed or might not remain in the contract manufacturing business for the time required to supply our products.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One or more of any third-party manufacturers with whom we contract could be foreign, which increases the risk of shipping delays and adds the risk of import restrictions.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do not have complete control over, and cannot ensure, any third-party manufacturers’ compliance with cGMP and other government regulations and corresponding foreign requirements, including periodic FDA and state regulatory inspections.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may be required to share our trade secrets and know-how with third parties, increasing risk of misappropriation or disclosure of our intellectual property by or to third parties.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When contracting with third-party manufacturers, we might compete with other companies for access to these manufacturers’ facilities and might be subject to manufacturing delays if the manufacturers give other clients higher priority than we are given.</w:t>
            </w:r>
          </w:p>
        </w:tc>
      </w:tr>
    </w:tbl>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If we lose key management personnel and cannot recruit and retain similarly qualified replacements, our business may materially suffer.</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loss of any of these key employees could have a material adverse impact on our business, financial condition and results of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i/>
          <w:caps w:val="false"/>
          <w:smallCaps w:val="false"/>
          <w:sz w:val="20"/>
        </w:rPr>
      </w:pPr>
      <w:r>
        <w:rPr>
          <w:rFonts w:ascii="Times New Roman" w:hAnsi="Times New Roman"/>
          <w:b/>
          <w:i/>
          <w:caps w:val="false"/>
          <w:smallCaps w:val="false"/>
          <w:sz w:val="20"/>
        </w:rPr>
        <w:t>The Fact Track Designation for VBR may not result in faster development, regulatory review or approval.</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nonclinical or clinical data demonstrate potential to address unmet medical needs for a serious or life-threatening condition, the sponsor may apply for FDA Fast Track designation. Fast Track designation provides increased opportunities for sponsor meetings with the FDA during nonclinical and clinical development, in addition to the potential for rolling review once a marketing application is filed. VBR has received Fast Track designation for treatment of patients with chronic HBV infection. However,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 Any such withdrawal could adversely affect our business.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are dependent on an in-license relationship for VBR.</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license agreement with IURTC imposes diligence requirements on us and requires us to make milestone payments based upon the successful accomplishment of clinical and regulatory milestones related to VBR, royalty payments if VBR is approved and diligence maintenance fees. These payments will make it less profitable for us to develop VBR than if we owned the technology outright. In addition, if we breach any of our obligations under our license agreement, IURTC may have a right to terminate the license, in which event we could lose our rights to VBR. </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collaboration partners might delay, prevent or undermine the success of our product candidates.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rely on data provided by third parties that has not been independently verified and could prove to be false, misleading, or incomplete.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Significant disruptions of information technology systems or breaches of data security could materially and adversely affect our business, results of operations and financial condition.</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Research, development and commercialization goals may not be achieved in the timeframes that we publicly estimate, which could have an adverse impact on our business and could cause our stock price to decline.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Developments by competitors might render our product candidates or technologies obsolete or non-competitive.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pharmaceutical and biotechnology industries are intensely competitive. In addition, the clinical and commercial landscape for HBV is rapidly changing; we expect new data from commercial and clinical-stage products to continue to emerge. We compete with organizations, some with significantly more resources, who are developing competitive product candidates. If our competitors develop effective treatments for HBV or any other indication or field we might pursue, and successfully commercialize those treatments, our business and prospects could be materially harmed.  </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Other companies with core inhibitor products may produce negative clinical data, which would adversely affect public and clinical communities’ perceptions of our product candidates, and may negatively impact regulatory approval of, or demand for, our potential products.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HBV therapy research and development efforts involve therapeutics based on modulating forms of HBV core proteins with core inhibitors. Negative data from clinical studies using a competitor’s core inhibitors could adversely impact the perception of the therapeutic use of our product candidates and our ability to enroll patients in clinical studies.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clinical and commercial success of our potential products will depend in part on the public and clinical communities’ acceptance of core inhibitors, a novel class of product candidates. Moreover, our success depends upon physicians prescribing, and their patients being willing to receive, treatments that involve the use of core inhibitor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core inhibitor therapies, even if not ultimately attributable to our product candidates, and any resulting publicity could result in increased governmental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regulation, unfavorable public perception, potential regulatory delays in the testing or approval of our product candidates, stricter labeling requirements for our product candidates that are approved, if any, and a decrease in demand for any such products.</w:t>
      </w:r>
    </w:p>
    <w:p>
      <w:pPr>
        <w:pStyle w:val="TextBody"/>
        <w:spacing w:before="20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Related to Our Regulatory and Legal Environment</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are and will be subject to extensive and costly government regulation and the failure to comply with these regulations may have a material adverse effect on our operations and business.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product candidates; impose costly procedures on us; and diminish any competitive advantages that we might otherwise enjoy.</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Because of the breadth of these laws and the narrowness of the statutory exceptions and safe harbors available, it is possible that some of our business activities could be subject to challenge under one or more of such laws.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face the risk of product liability claims and might not be able to obtain insurance.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might be exposed to liability claims associated with the use of hazardous materials and chemicals.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are exposed to the risk of fraud or other misconduct, including failure to:</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comply with applicable regulations of, and provide accurate information to, the FDA or comparable foreign regulatory authorities;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comply with federal and state healthcare fraud and abuse laws and regulations and similar laws and regulations established and enforced by comparable foreign regulatory authorities;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comply with the United States Foreign Corrupt Practices Act (the FCPA), the U.K. Bribery Act 2010, the PRC Criminal Law, the PRC Anti-unfair Competition Law and other anti-bribery and trade laws;</w:t>
            </w:r>
          </w:p>
        </w:tc>
      </w:tr>
    </w:tbl>
    <w:tbl>
      <w:tblPr>
        <w:tblW w:w="4330" w:type="dxa"/>
        <w:jc w:val="left"/>
        <w:tblInd w:w="0" w:type="dxa"/>
        <w:tblCellMar>
          <w:top w:w="0" w:type="dxa"/>
          <w:left w:w="0" w:type="dxa"/>
          <w:bottom w:w="0" w:type="dxa"/>
          <w:right w:w="0" w:type="dxa"/>
        </w:tblCellMar>
      </w:tblPr>
      <w:tblGrid>
        <w:gridCol w:w="60"/>
        <w:gridCol w:w="110"/>
        <w:gridCol w:w="4160"/>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4160"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report financial information and data accurately; or</w:t>
            </w:r>
          </w:p>
        </w:tc>
      </w:tr>
    </w:tbl>
    <w:tbl>
      <w:tblPr>
        <w:tblW w:w="2815" w:type="dxa"/>
        <w:jc w:val="left"/>
        <w:tblInd w:w="0" w:type="dxa"/>
        <w:tblCellMar>
          <w:top w:w="0" w:type="dxa"/>
          <w:left w:w="0" w:type="dxa"/>
          <w:bottom w:w="0" w:type="dxa"/>
          <w:right w:w="0" w:type="dxa"/>
        </w:tblCellMar>
      </w:tblPr>
      <w:tblGrid>
        <w:gridCol w:w="60"/>
        <w:gridCol w:w="110"/>
        <w:gridCol w:w="264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264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disclose unauthorized activities.</w:t>
            </w:r>
          </w:p>
        </w:tc>
      </w:tr>
    </w:tbl>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pStyle w:val="TextBody"/>
        <w:spacing w:before="20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Related to Our Intellectual Property</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business depends on protecting our intellectual property.</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Beyond the protection afforded by patents, we seek to rely on trade secret protection and confidentiality agreements to protect proprietary know-how, information, or technology that is not covered by our patents. Although our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may incur substantial costs as a result of litigation or other proceedings relating to our patents and other intellectual property rights.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We may infringe the intellectual property rights of others, which may prevent or delay our product development efforts and stop us from commercializing or increase the costs of commercializing our product candidates.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The cost of maintaining our patent protection globally is high and requires continuous review and compliance. We may not be able to effectively maintain our intellectual property position throughout the major markets of the world.</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Intellectual property rights do not address all potential threats to any competitive advantage we may have.</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Others may be able to make compounds that are the same as, or similar to, our current or future product candidates but that are not covered by the claims of the patents that we own or have exclusively licensed.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or any of our licensors or strategic partners might not have been the first to make the inventions covered by the issued patents or pending patent applications that we own or have exclusively licensed.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or any of our licensors or strategic partners might not have been the first to file patent applications covering certain of our inventions.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Others may independently develop similar or alternative technologies or duplicate any of our technologies without infringing our intellectual property rights.</w:t>
            </w:r>
          </w:p>
        </w:tc>
      </w:tr>
    </w:tbl>
    <w:tbl>
      <w:tblPr>
        <w:tblW w:w="7105" w:type="dxa"/>
        <w:jc w:val="left"/>
        <w:tblInd w:w="0" w:type="dxa"/>
        <w:tblCellMar>
          <w:top w:w="0" w:type="dxa"/>
          <w:left w:w="0" w:type="dxa"/>
          <w:bottom w:w="0" w:type="dxa"/>
          <w:right w:w="0" w:type="dxa"/>
        </w:tblCellMar>
      </w:tblPr>
      <w:tblGrid>
        <w:gridCol w:w="60"/>
        <w:gridCol w:w="110"/>
        <w:gridCol w:w="69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69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prosecution of our pending patent applications may not result in granted patents.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Granted patents that we own or have exclusively licensed may not provide us with any competitive advantages, or may be held invalid or unenforceable, because of legal challenges by our competitors.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Patent protection on our product candidates may expire before we are able to develop and commercialize the product, or before we are able to recover our investment in the product.</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 </w:t>
            </w:r>
          </w:p>
        </w:tc>
        <w:tc>
          <w:tcPr>
            <w:tcW w:w="110" w:type="dxa"/>
            <w:tcBorders/>
            <w:shd w:fill="auto" w:val="clear"/>
          </w:tcPr>
          <w:p>
            <w:pPr>
              <w:pStyle w:val="TableContents"/>
              <w:spacing w:before="200" w:after="0"/>
              <w:jc w:val="both"/>
              <w:rPr>
                <w:caps w:val="false"/>
                <w:smallCaps w:val="false"/>
                <w:color w:val="000000"/>
                <w:spacing w:val="0"/>
              </w:rPr>
            </w:pPr>
            <w:r>
              <w:rPr>
                <w:caps w:val="false"/>
                <w:smallCaps w:val="false"/>
                <w:color w:val="000000"/>
                <w:spacing w:val="0"/>
              </w:rPr>
              <w:t>•</w:t>
            </w:r>
          </w:p>
        </w:tc>
        <w:tc>
          <w:tcPr>
            <w:tcW w:w="10035" w:type="dxa"/>
            <w:tcBorders/>
            <w:shd w:fill="auto" w:val="clear"/>
          </w:tcPr>
          <w:p>
            <w:pPr>
              <w:pStyle w:val="TableContents"/>
              <w:spacing w:before="20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tc>
      </w:tr>
    </w:tbl>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The existence of counterfeit pharmaceutical products in pharmaceutical markets may damage our brand and reputation and have a material adverse effect on our business, operations and prospects.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China, although the government has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pStyle w:val="TextBody"/>
        <w:spacing w:before="200" w:after="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Risks Related to Our Common Stock</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spacing w:before="20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The price of our common stock might fluctuate significantly, and you could lose all or part of your investment.</w:t>
      </w:r>
    </w:p>
    <w:p>
      <w:pPr>
        <w:pStyle w:val="TextBody"/>
        <w:spacing w:before="20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 </w:t>
      </w:r>
    </w:p>
    <w:p>
      <w:pPr>
        <w:pStyle w:val="TextBody"/>
        <w:spacing w:before="0" w:after="0"/>
        <w:jc w:val="both"/>
        <w:rPr/>
      </w:pPr>
      <w:r>
        <w:rPr/>
        <w:t> </w:t>
      </w:r>
    </w:p>
    <w:p>
      <w:pPr>
        <w:pStyle w:val="TextBody"/>
        <w:spacing w:before="200" w:after="0"/>
        <w:jc w:val="both"/>
        <w:rPr>
          <w:rFonts w:ascii="Times New Roman" w:hAnsi="Times New Roman"/>
          <w:b/>
          <w:i w:val="false"/>
          <w:caps w:val="false"/>
          <w:smallCaps w:val="false"/>
          <w:sz w:val="20"/>
        </w:rPr>
      </w:pPr>
      <w:bookmarkStart w:id="15" w:name="ITEM_2_UNREGISTERED_SALES_EQUITY_SECURIT"/>
      <w:bookmarkEnd w:id="15"/>
      <w:r>
        <w:rPr>
          <w:rFonts w:ascii="Times New Roman" w:hAnsi="Times New Roman"/>
          <w:b/>
          <w:i w:val="false"/>
          <w:caps w:val="false"/>
          <w:smallCaps w:val="false"/>
          <w:sz w:val="20"/>
        </w:rPr>
        <w:t>Item 2. Unregistered Sales of Equity Securities and Use of Proceeds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00" w:after="0"/>
        <w:jc w:val="both"/>
        <w:rPr>
          <w:rFonts w:ascii="Times New Roman" w:hAnsi="Times New Roman"/>
          <w:b/>
          <w:i w:val="false"/>
          <w:caps w:val="false"/>
          <w:smallCaps w:val="false"/>
          <w:sz w:val="20"/>
        </w:rPr>
      </w:pPr>
      <w:bookmarkStart w:id="16" w:name="ITEM_3_DEFAULTS_UPON_SENIOR_SECURITIES"/>
      <w:bookmarkEnd w:id="16"/>
      <w:r>
        <w:rPr>
          <w:rFonts w:ascii="Times New Roman" w:hAnsi="Times New Roman"/>
          <w:b/>
          <w:i w:val="false"/>
          <w:caps w:val="false"/>
          <w:smallCaps w:val="false"/>
          <w:sz w:val="20"/>
        </w:rPr>
        <w:t>Item 3. Defaults upon Senior Securities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00" w:after="0"/>
        <w:jc w:val="both"/>
        <w:rPr>
          <w:rFonts w:ascii="Times New Roman" w:hAnsi="Times New Roman"/>
          <w:b/>
          <w:i w:val="false"/>
          <w:caps w:val="false"/>
          <w:smallCaps w:val="false"/>
          <w:sz w:val="20"/>
        </w:rPr>
      </w:pPr>
      <w:bookmarkStart w:id="17" w:name="ITEM_4_MINE_SAFETY_DISCLOSURES"/>
      <w:bookmarkEnd w:id="17"/>
      <w:r>
        <w:rPr>
          <w:rFonts w:ascii="Times New Roman" w:hAnsi="Times New Roman"/>
          <w:b/>
          <w:i w:val="false"/>
          <w:caps w:val="false"/>
          <w:smallCaps w:val="false"/>
          <w:sz w:val="20"/>
        </w:rPr>
        <w:t>Item 4. Mine Safety Disclosures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spacing w:before="200" w:after="0"/>
        <w:jc w:val="both"/>
        <w:rPr>
          <w:rFonts w:ascii="Times New Roman" w:hAnsi="Times New Roman"/>
          <w:b/>
          <w:i w:val="false"/>
          <w:caps w:val="false"/>
          <w:smallCaps w:val="false"/>
          <w:sz w:val="20"/>
        </w:rPr>
      </w:pPr>
      <w:bookmarkStart w:id="18" w:name="ITEM_5_OR_INFORMATION"/>
      <w:bookmarkEnd w:id="18"/>
      <w:r>
        <w:rPr>
          <w:rFonts w:ascii="Times New Roman" w:hAnsi="Times New Roman"/>
          <w:b/>
          <w:i w:val="false"/>
          <w:caps w:val="false"/>
          <w:smallCaps w:val="false"/>
          <w:sz w:val="20"/>
        </w:rPr>
        <w:t>Item 5. Other Information</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0" w:after="0"/>
        <w:jc w:val="both"/>
        <w:rPr>
          <w:rFonts w:ascii="Times New Roman" w:hAnsi="Times New Roman"/>
          <w:b/>
          <w:i w:val="false"/>
          <w:caps w:val="false"/>
          <w:smallCaps w:val="false"/>
          <w:sz w:val="20"/>
        </w:rPr>
      </w:pPr>
      <w:bookmarkStart w:id="19" w:name="ITEM_6_EXHIBITS"/>
      <w:bookmarkEnd w:id="19"/>
      <w:r>
        <w:rPr>
          <w:rFonts w:ascii="Times New Roman" w:hAnsi="Times New Roman"/>
          <w:b/>
          <w:i w:val="false"/>
          <w:caps w:val="false"/>
          <w:smallCaps w:val="false"/>
          <w:sz w:val="20"/>
        </w:rPr>
        <w:t>Item 6. Exhibits</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w:t>
      </w:r>
      <w:r>
        <w:rPr>
          <w:rFonts w:ascii="Times New Roman" w:hAnsi="Times New Roman"/>
          <w:b w:val="false"/>
          <w:i/>
          <w:caps w:val="false"/>
          <w:smallCaps w:val="false"/>
          <w:sz w:val="20"/>
        </w:rPr>
        <w:t xml:space="preserve">Exhibits. </w:t>
      </w:r>
      <w:r>
        <w:rPr>
          <w:rFonts w:ascii="Times New Roman" w:hAnsi="Times New Roman"/>
          <w:b w:val="false"/>
          <w:i w:val="false"/>
          <w:caps w:val="false"/>
          <w:smallCaps w:val="false"/>
          <w:sz w:val="20"/>
        </w:rPr>
        <w:t> The following exhibits are filed as part of this quarterly report on Form 10-Q:</w:t>
      </w:r>
    </w:p>
    <w:p>
      <w:pPr>
        <w:pStyle w:val="TextBody"/>
        <w:spacing w:before="0" w:after="0"/>
        <w:jc w:val="both"/>
        <w:rPr/>
      </w:pPr>
      <w:r>
        <w:rPr/>
        <w:t> </w:t>
      </w:r>
    </w:p>
    <w:tbl>
      <w:tblPr>
        <w:tblW w:w="10205" w:type="dxa"/>
        <w:jc w:val="left"/>
        <w:tblInd w:w="0" w:type="dxa"/>
        <w:tblCellMar>
          <w:top w:w="0" w:type="dxa"/>
          <w:left w:w="0" w:type="dxa"/>
          <w:bottom w:w="28" w:type="dxa"/>
          <w:right w:w="0" w:type="dxa"/>
        </w:tblCellMar>
      </w:tblPr>
      <w:tblGrid>
        <w:gridCol w:w="678"/>
        <w:gridCol w:w="120"/>
        <w:gridCol w:w="5965"/>
        <w:gridCol w:w="120"/>
        <w:gridCol w:w="695"/>
        <w:gridCol w:w="120"/>
        <w:gridCol w:w="980"/>
        <w:gridCol w:w="120"/>
        <w:gridCol w:w="680"/>
        <w:gridCol w:w="120"/>
        <w:gridCol w:w="607"/>
      </w:tblGrid>
      <w:tr>
        <w:trPr/>
        <w:tc>
          <w:tcPr>
            <w:tcW w:w="678"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Exhibit</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c>
          <w:tcPr>
            <w:tcW w:w="120" w:type="dxa"/>
            <w:tcBorders>
              <w:bottom w:val="single" w:sz="6" w:space="0" w:color="000000"/>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596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Description of Document</w:t>
            </w:r>
          </w:p>
        </w:tc>
        <w:tc>
          <w:tcPr>
            <w:tcW w:w="120" w:type="dxa"/>
            <w:tcBorders>
              <w:bottom w:val="single" w:sz="6" w:space="0" w:color="000000"/>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9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Filed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Herewith</w:t>
            </w:r>
          </w:p>
        </w:tc>
        <w:tc>
          <w:tcPr>
            <w:tcW w:w="120" w:type="dxa"/>
            <w:tcBorders>
              <w:bottom w:val="single" w:sz="6" w:space="0" w:color="000000"/>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98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Incorporated</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by Reference</w:t>
            </w:r>
          </w:p>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from</w:t>
            </w:r>
          </w:p>
        </w:tc>
        <w:tc>
          <w:tcPr>
            <w:tcW w:w="120" w:type="dxa"/>
            <w:tcBorders>
              <w:bottom w:val="single" w:sz="6" w:space="0" w:color="000000"/>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8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Date</w:t>
            </w:r>
          </w:p>
        </w:tc>
        <w:tc>
          <w:tcPr>
            <w:tcW w:w="120" w:type="dxa"/>
            <w:tcBorders>
              <w:bottom w:val="single" w:sz="6" w:space="0" w:color="000000"/>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7"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Number</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5965"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95" w:type="dxa"/>
            <w:tcBorders/>
            <w:shd w:fill="auto" w:val="clear"/>
            <w:tcMar>
              <w:bottom w:w="0" w:type="dxa"/>
            </w:tcMar>
            <w:vAlign w:val="center"/>
          </w:tcPr>
          <w:p>
            <w:pPr>
              <w:pStyle w:val="TableContents"/>
              <w:spacing w:before="0" w:after="0"/>
              <w:ind w:left="0" w:right="0" w:hanging="0"/>
              <w:jc w:val="center"/>
              <w:rPr/>
            </w:pPr>
            <w:r>
              <w:rPr/>
              <w:t> </w:t>
            </w:r>
          </w:p>
        </w:tc>
        <w:tc>
          <w:tcPr>
            <w:tcW w:w="120" w:type="dxa"/>
            <w:tcBorders/>
            <w:shd w:fill="auto" w:val="clear"/>
            <w:tcMar>
              <w:bottom w:w="0" w:type="dxa"/>
            </w:tcMar>
            <w:vAlign w:val="center"/>
          </w:tcPr>
          <w:p>
            <w:pPr>
              <w:pStyle w:val="TableContents"/>
              <w:spacing w:before="0" w:after="0"/>
              <w:ind w:left="0" w:right="0" w:hanging="0"/>
              <w:jc w:val="center"/>
              <w:rPr/>
            </w:pPr>
            <w:r>
              <w:rPr/>
              <w:t> </w:t>
            </w:r>
          </w:p>
        </w:tc>
        <w:tc>
          <w:tcPr>
            <w:tcW w:w="980" w:type="dxa"/>
            <w:tcBorders/>
            <w:shd w:fill="auto" w:val="clear"/>
            <w:tcMar>
              <w:bottom w:w="0" w:type="dxa"/>
            </w:tcMar>
            <w:vAlign w:val="center"/>
          </w:tcPr>
          <w:p>
            <w:pPr>
              <w:pStyle w:val="TableContents"/>
              <w:spacing w:before="0" w:after="0"/>
              <w:ind w:left="0" w:right="0" w:hanging="0"/>
              <w:jc w:val="center"/>
              <w:rPr/>
            </w:pPr>
            <w:r>
              <w:rPr/>
              <w:t> </w:t>
            </w:r>
          </w:p>
        </w:tc>
        <w:tc>
          <w:tcPr>
            <w:tcW w:w="120" w:type="dxa"/>
            <w:tcBorders/>
            <w:shd w:fill="auto" w:val="clear"/>
            <w:tcMar>
              <w:bottom w:w="0" w:type="dxa"/>
            </w:tcMar>
            <w:vAlign w:val="center"/>
          </w:tcPr>
          <w:p>
            <w:pPr>
              <w:pStyle w:val="TableContents"/>
              <w:spacing w:before="0" w:after="0"/>
              <w:ind w:left="0" w:right="0" w:hanging="0"/>
              <w:jc w:val="center"/>
              <w:rPr/>
            </w:pPr>
            <w:r>
              <w:rPr/>
              <w:t> </w:t>
            </w:r>
          </w:p>
        </w:tc>
        <w:tc>
          <w:tcPr>
            <w:tcW w:w="680" w:type="dxa"/>
            <w:tcBorders/>
            <w:shd w:fill="auto" w:val="clear"/>
            <w:tcMar>
              <w:bottom w:w="0" w:type="dxa"/>
            </w:tcMar>
            <w:vAlign w:val="center"/>
          </w:tcPr>
          <w:p>
            <w:pPr>
              <w:pStyle w:val="TableContents"/>
              <w:spacing w:before="0" w:after="0"/>
              <w:ind w:left="0" w:right="0" w:hanging="0"/>
              <w:jc w:val="center"/>
              <w:rPr/>
            </w:pPr>
            <w:r>
              <w:rPr/>
              <w:t> </w:t>
            </w:r>
          </w:p>
        </w:tc>
        <w:tc>
          <w:tcPr>
            <w:tcW w:w="120" w:type="dxa"/>
            <w:tcBorders/>
            <w:shd w:fill="auto" w:val="clear"/>
            <w:tcMar>
              <w:bottom w:w="0" w:type="dxa"/>
            </w:tcMar>
            <w:vAlign w:val="center"/>
          </w:tcPr>
          <w:p>
            <w:pPr>
              <w:pStyle w:val="TableContents"/>
              <w:spacing w:before="0" w:after="0"/>
              <w:ind w:left="0" w:right="0" w:hanging="0"/>
              <w:jc w:val="center"/>
              <w:rPr/>
            </w:pPr>
            <w:r>
              <w:rPr/>
              <w:t> </w:t>
            </w:r>
          </w:p>
        </w:tc>
        <w:tc>
          <w:tcPr>
            <w:tcW w:w="607" w:type="dxa"/>
            <w:tcBorders/>
            <w:shd w:fill="auto" w:val="clear"/>
            <w:tcMar>
              <w:bottom w:w="0" w:type="dxa"/>
            </w:tcMar>
            <w:vAlign w:val="center"/>
          </w:tcPr>
          <w:p>
            <w:pPr>
              <w:pStyle w:val="TableContents"/>
              <w:spacing w:before="0" w:after="0"/>
              <w:ind w:left="0" w:right="0" w:hanging="0"/>
              <w:jc w:val="center"/>
              <w:rPr/>
            </w:pPr>
            <w:r>
              <w:rPr/>
              <w:t> </w:t>
            </w:r>
          </w:p>
        </w:tc>
      </w:tr>
      <w:tr>
        <w:trPr/>
        <w:tc>
          <w:tcPr>
            <w:tcW w:w="678"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10.1#</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5965" w:type="dxa"/>
            <w:tcBorders/>
            <w:shd w:fill="auto" w:val="clear"/>
            <w:tcMar>
              <w:bottom w:w="0" w:type="dxa"/>
            </w:tcMar>
            <w:vAlign w:val="bottom"/>
          </w:tcPr>
          <w:p>
            <w:pPr>
              <w:pStyle w:val="TableContents"/>
              <w:spacing w:before="0" w:after="0"/>
              <w:ind w:left="0" w:right="0" w:hanging="0"/>
              <w:rPr/>
            </w:pPr>
            <w:hyperlink r:id="rId2">
              <w:r>
                <w:rPr>
                  <w:rStyle w:val="InternetLink"/>
                  <w:rFonts w:ascii="Times New Roman" w:hAnsi="Times New Roman"/>
                  <w:b w:val="false"/>
                  <w:i w:val="false"/>
                  <w:caps w:val="false"/>
                  <w:smallCaps w:val="false"/>
                  <w:sz w:val="20"/>
                  <w:u w:val="single"/>
                </w:rPr>
                <w:t>Assembly Biosciences, Inc. 2022 Corporate Bonus Plan.</w:t>
              </w:r>
            </w:hyperlink>
          </w:p>
        </w:tc>
        <w:tc>
          <w:tcPr>
            <w:tcW w:w="120" w:type="dxa"/>
            <w:tcBorders/>
            <w:shd w:fill="auto" w:val="clear"/>
            <w:tcMar>
              <w:bottom w:w="0" w:type="dxa"/>
            </w:tcMar>
            <w:vAlign w:val="bottom"/>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80"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8-K</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80"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02/04/2022</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07" w:type="dxa"/>
            <w:tcBorders/>
            <w:shd w:fill="auto" w:val="clear"/>
            <w:tcMar>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5965"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80" w:type="dxa"/>
            <w:tcBorders/>
            <w:shd w:fill="auto" w:val="clear"/>
            <w:tcMar>
              <w:bottom w:w="0" w:type="dxa"/>
            </w:tcMar>
            <w:vAlign w:val="bottom"/>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80" w:type="dxa"/>
            <w:tcBorders/>
            <w:shd w:fill="auto" w:val="clear"/>
            <w:tcMar>
              <w:bottom w:w="0" w:type="dxa"/>
            </w:tcMar>
            <w:vAlign w:val="bottom"/>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07" w:type="dxa"/>
            <w:tcBorders/>
            <w:shd w:fill="auto" w:val="clear"/>
            <w:tcMar>
              <w:bottom w:w="0" w:type="dxa"/>
            </w:tcMar>
            <w:vAlign w:val="bottom"/>
          </w:tcPr>
          <w:p>
            <w:pPr>
              <w:pStyle w:val="TableContents"/>
              <w:spacing w:before="0" w:after="0"/>
              <w:ind w:left="0" w:right="0" w:hanging="0"/>
              <w:jc w:val="center"/>
              <w:rPr/>
            </w:pPr>
            <w:r>
              <w:rPr/>
              <w:t> </w:t>
            </w:r>
          </w:p>
        </w:tc>
      </w:tr>
      <w:tr>
        <w:trPr/>
        <w:tc>
          <w:tcPr>
            <w:tcW w:w="678"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31.1</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5965" w:type="dxa"/>
            <w:tcBorders/>
            <w:shd w:fill="auto" w:val="clear"/>
            <w:tcMar>
              <w:bottom w:w="0" w:type="dxa"/>
            </w:tcMar>
            <w:vAlign w:val="bottom"/>
          </w:tcPr>
          <w:p>
            <w:pPr>
              <w:pStyle w:val="TableContents"/>
              <w:spacing w:before="0" w:after="0"/>
              <w:ind w:left="0" w:right="0" w:hanging="0"/>
              <w:rPr/>
            </w:pPr>
            <w:hyperlink w:anchor="asmb-ex311_7.htm">
              <w:r>
                <w:rPr>
                  <w:rStyle w:val="InternetLink"/>
                  <w:rFonts w:ascii="Times New Roman" w:hAnsi="Times New Roman"/>
                  <w:b w:val="false"/>
                  <w:i w:val="false"/>
                  <w:caps w:val="false"/>
                  <w:smallCaps w:val="false"/>
                  <w:sz w:val="20"/>
                  <w:u w:val="single"/>
                </w:rPr>
                <w:t>Certification of Chief Executive Officer Pursuant to Section 302 of the Sarbanes-Oxley Act of 2002.</w:t>
              </w:r>
            </w:hyperlink>
          </w:p>
        </w:tc>
        <w:tc>
          <w:tcPr>
            <w:tcW w:w="120" w:type="dxa"/>
            <w:tcBorders/>
            <w:shd w:fill="auto" w:val="clear"/>
            <w:tcMar>
              <w:bottom w:w="0" w:type="dxa"/>
            </w:tcMar>
            <w:vAlign w:val="bottom"/>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80" w:type="dxa"/>
            <w:tcBorders/>
            <w:shd w:fill="auto"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120" w:type="dxa"/>
            <w:tcBorders/>
            <w:shd w:fill="auto"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80" w:type="dxa"/>
            <w:tcBorders/>
            <w:shd w:fill="auto"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c>
          <w:tcPr>
            <w:tcW w:w="120" w:type="dxa"/>
            <w:tcBorders/>
            <w:shd w:fill="auto" w:val="clear"/>
            <w:tcMar>
              <w:bottom w:w="0" w:type="dxa"/>
            </w:tcMar>
            <w:vAlign w:val="bottom"/>
          </w:tcPr>
          <w:p>
            <w:pPr>
              <w:pStyle w:val="TableContents"/>
              <w:spacing w:before="0" w:after="0"/>
              <w:ind w:left="0" w:right="0" w:hanging="0"/>
              <w:rPr>
                <w:caps w:val="false"/>
                <w:smallCaps w:val="false"/>
              </w:rPr>
            </w:pPr>
            <w:r>
              <w:rPr>
                <w:caps w:val="false"/>
                <w:smallCaps w:val="false"/>
              </w:rPr>
              <w:t> </w:t>
            </w:r>
          </w:p>
        </w:tc>
        <w:tc>
          <w:tcPr>
            <w:tcW w:w="607" w:type="dxa"/>
            <w:tcBorders/>
            <w:shd w:fill="auto" w:val="clear"/>
            <w:tcMar>
              <w:bottom w:w="0" w:type="dxa"/>
            </w:tcMar>
            <w:vAlign w:val="bottom"/>
          </w:tcPr>
          <w:p>
            <w:pPr>
              <w:pStyle w:val="TableContents"/>
              <w:spacing w:before="0" w:after="0"/>
              <w:ind w:left="0" w:right="0" w:hanging="0"/>
              <w:jc w:val="center"/>
              <w:rPr>
                <w:caps w:val="false"/>
                <w:smallCaps w:val="false"/>
              </w:rPr>
            </w:pPr>
            <w:r>
              <w:rPr>
                <w:caps w:val="false"/>
                <w:smallCaps w:val="false"/>
              </w:rPr>
              <w:t> </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5965"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80" w:type="dxa"/>
            <w:tcBorders/>
            <w:shd w:fill="auto" w:val="clear"/>
            <w:tcMar>
              <w:bottom w:w="0" w:type="dxa"/>
            </w:tcMar>
            <w:vAlign w:val="bottom"/>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80" w:type="dxa"/>
            <w:tcBorders/>
            <w:shd w:fill="auto" w:val="clear"/>
            <w:tcMar>
              <w:bottom w:w="0" w:type="dxa"/>
            </w:tcMar>
            <w:vAlign w:val="bottom"/>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07" w:type="dxa"/>
            <w:tcBorders/>
            <w:shd w:fill="auto" w:val="clear"/>
            <w:tcMar>
              <w:bottom w:w="0" w:type="dxa"/>
            </w:tcMar>
            <w:vAlign w:val="bottom"/>
          </w:tcPr>
          <w:p>
            <w:pPr>
              <w:pStyle w:val="TableContents"/>
              <w:spacing w:before="0" w:after="0"/>
              <w:ind w:left="0" w:right="0" w:hanging="0"/>
              <w:jc w:val="center"/>
              <w:rPr/>
            </w:pPr>
            <w:r>
              <w:rPr/>
              <w:t> </w:t>
            </w:r>
          </w:p>
        </w:tc>
      </w:tr>
      <w:tr>
        <w:trPr/>
        <w:tc>
          <w:tcPr>
            <w:tcW w:w="678"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31.2</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5965" w:type="dxa"/>
            <w:tcBorders/>
            <w:shd w:fill="auto" w:val="clear"/>
            <w:tcMar>
              <w:bottom w:w="0" w:type="dxa"/>
            </w:tcMar>
            <w:vAlign w:val="bottom"/>
          </w:tcPr>
          <w:p>
            <w:pPr>
              <w:pStyle w:val="TableContents"/>
              <w:spacing w:before="0" w:after="0"/>
              <w:ind w:left="0" w:right="0" w:hanging="0"/>
              <w:rPr/>
            </w:pPr>
            <w:hyperlink w:anchor="asmb-ex312_8.htm">
              <w:r>
                <w:rPr>
                  <w:rStyle w:val="InternetLink"/>
                  <w:rFonts w:ascii="Times New Roman" w:hAnsi="Times New Roman"/>
                  <w:b w:val="false"/>
                  <w:i w:val="false"/>
                  <w:caps w:val="false"/>
                  <w:smallCaps w:val="false"/>
                  <w:sz w:val="20"/>
                  <w:u w:val="single"/>
                </w:rPr>
                <w:t>Certification of the Chief Financial Officer Pursuant to Section 302 of the Sarbanes-Oxley Act of 2002.</w:t>
              </w:r>
            </w:hyperlink>
          </w:p>
        </w:tc>
        <w:tc>
          <w:tcPr>
            <w:tcW w:w="120" w:type="dxa"/>
            <w:tcBorders/>
            <w:shd w:fill="auto" w:val="clear"/>
            <w:tcMar>
              <w:bottom w:w="0" w:type="dxa"/>
            </w:tcMar>
            <w:vAlign w:val="bottom"/>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80" w:type="dxa"/>
            <w:tcBorders/>
            <w:shd w:fill="auto" w:val="clear"/>
            <w:tcMar>
              <w:bottom w:w="0" w:type="dxa"/>
            </w:tcMar>
            <w:vAlign w:val="bottom"/>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80" w:type="dxa"/>
            <w:tcBorders/>
            <w:shd w:fill="auto" w:val="clear"/>
            <w:tcMar>
              <w:bottom w:w="0" w:type="dxa"/>
            </w:tcMar>
            <w:vAlign w:val="bottom"/>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07" w:type="dxa"/>
            <w:tcBorders/>
            <w:shd w:fill="auto" w:val="clear"/>
            <w:tcMar>
              <w:bottom w:w="0" w:type="dxa"/>
            </w:tcMar>
            <w:vAlign w:val="bottom"/>
          </w:tcPr>
          <w:p>
            <w:pPr>
              <w:pStyle w:val="TableContents"/>
              <w:spacing w:before="0" w:after="0"/>
              <w:ind w:left="0" w:right="0" w:hanging="0"/>
              <w:jc w:val="center"/>
              <w:rPr/>
            </w:pPr>
            <w:r>
              <w:rPr/>
              <w:t> </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5965" w:type="dxa"/>
            <w:tcBorders/>
            <w:shd w:fill="auto" w:val="clear"/>
            <w:tcMar>
              <w:bottom w:w="0" w:type="dxa"/>
            </w:tcMar>
            <w:vAlign w:val="bottom"/>
          </w:tcPr>
          <w:p>
            <w:pPr>
              <w:pStyle w:val="TableContents"/>
              <w:spacing w:before="0" w:after="0"/>
              <w:ind w:left="0" w:right="0" w:hanging="0"/>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980" w:type="dxa"/>
            <w:tcBorders/>
            <w:shd w:fill="auto" w:val="clear"/>
            <w:tcMar>
              <w:bottom w:w="0" w:type="dxa"/>
            </w:tcMar>
            <w:vAlign w:val="bottom"/>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80" w:type="dxa"/>
            <w:tcBorders/>
            <w:shd w:fill="auto" w:val="clear"/>
            <w:tcMar>
              <w:bottom w:w="0" w:type="dxa"/>
            </w:tcMar>
            <w:vAlign w:val="bottom"/>
          </w:tcPr>
          <w:p>
            <w:pPr>
              <w:pStyle w:val="TableContents"/>
              <w:spacing w:before="0" w:after="0"/>
              <w:ind w:left="0" w:right="0" w:hanging="0"/>
              <w:jc w:val="center"/>
              <w:rPr/>
            </w:pPr>
            <w:r>
              <w:rPr/>
              <w:t> </w:t>
            </w:r>
          </w:p>
        </w:tc>
        <w:tc>
          <w:tcPr>
            <w:tcW w:w="120" w:type="dxa"/>
            <w:tcBorders/>
            <w:shd w:fill="auto" w:val="clear"/>
            <w:tcMar>
              <w:bottom w:w="0" w:type="dxa"/>
            </w:tcMar>
            <w:vAlign w:val="bottom"/>
          </w:tcPr>
          <w:p>
            <w:pPr>
              <w:pStyle w:val="TableContents"/>
              <w:spacing w:before="0" w:after="0"/>
              <w:ind w:left="0" w:right="0" w:hanging="0"/>
              <w:rPr/>
            </w:pPr>
            <w:r>
              <w:rPr/>
              <w:t> </w:t>
            </w:r>
          </w:p>
        </w:tc>
        <w:tc>
          <w:tcPr>
            <w:tcW w:w="607" w:type="dxa"/>
            <w:tcBorders/>
            <w:shd w:fill="auto" w:val="clear"/>
            <w:tcMar>
              <w:bottom w:w="0" w:type="dxa"/>
            </w:tcMar>
            <w:vAlign w:val="bottom"/>
          </w:tcPr>
          <w:p>
            <w:pPr>
              <w:pStyle w:val="TableContents"/>
              <w:spacing w:before="0" w:after="0"/>
              <w:ind w:left="0" w:right="0" w:hanging="0"/>
              <w:jc w:val="center"/>
              <w:rPr/>
            </w:pPr>
            <w:r>
              <w:rPr/>
              <w:t> </w:t>
            </w:r>
          </w:p>
        </w:tc>
      </w:tr>
      <w:tr>
        <w:trPr/>
        <w:tc>
          <w:tcPr>
            <w:tcW w:w="678"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32.1*</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pPr>
            <w:hyperlink w:anchor="asmb-ex321_9.htm">
              <w:r>
                <w:rPr>
                  <w:rStyle w:val="InternetLink"/>
                  <w:rFonts w:ascii="Times New Roman" w:hAnsi="Times New Roman"/>
                  <w:b w:val="false"/>
                  <w:i w:val="false"/>
                  <w:caps w:val="false"/>
                  <w:smallCaps w:val="false"/>
                  <w:sz w:val="20"/>
                  <w:u w:val="single"/>
                </w:rPr>
                <w:t>Certification of Chief Executive Officer Pursuant to Section 906 of the Sarbanes-Oxley Act of 2002.</w:t>
              </w:r>
            </w:hyperlink>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12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8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12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7"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32.2*</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pPr>
            <w:hyperlink w:anchor="asmb-ex322_11.htm">
              <w:r>
                <w:rPr>
                  <w:rStyle w:val="InternetLink"/>
                  <w:rFonts w:ascii="Times New Roman" w:hAnsi="Times New Roman"/>
                  <w:b w:val="false"/>
                  <w:i w:val="false"/>
                  <w:caps w:val="false"/>
                  <w:smallCaps w:val="false"/>
                  <w:sz w:val="20"/>
                  <w:u w:val="single"/>
                </w:rPr>
                <w:t>Certification of the Chief Financial Officer Pursuant to Section 906 of the Sarbanes-Oxley Act of 2002.</w:t>
              </w:r>
            </w:hyperlink>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101.SCH</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Schema Document</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101.CAL</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Calculation Linkbase Document</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101.LAB</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Label Linkbase Document</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101.PRE</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Presentation Linkbase Document</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101.DEF</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Definition Linkbase Document</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r>
        <w:trPr/>
        <w:tc>
          <w:tcPr>
            <w:tcW w:w="678"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tc>
        <w:tc>
          <w:tcPr>
            <w:tcW w:w="120" w:type="dxa"/>
            <w:tcBorders/>
            <w:shd w:fill="auto" w:val="clear"/>
            <w:tcMar>
              <w:bottom w:w="0" w:type="dxa"/>
            </w:tcMar>
          </w:tcPr>
          <w:p>
            <w:pPr>
              <w:pStyle w:val="TableContents"/>
              <w:spacing w:before="0" w:after="0"/>
              <w:ind w:left="0" w:right="0" w:hanging="0"/>
              <w:rPr/>
            </w:pPr>
            <w:r>
              <w:rPr/>
              <w:t> </w:t>
            </w:r>
          </w:p>
        </w:tc>
        <w:tc>
          <w:tcPr>
            <w:tcW w:w="596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 Page Interactive Data File (formatted as inline XBRL with applicable taxonomy extension information contained in Exhibits 101).</w:t>
            </w:r>
          </w:p>
        </w:tc>
        <w:tc>
          <w:tcPr>
            <w:tcW w:w="120" w:type="dxa"/>
            <w:tcBorders/>
            <w:shd w:fill="auto" w:val="clear"/>
            <w:tcMar>
              <w:bottom w:w="0" w:type="dxa"/>
            </w:tcMar>
          </w:tcPr>
          <w:p>
            <w:pPr>
              <w:pStyle w:val="TableContents"/>
              <w:spacing w:before="0" w:after="0"/>
              <w:ind w:left="0" w:right="0" w:hanging="0"/>
              <w:rPr/>
            </w:pPr>
            <w:r>
              <w:rPr/>
              <w:t> </w:t>
            </w:r>
          </w:p>
        </w:tc>
        <w:tc>
          <w:tcPr>
            <w:tcW w:w="695"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w:t>
            </w:r>
          </w:p>
        </w:tc>
        <w:tc>
          <w:tcPr>
            <w:tcW w:w="120" w:type="dxa"/>
            <w:tcBorders/>
            <w:shd w:fill="auto" w:val="clear"/>
            <w:tcMar>
              <w:bottom w:w="0" w:type="dxa"/>
            </w:tcMar>
          </w:tcPr>
          <w:p>
            <w:pPr>
              <w:pStyle w:val="TableContents"/>
              <w:spacing w:before="0" w:after="0"/>
              <w:ind w:left="0" w:right="0" w:hanging="0"/>
              <w:rPr/>
            </w:pPr>
            <w:r>
              <w:rPr/>
              <w:t> </w:t>
            </w:r>
          </w:p>
        </w:tc>
        <w:tc>
          <w:tcPr>
            <w:tcW w:w="9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80" w:type="dxa"/>
            <w:tcBorders/>
            <w:shd w:fill="auto" w:val="clear"/>
            <w:tcMar>
              <w:bottom w:w="0" w:type="dxa"/>
            </w:tcMar>
          </w:tcPr>
          <w:p>
            <w:pPr>
              <w:pStyle w:val="TableContents"/>
              <w:spacing w:before="0" w:after="0"/>
              <w:ind w:left="0" w:right="0" w:hanging="0"/>
              <w:rPr/>
            </w:pPr>
            <w:r>
              <w:rPr/>
              <w:t> </w:t>
            </w:r>
          </w:p>
        </w:tc>
        <w:tc>
          <w:tcPr>
            <w:tcW w:w="120" w:type="dxa"/>
            <w:tcBorders/>
            <w:shd w:fill="auto" w:val="clear"/>
            <w:tcMar>
              <w:bottom w:w="0" w:type="dxa"/>
            </w:tcMar>
          </w:tcPr>
          <w:p>
            <w:pPr>
              <w:pStyle w:val="TableContents"/>
              <w:spacing w:before="0" w:after="0"/>
              <w:ind w:left="0" w:right="0" w:hanging="0"/>
              <w:rPr/>
            </w:pPr>
            <w:r>
              <w:rPr/>
              <w:t> </w:t>
            </w:r>
          </w:p>
        </w:tc>
        <w:tc>
          <w:tcPr>
            <w:tcW w:w="607" w:type="dxa"/>
            <w:tcBorders/>
            <w:shd w:fill="auto" w:val="clear"/>
            <w:tcMar>
              <w:bottom w:w="0" w:type="dxa"/>
            </w:tcMar>
          </w:tcPr>
          <w:p>
            <w:pPr>
              <w:pStyle w:val="TableContents"/>
              <w:spacing w:before="0" w:after="0"/>
              <w:ind w:left="0" w:right="0" w:hanging="0"/>
              <w:rPr/>
            </w:pPr>
            <w:r>
              <w:rPr/>
              <w:t> </w:t>
            </w:r>
          </w:p>
        </w:tc>
      </w:tr>
    </w:tbl>
    <w:p>
      <w:pPr>
        <w:pStyle w:val="TextBody"/>
        <w:spacing w:before="0" w:after="0"/>
        <w:jc w:val="both"/>
        <w:rPr/>
      </w:pPr>
      <w:r>
        <w:rPr/>
        <w:t> </w:t>
      </w:r>
    </w:p>
    <w:tbl>
      <w:tblPr>
        <w:tblW w:w="6145" w:type="dxa"/>
        <w:jc w:val="left"/>
        <w:tblInd w:w="0" w:type="dxa"/>
        <w:tblCellMar>
          <w:top w:w="0" w:type="dxa"/>
          <w:left w:w="0" w:type="dxa"/>
          <w:bottom w:w="0" w:type="dxa"/>
          <w:right w:w="0" w:type="dxa"/>
        </w:tblCellMar>
      </w:tblPr>
      <w:tblGrid>
        <w:gridCol w:w="125"/>
        <w:gridCol w:w="6020"/>
      </w:tblGrid>
      <w:tr>
        <w:trPr/>
        <w:tc>
          <w:tcPr>
            <w:tcW w:w="12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20"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Represents management contracts or compensatory plans or arrangements.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80" w:type="dxa"/>
            <w:tcBorders/>
            <w:shd w:fill="auto" w:val="clear"/>
          </w:tcPr>
          <w:p>
            <w:pPr>
              <w:pStyle w:val="TableContents"/>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certifications attached as Exhibit 32.1 and Exhibit 32.2 that accompany this Quarterly Report on Form 10-Q are not deemed filed with the SEC and are not to be incorporated by reference into any filing of Assembly Biosciences, Inc. under the Securities Act or the Exchange Act, whether made before or after the date of this Quarterly Report on Form 10-Q, irrespective of any general incorporation language contained in such filing.</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0" w:after="0"/>
        <w:rPr/>
      </w:pPr>
      <w:r>
        <w:rPr/>
        <w:t> </w:t>
      </w:r>
    </w:p>
    <w:p>
      <w:pPr>
        <w:pStyle w:val="TextBody"/>
        <w:spacing w:before="0" w:after="0"/>
        <w:jc w:val="both"/>
        <w:rPr/>
      </w:pPr>
      <w:bookmarkStart w:id="20" w:name="SIGNATHURE"/>
      <w:bookmarkEnd w:id="20"/>
      <w:r>
        <w:rPr/>
        <w:t> </w:t>
      </w:r>
    </w:p>
    <w:p>
      <w:pPr>
        <w:pStyle w:val="TextBody"/>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accordance with the requirements of the Securities Exchange Act of 1934, the registrant caused this report to be signed on its behalf by the undersigned, thereunto duly authorized.</w:t>
      </w:r>
    </w:p>
    <w:p>
      <w:pPr>
        <w:pStyle w:val="TextBody"/>
        <w:spacing w:before="0" w:after="0"/>
        <w:jc w:val="both"/>
        <w:rPr/>
      </w:pPr>
      <w:r>
        <w:rPr/>
        <w:t> </w:t>
      </w:r>
    </w:p>
    <w:tbl>
      <w:tblPr>
        <w:tblW w:w="6975" w:type="dxa"/>
        <w:jc w:val="left"/>
        <w:tblInd w:w="0" w:type="dxa"/>
        <w:tblCellMar>
          <w:top w:w="0" w:type="dxa"/>
          <w:left w:w="0" w:type="dxa"/>
          <w:bottom w:w="0" w:type="dxa"/>
          <w:right w:w="0" w:type="dxa"/>
        </w:tblCellMar>
      </w:tblPr>
      <w:tblGrid>
        <w:gridCol w:w="1640"/>
        <w:gridCol w:w="320"/>
        <w:gridCol w:w="5015"/>
      </w:tblGrid>
      <w:tr>
        <w:trPr/>
        <w:tc>
          <w:tcPr>
            <w:tcW w:w="1640" w:type="dxa"/>
            <w:tcBorders/>
            <w:shd w:fill="auto" w:val="clear"/>
          </w:tcPr>
          <w:p>
            <w:pPr>
              <w:pStyle w:val="TableContents"/>
              <w:spacing w:before="0" w:after="0"/>
              <w:ind w:left="0" w:right="0" w:hanging="0"/>
              <w:jc w:val="center"/>
              <w:rPr>
                <w:caps w:val="false"/>
                <w:smallCaps w:val="false"/>
              </w:rPr>
            </w:pPr>
            <w:r>
              <w:rPr>
                <w:caps w:val="false"/>
                <w:smallCaps w:val="false"/>
              </w:rPr>
              <w:t> </w:t>
            </w:r>
          </w:p>
        </w:tc>
        <w:tc>
          <w:tcPr>
            <w:tcW w:w="5335" w:type="dxa"/>
            <w:gridSpan w:val="2"/>
            <w:tcBorders/>
            <w:shd w:fill="auto" w:val="clea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Assembly Biosciences, Inc.</w:t>
            </w:r>
          </w:p>
        </w:tc>
      </w:tr>
      <w:tr>
        <w:trPr/>
        <w:tc>
          <w:tcPr>
            <w:tcW w:w="164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5015" w:type="dxa"/>
            <w:tcBorders/>
            <w:shd w:fill="auto" w:val="clear"/>
          </w:tcPr>
          <w:p>
            <w:pPr>
              <w:pStyle w:val="TableContents"/>
              <w:spacing w:before="0" w:after="0"/>
              <w:ind w:left="0" w:right="0" w:hanging="0"/>
              <w:rPr>
                <w:caps w:val="false"/>
                <w:smallCaps w:val="false"/>
              </w:rPr>
            </w:pPr>
            <w:r>
              <w:rPr>
                <w:caps w:val="false"/>
                <w:smallCaps w:val="false"/>
              </w:rPr>
              <w:t> </w:t>
            </w:r>
          </w:p>
        </w:tc>
      </w:tr>
      <w:tr>
        <w:trPr/>
        <w:tc>
          <w:tcPr>
            <w:tcW w:w="164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c>
          <w:tcPr>
            <w:tcW w:w="32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501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John G. McHutchison, A.O., M.D.</w:t>
            </w:r>
          </w:p>
        </w:tc>
      </w:tr>
      <w:tr>
        <w:trPr/>
        <w:tc>
          <w:tcPr>
            <w:tcW w:w="164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501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John G. McHutchison, A.O., M.D.</w:t>
            </w:r>
          </w:p>
        </w:tc>
      </w:tr>
      <w:tr>
        <w:trPr/>
        <w:tc>
          <w:tcPr>
            <w:tcW w:w="164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501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 and President</w:t>
            </w:r>
          </w:p>
        </w:tc>
      </w:tr>
      <w:tr>
        <w:trPr/>
        <w:tc>
          <w:tcPr>
            <w:tcW w:w="164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501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r>
        <w:trPr/>
        <w:tc>
          <w:tcPr>
            <w:tcW w:w="164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5015" w:type="dxa"/>
            <w:tcBorders/>
            <w:shd w:fill="auto" w:val="clear"/>
          </w:tcPr>
          <w:p>
            <w:pPr>
              <w:pStyle w:val="TableContents"/>
              <w:spacing w:before="0" w:after="0"/>
              <w:ind w:left="0" w:right="0" w:hanging="0"/>
              <w:rPr>
                <w:caps w:val="false"/>
                <w:smallCaps w:val="false"/>
              </w:rPr>
            </w:pPr>
            <w:r>
              <w:rPr>
                <w:caps w:val="false"/>
                <w:smallCaps w:val="false"/>
              </w:rPr>
              <w:t> </w:t>
            </w:r>
          </w:p>
        </w:tc>
      </w:tr>
      <w:tr>
        <w:trPr/>
        <w:tc>
          <w:tcPr>
            <w:tcW w:w="164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c>
          <w:tcPr>
            <w:tcW w:w="32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501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Michael P. Samar</w:t>
            </w:r>
          </w:p>
        </w:tc>
      </w:tr>
      <w:tr>
        <w:trPr/>
        <w:tc>
          <w:tcPr>
            <w:tcW w:w="164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501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Michael P. Samar</w:t>
            </w:r>
          </w:p>
        </w:tc>
      </w:tr>
      <w:tr>
        <w:trPr/>
        <w:tc>
          <w:tcPr>
            <w:tcW w:w="164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501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w:t>
            </w:r>
          </w:p>
        </w:tc>
      </w:tr>
      <w:tr>
        <w:trPr/>
        <w:tc>
          <w:tcPr>
            <w:tcW w:w="1640" w:type="dxa"/>
            <w:tcBorders/>
            <w:shd w:fill="auto" w:val="clea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before="0" w:after="0"/>
              <w:ind w:left="0" w:right="0" w:hanging="0"/>
              <w:rPr>
                <w:caps w:val="false"/>
                <w:smallCaps w:val="false"/>
              </w:rPr>
            </w:pPr>
            <w:r>
              <w:rPr>
                <w:caps w:val="false"/>
                <w:smallCaps w:val="false"/>
              </w:rPr>
              <w:t> </w:t>
            </w:r>
          </w:p>
        </w:tc>
        <w:tc>
          <w:tcPr>
            <w:tcW w:w="501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Financial Officer and Principal Accounting Officer)</w:t>
            </w:r>
          </w:p>
        </w:tc>
      </w:tr>
    </w:tbl>
    <w:p>
      <w:pPr>
        <w:pStyle w:val="TextBody"/>
        <w:spacing w:before="0" w:after="0"/>
        <w:jc w:val="both"/>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r>
        <w:br w:type="page"/>
      </w:r>
    </w:p>
    <w:p>
      <w:pPr>
        <w:pStyle w:val="TextBody"/>
        <w:spacing w:before="0" w:after="0"/>
        <w:rPr/>
      </w:pPr>
      <w:bookmarkStart w:id="21" w:name="asmb-ex311_7.htm"/>
      <w:bookmarkStart w:id="22" w:name="ksasmbex311_7"/>
      <w:bookmarkEnd w:id="21"/>
      <w:bookmarkEnd w:id="22"/>
      <w:r>
        <w:rPr/>
        <w:t> </w:t>
      </w:r>
    </w:p>
    <w:p>
      <w:pPr>
        <w:pStyle w:val="TextBody"/>
        <w:spacing w:before="0" w:after="0"/>
        <w:jc w:val="right"/>
        <w:rPr>
          <w:rFonts w:ascii="Times New Roman" w:hAnsi="Times New Roman"/>
          <w:b/>
          <w:i w:val="false"/>
          <w:caps w:val="false"/>
          <w:smallCaps w:val="false"/>
          <w:sz w:val="20"/>
        </w:rPr>
      </w:pPr>
      <w:bookmarkStart w:id="23" w:name="_Hlk102025288"/>
      <w:bookmarkEnd w:id="23"/>
      <w:r>
        <w:rPr>
          <w:rFonts w:ascii="Times New Roman" w:hAnsi="Times New Roman"/>
          <w:b/>
          <w:i w:val="false"/>
          <w:caps w:val="false"/>
          <w:smallCaps w:val="false"/>
          <w:sz w:val="20"/>
        </w:rPr>
        <w:t>EXHIBIT 31.1</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John G. McHutchison, A.O., M.D., certify that: </w:t>
      </w:r>
    </w:p>
    <w:tbl>
      <w:tblPr>
        <w:tblW w:w="6955" w:type="dxa"/>
        <w:jc w:val="left"/>
        <w:tblInd w:w="0" w:type="dxa"/>
        <w:tblCellMar>
          <w:top w:w="0" w:type="dxa"/>
          <w:left w:w="0" w:type="dxa"/>
          <w:bottom w:w="0" w:type="dxa"/>
          <w:right w:w="0" w:type="dxa"/>
        </w:tblCellMar>
      </w:tblPr>
      <w:tblGrid>
        <w:gridCol w:w="170"/>
        <w:gridCol w:w="6785"/>
      </w:tblGrid>
      <w:tr>
        <w:trPr/>
        <w:tc>
          <w:tcPr>
            <w:tcW w:w="17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678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Quarterly Report on Form 10</w:t>
              <w:noBreakHyphen/>
              <w:t xml:space="preserve">Q of Assembly Biosciences, Inc.; </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tc>
      </w:tr>
    </w:tbl>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5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9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7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7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5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9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7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7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1"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5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9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7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7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jc w:val="both"/>
        <w:rPr/>
      </w:pPr>
      <w:r>
        <w:rPr/>
        <w:t> </w:t>
      </w:r>
    </w:p>
    <w:tbl>
      <w:tblPr>
        <w:tblW w:w="5040" w:type="dxa"/>
        <w:jc w:val="left"/>
        <w:tblInd w:w="0" w:type="dxa"/>
        <w:tblCellMar>
          <w:top w:w="0" w:type="dxa"/>
          <w:left w:w="0" w:type="dxa"/>
          <w:bottom w:w="0" w:type="dxa"/>
          <w:right w:w="0" w:type="dxa"/>
        </w:tblCellMar>
      </w:tblPr>
      <w:tblGrid>
        <w:gridCol w:w="1640"/>
        <w:gridCol w:w="320"/>
        <w:gridCol w:w="3080"/>
      </w:tblGrid>
      <w:tr>
        <w:trPr/>
        <w:tc>
          <w:tcPr>
            <w:tcW w:w="164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bookmarkStart w:id="24" w:name="_Hlk102024682"/>
            <w:bookmarkEnd w:id="24"/>
            <w:r>
              <w:rPr>
                <w:rFonts w:ascii="Times New Roman" w:hAnsi="Times New Roman"/>
                <w:b w:val="false"/>
                <w:i w:val="false"/>
                <w:caps w:val="false"/>
                <w:smallCaps w:val="false"/>
                <w:sz w:val="20"/>
              </w:rPr>
              <w:t>Date: May 12, 2022</w:t>
            </w:r>
          </w:p>
        </w:tc>
        <w:tc>
          <w:tcPr>
            <w:tcW w:w="320" w:type="dxa"/>
            <w:tcBorders/>
            <w:shd w:fill="auto" w:val="clear"/>
          </w:tcPr>
          <w:p>
            <w:pPr>
              <w:pStyle w:val="TableContents"/>
              <w:spacing w:before="0" w:after="0"/>
              <w:ind w:left="0" w:right="0" w:hanging="0"/>
              <w:rPr/>
            </w:pPr>
            <w:r>
              <w:rPr/>
              <w:t> </w:t>
            </w:r>
          </w:p>
        </w:tc>
        <w:tc>
          <w:tcPr>
            <w:tcW w:w="3080" w:type="dxa"/>
            <w:tcBorders/>
            <w:shd w:fill="auto" w:val="clear"/>
          </w:tcPr>
          <w:p>
            <w:pPr>
              <w:pStyle w:val="TableContents"/>
              <w:spacing w:before="0" w:after="0"/>
              <w:ind w:left="0" w:right="0" w:hanging="0"/>
              <w:rPr/>
            </w:pPr>
            <w:r>
              <w:rPr/>
              <w:t> </w:t>
            </w:r>
          </w:p>
        </w:tc>
      </w:tr>
      <w:tr>
        <w:trPr/>
        <w:tc>
          <w:tcPr>
            <w:tcW w:w="164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080" w:type="dxa"/>
            <w:tcBorders/>
            <w:shd w:fill="auto" w:val="clear"/>
          </w:tcPr>
          <w:p>
            <w:pPr>
              <w:pStyle w:val="TableContents"/>
              <w:spacing w:before="0" w:after="0"/>
              <w:ind w:left="0" w:right="0" w:hanging="0"/>
              <w:rPr/>
            </w:pPr>
            <w:r>
              <w:rPr/>
              <w:t> </w:t>
            </w:r>
          </w:p>
        </w:tc>
      </w:tr>
      <w:tr>
        <w:trPr/>
        <w:tc>
          <w:tcPr>
            <w:tcW w:w="1640"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32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308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John G. McHutchison, A.O., M.D.</w:t>
            </w:r>
          </w:p>
        </w:tc>
      </w:tr>
      <w:tr>
        <w:trPr/>
        <w:tc>
          <w:tcPr>
            <w:tcW w:w="164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John G. McHutchison, A.O., M.D.</w:t>
            </w:r>
          </w:p>
        </w:tc>
      </w:tr>
      <w:tr>
        <w:trPr/>
        <w:tc>
          <w:tcPr>
            <w:tcW w:w="164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 and President</w:t>
            </w:r>
          </w:p>
        </w:tc>
      </w:tr>
      <w:tr>
        <w:trPr/>
        <w:tc>
          <w:tcPr>
            <w:tcW w:w="164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25" w:name="asmb-ex312_8.htm"/>
      <w:bookmarkStart w:id="26" w:name="ksasmbex312_8"/>
      <w:bookmarkEnd w:id="25"/>
      <w:bookmarkEnd w:id="26"/>
      <w:r>
        <w:rPr/>
        <w:t> </w:t>
      </w:r>
    </w:p>
    <w:p>
      <w:pPr>
        <w:pStyle w:val="TextBody"/>
        <w:spacing w:before="0" w:after="0"/>
        <w:jc w:val="right"/>
        <w:rPr>
          <w:rFonts w:ascii="Times New Roman" w:hAnsi="Times New Roman"/>
          <w:b/>
          <w:i w:val="false"/>
          <w:caps w:val="false"/>
          <w:smallCaps w:val="false"/>
          <w:sz w:val="20"/>
        </w:rPr>
      </w:pPr>
      <w:bookmarkStart w:id="27" w:name="_Hlk102025308"/>
      <w:bookmarkEnd w:id="27"/>
      <w:r>
        <w:rPr>
          <w:rFonts w:ascii="Times New Roman" w:hAnsi="Times New Roman"/>
          <w:b/>
          <w:i w:val="false"/>
          <w:caps w:val="false"/>
          <w:smallCaps w:val="false"/>
          <w:sz w:val="20"/>
        </w:rPr>
        <w:t>EXHIBIT 31.2</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CERTIFICATION</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Michael P. Samar, certify that: </w:t>
      </w:r>
    </w:p>
    <w:tbl>
      <w:tblPr>
        <w:tblW w:w="6955" w:type="dxa"/>
        <w:jc w:val="left"/>
        <w:tblInd w:w="0" w:type="dxa"/>
        <w:tblCellMar>
          <w:top w:w="0" w:type="dxa"/>
          <w:left w:w="0" w:type="dxa"/>
          <w:bottom w:w="0" w:type="dxa"/>
          <w:right w:w="0" w:type="dxa"/>
        </w:tblCellMar>
      </w:tblPr>
      <w:tblGrid>
        <w:gridCol w:w="170"/>
        <w:gridCol w:w="6785"/>
      </w:tblGrid>
      <w:tr>
        <w:trPr/>
        <w:tc>
          <w:tcPr>
            <w:tcW w:w="17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678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Quarterly Report on Form 10</w:t>
              <w:noBreakHyphen/>
              <w:t xml:space="preserve">Q of Assembly Biosciences, Inc.; </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tc>
      </w:tr>
    </w:tbl>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5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9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7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7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5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9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7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7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1"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tbl>
      <w:tblPr>
        <w:tblW w:w="10205" w:type="dxa"/>
        <w:jc w:val="left"/>
        <w:tblInd w:w="0" w:type="dxa"/>
        <w:tblCellMar>
          <w:top w:w="0" w:type="dxa"/>
          <w:left w:w="0" w:type="dxa"/>
          <w:bottom w:w="0" w:type="dxa"/>
          <w:right w:w="0" w:type="dxa"/>
        </w:tblCellMar>
      </w:tblPr>
      <w:tblGrid>
        <w:gridCol w:w="60"/>
        <w:gridCol w:w="155"/>
        <w:gridCol w:w="9990"/>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5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9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tcPr>
          <w:p>
            <w:pPr>
              <w:pStyle w:val="TableContents"/>
              <w:spacing w:before="200" w:after="0"/>
              <w:jc w:val="both"/>
              <w:rPr>
                <w:caps w:val="false"/>
                <w:smallCaps w:val="false"/>
              </w:rPr>
            </w:pPr>
            <w:r>
              <w:rPr>
                <w:caps w:val="false"/>
                <w:smallCaps w:val="false"/>
              </w:rPr>
              <w:t> </w:t>
            </w:r>
          </w:p>
        </w:tc>
        <w:tc>
          <w:tcPr>
            <w:tcW w:w="170"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75" w:type="dxa"/>
            <w:tcBorders/>
            <w:shd w:fill="auto" w:val="clear"/>
          </w:tcPr>
          <w:p>
            <w:pPr>
              <w:pStyle w:val="TableContents"/>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rPr/>
      </w:pPr>
      <w:r>
        <w:rPr/>
        <w:t> </w:t>
      </w:r>
    </w:p>
    <w:tbl>
      <w:tblPr>
        <w:tblW w:w="4245" w:type="dxa"/>
        <w:jc w:val="left"/>
        <w:tblInd w:w="0" w:type="dxa"/>
        <w:tblCellMar>
          <w:top w:w="0" w:type="dxa"/>
          <w:left w:w="0" w:type="dxa"/>
          <w:bottom w:w="0" w:type="dxa"/>
          <w:right w:w="0" w:type="dxa"/>
        </w:tblCellMar>
      </w:tblPr>
      <w:tblGrid>
        <w:gridCol w:w="1640"/>
        <w:gridCol w:w="320"/>
        <w:gridCol w:w="2285"/>
      </w:tblGrid>
      <w:tr>
        <w:trPr/>
        <w:tc>
          <w:tcPr>
            <w:tcW w:w="164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c>
          <w:tcPr>
            <w:tcW w:w="320" w:type="dxa"/>
            <w:tcBorders/>
            <w:shd w:fill="auto" w:val="clear"/>
          </w:tcPr>
          <w:p>
            <w:pPr>
              <w:pStyle w:val="TableContents"/>
              <w:spacing w:before="0" w:after="0"/>
              <w:ind w:left="0" w:right="0" w:hanging="0"/>
              <w:rPr/>
            </w:pPr>
            <w:r>
              <w:rPr/>
              <w:t> </w:t>
            </w:r>
          </w:p>
        </w:tc>
        <w:tc>
          <w:tcPr>
            <w:tcW w:w="2285" w:type="dxa"/>
            <w:tcBorders/>
            <w:shd w:fill="auto" w:val="clear"/>
          </w:tcPr>
          <w:p>
            <w:pPr>
              <w:pStyle w:val="TableContents"/>
              <w:spacing w:before="0" w:after="0"/>
              <w:ind w:left="0" w:right="0" w:hanging="0"/>
              <w:rPr/>
            </w:pPr>
            <w:r>
              <w:rPr/>
              <w:t> </w:t>
            </w:r>
          </w:p>
        </w:tc>
      </w:tr>
      <w:tr>
        <w:trPr/>
        <w:tc>
          <w:tcPr>
            <w:tcW w:w="164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2285" w:type="dxa"/>
            <w:tcBorders/>
            <w:shd w:fill="auto" w:val="clear"/>
          </w:tcPr>
          <w:p>
            <w:pPr>
              <w:pStyle w:val="TableContents"/>
              <w:spacing w:before="0" w:after="0"/>
              <w:ind w:left="0" w:right="0" w:hanging="0"/>
              <w:rPr/>
            </w:pPr>
            <w:r>
              <w:rPr/>
              <w:t> </w:t>
            </w:r>
          </w:p>
        </w:tc>
      </w:tr>
      <w:tr>
        <w:trPr/>
        <w:tc>
          <w:tcPr>
            <w:tcW w:w="1640" w:type="dxa"/>
            <w:tcBorders>
              <w:bottom w:val="single" w:sz="8" w:space="0" w:color="000000"/>
            </w:tcBorders>
            <w:shd w:fill="auto" w:val="clear"/>
            <w:tcMar>
              <w:bottom w:w="28" w:type="dxa"/>
            </w:tcMar>
          </w:tcPr>
          <w:p>
            <w:pPr>
              <w:pStyle w:val="TableContents"/>
              <w:spacing w:before="0" w:after="0"/>
              <w:ind w:left="0" w:right="0" w:hanging="0"/>
              <w:rPr/>
            </w:pPr>
            <w:r>
              <w:rPr/>
              <w:t> </w:t>
            </w:r>
          </w:p>
        </w:tc>
        <w:tc>
          <w:tcPr>
            <w:tcW w:w="32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228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Michael P. Samar</w:t>
            </w:r>
          </w:p>
        </w:tc>
      </w:tr>
      <w:tr>
        <w:trPr/>
        <w:tc>
          <w:tcPr>
            <w:tcW w:w="164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228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Michael P. Samar</w:t>
            </w:r>
          </w:p>
        </w:tc>
      </w:tr>
      <w:tr>
        <w:trPr/>
        <w:tc>
          <w:tcPr>
            <w:tcW w:w="164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228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w:t>
            </w:r>
          </w:p>
        </w:tc>
      </w:tr>
      <w:tr>
        <w:trPr/>
        <w:tc>
          <w:tcPr>
            <w:tcW w:w="1640" w:type="dxa"/>
            <w:tcBorders/>
            <w:shd w:fill="auto" w:val="clear"/>
          </w:tcPr>
          <w:p>
            <w:pPr>
              <w:pStyle w:val="TableContents"/>
              <w:spacing w:before="0" w:after="0"/>
              <w:ind w:left="0" w:right="0" w:hanging="0"/>
              <w:rPr/>
            </w:pPr>
            <w:r>
              <w:rPr/>
              <w:t> </w:t>
            </w:r>
          </w:p>
        </w:tc>
        <w:tc>
          <w:tcPr>
            <w:tcW w:w="320" w:type="dxa"/>
            <w:tcBorders/>
            <w:shd w:fill="auto" w:val="clear"/>
          </w:tcPr>
          <w:p>
            <w:pPr>
              <w:pStyle w:val="TableContents"/>
              <w:spacing w:before="0" w:after="0"/>
              <w:ind w:left="0" w:right="0" w:hanging="0"/>
              <w:rPr/>
            </w:pPr>
            <w:r>
              <w:rPr/>
              <w:t> </w:t>
            </w:r>
          </w:p>
        </w:tc>
        <w:tc>
          <w:tcPr>
            <w:tcW w:w="228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Financial Officer)</w:t>
            </w:r>
          </w:p>
        </w:tc>
      </w:tr>
    </w:tbl>
    <w:p>
      <w:pPr>
        <w:pStyle w:val="TextBody"/>
        <w:spacing w:before="0" w:after="0"/>
        <w:rPr/>
      </w:pPr>
      <w:r>
        <w:rPr/>
        <w:t> </w:t>
      </w:r>
    </w:p>
    <w:p>
      <w:pPr>
        <w:pStyle w:val="TextBody"/>
        <w:spacing w:before="240" w:after="0"/>
        <w:rPr/>
      </w:pPr>
      <w:r>
        <w:rPr/>
        <w:t> </w:t>
      </w:r>
      <w:r>
        <w:br w:type="page"/>
      </w:r>
    </w:p>
    <w:p>
      <w:pPr>
        <w:pStyle w:val="TextBody"/>
        <w:spacing w:before="0" w:after="0"/>
        <w:jc w:val="right"/>
        <w:rPr>
          <w:rFonts w:ascii="Times New Roman" w:hAnsi="Times New Roman"/>
          <w:b/>
          <w:i w:val="false"/>
          <w:caps w:val="false"/>
          <w:smallCaps w:val="false"/>
          <w:sz w:val="20"/>
        </w:rPr>
      </w:pPr>
      <w:bookmarkStart w:id="28" w:name="asmb-ex321_9.htm"/>
      <w:bookmarkStart w:id="29" w:name="ksasmbex321_9"/>
      <w:bookmarkEnd w:id="28"/>
      <w:bookmarkEnd w:id="29"/>
      <w:r>
        <w:rPr>
          <w:rFonts w:ascii="Times New Roman" w:hAnsi="Times New Roman"/>
          <w:b/>
          <w:i w:val="false"/>
          <w:caps w:val="false"/>
          <w:smallCaps w:val="false"/>
          <w:sz w:val="20"/>
        </w:rPr>
        <w:t xml:space="preserve">EXHIBIT 32.1 </w:t>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CERTIFICATION PURSUANT TO 18 U.S.C. SECTION 1350, AS ADOPTED PURSUANT TO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SECTION 906 OF THE SARBANES-OXLEY ACT OF 2002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Quarterly Report on Form 10</w:t>
        <w:noBreakHyphen/>
        <w:t xml:space="preserve">Q of Assembly Biosciences, Inc. (the Company) for the period ended March 31, 2022 as filed with the Securities and Exchange Commission on or about the date hereof (the Report), I, John G. McHutchison, A.O., M.D., Chief Executive Officer and President, hereby certify, pursuant to 18 U.S.C. Section 1350, as adopted pursuant to Section 906 of the Sarbanes-Oxley Act of 2002, that, to my knowledge: </w:t>
      </w:r>
    </w:p>
    <w:tbl>
      <w:tblPr>
        <w:tblW w:w="9895" w:type="dxa"/>
        <w:jc w:val="left"/>
        <w:tblInd w:w="0" w:type="dxa"/>
        <w:tblCellMar>
          <w:top w:w="0" w:type="dxa"/>
          <w:left w:w="0" w:type="dxa"/>
          <w:bottom w:w="0" w:type="dxa"/>
          <w:right w:w="0" w:type="dxa"/>
        </w:tblCellMar>
      </w:tblPr>
      <w:tblGrid>
        <w:gridCol w:w="60"/>
        <w:gridCol w:w="245"/>
        <w:gridCol w:w="9590"/>
      </w:tblGrid>
      <w:tr>
        <w:trPr/>
        <w:tc>
          <w:tcPr>
            <w:tcW w:w="60" w:type="dxa"/>
            <w:tcBorders/>
            <w:shd w:fill="auto" w:val="clear"/>
          </w:tcPr>
          <w:p>
            <w:pPr>
              <w:pStyle w:val="TableContents"/>
              <w:spacing w:before="200" w:after="0"/>
              <w:rPr>
                <w:caps w:val="false"/>
                <w:smallCaps w:val="false"/>
              </w:rPr>
            </w:pPr>
            <w:r>
              <w:rPr>
                <w:caps w:val="false"/>
                <w:smallCaps w:val="false"/>
              </w:rPr>
              <w:t> </w:t>
            </w:r>
          </w:p>
        </w:tc>
        <w:tc>
          <w:tcPr>
            <w:tcW w:w="245" w:type="dxa"/>
            <w:tcBorders/>
            <w:shd w:fill="auto" w:val="clear"/>
          </w:tcPr>
          <w:p>
            <w:pPr>
              <w:pStyle w:val="TableContents"/>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90" w:type="dxa"/>
            <w:tcBorders/>
            <w:shd w:fill="auto" w:val="clear"/>
          </w:tcPr>
          <w:p>
            <w:pPr>
              <w:pStyle w:val="TableContents"/>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21"/>
        <w:gridCol w:w="9924"/>
      </w:tblGrid>
      <w:tr>
        <w:trPr/>
        <w:tc>
          <w:tcPr>
            <w:tcW w:w="60" w:type="dxa"/>
            <w:tcBorders/>
            <w:shd w:fill="auto" w:val="clear"/>
          </w:tcPr>
          <w:p>
            <w:pPr>
              <w:pStyle w:val="TableContents"/>
              <w:spacing w:before="200" w:after="0"/>
              <w:rPr>
                <w:caps w:val="false"/>
                <w:smallCaps w:val="false"/>
              </w:rPr>
            </w:pPr>
            <w:r>
              <w:rPr>
                <w:caps w:val="false"/>
                <w:smallCaps w:val="false"/>
              </w:rPr>
              <w:t> </w:t>
            </w:r>
          </w:p>
        </w:tc>
        <w:tc>
          <w:tcPr>
            <w:tcW w:w="221" w:type="dxa"/>
            <w:tcBorders/>
            <w:shd w:fill="auto" w:val="clear"/>
          </w:tcPr>
          <w:p>
            <w:pPr>
              <w:pStyle w:val="TableContents"/>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24" w:type="dxa"/>
            <w:tcBorders/>
            <w:shd w:fill="auto" w:val="clear"/>
          </w:tcPr>
          <w:p>
            <w:pPr>
              <w:pStyle w:val="TableContents"/>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 as of, and for, the periods presented in the Report.</w:t>
            </w:r>
          </w:p>
        </w:tc>
      </w:tr>
    </w:tbl>
    <w:p>
      <w:pPr>
        <w:pStyle w:val="TextBody"/>
        <w:spacing w:before="0" w:after="0"/>
        <w:rPr/>
      </w:pPr>
      <w:r>
        <w:rPr/>
        <w:t> </w:t>
      </w:r>
    </w:p>
    <w:tbl>
      <w:tblPr>
        <w:tblW w:w="3140" w:type="dxa"/>
        <w:jc w:val="left"/>
        <w:tblInd w:w="0" w:type="dxa"/>
        <w:tblCellMar>
          <w:top w:w="0" w:type="dxa"/>
          <w:left w:w="0" w:type="dxa"/>
          <w:bottom w:w="0" w:type="dxa"/>
          <w:right w:w="0" w:type="dxa"/>
        </w:tblCellMar>
      </w:tblPr>
      <w:tblGrid>
        <w:gridCol w:w="60"/>
        <w:gridCol w:w="3080"/>
      </w:tblGrid>
      <w:tr>
        <w:trPr/>
        <w:tc>
          <w:tcPr>
            <w:tcW w:w="60" w:type="dxa"/>
            <w:tcBorders/>
            <w:shd w:fill="auto" w:val="clear"/>
          </w:tcPr>
          <w:p>
            <w:pPr>
              <w:pStyle w:val="TableContents"/>
              <w:spacing w:before="0" w:after="0"/>
              <w:ind w:left="0" w:right="0" w:hanging="0"/>
              <w:rPr/>
            </w:pPr>
            <w:r>
              <w:rPr/>
              <w:t> </w:t>
            </w:r>
          </w:p>
        </w:tc>
        <w:tc>
          <w:tcPr>
            <w:tcW w:w="3080" w:type="dxa"/>
            <w:tcBorders/>
            <w:shd w:fill="auto" w:val="clear"/>
          </w:tcPr>
          <w:p>
            <w:pPr>
              <w:pStyle w:val="TableContents"/>
              <w:spacing w:before="0" w:after="0"/>
              <w:ind w:left="0" w:right="0" w:hanging="0"/>
              <w:rPr/>
            </w:pPr>
            <w:r>
              <w:rPr/>
              <w:t> </w:t>
            </w:r>
          </w:p>
        </w:tc>
      </w:tr>
      <w:tr>
        <w:trPr/>
        <w:tc>
          <w:tcPr>
            <w:tcW w:w="60" w:type="dxa"/>
            <w:tcBorders>
              <w:bottom w:val="single" w:sz="8" w:space="0" w:color="000000"/>
            </w:tcBorders>
            <w:shd w:fill="auto" w:val="clear"/>
            <w:tcMar>
              <w:bottom w:w="28" w:type="dxa"/>
            </w:tcMar>
          </w:tcPr>
          <w:p>
            <w:pPr>
              <w:pStyle w:val="TableContents"/>
              <w:spacing w:before="0" w:after="0"/>
              <w:ind w:left="0" w:right="0" w:hanging="0"/>
              <w:rPr>
                <w:caps w:val="false"/>
                <w:smallCaps w:val="false"/>
              </w:rPr>
            </w:pPr>
            <w:r>
              <w:rPr>
                <w:caps w:val="false"/>
                <w:smallCaps w:val="false"/>
              </w:rPr>
              <w:t> </w:t>
            </w:r>
          </w:p>
        </w:tc>
        <w:tc>
          <w:tcPr>
            <w:tcW w:w="308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John G. McHutchison, A.O., M.D.</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John G. McHutchison, A.O., M.D.</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 and President</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caps w:val="false"/>
                <w:smallCaps w:val="false"/>
              </w:rPr>
            </w:pPr>
            <w:r>
              <w:rPr>
                <w:caps w:val="false"/>
                <w:smallCaps w:val="false"/>
              </w:rPr>
              <w:t> </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r>
    </w:tbl>
    <w:p>
      <w:pPr>
        <w:pStyle w:val="TextBody"/>
        <w:spacing w:before="0" w:after="0"/>
        <w:rPr/>
      </w:pPr>
      <w:r>
        <w:rPr/>
        <w:t> </w:t>
      </w:r>
    </w:p>
    <w:p>
      <w:pPr>
        <w:pStyle w:val="TextBody"/>
        <w:spacing w:before="240" w:after="0"/>
        <w:rPr/>
      </w:pPr>
      <w:r>
        <w:rPr/>
        <w:t> </w:t>
      </w:r>
      <w:r>
        <w:br w:type="page"/>
      </w:r>
    </w:p>
    <w:p>
      <w:pPr>
        <w:pStyle w:val="TextBody"/>
        <w:spacing w:before="0" w:after="0"/>
        <w:jc w:val="right"/>
        <w:rPr>
          <w:rFonts w:ascii="Times New Roman" w:hAnsi="Times New Roman"/>
          <w:b/>
          <w:i w:val="false"/>
          <w:caps w:val="false"/>
          <w:smallCaps w:val="false"/>
          <w:sz w:val="20"/>
        </w:rPr>
      </w:pPr>
      <w:bookmarkStart w:id="30" w:name="asmb-ex322_11.htm"/>
      <w:bookmarkStart w:id="31" w:name="ksasmbex322_11"/>
      <w:bookmarkEnd w:id="30"/>
      <w:bookmarkEnd w:id="31"/>
      <w:r>
        <w:rPr>
          <w:rFonts w:ascii="Times New Roman" w:hAnsi="Times New Roman"/>
          <w:b/>
          <w:i w:val="false"/>
          <w:caps w:val="false"/>
          <w:smallCaps w:val="false"/>
          <w:sz w:val="20"/>
        </w:rPr>
        <w:t xml:space="preserve">EXHIBIT 32.2 </w:t>
      </w:r>
    </w:p>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CERTIFICATION PURSUANT TO 18 U.S.C. SECTION 1350, AS ADOPTED PURSUANT TO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SECTION 906 OF THE SARBANES-OXLEY ACT OF 2002 </w:t>
      </w:r>
    </w:p>
    <w:p>
      <w:pPr>
        <w:pStyle w:val="TextBody"/>
        <w:spacing w:before="20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Quarterly Report on Form 10</w:t>
        <w:noBreakHyphen/>
        <w:t xml:space="preserve">Q of Assembly Biosciences, Inc. (the Company) for the period ended March 31, 2022 as filed with the Securities and Exchange Commission on or about the date hereof (the Report), I, Michael P. Samar, Chief Financial Officer, hereby certify, pursuant to 18 U.S.C. Section 1350, as adopted pursuant to Section 906 of the Sarbanes-Oxley Act of 2002, that, to my knowledge: </w:t>
      </w:r>
    </w:p>
    <w:tbl>
      <w:tblPr>
        <w:tblW w:w="9895" w:type="dxa"/>
        <w:jc w:val="left"/>
        <w:tblInd w:w="0" w:type="dxa"/>
        <w:tblCellMar>
          <w:top w:w="0" w:type="dxa"/>
          <w:left w:w="0" w:type="dxa"/>
          <w:bottom w:w="0" w:type="dxa"/>
          <w:right w:w="0" w:type="dxa"/>
        </w:tblCellMar>
      </w:tblPr>
      <w:tblGrid>
        <w:gridCol w:w="60"/>
        <w:gridCol w:w="245"/>
        <w:gridCol w:w="9590"/>
      </w:tblGrid>
      <w:tr>
        <w:trPr/>
        <w:tc>
          <w:tcPr>
            <w:tcW w:w="60" w:type="dxa"/>
            <w:tcBorders/>
            <w:shd w:fill="auto" w:val="clear"/>
          </w:tcPr>
          <w:p>
            <w:pPr>
              <w:pStyle w:val="TableContents"/>
              <w:spacing w:before="200" w:after="0"/>
              <w:rPr>
                <w:caps w:val="false"/>
                <w:smallCaps w:val="false"/>
              </w:rPr>
            </w:pPr>
            <w:r>
              <w:rPr>
                <w:caps w:val="false"/>
                <w:smallCaps w:val="false"/>
              </w:rPr>
              <w:t> </w:t>
            </w:r>
          </w:p>
        </w:tc>
        <w:tc>
          <w:tcPr>
            <w:tcW w:w="245" w:type="dxa"/>
            <w:tcBorders/>
            <w:shd w:fill="auto" w:val="clear"/>
          </w:tcPr>
          <w:p>
            <w:pPr>
              <w:pStyle w:val="TableContents"/>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90" w:type="dxa"/>
            <w:tcBorders/>
            <w:shd w:fill="auto" w:val="clear"/>
          </w:tcPr>
          <w:p>
            <w:pPr>
              <w:pStyle w:val="TableContents"/>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21"/>
        <w:gridCol w:w="9924"/>
      </w:tblGrid>
      <w:tr>
        <w:trPr/>
        <w:tc>
          <w:tcPr>
            <w:tcW w:w="60" w:type="dxa"/>
            <w:tcBorders/>
            <w:shd w:fill="auto" w:val="clear"/>
          </w:tcPr>
          <w:p>
            <w:pPr>
              <w:pStyle w:val="TableContents"/>
              <w:spacing w:before="200" w:after="0"/>
              <w:rPr>
                <w:caps w:val="false"/>
                <w:smallCaps w:val="false"/>
              </w:rPr>
            </w:pPr>
            <w:r>
              <w:rPr>
                <w:caps w:val="false"/>
                <w:smallCaps w:val="false"/>
              </w:rPr>
              <w:t> </w:t>
            </w:r>
          </w:p>
        </w:tc>
        <w:tc>
          <w:tcPr>
            <w:tcW w:w="221" w:type="dxa"/>
            <w:tcBorders/>
            <w:shd w:fill="auto" w:val="clear"/>
          </w:tcPr>
          <w:p>
            <w:pPr>
              <w:pStyle w:val="TableContents"/>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24" w:type="dxa"/>
            <w:tcBorders/>
            <w:shd w:fill="auto" w:val="clear"/>
          </w:tcPr>
          <w:p>
            <w:pPr>
              <w:pStyle w:val="TableContents"/>
              <w:spacing w:before="20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 as of, and for, the periods presented in the Report.</w:t>
            </w:r>
          </w:p>
        </w:tc>
      </w:tr>
    </w:tbl>
    <w:p>
      <w:pPr>
        <w:pStyle w:val="TextBody"/>
        <w:spacing w:before="0" w:after="0"/>
        <w:rPr/>
      </w:pPr>
      <w:r>
        <w:rPr/>
        <w:t> </w:t>
      </w:r>
    </w:p>
    <w:tbl>
      <w:tblPr>
        <w:tblW w:w="2345" w:type="dxa"/>
        <w:jc w:val="left"/>
        <w:tblInd w:w="0" w:type="dxa"/>
        <w:tblCellMar>
          <w:top w:w="0" w:type="dxa"/>
          <w:left w:w="0" w:type="dxa"/>
          <w:bottom w:w="0" w:type="dxa"/>
          <w:right w:w="0" w:type="dxa"/>
        </w:tblCellMar>
      </w:tblPr>
      <w:tblGrid>
        <w:gridCol w:w="60"/>
        <w:gridCol w:w="2285"/>
      </w:tblGrid>
      <w:tr>
        <w:trPr/>
        <w:tc>
          <w:tcPr>
            <w:tcW w:w="60" w:type="dxa"/>
            <w:tcBorders/>
            <w:shd w:fill="auto" w:val="clear"/>
          </w:tcPr>
          <w:p>
            <w:pPr>
              <w:pStyle w:val="TableContents"/>
              <w:spacing w:before="0" w:after="0"/>
              <w:ind w:left="0" w:right="0" w:hanging="0"/>
              <w:rPr/>
            </w:pPr>
            <w:r>
              <w:rPr/>
              <w:t> </w:t>
            </w:r>
          </w:p>
        </w:tc>
        <w:tc>
          <w:tcPr>
            <w:tcW w:w="2285" w:type="dxa"/>
            <w:tcBorders/>
            <w:shd w:fill="auto" w:val="clear"/>
          </w:tcPr>
          <w:p>
            <w:pPr>
              <w:pStyle w:val="TableContents"/>
              <w:spacing w:before="0" w:after="0"/>
              <w:ind w:left="0" w:right="0" w:hanging="0"/>
              <w:rPr/>
            </w:pPr>
            <w:r>
              <w:rPr/>
              <w:t> </w:t>
            </w:r>
          </w:p>
        </w:tc>
      </w:tr>
      <w:tr>
        <w:trPr/>
        <w:tc>
          <w:tcPr>
            <w:tcW w:w="60" w:type="dxa"/>
            <w:tcBorders>
              <w:bottom w:val="single" w:sz="8" w:space="0" w:color="000000"/>
            </w:tcBorders>
            <w:shd w:fill="auto" w:val="clear"/>
            <w:tcMar>
              <w:bottom w:w="28" w:type="dxa"/>
            </w:tcMar>
          </w:tcPr>
          <w:p>
            <w:pPr>
              <w:pStyle w:val="TableContents"/>
              <w:spacing w:before="0" w:after="0"/>
              <w:ind w:left="0" w:right="0" w:hanging="0"/>
              <w:rPr>
                <w:caps w:val="false"/>
                <w:smallCaps w:val="false"/>
              </w:rPr>
            </w:pPr>
            <w:r>
              <w:rPr>
                <w:caps w:val="false"/>
                <w:smallCaps w:val="false"/>
              </w:rPr>
              <w:t> </w:t>
            </w:r>
          </w:p>
        </w:tc>
        <w:tc>
          <w:tcPr>
            <w:tcW w:w="2285"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Michael P. Samar</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28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Michael P. Samar</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28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28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Financial Officer)</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285" w:type="dxa"/>
            <w:tcBorders/>
            <w:shd w:fill="auto" w:val="clear"/>
          </w:tcPr>
          <w:p>
            <w:pPr>
              <w:pStyle w:val="TableContents"/>
              <w:spacing w:before="0" w:after="0"/>
              <w:ind w:left="0" w:right="0" w:hanging="0"/>
              <w:rPr>
                <w:caps w:val="false"/>
                <w:smallCaps w:val="false"/>
              </w:rPr>
            </w:pPr>
            <w:r>
              <w:rPr>
                <w:caps w:val="false"/>
                <w:smallCaps w:val="false"/>
              </w:rPr>
              <w:t> </w:t>
            </w:r>
          </w:p>
        </w:tc>
      </w:tr>
      <w:tr>
        <w:trPr/>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285" w:type="dxa"/>
            <w:tcBorders/>
            <w:shd w:fill="auto" w:val="clear"/>
          </w:tcPr>
          <w:p>
            <w:pPr>
              <w:pStyle w:val="TableContents"/>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r>
    </w:tbl>
    <w:p>
      <w:pPr>
        <w:pStyle w:val="TextBody"/>
        <w:spacing w:before="0" w:after="0"/>
        <w:rPr/>
      </w:pPr>
      <w:r>
        <w:rPr/>
        <w:t>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6800/000156459022003953/asmb-ex101_6.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23294</Words>
  <CharactersWithSpaces>154853</CharactersWithSpaces>
  <Paragraphs>4234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