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856320d424b5.htm"/>
        <w:bookmarkStart w:id="1" w:name="ksd856320d424b5"/>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424(b)(5)</w:t>
        <w:br/>
        <w:t>Registration No. 333-270760</w:t>
      </w:r>
    </w:p>
    <w:p>
      <w:pPr>
        <w:pStyle w:val="TextBody"/>
        <w:bidi w:val="0"/>
        <w:spacing w:before="0" w:after="0"/>
        <w:jc w:val="left"/>
        <w:rPr>
          <w:rFonts w:ascii="Times New Roman" w:hAnsi="Times New Roman"/>
          <w:b/>
          <w:sz w:val="19"/>
        </w:rPr>
      </w:pPr>
      <w:r>
        <w:rPr>
          <w:rFonts w:ascii="Times New Roman" w:hAnsi="Times New Roman"/>
          <w:b/>
          <w:sz w:val="19"/>
        </w:rPr>
        <w:t xml:space="preserve">PROSPECTUS SUPPLEMENT </w:t>
      </w:r>
    </w:p>
    <w:p>
      <w:pPr>
        <w:pStyle w:val="TextBody"/>
        <w:bidi w:val="0"/>
        <w:spacing w:before="0" w:after="0"/>
        <w:jc w:val="left"/>
        <w:rPr>
          <w:rFonts w:ascii="Times New Roman" w:hAnsi="Times New Roman"/>
          <w:sz w:val="19"/>
        </w:rPr>
      </w:pPr>
      <w:r>
        <w:rPr>
          <w:rFonts w:ascii="Times New Roman" w:hAnsi="Times New Roman"/>
          <w:sz w:val="19"/>
        </w:rPr>
        <w:t xml:space="preserve">(To prospectus dated April 14, 2023) </w:t>
      </w:r>
    </w:p>
    <w:p>
      <w:pPr>
        <w:pStyle w:val="TextBody"/>
        <w:bidi w:val="0"/>
        <w:spacing w:before="240" w:after="0"/>
        <w:jc w:val="center"/>
        <w:rPr>
          <w:rFonts w:ascii="Times New Roman" w:hAnsi="Times New Roman"/>
          <w:b/>
          <w:sz w:val="34"/>
        </w:rPr>
      </w:pPr>
      <w:r>
        <w:rPr>
          <w:rFonts w:ascii="Times New Roman" w:hAnsi="Times New Roman"/>
          <w:b/>
          <w:sz w:val="34"/>
        </w:rPr>
        <w:t xml:space="preserve">Up to $75,000,000 of Shares of Common Stock </w:t>
      </w:r>
    </w:p>
    <w:p>
      <w:pPr>
        <w:pStyle w:val="TextBody"/>
        <w:bidi w:val="0"/>
        <w:spacing w:before="0" w:after="0"/>
        <w:jc w:val="left"/>
        <w:rPr/>
      </w:pPr>
      <w:r>
        <w:rPr/>
        <w:t> </w:t>
      </w:r>
    </w:p>
    <w:p>
      <w:pPr>
        <w:pStyle w:val="TextBody"/>
        <w:bidi w:val="0"/>
        <w:spacing w:before="0" w:after="0"/>
        <w:jc w:val="center"/>
        <w:rPr/>
      </w:pPr>
      <w:r>
        <w:rPr/>
        <w:drawing>
          <wp:inline distT="0" distB="0" distL="0" distR="0">
            <wp:extent cx="3275965" cy="65595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75965" cy="655955"/>
                    </a:xfrm>
                    <a:prstGeom prst="rect">
                      <a:avLst/>
                    </a:prstGeom>
                  </pic:spPr>
                </pic:pic>
              </a:graphicData>
            </a:graphic>
          </wp:inline>
        </w:drawing>
      </w:r>
      <w:r>
        <w:rPr/>
        <w:t xml:space="preserve"> </w:t>
      </w:r>
    </w:p>
    <w:p>
      <w:pPr>
        <w:pStyle w:val="TextBody"/>
        <w:bidi w:val="0"/>
        <w:spacing w:before="0" w:after="0"/>
        <w:jc w:val="center"/>
        <w:rPr>
          <w:rFonts w:ascii="Times New Roman" w:hAnsi="Times New Roman"/>
          <w:b/>
          <w:sz w:val="26"/>
        </w:rPr>
      </w:pPr>
      <w:r>
        <w:rPr>
          <w:rFonts w:ascii="Times New Roman" w:hAnsi="Times New Roman"/>
          <w:b/>
          <w:sz w:val="26"/>
        </w:rPr>
        <w:t xml:space="preserve">Common Stock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19"/>
        </w:rPr>
      </w:pPr>
      <w:r>
        <w:rPr>
          <w:rFonts w:ascii="Times New Roman" w:hAnsi="Times New Roman"/>
          <w:sz w:val="19"/>
        </w:rPr>
        <w:t xml:space="preserve">We have entered into an Open Market Sale AgreementSM (the Sale Agreement) with Jefferies LLC (Jefferies) relating to shares of our common stock, par value $0.001 per share, offered by this prospectus supplement. In accordance with the terms of the Sale Agreement, we may offer and sell shares of our common stock having an aggregate offering price of up to $75,000,000 from time to time through Jefferies, acting as sales agent. </w:t>
      </w:r>
    </w:p>
    <w:p>
      <w:pPr>
        <w:pStyle w:val="TextBody"/>
        <w:bidi w:val="0"/>
        <w:spacing w:before="240" w:after="0"/>
        <w:jc w:val="left"/>
        <w:rPr>
          <w:rFonts w:ascii="Times New Roman" w:hAnsi="Times New Roman"/>
          <w:sz w:val="19"/>
        </w:rPr>
      </w:pPr>
      <w:r>
        <w:rPr>
          <w:rFonts w:ascii="Times New Roman" w:hAnsi="Times New Roman"/>
          <w:sz w:val="19"/>
        </w:rPr>
        <w:t xml:space="preserve">Our common stock is listed on The Nasdaq Global Select Market under the symbol ASMB. On November 6, 2024, the last reported sale price of our common stock on The Nasdaq Global Select Market was $16.65 per share. </w:t>
      </w:r>
    </w:p>
    <w:p>
      <w:pPr>
        <w:pStyle w:val="TextBody"/>
        <w:bidi w:val="0"/>
        <w:spacing w:before="240" w:after="0"/>
        <w:jc w:val="left"/>
        <w:rPr>
          <w:rFonts w:ascii="Times New Roman" w:hAnsi="Times New Roman"/>
          <w:sz w:val="19"/>
        </w:rPr>
      </w:pPr>
      <w:r>
        <w:rPr>
          <w:rFonts w:ascii="Times New Roman" w:hAnsi="Times New Roman"/>
          <w:sz w:val="19"/>
        </w:rPr>
        <w:t xml:space="preserve">Sales of our common stock, if any, under this prospectus supplement may be made in sales deemed to be an at the market offering as defined in Rule 415(a)(4) promulgated under the Securities Act of 1933, as amended (the Securities Act), in ordinary brokers transactions, to or through a market maker, on or through The Nasdaq Global Select Market or any other market venue where the securities may be traded, in the over-the-counter market, in privately negotiated transactions or through a combination of any such methods of sale. Jefferies will act as sales agent on a best efforts basis and use commercially reasonable efforts to sell on our behalf all of the shares of common stock requested to be sold by us, consistent with their normal trading and sales practices, on mutually agreed terms between us and Jefferies. The securities may be sold at market prices prevailing at the time of sale, at prices related to such prevailing market prices or at negotiated prices. There is no arrangement for funds to be received in any escrow, trust or similar arrangement. </w:t>
      </w:r>
    </w:p>
    <w:p>
      <w:pPr>
        <w:pStyle w:val="TextBody"/>
        <w:bidi w:val="0"/>
        <w:spacing w:before="240" w:after="0"/>
        <w:jc w:val="left"/>
        <w:rPr>
          <w:rFonts w:ascii="Times New Roman" w:hAnsi="Times New Roman"/>
          <w:sz w:val="19"/>
        </w:rPr>
      </w:pPr>
      <w:r>
        <w:rPr>
          <w:rFonts w:ascii="Times New Roman" w:hAnsi="Times New Roman"/>
          <w:sz w:val="19"/>
        </w:rPr>
        <w:t xml:space="preserve">Jefferies will be entitled to compensation at a fixed commission rate of up to 3.0% of the gross sales price per share sold under the Sale Agreement. In connection with the sale of our common stock on our behalf, Jefferies will be deemed to be an underwriter within the meaning of the Securities Act, and the compensation of Jefferies will be deemed to be underwriting commissions or discounts. </w:t>
      </w:r>
    </w:p>
    <w:p>
      <w:pPr>
        <w:pStyle w:val="TextBody"/>
        <w:bidi w:val="0"/>
        <w:spacing w:before="240" w:after="0"/>
        <w:jc w:val="left"/>
        <w:rPr>
          <w:rFonts w:ascii="Times New Roman" w:hAnsi="Times New Roman"/>
          <w:sz w:val="19"/>
        </w:rPr>
      </w:pPr>
      <w:r>
        <w:rPr>
          <w:rFonts w:ascii="Times New Roman" w:hAnsi="Times New Roman"/>
          <w:sz w:val="19"/>
        </w:rPr>
        <w:t xml:space="preserve">We are a smaller reporting company as defined under the federal securities laws and, as such, we have elected to comply with reduced reporting requirements for this prospectus supplement and may elect to do so in future filings.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pPr>
      <w:r>
        <w:rPr>
          <w:rFonts w:ascii="Times New Roman" w:hAnsi="Times New Roman"/>
          <w:b/>
          <w:sz w:val="22"/>
        </w:rPr>
        <w:t>INVESTING IN OUR COMMON STOCK INVOLVES RISKS THAT ARE DESCRIBED IN THE </w:t>
      </w:r>
      <w:hyperlink w:anchor="supptx856320_3">
        <w:r>
          <w:rPr>
            <w:rStyle w:val="InternetLink"/>
            <w:rFonts w:ascii="Times New Roman" w:hAnsi="Times New Roman"/>
            <w:b/>
            <w:sz w:val="22"/>
          </w:rPr>
          <w:t>RISK FACTORS</w:t>
        </w:r>
      </w:hyperlink>
      <w:r>
        <w:rPr>
          <w:rFonts w:ascii="Times New Roman" w:hAnsi="Times New Roman"/>
          <w:b/>
          <w:sz w:val="22"/>
        </w:rPr>
        <w:t xml:space="preserve"> SECTION BEGINNING ON PAGE S-3 OF THIS PROSPECTUS SUPPLEMENT, AND UNDER ITEM 1A. (RISK FACTORS) OF OUR ANNUAL REPORT ON FORM 10-K FOR THE FISCAL YEAR ENDED DECEMBER 31, 2023, AND ITEM 1A. (RISK FACTORS) OF OUR QUARTERLY REPORTS ON FORM 10-Q FOR THE QUARTERLY PERIODS ENDED MARCH 31, 2024, JUNE 30, 2024 AND SEPTEMBER 30, 2024, WHICH ARE INCORPORATED BY REFERENCE HEREIN, AS WELL AS THE OTHER INFORMATION INCLUDED AND INCORPORATED BY REFERENCE HEREIN.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b/>
          <w:sz w:val="19"/>
        </w:rPr>
      </w:pPr>
      <w:r>
        <w:rPr>
          <w:rFonts w:ascii="Times New Roman" w:hAnsi="Times New Roman"/>
          <w:b/>
          <w:sz w:val="19"/>
        </w:rPr>
        <w:t xml:space="preserve">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bidi w:val="0"/>
        <w:spacing w:before="240" w:after="0"/>
        <w:jc w:val="center"/>
        <w:rPr>
          <w:rFonts w:ascii="Times New Roman" w:hAnsi="Times New Roman"/>
          <w:b/>
          <w:sz w:val="32"/>
        </w:rPr>
      </w:pPr>
      <w:r>
        <w:rPr>
          <w:rFonts w:ascii="Times New Roman" w:hAnsi="Times New Roman"/>
          <w:b/>
          <w:sz w:val="32"/>
        </w:rPr>
        <w:t xml:space="preserve">Jefferies </w:t>
      </w:r>
    </w:p>
    <w:p>
      <w:pPr>
        <w:pStyle w:val="TextBody"/>
        <w:bidi w:val="0"/>
        <w:spacing w:before="240" w:after="0"/>
        <w:jc w:val="center"/>
        <w:rPr>
          <w:rFonts w:ascii="Times New Roman" w:hAnsi="Times New Roman"/>
          <w:b/>
          <w:sz w:val="19"/>
        </w:rPr>
      </w:pPr>
      <w:r>
        <w:rPr>
          <w:rFonts w:ascii="Times New Roman" w:hAnsi="Times New Roman"/>
          <w:b/>
          <w:sz w:val="19"/>
        </w:rPr>
        <w:t xml:space="preserve">Prospectus Supplement dated November 7,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856320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S-ii</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856320_2">
              <w:r>
                <w:rPr>
                  <w:rStyle w:val="InternetLink"/>
                  <w:rFonts w:ascii="Times New Roman" w:hAnsi="Times New Roman"/>
                  <w:sz w:val="20"/>
                </w:rPr>
                <w:t>PROSPECTUS SUPPLEMENT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856320_3">
              <w:r>
                <w:rPr>
                  <w:rStyle w:val="InternetLink"/>
                  <w:rFonts w:ascii="Times New Roman" w:hAnsi="Times New Roman"/>
                  <w:sz w:val="20"/>
                </w:rPr>
                <w:t>THE OFFERING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856320_4">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856320_5">
              <w:r>
                <w:rPr>
                  <w:rStyle w:val="InternetLink"/>
                  <w:rFonts w:ascii="Times New Roman" w:hAnsi="Times New Roman"/>
                  <w:sz w:val="20"/>
                </w:rPr>
                <w:t>CAUTIONARY STATEMENT ON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856320_6">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S-7</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856320_7">
              <w:r>
                <w:rPr>
                  <w:rStyle w:val="InternetLink"/>
                  <w:rFonts w:ascii="Times New Roman" w:hAnsi="Times New Roman"/>
                  <w:sz w:val="20"/>
                </w:rPr>
                <w:t>DILUTION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S-8</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856320_8">
              <w:r>
                <w:rPr>
                  <w:rStyle w:val="InternetLink"/>
                  <w:rFonts w:ascii="Times New Roman" w:hAnsi="Times New Roman"/>
                  <w:sz w:val="20"/>
                </w:rPr>
                <w:t>PLAN OF DISTRIBUTION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S-10</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856320_9">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856320_10">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856320_11">
              <w:r>
                <w:rPr>
                  <w:rStyle w:val="InternetLink"/>
                  <w:rFonts w:ascii="Times New Roman" w:hAnsi="Times New Roman"/>
                  <w:sz w:val="20"/>
                </w:rPr>
                <w:t>WHERE YOU CAN FIND MORE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tx856320_12">
              <w:r>
                <w:rPr>
                  <w:rStyle w:val="InternetLink"/>
                  <w:rFonts w:ascii="Times New Roman" w:hAnsi="Times New Roman"/>
                  <w:sz w:val="20"/>
                </w:rPr>
                <w:t>INCORPORATION OF CERTAIN DOCUMENTS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S-13</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856320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856320_2">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856320_3">
              <w:r>
                <w:rPr>
                  <w:rStyle w:val="InternetLink"/>
                  <w:rFonts w:ascii="Times New Roman" w:hAnsi="Times New Roman"/>
                  <w:sz w:val="20"/>
                </w:rPr>
                <w:t>CAUTIONARY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856320_4">
              <w:r>
                <w:rPr>
                  <w:rStyle w:val="InternetLink"/>
                  <w:rFonts w:ascii="Times New Roman" w:hAnsi="Times New Roman"/>
                  <w:sz w:val="20"/>
                </w:rPr>
                <w:t>THE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856320_5">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856320_6">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856320_7">
              <w:r>
                <w:rPr>
                  <w:rStyle w:val="InternetLink"/>
                  <w:rFonts w:ascii="Times New Roman" w:hAnsi="Times New Roman"/>
                  <w:sz w:val="20"/>
                </w:rPr>
                <w:t>DESCRIPTION OF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856320_8">
              <w:r>
                <w:rPr>
                  <w:rStyle w:val="InternetLink"/>
                  <w:rFonts w:ascii="Times New Roman" w:hAnsi="Times New Roman"/>
                  <w:sz w:val="20"/>
                </w:rPr>
                <w:t>DESCRIPTION OF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856320_9">
              <w:r>
                <w:rPr>
                  <w:rStyle w:val="InternetLink"/>
                  <w:rFonts w:ascii="Times New Roman" w:hAnsi="Times New Roman"/>
                  <w:sz w:val="20"/>
                </w:rPr>
                <w:t>DESCRIPTION OF DEBT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856320_10">
              <w:r>
                <w:rPr>
                  <w:rStyle w:val="InternetLink"/>
                  <w:rFonts w:ascii="Times New Roman" w:hAnsi="Times New Roman"/>
                  <w:sz w:val="20"/>
                </w:rPr>
                <w:t>DESCRIPTION OF WARRANTS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856320_11">
              <w:r>
                <w:rPr>
                  <w:rStyle w:val="InternetLink"/>
                  <w:rFonts w:ascii="Times New Roman" w:hAnsi="Times New Roman"/>
                  <w:sz w:val="20"/>
                </w:rPr>
                <w:t>DESCRIPTION OF SUBSCRIPTION RIGHTS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856320_12">
              <w:r>
                <w:rPr>
                  <w:rStyle w:val="InternetLink"/>
                  <w:rFonts w:ascii="Times New Roman" w:hAnsi="Times New Roman"/>
                  <w:sz w:val="20"/>
                </w:rPr>
                <w:t>DESCRIPTION OF UNITS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856320_13">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856320_14">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856320_15">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tx856320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document contains two parts. The first part is this prospectus supplement, which describes the specific terms of this offering and also supplements and updates information contained in the accompanying prospectus and the documents incorporated by reference into this prospectus supplement and the accompanying prospectus. The second part is the accompanying prospectus, which provides more general information, some of which may not apply to this offering. If the information contained in this prospectus supplement differs or varies from the information contained in the accompanying prospectus or in any document incorporated by reference herein or therein that was filed with the Securities and Exchange Commission (the SEC) before the date of this prospectus supplement, you should rely on the information set forth in this prospectus supplement. If any statement in one of these documents is inconsistent with a statement in another document having a later datefor example, a subsequently filed document deemed incorporated by reference in the accompanying prospectusthe statement in the document having the later date modifies or supersedes the earlier statement. Any statement so modified or superseded will not be deemed, except as so modified or superseded, to constitute a part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in or incorporated by reference into this prospectus supplement and the accompanying prospectus. We have not, and the sales agent has not, authorized anyone to provide you with information that is in addition to or different from that contained in or incorporated by reference into this prospectus supplement and the accompanying prospectus or contained in any permitted free writing prospectuses we have authorized for use in connection with this offering. We and the sales agent take no responsibility for, and can provide no assurance as to the reliability of, any other information that others may provide. </w:t>
      </w:r>
    </w:p>
    <w:p>
      <w:pPr>
        <w:pStyle w:val="TextBody"/>
        <w:bidi w:val="0"/>
        <w:spacing w:before="240" w:after="0"/>
        <w:jc w:val="left"/>
        <w:rPr>
          <w:rFonts w:ascii="Times New Roman" w:hAnsi="Times New Roman"/>
          <w:sz w:val="20"/>
        </w:rPr>
      </w:pPr>
      <w:r>
        <w:rPr>
          <w:rFonts w:ascii="Times New Roman" w:hAnsi="Times New Roman"/>
          <w:sz w:val="20"/>
        </w:rPr>
        <w:t xml:space="preserve">We are offering to sell, and seeking offers to buy, shares of our common stock only in jurisdictions where such offers and sales are permitted. The information contained in this prospectus supplement, the accompanying prospectus and any related free writing prospectus, as well as the documents incorporated by reference herein and therein is accurate only as of their respective dates (or any such earlier date as of which such information is given), regardless of the time of delivery of any such document or the time of any sale of the common stock. Our business, financial condition, results of operations and prospects may have changed materially since those dates. It is important for you to read and consider all information contained or incorporated by reference in this prospectus supplement, the accompanying prospectus and any free writing prospectus in making your investment decision. You should read both this prospectus supplement, the accompanying prospectus, any related free writing prospectus, as well as the documents incorporated by reference into this prospectus supplement and the accompanying prospectus and the additional information described under the section titled Where You Can Find More Information in this prospectus supplement and in the accompanying prospectus and any free writing prospectus that we have authorized for use in connection with this offering, before investing in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When used in this prospectus supplement, the terms Assembly Bio, Assembly, the Company, we, our and us refer to Assembly Biosciences, Inc. and its consolidated subsidiaries, unless otherwise specified or the context otherwise requires.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the documents incorporated by reference herein and therein contain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 Additionally, while such information has been obtained from sources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believed to be reliable, there can be no assurance as to the accuracy or completeness of the included information. We have not independently verified any of the data from third-party sources, nor have we ascertained the underlying economic assumptions relied upon therein. While such information is believed to be reliable for the purposes used herein, none of the Company, its affiliates, nor their respective directors, officers, employees, members, partners, stockholders or agents make any representation or warranty with respect to the accuracy of such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supptx856320_2"/>
      <w:bookmarkEnd w:id="4"/>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contained elsewhere or incorporated by reference into this prospectus supplement and the accompanying prospectus and does not contain all of the information that you should consider before investing in our securities. Before investing in our common stock, you should carefully read this entire prospectus supplement and the accompanying prospectus, including the section titled Risk Factors and the financial statements and accompanying notes and other information incorporated by reference into this prospectus supplement and the accompanying 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biotechnology company developing innovative therapeutics targeting serious viral diseases with the potential to improve the lives of patients worldwide. Our pipeline includes two helicase-primase inhibitors for the treatment of recurrent genital herpes, an orally bioavailable hepatitis delta virus (HDV) entry inhibitor, a clinical stage capsid assembly modulator designed to disrupt the replication cycle of hepatitis B virus (HBV) and research programs focused on a non-nucleoside polymerase inhibitor targeting transplant-related herpesviruses and a small molecule interferon-α receptor agonist targeting HBV and HDV.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Assembly Biosciences, Inc., formerly known as Ventrus BioSciences, Inc., was incorporated under the laws of the State of Delaware on October 7, 2005, originally under the name South Island BioSciences, Inc. Our executive offices are located at Two Tower Place, 7th Floor, South San Francisco, CA 94080 and our telephone number is (833) 509-4583. Our corporate website address is www.assemblybio.com. We do not incorporate the information contained on, or accessible through, our website into this prospectus supplement or the accompanying prospectus, and you should not consider it part of this prospectus supplement or the accompanying prospectus.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This prospectus supplement, the accompanying prospectus and the documents incorporated by reference into this prospectus supplement and the accompanying prospectus may contain trademarks and trade names that are the property of their respective owners.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 Smaller Reporting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smaller reporting company, as defined by the Securities Exchange Act of 1934, as amended (the Exchange Act), and the rules and regulations thereunder. For as long as we continue to be a smaller reporting company, we may choose to take advantage of exemptions from various reporting requirements applicable to other public companies that are not smaller reporting companies, including, but not limited to, reduced disclosure obligations regarding executive compensation in our periodic reports and proxy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supptx856320_3"/>
      <w:bookmarkEnd w:id="5"/>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us </w:t>
            </w:r>
          </w:p>
        </w:tc>
        <w:tc>
          <w:tcPr>
            <w:tcW w:w="6328" w:type="dxa"/>
            <w:tcBorders/>
          </w:tcPr>
          <w:p>
            <w:pPr>
              <w:pStyle w:val="TableContents"/>
              <w:bidi w:val="0"/>
              <w:spacing w:before="0" w:after="283"/>
              <w:jc w:val="left"/>
              <w:rPr/>
            </w:pPr>
            <w:r>
              <w:rPr/>
              <w:t xml:space="preserve">Shares of our common stock having an aggregate offering price of up to $75,000,000.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Manner of offering </w:t>
            </w:r>
          </w:p>
        </w:tc>
        <w:tc>
          <w:tcPr>
            <w:tcW w:w="6330" w:type="dxa"/>
            <w:tcBorders/>
          </w:tcPr>
          <w:p>
            <w:pPr>
              <w:pStyle w:val="TableContents"/>
              <w:bidi w:val="0"/>
              <w:spacing w:before="0" w:after="283"/>
              <w:jc w:val="left"/>
              <w:rPr/>
            </w:pPr>
            <w:r>
              <w:rPr/>
              <w:t xml:space="preserve">At the market offering that may be made from time to time through our sales agent, Jefferies. See Plan of Distribution on page S-10 of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6" w:type="dxa"/>
            <w:tcBorders/>
          </w:tcPr>
          <w:p>
            <w:pPr>
              <w:pStyle w:val="TableContents"/>
              <w:bidi w:val="0"/>
              <w:spacing w:before="0" w:after="283"/>
              <w:jc w:val="left"/>
              <w:rPr/>
            </w:pPr>
            <w:r>
              <w:rPr/>
              <w:t xml:space="preserve">We plan to use the net proceeds of this offering for general corporate purposes.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8" w:type="dxa"/>
            <w:tcBorders/>
          </w:tcPr>
          <w:p>
            <w:pPr>
              <w:pStyle w:val="TableContents"/>
              <w:bidi w:val="0"/>
              <w:spacing w:before="0" w:after="283"/>
              <w:jc w:val="left"/>
              <w:rPr/>
            </w:pPr>
            <w:r>
              <w:rPr/>
              <w:t xml:space="preserve">Investing in our common stock involves a high degree of risk. See the information contained under the heading Risk Factors beginning on page S-3 of this prospectus supplement and under similar headings in the accompanying prospectus and in the other documents that are incorporated by reference herein and therein, including specifically under Item 1A. Risk Factors and elsewhere in our Annual Report on Form 10-K for the year ended December 31, 2023 and in our Quarterly Reports on Form 10-Q for the periods ended March 31, 2024, June 30, 2024 and September 30, 2024.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4"/>
        <w:gridCol w:w="6331"/>
      </w:tblGrid>
      <w:tr>
        <w:trPr/>
        <w:tc>
          <w:tcPr>
            <w:tcW w:w="3874"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Nasdaq Global Select Market symbol </w:t>
            </w:r>
          </w:p>
        </w:tc>
        <w:tc>
          <w:tcPr>
            <w:tcW w:w="6331" w:type="dxa"/>
            <w:tcBorders/>
          </w:tcPr>
          <w:p>
            <w:pPr>
              <w:pStyle w:val="TableContents"/>
              <w:bidi w:val="0"/>
              <w:spacing w:before="0" w:after="283"/>
              <w:jc w:val="left"/>
              <w:rPr/>
            </w:pPr>
            <w:r>
              <w:rPr/>
              <w:t xml:space="preserve">ASMB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upptx856320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our securities involves a high degree of risk. Before making an investment decision, you should carefully consider the risks described below and in our Annual Report on Form 10-K for the year ended December 31, 2023 and our Quarterly Reports on Form 10-Q for the quarterly periods ended March 31, 2024, June 30, 2024 and September 30, 2024 incorporated by reference into this prospectus supplement and the accompanying prospectus, any amendment or update thereto reflected in our subsequent filings with the SEC, and all of the other information contained in or incorporated by reference into this prospectus supplement and the accompanying prospectus, including our financial statements and related notes incorporated by reference in this prospectus supplement and the accompanying prospectus. If any of these risks is realized, our business, financial condition, results of operations and prospects could be materially and adversely affected. In that event, the trading price of our common stock could decline, and you could lose part or all of your investment. Additional risks and uncertainties that are not yet identified or that we currently believe to be immaterial may also materially harm our business, operating results and financial condition and could result in a complete loss of your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This Offering and Our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have broad discretion in the use of the net proceeds from this offering and our existing cash and may not use them effectively. </w:t>
      </w:r>
    </w:p>
    <w:p>
      <w:pPr>
        <w:pStyle w:val="TextBody"/>
        <w:bidi w:val="0"/>
        <w:spacing w:before="120" w:after="0"/>
        <w:jc w:val="left"/>
        <w:rPr>
          <w:rFonts w:ascii="Times New Roman" w:hAnsi="Times New Roman"/>
          <w:sz w:val="20"/>
        </w:rPr>
      </w:pPr>
      <w:r>
        <w:rPr>
          <w:rFonts w:ascii="Times New Roman" w:hAnsi="Times New Roman"/>
          <w:sz w:val="20"/>
        </w:rPr>
        <w:t xml:space="preserve">Our management will have broad discretion in the application of the net proceeds from this offering, including for any of the purposes described in the section titled Use of Proceeds, as well as our existing cash, and you will be relying on the judgment of our management regarding such application. You will not have the opportunity, as part of your investment decision, to assess whether the proceeds are being used appropriately. Our management might not apply the net proceeds or our existing cash in ways that ultimately increase the value of your investment. If we do not invest or apply the net proceeds from this offering or our existing cash in ways that enhance stockholder value, we may fail to achieve expected results, which could cause our stock price to decline. Pending their use, we may invest the net proceeds from this offering in short-term investments that do not produce significant income or that may lose value. Such investments may not yield a favorable return to our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you purchase our common stock in this offering, you will incur immediate and substantial dilution in the book value of your shares. Future issuances of our common stock may result in further dilution. </w:t>
      </w:r>
    </w:p>
    <w:p>
      <w:pPr>
        <w:pStyle w:val="TextBody"/>
        <w:bidi w:val="0"/>
        <w:spacing w:before="120" w:after="0"/>
        <w:jc w:val="left"/>
        <w:rPr>
          <w:rFonts w:ascii="Times New Roman" w:hAnsi="Times New Roman"/>
          <w:sz w:val="20"/>
        </w:rPr>
      </w:pPr>
      <w:r>
        <w:rPr>
          <w:rFonts w:ascii="Times New Roman" w:hAnsi="Times New Roman"/>
          <w:sz w:val="20"/>
        </w:rPr>
        <w:t xml:space="preserve">The offering price per share in this offering may exceed the net tangible book value per share of our common stock outstanding prior to this offering. Assuming that an aggregate of 4,504,505 shares of our common stock are sold at a price of $16.65 per share, the last reported sale price of our common stock on The Nasdaq Global Select Market on November 6, 2024, for aggregate gross proceeds of approximately $75,000,000, and after deducting commissions and estimated offering expenses payable by us, you will experience immediate dilution of $7.52 per share, representing the difference between our as adjusted net tangible book value per share as of September 30, 2024 after giving effect to this offering at the assumed offering price. The exercise of outstanding stock options and warrants will result in further dilution of your investment. </w:t>
      </w:r>
    </w:p>
    <w:p>
      <w:pPr>
        <w:pStyle w:val="TextBody"/>
        <w:bidi w:val="0"/>
        <w:spacing w:before="240" w:after="0"/>
        <w:jc w:val="left"/>
        <w:rPr>
          <w:rFonts w:ascii="Times New Roman" w:hAnsi="Times New Roman"/>
          <w:sz w:val="20"/>
        </w:rPr>
      </w:pPr>
      <w:r>
        <w:rPr>
          <w:rFonts w:ascii="Times New Roman" w:hAnsi="Times New Roman"/>
          <w:sz w:val="20"/>
        </w:rPr>
        <w:t xml:space="preserve">This dilution is due to the substantially lower price paid by some of our investors who purchased shares prior to this offering as compared to the price offered to the public in this offering and the exercise of stock options and vesting of restricted stock units (RSUs) granted to our employees, directors and consultants. In addition, we have a significant number of stock options, warrants and RSUs outstanding. The exercise of any of these outstanding options and warrants and the vesting and settlement of any of these RSUs would result in additional dilution. As a result of the dilution to investors purchasing shares in this offering, investors may receive significantly less than the purchase price paid in this offering, if anything, in the event of our liquidation. Further, because we expect we will need to raise additional capital to fund our future activities, we may in the future sell substantial amounts of common stock or securities convertible into or exchangeable for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Future issuances of common stock or common stock-related securities, including pursuant to our agreement with Gilead, together with the exercise of outstanding options and warrants and the vesting and settlement of outstanding RSUs, if any, may result in further dilution. For a further description of the dilution that you will experience immediately after this offering, see the section titled Dilution.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Sales of a substantial number of shares of our common stock in the public market, or the perception of such sales, could cause our stock price to fall. </w:t>
      </w:r>
    </w:p>
    <w:p>
      <w:pPr>
        <w:pStyle w:val="TextBody"/>
        <w:bidi w:val="0"/>
        <w:spacing w:before="120" w:after="0"/>
        <w:jc w:val="left"/>
        <w:rPr>
          <w:rFonts w:ascii="Times New Roman" w:hAnsi="Times New Roman"/>
          <w:sz w:val="20"/>
        </w:rPr>
      </w:pPr>
      <w:r>
        <w:rPr>
          <w:rFonts w:ascii="Times New Roman" w:hAnsi="Times New Roman"/>
          <w:sz w:val="20"/>
        </w:rPr>
        <w:t xml:space="preserve">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 In addition, the sale of substantial amounts of our common stock could adversely impact its price. As of September 30, 2024, we had outstanding 6,354,414 shares of our common stock, options to purchase 937,268 shares of our common stock, 69,217 shares of our common stock underlying RSUs, 7,513 shares of common stock subject to purchase under our Employee Stock Purchase Plan and warrants exercisable to purchase 814,000 shares of our common stock. In addition, Gilead may elect, to purchase additional shares of common stock from us in an amount that results in Gilead owning 29.9% of our then outstanding voting common stock (as of September 30, 2024, Gilead owned approximately 19.9% of our outstanding voting common stock. The sale or the availability for sale of a large number of shares of our common stock in the public market could cause the price of our common stock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Because we have no current plans to pay cash dividends on our common stock for the foreseeable future, you may not receive any return on investment unless you sell your common stock for a price greater than that which you paid for it. </w:t>
      </w:r>
    </w:p>
    <w:p>
      <w:pPr>
        <w:pStyle w:val="TextBody"/>
        <w:bidi w:val="0"/>
        <w:spacing w:before="120" w:after="0"/>
        <w:jc w:val="left"/>
        <w:rPr>
          <w:rFonts w:ascii="Times New Roman" w:hAnsi="Times New Roman"/>
          <w:sz w:val="20"/>
        </w:rPr>
      </w:pPr>
      <w:r>
        <w:rPr>
          <w:rFonts w:ascii="Times New Roman" w:hAnsi="Times New Roman"/>
          <w:sz w:val="20"/>
        </w:rPr>
        <w:t xml:space="preserve">We intend to retain future earnings, if any, for future operations and expansion of our business and have no current plans to pay any cash dividends for the foreseeable future. The declaration, amount and payment of any future dividends on shares of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stockholders or by our subsidiaries to us and such other factors as our Board of Directors may deem relevant. In addition, our ability to pay dividends may be limited by covenants in connection with any indebtedness we or our subsidiaries incur. As a result, you may not receive any return on an investment in our common stock unless you sell our common stock for a price greater than that which you paid for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tx856320_5"/>
      <w:bookmarkEnd w:id="7"/>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any related free writing prospectus and the documents that we incorporate by reference herein and therein, contain forward-looking statements within the meaning of Section 27A of the Securities Act of 1933, as amended (the Securities Act), and Section 21E of the Exchange Act. All statements other than statements of historical facts contained in this prospectus supplement, the accompanying prospectus, any related free writing prospectus and any documents incorporated by reference, including statements regarding this offering, the intended use of proceeds from this offering, the timing of commencement of future clinical studies involving our therapeutic product candidates, our ability to successfully complete, and receive favorable results in, clinical studies for our product candidates, our strategy, future operations, future financial position, future revenues, projected costs, prospects, plans and objectives of management, are forward-looking statements. These statements are often, but are not always, made through the use of words or phrases such as anticipate, believe, contemplate, continue, could, estimate, expect, intend, may, plan, potential, predict, project, seek, should, target, will, would, might, hopes, forecast, design, goal and similar expressions, or the negative of these terms, or similar expressions. Accordingly, these statements involve estimates, assumptions, risks and uncertainties which could cause actual results to differ materially from those expressed in them. Any forward-looking statements are qualified in their entirety by reference to the factors discussed throughout this prospectus supplement, the accompanying prospectus, any related free writing prospectus, as well as the information and the documents incorporated by reference herein and therein, and in particular those factors referenced in the sections titled Risk Factors.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and the information and documents incorporated by reference herein and therein contain forward-looking statements that are based on our managements belief and assumptions and on information currently available to our management.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Forward-looking statements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realize the potential benefits of our collaboration with Gilead Sciences, Inc. (Gilead), including all financial aspects of the collaboration and equity investments;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initiate and complete clinical studies involving our therapeutic product candidates, including studies contemplated by our collaboration with Gilead, in the currently anticipated timeframes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safety and efficacy data from clinical or nonclinical studies may not warrant further development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clinical and nonclinical data presented at conferences may not differentiate our product candidates from other companies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results of nonclinical studies may not be representative of disease behavior in a clinical setting and may not be predictive of the outcomes of clinical studies;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risks identified from time to time in our reports filed with the SEC.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neither promises nor guarantees of future performance due to a variety of risks and uncertainties, many of which are beyond our control, which could cause actual results to differ materially from those indicated by these forward-looking statements, including, without limitation the risk factors and cautionary statements described in other documents that we file from time to time with the SEC, specifically under Item 1A: Risk Factors and elsewhere in our Annual Report on Form 10-K for the year ended December 31, 2023 and our Quarterly Reports on Form 10-Q for the periods ended March 31, 2024, June 30, 2024 and September 30, 2024 and the section of this prospectus supplement and the accompanying prospectus titled Risk Factors.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forward-looking statements in this prospectus supplement, the accompanying prospectus, any related free writing prospectus and the documents incorporated by reference represent our views as of their respective dates. We anticipate that subsequent events and developments will cause our views to change. However, while we may elect to update these forward-looking statements at some point in the future, we assume no obligation to update or revise any forward-looking statements except to the extent required by applicable law. You should, therefore, not rely on these forward-looking statements as representing our views as of any date subsequent to the dates on which they were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tx856320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may issue and sell shares of our common stock having aggregate sales proceeds of up to $75,000,000 million from time to time. Because there is no minimum offering amount required as a condition to close this offering, the actual total public offering amount, commissions and proceeds to us, if any, are not determinable at this time. There can be no assurance that we will sell any shares under or fully utilize our Sale Agreement with Jefferies. </w:t>
      </w:r>
    </w:p>
    <w:p>
      <w:pPr>
        <w:pStyle w:val="TextBody"/>
        <w:bidi w:val="0"/>
        <w:spacing w:before="240" w:after="0"/>
        <w:jc w:val="left"/>
        <w:rPr>
          <w:rFonts w:ascii="Times New Roman" w:hAnsi="Times New Roman"/>
          <w:sz w:val="20"/>
        </w:rPr>
      </w:pPr>
      <w:r>
        <w:rPr>
          <w:rFonts w:ascii="Times New Roman" w:hAnsi="Times New Roman"/>
          <w:sz w:val="20"/>
        </w:rPr>
        <w:t xml:space="preserve">We plan to use the net proceeds of this offering for general corporate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tx856320_7"/>
      <w:bookmarkEnd w:id="9"/>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If you invest in our common stock in this offering, your ownership interest will be diluted to the extent of the difference between the public offering price per share of our common stock in this offering and the as adjusted net tangible book value per share of our common stock immediately after this offering. </w:t>
      </w:r>
    </w:p>
    <w:p>
      <w:pPr>
        <w:pStyle w:val="TextBody"/>
        <w:bidi w:val="0"/>
        <w:spacing w:before="240" w:after="0"/>
        <w:jc w:val="left"/>
        <w:rPr>
          <w:rFonts w:ascii="Times New Roman" w:hAnsi="Times New Roman"/>
          <w:sz w:val="20"/>
        </w:rPr>
      </w:pPr>
      <w:r>
        <w:rPr>
          <w:rFonts w:ascii="Times New Roman" w:hAnsi="Times New Roman"/>
          <w:sz w:val="20"/>
        </w:rPr>
        <w:t xml:space="preserve">As of September 30, 2024, we had net tangible book value of approximately $26.0 million, or $4.09 per share of our common stock, based upon 6,354,414 shares of our common stock outstanding as of that date. Historical net tangible book value per share is equal to our total tangible assets, less total liabilities, divided by the number of outstanding shares of our common stock. Dilution in net tangible book value per share represents the difference between the amount per share paid by purchasers of shares of common stock in this offering and the net tangible book value per share of our common stock immediately after this offering.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the sale of 4,504,505 shares of common stock in this offering at an assumed public offering price of $16.65 per share, the last reported sale price on The Nasdaq Global Select Market on November 6, 2024, our as adjusted net tangible book value as of September 30, 2024 would have been approximately $99.1 million, or approximately $9.13 per share of common stock. This represents an immediate increase in as adjusted net tangible book value of $5.04 per share to our existing stockholders and an immediate dilution of $7.52 per share to investors participating in this offering at the public offering price. </w:t>
      </w:r>
    </w:p>
    <w:p>
      <w:pPr>
        <w:pStyle w:val="TextBody"/>
        <w:bidi w:val="0"/>
        <w:spacing w:before="240" w:after="0"/>
        <w:jc w:val="left"/>
        <w:rPr>
          <w:rFonts w:ascii="Times New Roman" w:hAnsi="Times New Roman"/>
          <w:sz w:val="20"/>
        </w:rPr>
      </w:pPr>
      <w:r>
        <w:rPr>
          <w:rFonts w:ascii="Times New Roman" w:hAnsi="Times New Roman"/>
          <w:sz w:val="20"/>
        </w:rPr>
        <w:t xml:space="preserve">Dilution per share to new investors is determined by subtracting net tangible book value per share after this offering from the public offering price per share paid by new investors. The following table illustrates this per share dilution to new investors: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692"/>
        <w:gridCol w:w="416"/>
        <w:gridCol w:w="142"/>
        <w:gridCol w:w="627"/>
        <w:gridCol w:w="62"/>
      </w:tblGrid>
      <w:tr>
        <w:trPr/>
        <w:tc>
          <w:tcPr>
            <w:tcW w:w="5692"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6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Assumed public offering price per share</w:t>
            </w:r>
          </w:p>
        </w:tc>
        <w:tc>
          <w:tcPr>
            <w:tcW w:w="416"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627" w:type="dxa"/>
            <w:tcBorders/>
            <w:shd w:fill="CCEEFF" w:val="clear"/>
            <w:vAlign w:val="bottom"/>
          </w:tcPr>
          <w:p>
            <w:pPr>
              <w:pStyle w:val="TableContents"/>
              <w:bidi w:val="0"/>
              <w:spacing w:before="0" w:after="283"/>
              <w:jc w:val="right"/>
              <w:rPr/>
            </w:pPr>
            <w:r>
              <w:rPr/>
              <w:t>16.65</w:t>
            </w:r>
          </w:p>
        </w:tc>
        <w:tc>
          <w:tcPr>
            <w:tcW w:w="62" w:type="dxa"/>
            <w:tcBorders/>
            <w:shd w:fill="CCEEFF" w:val="clear"/>
            <w:vAlign w:val="bottom"/>
          </w:tcPr>
          <w:p>
            <w:pPr>
              <w:pStyle w:val="TableContents"/>
              <w:bidi w:val="0"/>
              <w:spacing w:before="0" w:after="283"/>
              <w:jc w:val="left"/>
              <w:rPr/>
            </w:pPr>
            <w:r>
              <w:rPr/>
              <w:t> </w:t>
            </w:r>
          </w:p>
        </w:tc>
      </w:tr>
      <w:tr>
        <w:trPr/>
        <w:tc>
          <w:tcPr>
            <w:tcW w:w="5692" w:type="dxa"/>
            <w:tcBorders/>
          </w:tcPr>
          <w:p>
            <w:pPr>
              <w:pStyle w:val="TableContents"/>
              <w:bidi w:val="0"/>
              <w:spacing w:before="0" w:after="0"/>
              <w:jc w:val="left"/>
              <w:rPr>
                <w:rFonts w:ascii="Times New Roman" w:hAnsi="Times New Roman"/>
                <w:sz w:val="20"/>
              </w:rPr>
            </w:pPr>
            <w:r>
              <w:rPr>
                <w:rFonts w:ascii="Times New Roman" w:hAnsi="Times New Roman"/>
                <w:sz w:val="20"/>
              </w:rPr>
              <w:t>Historical net tangible book value per share as of September 30, 2024</w:t>
            </w:r>
          </w:p>
        </w:tc>
        <w:tc>
          <w:tcPr>
            <w:tcW w:w="41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627" w:type="dxa"/>
            <w:tcBorders/>
            <w:vAlign w:val="bottom"/>
          </w:tcPr>
          <w:p>
            <w:pPr>
              <w:pStyle w:val="TableContents"/>
              <w:bidi w:val="0"/>
              <w:spacing w:before="0" w:after="283"/>
              <w:jc w:val="right"/>
              <w:rPr/>
            </w:pPr>
            <w:r>
              <w:rPr/>
              <w:t> </w:t>
            </w:r>
            <w:r>
              <w:rPr/>
              <w:t>4.09</w:t>
            </w:r>
          </w:p>
        </w:tc>
        <w:tc>
          <w:tcPr>
            <w:tcW w:w="62" w:type="dxa"/>
            <w:tcBorders/>
            <w:vAlign w:val="bottom"/>
          </w:tcPr>
          <w:p>
            <w:pPr>
              <w:pStyle w:val="TableContents"/>
              <w:bidi w:val="0"/>
              <w:spacing w:before="0" w:after="283"/>
              <w:jc w:val="left"/>
              <w:rPr/>
            </w:pPr>
            <w:r>
              <w:rPr/>
              <w:t> </w:t>
            </w:r>
          </w:p>
        </w:tc>
      </w:tr>
      <w:tr>
        <w:trPr/>
        <w:tc>
          <w:tcPr>
            <w:tcW w:w="56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net tangible book value per share attributable to new investors</w:t>
            </w:r>
          </w:p>
        </w:tc>
        <w:tc>
          <w:tcPr>
            <w:tcW w:w="416"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627" w:type="dxa"/>
            <w:tcBorders/>
            <w:shd w:fill="CCEEFF" w:val="clear"/>
            <w:vAlign w:val="bottom"/>
          </w:tcPr>
          <w:p>
            <w:pPr>
              <w:pStyle w:val="TableContents"/>
              <w:bidi w:val="0"/>
              <w:spacing w:before="0" w:after="283"/>
              <w:jc w:val="right"/>
              <w:rPr/>
            </w:pPr>
            <w:r>
              <w:rPr/>
              <w:t>5.04</w:t>
            </w:r>
          </w:p>
        </w:tc>
        <w:tc>
          <w:tcPr>
            <w:tcW w:w="62" w:type="dxa"/>
            <w:tcBorders/>
            <w:shd w:fill="CCEEFF" w:val="clear"/>
            <w:vAlign w:val="bottom"/>
          </w:tcPr>
          <w:p>
            <w:pPr>
              <w:pStyle w:val="TableContents"/>
              <w:bidi w:val="0"/>
              <w:spacing w:before="0" w:after="283"/>
              <w:jc w:val="left"/>
              <w:rPr/>
            </w:pPr>
            <w:r>
              <w:rPr/>
              <w:t> </w:t>
            </w:r>
          </w:p>
        </w:tc>
      </w:tr>
      <w:tr>
        <w:trPr/>
        <w:tc>
          <w:tcPr>
            <w:tcW w:w="5692" w:type="dxa"/>
            <w:tcBorders/>
          </w:tcPr>
          <w:p>
            <w:pPr>
              <w:pStyle w:val="TableContents"/>
              <w:bidi w:val="0"/>
              <w:spacing w:before="0" w:after="0"/>
              <w:jc w:val="left"/>
              <w:rPr>
                <w:rFonts w:ascii="Times New Roman" w:hAnsi="Times New Roman"/>
                <w:sz w:val="20"/>
              </w:rPr>
            </w:pPr>
            <w:r>
              <w:rPr>
                <w:rFonts w:ascii="Times New Roman" w:hAnsi="Times New Roman"/>
                <w:sz w:val="20"/>
              </w:rPr>
              <w:t>As adjusted net tangible book value per share after giving effect to this offering</w:t>
            </w:r>
          </w:p>
        </w:tc>
        <w:tc>
          <w:tcPr>
            <w:tcW w:w="416"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627" w:type="dxa"/>
            <w:tcBorders/>
            <w:vAlign w:val="bottom"/>
          </w:tcPr>
          <w:p>
            <w:pPr>
              <w:pStyle w:val="TableContents"/>
              <w:bidi w:val="0"/>
              <w:spacing w:before="0" w:after="283"/>
              <w:jc w:val="right"/>
              <w:rPr/>
            </w:pPr>
            <w:r>
              <w:rPr/>
              <w:t>9.13</w:t>
            </w:r>
          </w:p>
        </w:tc>
        <w:tc>
          <w:tcPr>
            <w:tcW w:w="62" w:type="dxa"/>
            <w:tcBorders/>
            <w:vAlign w:val="bottom"/>
          </w:tcPr>
          <w:p>
            <w:pPr>
              <w:pStyle w:val="TableContents"/>
              <w:bidi w:val="0"/>
              <w:spacing w:before="0" w:after="283"/>
              <w:jc w:val="left"/>
              <w:rPr/>
            </w:pPr>
            <w:r>
              <w:rPr/>
              <w:t> </w:t>
            </w:r>
          </w:p>
        </w:tc>
      </w:tr>
      <w:tr>
        <w:trPr/>
        <w:tc>
          <w:tcPr>
            <w:tcW w:w="56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per share to investors in this offering</w:t>
            </w:r>
          </w:p>
        </w:tc>
        <w:tc>
          <w:tcPr>
            <w:tcW w:w="416"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627" w:type="dxa"/>
            <w:tcBorders/>
            <w:shd w:fill="CCEEFF" w:val="clear"/>
            <w:vAlign w:val="bottom"/>
          </w:tcPr>
          <w:p>
            <w:pPr>
              <w:pStyle w:val="TableContents"/>
              <w:bidi w:val="0"/>
              <w:spacing w:before="0" w:after="283"/>
              <w:jc w:val="right"/>
              <w:rPr/>
            </w:pPr>
            <w:r>
              <w:rPr/>
              <w:t>7.52</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table above assumes for illustrative purposes that an aggregate of $75,000,000 in shares of our common stock are sold at a price of $16.65 per share, the last reported sale price of our common stock on The Nasdaq Global Select Market on November 6, 2024. The shares sold in this offering, if any, will be sold from time to time at various prices. An increase of $1.00 per share in the price at which the shares are sold from the assumed offering price of $16.65 per share shown in the table above, assuming all of our common stock in the aggregate amount of $75,000,000 is sold at that price, would increase our as adjusted net tangible book value per share after the offering to $9.34 per share and would increase the dilution in net tangible book value per share to investors participating in this offering to $8.31 per share. A decrease of $1.00 per share in the price at which the shares are sold from the assumed offering price of $16.65 per share shown in the table above, assuming all of our common stock in the aggregate amount of $75,000,000 is sold at that price, would decrease our net tangible book value per share after the offering to $8.89 per share and would decrease the dilution in net tangible book value per share to investors participating in this offering to $6.76 per share.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discussed above is illustrative only and will adjust based on the actual public offering price and other terms of this offering determined at pricing. </w:t>
      </w:r>
    </w:p>
    <w:p>
      <w:pPr>
        <w:pStyle w:val="TextBody"/>
        <w:bidi w:val="0"/>
        <w:spacing w:before="240" w:after="0"/>
        <w:jc w:val="left"/>
        <w:rPr>
          <w:rFonts w:ascii="Times New Roman" w:hAnsi="Times New Roman"/>
          <w:sz w:val="20"/>
        </w:rPr>
      </w:pPr>
      <w:r>
        <w:rPr>
          <w:rFonts w:ascii="Times New Roman" w:hAnsi="Times New Roman"/>
          <w:sz w:val="20"/>
        </w:rPr>
        <w:t xml:space="preserve">The table and discussion above are based on 6,345,414 shares of common stock outstanding as of September 30, 2024, and exclude: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814,000 shares of our common stock issuable upon the exercise of warrants at a price per share of $17.00;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937,268 shares of our common stock issuable upon the exercise of stock options outstanding as of September 30, 2024 with a weighted-average exercise price of $54.44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69,217 shares of common stock issuable upon the vesting and settlement of RSUs as of September 30,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3,550 shares of our common stock issuable upon the exercise of stock options granted subsequent to September 30, 2024, at a weighted-average exercise price of $14.79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625 shares of common stock issuable upon the vesting and settlement of RSUs granted subsequent to September 30,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386,389 shares of common stock reserved for issuance pursuant to future awards under our equity incentive plans;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164,500 shares of common stock reserved for future issuance under our employee stock purchase plan.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as otherwise indicated, all information in this prospectus supplement assumes no exercise or forfeiture of outstanding options, no grant of equity awards and no vesting and settlement of the outstanding RSUs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any options or warrants are exercised, any RSUs vest and are settled, new equity awards are issued under our equity incentive plans, or we otherwise issue additional shares of common stock in the future (including shares issued in connection with strategic and other transactions), there will be further dilution to new investors. </w:t>
      </w:r>
    </w:p>
    <w:p>
      <w:pPr>
        <w:pStyle w:val="TextBody"/>
        <w:bidi w:val="0"/>
        <w:spacing w:before="240" w:after="0"/>
        <w:jc w:val="left"/>
        <w:rPr>
          <w:rFonts w:ascii="Times New Roman" w:hAnsi="Times New Roman"/>
          <w:sz w:val="20"/>
        </w:rPr>
      </w:pPr>
      <w:r>
        <w:rPr>
          <w:rFonts w:ascii="Times New Roman" w:hAnsi="Times New Roman"/>
          <w:sz w:val="20"/>
        </w:rPr>
        <w:t xml:space="preserve">We expect to continue to raise capital when and as needed and at the time and in the manner most advantageous to us. To the extent that additional capital is raised through the sale of equity, equity-linked, convertible debt securities or other securities that are exercisable for, or convertible into, shares of our common stock, the issuance of these securities could result in further dilution to our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tx856320_8"/>
      <w:bookmarkEnd w:id="10"/>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the Sale Agreement with Jefferies, under which we may offer and sell up to $75,000,000 of our shares of common stock from time to time through Jefferies acting as agent. Sales of our shares of common stock, if any, under this prospectus supplement and the accompanying prospectus will be made by any method that is deemed to be an at the market offering as defined in Rule 415(a)(4)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Each time we wish to issue and sell our shares of common stock under the Sale Agreement, we will notify Jefferies of the number of shares to be issued, the dates on which such sales are anticipated to be made, any limitation on the number of shares to be sold in any one day and any minimum price below which sales may not be made. Once we have so instructed Jefferies, unless Jefferies declines to accept the terms of such notice, Jefferies has agreed to use its commercially reasonable efforts consistent with its normal trading and sales practices to sell such shares up to the amount specified on such terms. The obligations of Jefferies under the Sale Agreement to sell our shares of common stock are subject to a number of conditions that we must meet. </w:t>
      </w:r>
    </w:p>
    <w:p>
      <w:pPr>
        <w:pStyle w:val="TextBody"/>
        <w:bidi w:val="0"/>
        <w:spacing w:before="240" w:after="0"/>
        <w:jc w:val="left"/>
        <w:rPr>
          <w:rFonts w:ascii="Times New Roman" w:hAnsi="Times New Roman"/>
          <w:sz w:val="20"/>
        </w:rPr>
      </w:pPr>
      <w:r>
        <w:rPr>
          <w:rFonts w:ascii="Times New Roman" w:hAnsi="Times New Roman"/>
          <w:sz w:val="20"/>
        </w:rPr>
        <w:t xml:space="preserve">The settlement of sales of shares between us and Jefferies is generally anticipated to occur on the first trading day following the date on which the sale was made. Sales of our shares of common stock as contemplated in this prospectus supplement will be settled through the facilities of The Depository Trust Company or by such other means as we and Jefferies may agree upon. There is no arrangement for funds to be received in an escrow, trust or similar arrangement. </w:t>
      </w:r>
    </w:p>
    <w:p>
      <w:pPr>
        <w:pStyle w:val="TextBody"/>
        <w:bidi w:val="0"/>
        <w:spacing w:before="240" w:after="0"/>
        <w:jc w:val="left"/>
        <w:rPr>
          <w:rFonts w:ascii="Times New Roman" w:hAnsi="Times New Roman"/>
          <w:sz w:val="20"/>
        </w:rPr>
      </w:pPr>
      <w:r>
        <w:rPr>
          <w:rFonts w:ascii="Times New Roman" w:hAnsi="Times New Roman"/>
          <w:sz w:val="20"/>
        </w:rPr>
        <w:t xml:space="preserve">We will pay Jefferies a commission rate of up to 3.0% of the aggregate gross proceeds we receive from each sale of our shares of common stock. Because there is no minimum offering amount required as a condition to close this offering, the actual total public offering amount, commissions and proceeds to us, if any, are not determinable at this time. In addition, we have agreed to reimburse Jefferies for the fees and disbursements of its counsel, payable upon execution of the Sale Agreement, in an amount not to exceed $75,000, in addition to certain ongoing disbursements of its legal counsel unless we and Jefferies otherwise agree. We estimate that the total expenses for the offering, excluding any commissions or expense reimbursement payable to Jefferies under the terms of the Sale Agreement, will be approximately $350,000. The remaining sale proceeds, after deducting any other transaction fees, will equal our net proceeds from the sale of such shares. </w:t>
      </w:r>
    </w:p>
    <w:p>
      <w:pPr>
        <w:pStyle w:val="TextBody"/>
        <w:bidi w:val="0"/>
        <w:spacing w:before="240" w:after="0"/>
        <w:jc w:val="left"/>
        <w:rPr>
          <w:rFonts w:ascii="Times New Roman" w:hAnsi="Times New Roman"/>
          <w:sz w:val="20"/>
        </w:rPr>
      </w:pPr>
      <w:r>
        <w:rPr>
          <w:rFonts w:ascii="Times New Roman" w:hAnsi="Times New Roman"/>
          <w:sz w:val="20"/>
        </w:rPr>
        <w:t xml:space="preserve">Jefferies will provide written confirmation to us before the open on The Nasdaq Global Select Market on the day following each day on which our shares of common stock are sold under the Sale Agreement. Each confirmation will include the number of shares sold on that day, the aggregate gross proceeds of such sales and the proceeds to us.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our shares of common stock on our behalf, Jefferies will be deemed to be an underwriter within the meaning of the Securities Act, and the compensation of Jefferies will be deemed to be underwriting commissions or discounts. We have agreed to indemnify Jefferies against certain civil liabilities, including liabilities under the Securities Act. We have also agreed to contribute to payments Jefferies may be required to make in respect of such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offering of shares of our common stock pursuant to the Sale Agreement will terminate as permitted therein. </w:t>
      </w:r>
    </w:p>
    <w:p>
      <w:pPr>
        <w:pStyle w:val="TextBody"/>
        <w:bidi w:val="0"/>
        <w:spacing w:before="240" w:after="0"/>
        <w:jc w:val="left"/>
        <w:rPr>
          <w:rFonts w:ascii="Times New Roman" w:hAnsi="Times New Roman"/>
          <w:sz w:val="20"/>
        </w:rPr>
      </w:pPr>
      <w:r>
        <w:rPr>
          <w:rFonts w:ascii="Times New Roman" w:hAnsi="Times New Roman"/>
          <w:sz w:val="20"/>
        </w:rPr>
        <w:t xml:space="preserve">Upon termination of the Sale Agreement with Jefferies, any portion of the $75,000,000 included in this prospectus supplement that is not sold pursuant to the Sale Agreement will be available for sale in other offerings pursuant to the accompanying prospectus and a corresponding prospectus supplement, and if no shares are sold under the Sale Agreement, the full $75,000,000 of securities may be sold in other offerings by us pursuant to the accompanying prospectus and a corresponding prospectus supplement, subject to any applicable limitations set forth herein and therein. </w:t>
      </w:r>
    </w:p>
    <w:p>
      <w:pPr>
        <w:pStyle w:val="TextBody"/>
        <w:bidi w:val="0"/>
        <w:spacing w:before="240" w:after="0"/>
        <w:jc w:val="left"/>
        <w:rPr>
          <w:rFonts w:ascii="Times New Roman" w:hAnsi="Times New Roman"/>
          <w:sz w:val="20"/>
        </w:rPr>
      </w:pPr>
      <w:r>
        <w:rPr>
          <w:rFonts w:ascii="Times New Roman" w:hAnsi="Times New Roman"/>
          <w:sz w:val="20"/>
        </w:rPr>
        <w:t xml:space="preserve">This summary of the material provisions of the Sale Agreement does not purport to be a complete statement of its terms and conditions. A copy of the Sale Agreement has been or will be filed as an exhibit to a Current Report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Form 8-K incorporated by reference in the accompanying prospectus and may be obtained as described under Where You Can Find More Information in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Jefferies and its affiliates may in the future provide various investment banking, commercial banking, financial advisory and other financial services for us and our affiliates, for which services they may in the future receive customary fees. In the course of its business, Jefferies may actively trade our securities for its own account or for the accounts of customers, and, accordingly, Jefferies may at any time hold long or short positions in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in electronic format may be made available on a website maintained by Jefferies, and Jefferies may distribute this prospectus supplement and the accompanying prospectus electronically.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tx856320_9"/>
      <w:bookmarkEnd w:id="11"/>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in connection with the offering and the validity of the securities offered hereby will be passed upon for us by Skadden, Arps, Slate, Meagher &amp; Flom LLP, Los Angeles, California. Certain legal matters will be passed upon for the sales agent by Latham &amp; Watkins LLP, Chicago, Illinois. </w:t>
      </w:r>
    </w:p>
    <w:p>
      <w:pPr>
        <w:pStyle w:val="TextBody"/>
        <w:bidi w:val="0"/>
        <w:spacing w:before="480" w:after="0"/>
        <w:jc w:val="center"/>
        <w:rPr>
          <w:rFonts w:ascii="Times New Roman" w:hAnsi="Times New Roman"/>
          <w:b/>
          <w:sz w:val="20"/>
        </w:rPr>
      </w:pPr>
      <w:bookmarkStart w:id="12" w:name="supptx856320_10"/>
      <w:bookmarkEnd w:id="12"/>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Ernst &amp; Young LLP, independent registered public accounting firm, has audited our consolidated financial statements and related notes included in our Annual Report on Form 10-K for the year ended December 31, 2023 as set forth in their report, which is incorporated by reference in this prospectus supplement and elsewhere in the registration statement. Our financial statements are incorporated by reference in reliance on Ernst &amp; Young LLPs report, given on their authority as experts in accounting and auditing. </w:t>
      </w:r>
    </w:p>
    <w:p>
      <w:pPr>
        <w:pStyle w:val="TextBody"/>
        <w:bidi w:val="0"/>
        <w:spacing w:before="480" w:after="0"/>
        <w:jc w:val="center"/>
        <w:rPr>
          <w:rFonts w:ascii="Times New Roman" w:hAnsi="Times New Roman"/>
          <w:b/>
          <w:sz w:val="20"/>
        </w:rPr>
      </w:pPr>
      <w:bookmarkStart w:id="13" w:name="supptx856320_11"/>
      <w:bookmarkEnd w:id="13"/>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a registration statement on Form S-3, including exhibits, under the Securities Act with respect to the securities being offered by this prospectus supplement and the accompanying prospectus. The registration statement, including exhibits, contains additional relevant information about us and the securities. This prospectus supplement, which constitutes part of the registration statement, does not contain all of the information set forth in the registration statement and its exhibits. For further information with respect to us and our securities, we refer you to the registration statement and its exhibits. Statements contained in this prospectus supplement and the accompanying prospectus as to the contents of any contract or any other document referred to in, or incorporated by reference into, this prospectus supplement and the accompanying prospectus are not necessarily complete and, in each instance, we refer you to the copy of the contract or other document filed as an exhibit to the registration statement. Each of these statements is qualified in all respects by this reference.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under the Exchange Act. Our SEC filings are available to the public at the SECs website at www.sec.gov. They are also available through our website located at www.assemblybio.com. Information contained on, or that can be accessed from, our website is not incorporated by reference in this prospectus supplement or the accompanying prospectus and, therefore, is not part of this prospectus supplement or the accompanying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supptx856320_12"/>
      <w:bookmarkEnd w:id="14"/>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into this prospectus supplement and the accompanying prospectus, which means that we can disclose important information to you by referring you to another document filed separately with the SEC. The information incorporated by reference is deemed to be part of this prospectus supplement, except for any information superseded by information contained directly in this prospectus supplement, the accompanying prospectus, any subsequently filed document deemed incorporated by reference or any free writing prospectus prepared by or on behalf of us. This prospectus supplement and the accompanying prospectus incorporate by reference the documents set forth below that we have previously filed with the SEC (other than information deemed furnished and not filed in accordance with SEC rules, including Item 2.02 or 7.01, and any related Item 9.01, of Form 8-K).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December 31, 2023, filed with the SEC on March 28,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periods ended </w:t>
            </w:r>
            <w:hyperlink r:id="rId4">
              <w:r>
                <w:rPr>
                  <w:rStyle w:val="InternetLink"/>
                  <w:rFonts w:ascii="Times New Roman" w:hAnsi="Times New Roman"/>
                  <w:sz w:val="20"/>
                </w:rPr>
                <w:t>March  31, 2024</w:t>
              </w:r>
            </w:hyperlink>
            <w:r>
              <w:rPr>
                <w:rFonts w:ascii="Times New Roman" w:hAnsi="Times New Roman"/>
                <w:sz w:val="20"/>
              </w:rPr>
              <w:t xml:space="preserve">, </w:t>
            </w:r>
            <w:hyperlink r:id="rId5">
              <w:r>
                <w:rPr>
                  <w:rStyle w:val="InternetLink"/>
                  <w:rFonts w:ascii="Times New Roman" w:hAnsi="Times New Roman"/>
                  <w:sz w:val="20"/>
                </w:rPr>
                <w:t>June  30, 2024</w:t>
              </w:r>
            </w:hyperlink>
            <w:r>
              <w:rPr>
                <w:rFonts w:ascii="Times New Roman" w:hAnsi="Times New Roman"/>
                <w:sz w:val="20"/>
              </w:rPr>
              <w:t xml:space="preserve"> and </w:t>
            </w:r>
            <w:hyperlink r:id="rId6">
              <w:r>
                <w:rPr>
                  <w:rStyle w:val="InternetLink"/>
                  <w:rFonts w:ascii="Times New Roman" w:hAnsi="Times New Roman"/>
                  <w:sz w:val="20"/>
                </w:rPr>
                <w:t>September 30, 2024</w:t>
              </w:r>
            </w:hyperlink>
            <w:r>
              <w:rPr>
                <w:rFonts w:ascii="Times New Roman" w:hAnsi="Times New Roman"/>
                <w:sz w:val="20"/>
              </w:rPr>
              <w:t xml:space="preserve">, filed with the SEC on May 8, 2024, August 8, 2024 and November 7, 2024,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Form 10-K for the fiscal year ended December 31, 2023 from our definitive proxy statement on  </w:t>
            </w:r>
            <w:hyperlink r:id="rId7">
              <w:r>
                <w:rPr>
                  <w:rStyle w:val="InternetLink"/>
                  <w:rFonts w:ascii="Times New Roman" w:hAnsi="Times New Roman"/>
                  <w:sz w:val="20"/>
                </w:rPr>
                <w:t>Schedule 14A</w:t>
              </w:r>
            </w:hyperlink>
            <w:r>
              <w:rPr>
                <w:rFonts w:ascii="Times New Roman" w:hAnsi="Times New Roman"/>
                <w:sz w:val="20"/>
              </w:rPr>
              <w:t xml:space="preserve">, filed with the SEC on April 17,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our Current Reports on Form 8-K filed with the SEC on </w:t>
            </w:r>
            <w:hyperlink r:id="rId8">
              <w:r>
                <w:rPr>
                  <w:rStyle w:val="InternetLink"/>
                  <w:rFonts w:ascii="Times New Roman" w:hAnsi="Times New Roman"/>
                  <w:sz w:val="20"/>
                </w:rPr>
                <w:t>January 17, 2024</w:t>
              </w:r>
            </w:hyperlink>
            <w:r>
              <w:rPr>
                <w:rFonts w:ascii="Times New Roman" w:hAnsi="Times New Roman"/>
                <w:sz w:val="20"/>
              </w:rPr>
              <w:t xml:space="preserve">,  </w:t>
            </w:r>
            <w:hyperlink r:id="rId9">
              <w:r>
                <w:rPr>
                  <w:rStyle w:val="InternetLink"/>
                  <w:rFonts w:ascii="Times New Roman" w:hAnsi="Times New Roman"/>
                  <w:sz w:val="20"/>
                </w:rPr>
                <w:t>February  2, 2024</w:t>
              </w:r>
            </w:hyperlink>
            <w:r>
              <w:rPr>
                <w:rFonts w:ascii="Times New Roman" w:hAnsi="Times New Roman"/>
                <w:sz w:val="20"/>
              </w:rPr>
              <w:t xml:space="preserve">, </w:t>
            </w:r>
            <w:hyperlink r:id="rId10">
              <w:r>
                <w:rPr>
                  <w:rStyle w:val="InternetLink"/>
                  <w:rFonts w:ascii="Times New Roman" w:hAnsi="Times New Roman"/>
                  <w:sz w:val="20"/>
                </w:rPr>
                <w:t>February 13, 2024</w:t>
              </w:r>
            </w:hyperlink>
            <w:r>
              <w:rPr>
                <w:rFonts w:ascii="Times New Roman" w:hAnsi="Times New Roman"/>
                <w:sz w:val="20"/>
              </w:rPr>
              <w:t xml:space="preserve">,  </w:t>
            </w:r>
            <w:hyperlink r:id="rId11">
              <w:r>
                <w:rPr>
                  <w:rStyle w:val="InternetLink"/>
                  <w:rFonts w:ascii="Times New Roman" w:hAnsi="Times New Roman"/>
                  <w:sz w:val="20"/>
                </w:rPr>
                <w:t>March 15, 2024</w:t>
              </w:r>
            </w:hyperlink>
            <w:r>
              <w:rPr>
                <w:rFonts w:ascii="Times New Roman" w:hAnsi="Times New Roman"/>
                <w:sz w:val="20"/>
              </w:rPr>
              <w:t xml:space="preserve">,  </w:t>
            </w:r>
            <w:hyperlink r:id="rId12">
              <w:r>
                <w:rPr>
                  <w:rStyle w:val="InternetLink"/>
                  <w:rFonts w:ascii="Times New Roman" w:hAnsi="Times New Roman"/>
                  <w:sz w:val="20"/>
                </w:rPr>
                <w:t>June  3, 2024</w:t>
              </w:r>
            </w:hyperlink>
            <w:r>
              <w:rPr>
                <w:rFonts w:ascii="Times New Roman" w:hAnsi="Times New Roman"/>
                <w:sz w:val="20"/>
              </w:rPr>
              <w:t xml:space="preserve">, </w:t>
            </w:r>
            <w:hyperlink r:id="rId13">
              <w:r>
                <w:rPr>
                  <w:rStyle w:val="InternetLink"/>
                  <w:rFonts w:ascii="Times New Roman" w:hAnsi="Times New Roman"/>
                  <w:sz w:val="20"/>
                </w:rPr>
                <w:t>June 18, 2024</w:t>
              </w:r>
            </w:hyperlink>
            <w:r>
              <w:rPr>
                <w:rFonts w:ascii="Times New Roman" w:hAnsi="Times New Roman"/>
                <w:sz w:val="20"/>
              </w:rPr>
              <w:t xml:space="preserve">  and </w:t>
            </w:r>
            <w:hyperlink r:id="rId14">
              <w:r>
                <w:rPr>
                  <w:rStyle w:val="InternetLink"/>
                  <w:rFonts w:ascii="Times New Roman" w:hAnsi="Times New Roman"/>
                  <w:sz w:val="20"/>
                </w:rPr>
                <w:t>September 23, 2024</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the description of our common stock contained in our Registration Statement on</w:t>
            </w:r>
            <w:hyperlink r:id="rId15">
              <w:r>
                <w:rPr>
                  <w:rStyle w:val="InternetLink"/>
                  <w:rFonts w:ascii="Times New Roman" w:hAnsi="Times New Roman"/>
                  <w:sz w:val="20"/>
                </w:rPr>
                <w:t> Form  8-A</w:t>
              </w:r>
            </w:hyperlink>
            <w:r>
              <w:rPr>
                <w:rFonts w:ascii="Times New Roman" w:hAnsi="Times New Roman"/>
                <w:sz w:val="20"/>
              </w:rPr>
              <w:t xml:space="preserve"> filed with the SEC on December 10, 2010, including any amendment or report filed by us for the purpose of updating such description, including  </w:t>
            </w:r>
            <w:hyperlink r:id="rId16">
              <w:r>
                <w:rPr>
                  <w:rStyle w:val="InternetLink"/>
                  <w:rFonts w:ascii="Times New Roman" w:hAnsi="Times New Roman"/>
                  <w:sz w:val="20"/>
                </w:rPr>
                <w:t>Exhibit 4.2</w:t>
              </w:r>
            </w:hyperlink>
            <w:r>
              <w:rPr>
                <w:rFonts w:ascii="Times New Roman" w:hAnsi="Times New Roman"/>
                <w:sz w:val="20"/>
              </w:rPr>
              <w:t xml:space="preserve"> to our Annual Report on Form 10-K for the year ended December 31, 2023, filed with the SEC on March 28, 2024.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documents filed by us pursuant to Sections 13(a), 13(c), 14 or 15(d) of the Exchange Act after the date of this prospectus supplement and before the termination of the offering also shall be deemed to be incorporated herein by reference. We are not, however, incorporating by reference any documents or portions thereof that are not deemed filed with the SEC, including any information furnished pursuant to Item 2.02 or 7.01, and any related Item 9.01, of Form 8-K. </w:t>
      </w:r>
    </w:p>
    <w:p>
      <w:pPr>
        <w:pStyle w:val="TextBody"/>
        <w:bidi w:val="0"/>
        <w:spacing w:before="240" w:after="0"/>
        <w:jc w:val="left"/>
        <w:rPr>
          <w:rFonts w:ascii="Times New Roman" w:hAnsi="Times New Roman"/>
          <w:sz w:val="20"/>
        </w:rPr>
      </w:pPr>
      <w:r>
        <w:rPr>
          <w:rFonts w:ascii="Times New Roman" w:hAnsi="Times New Roman"/>
          <w:sz w:val="20"/>
        </w:rPr>
        <w:t xml:space="preserve">If requested, we will provide to each person, including any beneficial owner, to whom a prospectus supplement is delivered, a copy of any or all of the information that has been incorporated by reference in the prospectus supplement but not delivered with the prospectus supplement. Exhibits to the filings will not be sent, however, unless those exhibits have specifically been incorporated by reference into such documents. To obtain a copy of these filings at no cost, you may write or telephone us at the following address: </w:t>
      </w:r>
    </w:p>
    <w:p>
      <w:pPr>
        <w:pStyle w:val="TextBody"/>
        <w:bidi w:val="0"/>
        <w:spacing w:before="120" w:after="0"/>
        <w:jc w:val="center"/>
        <w:rPr>
          <w:rFonts w:ascii="Times New Roman" w:hAnsi="Times New Roman"/>
          <w:sz w:val="20"/>
        </w:rPr>
      </w:pPr>
      <w:r>
        <w:rPr>
          <w:rFonts w:ascii="Times New Roman" w:hAnsi="Times New Roman"/>
          <w:sz w:val="20"/>
        </w:rPr>
        <w:t xml:space="preserve">Assembly Biosciences, Inc. </w:t>
      </w:r>
    </w:p>
    <w:p>
      <w:pPr>
        <w:pStyle w:val="TextBody"/>
        <w:bidi w:val="0"/>
        <w:spacing w:before="0" w:after="0"/>
        <w:jc w:val="center"/>
        <w:rPr>
          <w:rFonts w:ascii="Times New Roman" w:hAnsi="Times New Roman"/>
          <w:sz w:val="20"/>
        </w:rPr>
      </w:pPr>
      <w:r>
        <w:rPr>
          <w:rFonts w:ascii="Times New Roman" w:hAnsi="Times New Roman"/>
          <w:sz w:val="20"/>
        </w:rPr>
        <w:t xml:space="preserve">Two Tower Place, 7th Floor </w:t>
      </w:r>
    </w:p>
    <w:p>
      <w:pPr>
        <w:pStyle w:val="TextBody"/>
        <w:bidi w:val="0"/>
        <w:spacing w:before="0" w:after="0"/>
        <w:jc w:val="center"/>
        <w:rPr>
          <w:rFonts w:ascii="Times New Roman" w:hAnsi="Times New Roman"/>
          <w:sz w:val="20"/>
        </w:rPr>
      </w:pPr>
      <w:r>
        <w:rPr>
          <w:rFonts w:ascii="Times New Roman" w:hAnsi="Times New Roman"/>
          <w:sz w:val="20"/>
        </w:rPr>
        <w:t xml:space="preserve">South San Francisco, California 94080 </w:t>
      </w:r>
    </w:p>
    <w:p>
      <w:pPr>
        <w:pStyle w:val="TextBody"/>
        <w:bidi w:val="0"/>
        <w:spacing w:before="0" w:after="0"/>
        <w:jc w:val="center"/>
        <w:rPr>
          <w:rFonts w:ascii="Times New Roman" w:hAnsi="Times New Roman"/>
          <w:sz w:val="20"/>
        </w:rPr>
      </w:pPr>
      <w:r>
        <w:rPr>
          <w:rFonts w:ascii="Times New Roman" w:hAnsi="Times New Roman"/>
          <w:sz w:val="20"/>
        </w:rPr>
        <w:t xml:space="preserve">Attn: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(833) 509-4584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is part of a registration statement we filed with the SEC. We have incorporated exhibits into that registration statement. You should read the exhibits carefully for provisions that may be important to you.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center"/>
        <w:rPr>
          <w:rFonts w:ascii="Times New Roman" w:hAnsi="Times New Roman"/>
          <w:b/>
          <w:sz w:val="32"/>
        </w:rPr>
      </w:pPr>
      <w:r>
        <w:rPr>
          <w:rFonts w:ascii="Times New Roman" w:hAnsi="Times New Roman"/>
          <w:b/>
          <w:sz w:val="32"/>
        </w:rPr>
        <w:t xml:space="preserve">$150,000,000 </w:t>
      </w:r>
    </w:p>
    <w:p>
      <w:pPr>
        <w:pStyle w:val="TextBody"/>
        <w:bidi w:val="0"/>
        <w:spacing w:before="0" w:after="0"/>
        <w:jc w:val="left"/>
        <w:rPr/>
      </w:pPr>
      <w:r>
        <w:rPr/>
        <w:t> </w:t>
      </w:r>
    </w:p>
    <w:p>
      <w:pPr>
        <w:pStyle w:val="TextBody"/>
        <w:bidi w:val="0"/>
        <w:spacing w:before="0" w:after="0"/>
        <w:jc w:val="center"/>
        <w:rPr/>
      </w:pPr>
      <w:r>
        <w:rPr/>
        <w:drawing>
          <wp:inline distT="0" distB="0" distL="0" distR="0">
            <wp:extent cx="3275965" cy="65595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7"/>
                    <a:stretch>
                      <a:fillRect/>
                    </a:stretch>
                  </pic:blipFill>
                  <pic:spPr bwMode="auto">
                    <a:xfrm>
                      <a:off x="0" y="0"/>
                      <a:ext cx="3275965" cy="655955"/>
                    </a:xfrm>
                    <a:prstGeom prst="rect">
                      <a:avLst/>
                    </a:prstGeom>
                  </pic:spPr>
                </pic:pic>
              </a:graphicData>
            </a:graphic>
          </wp:inline>
        </w:drawing>
      </w:r>
      <w:r>
        <w:rPr/>
        <w:t xml:space="preserve"> </w:t>
      </w:r>
    </w:p>
    <w:p>
      <w:pPr>
        <w:pStyle w:val="TextBody"/>
        <w:bidi w:val="0"/>
        <w:spacing w:before="20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Subscription Rights </w:t>
      </w:r>
    </w:p>
    <w:p>
      <w:pPr>
        <w:pStyle w:val="TextBody"/>
        <w:bidi w:val="0"/>
        <w:spacing w:before="0" w:after="0"/>
        <w:jc w:val="center"/>
        <w:rPr>
          <w:rFonts w:ascii="Times New Roman" w:hAnsi="Times New Roman"/>
          <w:b/>
          <w:sz w:val="28"/>
        </w:rPr>
      </w:pPr>
      <w:r>
        <w:rPr>
          <w:rFonts w:ascii="Times New Roman" w:hAnsi="Times New Roman"/>
          <w:b/>
          <w:sz w:val="28"/>
        </w:rPr>
        <w:t xml:space="preserve">and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left"/>
        <w:rPr>
          <w:rFonts w:ascii="Times New Roman" w:hAnsi="Times New Roman"/>
          <w:sz w:val="20"/>
        </w:rPr>
      </w:pPr>
      <w:r>
        <w:rPr>
          <w:rFonts w:ascii="Times New Roman" w:hAnsi="Times New Roman"/>
          <w:sz w:val="20"/>
        </w:rPr>
        <w:t xml:space="preserve">We may offer, issue and sell, together or separately, from time to time in one or more offerings: shares of our common stock; shares of our preferred stock, which may be issued in one or more series; debt securities, which may be issued in one or more series and which may be senior debt securities or subordinated debt securities; warrants to purchase shares of our common stock, shares of our preferred stock or our debt securities; subscription rights to purchase shares of our common stock, shares of our preferred stock or our debt securities; and/ or units. We may offer these securities separately or together in units. We will specify the terms of the securities being offered in one or more prospectus supplements and/or any related free writing prospectuses, which may also supplement, update or amend information contained or incorporated by reference in this prospectus. </w:t>
      </w:r>
    </w:p>
    <w:p>
      <w:pPr>
        <w:pStyle w:val="TextBody"/>
        <w:bidi w:val="0"/>
        <w:spacing w:before="200" w:after="0"/>
        <w:jc w:val="left"/>
        <w:rPr>
          <w:rFonts w:ascii="Times New Roman" w:hAnsi="Times New Roman"/>
          <w:sz w:val="20"/>
        </w:rPr>
      </w:pPr>
      <w:r>
        <w:rPr>
          <w:rFonts w:ascii="Times New Roman" w:hAnsi="Times New Roman"/>
          <w:sz w:val="20"/>
        </w:rPr>
        <w:t xml:space="preserve">The aggregate offering price of all securities sold by us under this prospectus may not exceed $150,000,000. </w:t>
      </w:r>
    </w:p>
    <w:p>
      <w:pPr>
        <w:pStyle w:val="TextBody"/>
        <w:bidi w:val="0"/>
        <w:spacing w:before="200" w:after="0"/>
        <w:jc w:val="left"/>
        <w:rPr>
          <w:rFonts w:ascii="Times New Roman" w:hAnsi="Times New Roman"/>
          <w:sz w:val="20"/>
        </w:rPr>
      </w:pPr>
      <w:r>
        <w:rPr>
          <w:rFonts w:ascii="Times New Roman" w:hAnsi="Times New Roman"/>
          <w:sz w:val="20"/>
        </w:rPr>
        <w:t xml:space="preserve">We will provide the specific prices and terms of these securities in one or more supplements to this prospectus at the time of offering. You should read this prospectus and the accompanying prospectus supplement carefully before you make your investment decision.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left"/>
        <w:rPr>
          <w:rFonts w:ascii="Times New Roman" w:hAnsi="Times New Roman"/>
          <w:b/>
          <w:sz w:val="22"/>
        </w:rPr>
      </w:pPr>
      <w:r>
        <w:rPr>
          <w:rFonts w:ascii="Times New Roman" w:hAnsi="Times New Roman"/>
          <w:b/>
          <w:sz w:val="22"/>
        </w:rPr>
        <w:t xml:space="preserve">This prospectus may not be used to sell securities unless accompanied by a prospectus supplement.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left"/>
        <w:rPr/>
      </w:pPr>
      <w:r>
        <w:rPr>
          <w:rFonts w:ascii="Times New Roman" w:hAnsi="Times New Roman"/>
          <w:b/>
          <w:sz w:val="22"/>
        </w:rPr>
        <w:t>Investing in our securities involves a number of risks. See </w:t>
      </w:r>
      <w:hyperlink w:anchor="tx856320_5">
        <w:r>
          <w:rPr>
            <w:rStyle w:val="InternetLink"/>
            <w:rFonts w:ascii="Times New Roman" w:hAnsi="Times New Roman"/>
            <w:b/>
            <w:sz w:val="22"/>
          </w:rPr>
          <w:t>Risk Factors</w:t>
        </w:r>
      </w:hyperlink>
      <w:r>
        <w:rPr>
          <w:rFonts w:ascii="Times New Roman" w:hAnsi="Times New Roman"/>
          <w:b/>
          <w:sz w:val="22"/>
        </w:rPr>
        <w:t xml:space="preserve"> on page 6 before you make your investment decision. </w:t>
      </w:r>
    </w:p>
    <w:p>
      <w:pPr>
        <w:pStyle w:val="TextBody"/>
        <w:bidi w:val="0"/>
        <w:spacing w:before="200" w:after="0"/>
        <w:jc w:val="left"/>
        <w:rPr>
          <w:rFonts w:ascii="Times New Roman" w:hAnsi="Times New Roman"/>
          <w:sz w:val="20"/>
        </w:rPr>
      </w:pPr>
      <w:r>
        <w:rPr>
          <w:rFonts w:ascii="Times New Roman" w:hAnsi="Times New Roman"/>
          <w:sz w:val="20"/>
        </w:rPr>
        <w:t xml:space="preserve">We may offer securities through underwriting syndicates managed or co-managed by one or more underwriters or dealers, through agents or directly to purchasers. If required, the prospectus supplement for each offering of securities will describe the plan of distribution for that offering. For general information about the distribution of securities offered, please see Plan of Distribution in this prospectus. </w:t>
      </w:r>
    </w:p>
    <w:p>
      <w:pPr>
        <w:pStyle w:val="TextBody"/>
        <w:bidi w:val="0"/>
        <w:spacing w:before="200" w:after="0"/>
        <w:jc w:val="left"/>
        <w:rPr>
          <w:rFonts w:ascii="Times New Roman" w:hAnsi="Times New Roman"/>
          <w:sz w:val="20"/>
        </w:rPr>
      </w:pPr>
      <w:r>
        <w:rPr>
          <w:rFonts w:ascii="Times New Roman" w:hAnsi="Times New Roman"/>
          <w:sz w:val="20"/>
        </w:rPr>
        <w:t xml:space="preserve">Our common stock is listed on The Nasdaq Global Select Market under the trading symbol ASMB. On March 21, 2023, the last reported sale price of our common stock as reported on The Nasdaq Global Select Market was $1.20 per share. Each prospectus supplement will indicate whether the securities offered thereby will be listed on any securities exchange. </w:t>
      </w:r>
    </w:p>
    <w:p>
      <w:pPr>
        <w:pStyle w:val="TextBody"/>
        <w:bidi w:val="0"/>
        <w:spacing w:before="20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or any accompanying prospectus supplement is truthful or complete. Any representation to the contrary is a criminal offense.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20"/>
        </w:rPr>
      </w:pPr>
      <w:r>
        <w:rPr>
          <w:rFonts w:ascii="Times New Roman" w:hAnsi="Times New Roman"/>
          <w:b/>
          <w:sz w:val="20"/>
        </w:rPr>
        <w:t xml:space="preserve">The date of this prospectus is April 14, 2023.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oc1"/>
      <w:bookmarkEnd w:id="15"/>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856320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856320_2">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856320_3">
              <w:r>
                <w:rPr>
                  <w:rStyle w:val="InternetLink"/>
                  <w:rFonts w:ascii="Times New Roman" w:hAnsi="Times New Roman"/>
                  <w:sz w:val="20"/>
                </w:rPr>
                <w:t>CAUTIONARY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856320_4">
              <w:r>
                <w:rPr>
                  <w:rStyle w:val="InternetLink"/>
                  <w:rFonts w:ascii="Times New Roman" w:hAnsi="Times New Roman"/>
                  <w:sz w:val="20"/>
                </w:rPr>
                <w:t>THE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856320_5">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856320_6">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856320_7">
              <w:r>
                <w:rPr>
                  <w:rStyle w:val="InternetLink"/>
                  <w:rFonts w:ascii="Times New Roman" w:hAnsi="Times New Roman"/>
                  <w:sz w:val="20"/>
                </w:rPr>
                <w:t>DESCRIPTION OF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856320_8">
              <w:r>
                <w:rPr>
                  <w:rStyle w:val="InternetLink"/>
                  <w:rFonts w:ascii="Times New Roman" w:hAnsi="Times New Roman"/>
                  <w:sz w:val="20"/>
                </w:rPr>
                <w:t>DESCRIPTION OF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856320_9">
              <w:r>
                <w:rPr>
                  <w:rStyle w:val="InternetLink"/>
                  <w:rFonts w:ascii="Times New Roman" w:hAnsi="Times New Roman"/>
                  <w:sz w:val="20"/>
                </w:rPr>
                <w:t>DESCRIPTION OF DEBT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856320_10">
              <w:r>
                <w:rPr>
                  <w:rStyle w:val="InternetLink"/>
                  <w:rFonts w:ascii="Times New Roman" w:hAnsi="Times New Roman"/>
                  <w:sz w:val="20"/>
                </w:rPr>
                <w:t>DESCRIPTION OF WARRANTS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856320_11">
              <w:r>
                <w:rPr>
                  <w:rStyle w:val="InternetLink"/>
                  <w:rFonts w:ascii="Times New Roman" w:hAnsi="Times New Roman"/>
                  <w:sz w:val="20"/>
                </w:rPr>
                <w:t>DESCRIPTION OF SUBSCRIPTION RIGHTS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856320_12">
              <w:r>
                <w:rPr>
                  <w:rStyle w:val="InternetLink"/>
                  <w:rFonts w:ascii="Times New Roman" w:hAnsi="Times New Roman"/>
                  <w:sz w:val="20"/>
                </w:rPr>
                <w:t>DESCRIPTION OF UNITS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856320_13">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856320_14">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856320_15">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x856320_1"/>
      <w:bookmarkEnd w:id="16"/>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This prospectus is part of a registration statement that we filed with the Securities and Exchange Commission (the SEC) using a shelf registration process. Under this shelf registration process, we may offer and sell from time to time the securities described in this prospectus in one or more offerings for an aggregate offering price of up to $150,000,000.</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only provides you with a general description of the securities that we may offer. Each time we sell securities, we will provide a supplement to this prospectus that contains specific information about the terms of that offering, including the specific amounts, prices and terms of the securities offered. The prospectus supplement may also add, update or change information contained in this prospectus. You should carefully read both this prospectus, any accompanying prospectus supplement and any free writing prospectus prepared by or on behalf of us, together with the additional information described under the heading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any information other than that contained in or incorporated by reference into this prospectus, any accompanying prospectus supplement and any free writing prospectus prepared by or on behalf of us. We take no responsibility for, and can provide no assurance as to the reliability of, any other information that others may give you. We are not making offers to sell the securities in any jurisdiction in which an offer or solicitation is not authorized or in which the person making such offer or solicitation is not qualified to do so or to anyone to whom it is unlawful to make an offer or solicitation.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contained in this prospectus, any prospectus supplement and any related free writing prospectus, as well as the documents incorporated by reference herein and therein is accurate only as of their respective dates (or any such earlier date as of which such information is given), regardless of the time of delivery of any such document or the time of any sale of any security. Our business, financial condition, results of operations and prospects may have changed materially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any prospectus supplement and any related free writing prospectus, and the documents incorporated by reference herein and therein, may contain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 Additionally, while such information has been obtained from sources believed to be reliable, there can be no assurance as to the accuracy or completeness of the included information. We have not independently verified any of the data from third-party sources, nor have we ascertained the underlying economic assumptions relied upon therein. While such information is believed to be reliable for the purposes used herein, none of the Company, its affiliates, nor their respective directors, officers, employees, members, partners, stockholders or agents make any representation or warranty with respect to the accuracy of such information.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prospectus is accurate as of the date on the front cover. You should not assume that the information contained in this prospectus is accurate as of any other date. </w:t>
      </w:r>
    </w:p>
    <w:p>
      <w:pPr>
        <w:pStyle w:val="TextBody"/>
        <w:bidi w:val="0"/>
        <w:spacing w:before="240" w:after="0"/>
        <w:jc w:val="left"/>
        <w:rPr>
          <w:rFonts w:ascii="Times New Roman" w:hAnsi="Times New Roman"/>
          <w:sz w:val="20"/>
        </w:rPr>
      </w:pPr>
      <w:r>
        <w:rPr>
          <w:rFonts w:ascii="Times New Roman" w:hAnsi="Times New Roman"/>
          <w:sz w:val="20"/>
        </w:rPr>
        <w:t xml:space="preserve">When used in this prospectus, the terms Assembly Bio, Assembly, the Company, we, our and us refer to Assembly Biosciences, Inc. and its consolidated subsidiaries, unless otherwise specified or the context otherwise requires.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x856320_2"/>
      <w:bookmarkEnd w:id="17"/>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under the Securities Exchange Act of 1934, as amended (the Exchange Act). Our SEC filings are available to the public at the SECs website at www.sec.gov.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into this prospectus and any accompanying prospectus supplement, which means that we can disclose important information to you by referring you to another document filed separately with the SEC. The information incorporated by reference is deemed to be part of this prospectus and any accompanying prospectus supplement, except for any information superseded by information contained directly in this prospectus, any accompanying prospectus supplement, any subsequently filed document deemed incorporated by reference or any free writing prospectus prepared by or on behalf of us. This prospectus and any accompanying prospectus supplement incorporate by reference the documents set forth below that we have previously filed with the SEC (other than information deemed furnished and not filed in accordance with SEC rules, including Items 2.02 and 7.01 of Form 8-K).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18">
              <w:r>
                <w:rPr>
                  <w:rStyle w:val="InternetLink"/>
                  <w:rFonts w:ascii="Times New Roman" w:hAnsi="Times New Roman"/>
                  <w:sz w:val="20"/>
                </w:rPr>
                <w:t>Form 10-K</w:t>
              </w:r>
            </w:hyperlink>
            <w:r>
              <w:rPr>
                <w:rFonts w:ascii="Times New Roman" w:hAnsi="Times New Roman"/>
                <w:sz w:val="20"/>
              </w:rPr>
              <w:t xml:space="preserve"> for the fiscal year ended December 31, 2022, filed with the SEC on March 22,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w:t>
            </w:r>
            <w:hyperlink r:id="rId19">
              <w:r>
                <w:rPr>
                  <w:rStyle w:val="InternetLink"/>
                  <w:rFonts w:ascii="Times New Roman" w:hAnsi="Times New Roman"/>
                  <w:sz w:val="20"/>
                </w:rPr>
                <w:t>Form 10-K</w:t>
              </w:r>
            </w:hyperlink>
            <w:r>
              <w:rPr>
                <w:rFonts w:ascii="Times New Roman" w:hAnsi="Times New Roman"/>
                <w:sz w:val="20"/>
              </w:rPr>
              <w:t xml:space="preserve"> for the fiscal year ended December  31, 2021 from our definitive proxy statement on </w:t>
            </w:r>
            <w:hyperlink r:id="rId20">
              <w:r>
                <w:rPr>
                  <w:rStyle w:val="InternetLink"/>
                  <w:rFonts w:ascii="Times New Roman" w:hAnsi="Times New Roman"/>
                  <w:sz w:val="20"/>
                </w:rPr>
                <w:t>Schedule 14A</w:t>
              </w:r>
            </w:hyperlink>
            <w:r>
              <w:rPr>
                <w:rFonts w:ascii="Times New Roman" w:hAnsi="Times New Roman"/>
                <w:sz w:val="20"/>
              </w:rPr>
              <w:t xml:space="preserve">, filed with the SEC on April 12,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Current Report on Form 8-K, filed with the SEC on </w:t>
            </w:r>
            <w:hyperlink r:id="rId21">
              <w:r>
                <w:rPr>
                  <w:rStyle w:val="InternetLink"/>
                  <w:rFonts w:ascii="Times New Roman" w:hAnsi="Times New Roman"/>
                  <w:sz w:val="20"/>
                </w:rPr>
                <w:t>February 15, 2023</w:t>
              </w:r>
            </w:hyperlink>
            <w:r>
              <w:rPr>
                <w:rFonts w:ascii="Times New Roman" w:hAnsi="Times New Roman"/>
                <w:sz w:val="20"/>
              </w:rPr>
              <w:t xml:space="preserve"> and </w:t>
            </w:r>
            <w:hyperlink r:id="rId22">
              <w:r>
                <w:rPr>
                  <w:rStyle w:val="InternetLink"/>
                  <w:rFonts w:ascii="Times New Roman" w:hAnsi="Times New Roman"/>
                  <w:sz w:val="20"/>
                </w:rPr>
                <w:t>March 22, 2023</w:t>
              </w:r>
            </w:hyperlink>
            <w:r>
              <w:rPr>
                <w:rFonts w:ascii="Times New Roman" w:hAnsi="Times New Roman"/>
                <w:sz w:val="20"/>
              </w:rPr>
              <w:t xml:space="preserve"> (Item 8.01 only);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23">
              <w:r>
                <w:rPr>
                  <w:rStyle w:val="InternetLink"/>
                  <w:rFonts w:ascii="Times New Roman" w:hAnsi="Times New Roman"/>
                  <w:sz w:val="20"/>
                </w:rPr>
                <w:t>Form 8-A</w:t>
              </w:r>
            </w:hyperlink>
            <w:r>
              <w:rPr>
                <w:rFonts w:ascii="Times New Roman" w:hAnsi="Times New Roman"/>
                <w:sz w:val="20"/>
              </w:rPr>
              <w:t xml:space="preserve"> filed with the SEC on December  10, 2010, including any amendment or report filed by us for the purpose of updating such description, including </w:t>
            </w:r>
            <w:hyperlink r:id="rId24">
              <w:r>
                <w:rPr>
                  <w:rStyle w:val="InternetLink"/>
                  <w:rFonts w:ascii="Times New Roman" w:hAnsi="Times New Roman"/>
                  <w:sz w:val="20"/>
                </w:rPr>
                <w:t>Exhibit 4.2</w:t>
              </w:r>
            </w:hyperlink>
            <w:r>
              <w:rPr>
                <w:rFonts w:ascii="Times New Roman" w:hAnsi="Times New Roman"/>
                <w:sz w:val="20"/>
              </w:rPr>
              <w:t xml:space="preserve"> to our Annual Report on Form 10-K for the year ended December 31, 2022, filed with the SEC on March 22, 2023.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documents filed by us pursuant to Sections 13(a), 13(c), 14 or 15(d) of the Exchange Act after the date of this prospectus and before the termination of the offering also shall be deemed to be incorporated herein by reference. We are not, however, incorporating by reference any documents or portions thereof that are not deemed filed with the SEC, including any information furnished pursuant to Items 2.02 or 7.01 of Form 8-K. </w:t>
      </w:r>
    </w:p>
    <w:p>
      <w:pPr>
        <w:pStyle w:val="TextBody"/>
        <w:bidi w:val="0"/>
        <w:spacing w:before="240" w:after="0"/>
        <w:jc w:val="left"/>
        <w:rPr>
          <w:rFonts w:ascii="Times New Roman" w:hAnsi="Times New Roman"/>
          <w:sz w:val="20"/>
        </w:rPr>
      </w:pPr>
      <w:r>
        <w:rPr>
          <w:rFonts w:ascii="Times New Roman" w:hAnsi="Times New Roman"/>
          <w:sz w:val="20"/>
        </w:rPr>
        <w:t xml:space="preserve">If requested, we will provide to each person, including any beneficial owner, to whom a prospectus is delivered, a copy of any or all of the information that has been incorporated by reference in the prospectus but not delivered with the prospectus. Exhibits to the filings will not be sent, however, unless those exhibits have specifically been incorporated by reference into such documents. To obtain a copy of these filings at no cost, you may write or telephone us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Assembly Biosciences, Inc. </w:t>
      </w:r>
    </w:p>
    <w:p>
      <w:pPr>
        <w:pStyle w:val="TextBody"/>
        <w:bidi w:val="0"/>
        <w:spacing w:before="0" w:after="0"/>
        <w:jc w:val="center"/>
        <w:rPr>
          <w:rFonts w:ascii="Times New Roman" w:hAnsi="Times New Roman"/>
          <w:sz w:val="20"/>
        </w:rPr>
      </w:pPr>
      <w:r>
        <w:rPr>
          <w:rFonts w:ascii="Times New Roman" w:hAnsi="Times New Roman"/>
          <w:sz w:val="20"/>
        </w:rPr>
        <w:t xml:space="preserve">331 Oyster Point Blvd., Fourth Floor </w:t>
      </w:r>
    </w:p>
    <w:p>
      <w:pPr>
        <w:pStyle w:val="TextBody"/>
        <w:bidi w:val="0"/>
        <w:spacing w:before="0" w:after="0"/>
        <w:jc w:val="center"/>
        <w:rPr>
          <w:rFonts w:ascii="Times New Roman" w:hAnsi="Times New Roman"/>
          <w:sz w:val="20"/>
        </w:rPr>
      </w:pPr>
      <w:r>
        <w:rPr>
          <w:rFonts w:ascii="Times New Roman" w:hAnsi="Times New Roman"/>
          <w:sz w:val="20"/>
        </w:rPr>
        <w:t xml:space="preserve">South San Francisco, California 94080 </w:t>
      </w:r>
    </w:p>
    <w:p>
      <w:pPr>
        <w:pStyle w:val="TextBody"/>
        <w:bidi w:val="0"/>
        <w:spacing w:before="0" w:after="0"/>
        <w:jc w:val="center"/>
        <w:rPr>
          <w:rFonts w:ascii="Times New Roman" w:hAnsi="Times New Roman"/>
          <w:sz w:val="20"/>
        </w:rPr>
      </w:pPr>
      <w:r>
        <w:rPr>
          <w:rFonts w:ascii="Times New Roman" w:hAnsi="Times New Roman"/>
          <w:sz w:val="20"/>
        </w:rPr>
        <w:t xml:space="preserve">Attn: Corporate Secretary </w:t>
      </w:r>
    </w:p>
    <w:p>
      <w:pPr>
        <w:pStyle w:val="TextBody"/>
        <w:bidi w:val="0"/>
        <w:spacing w:before="0" w:after="0"/>
        <w:jc w:val="center"/>
        <w:rPr>
          <w:rFonts w:ascii="Times New Roman" w:hAnsi="Times New Roman"/>
          <w:sz w:val="20"/>
        </w:rPr>
      </w:pPr>
      <w:r>
        <w:rPr>
          <w:rFonts w:ascii="Times New Roman" w:hAnsi="Times New Roman"/>
          <w:sz w:val="20"/>
        </w:rPr>
        <w:t xml:space="preserve">(833) 509-4584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x856320_3"/>
      <w:bookmarkEnd w:id="18"/>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any applicable prospectus supplement, any related free writing prospectus and the documents that we incorporate by reference herein and therein contain forward-looking statements within the meaning of Section 27A of the Securities Act of 1933, as amended (the Securities Act) and Section 21E of the Securities Exchange Act of 1934, as amended (the Exchange Act). All statements other than statements of historical facts contained in this prospectus, any applicable prospectus supplement, any related free writing prospectus and any documents incorporated by reference, including statements regarding our strategy, future operations, future financial position, future revenues, projected costs, prospects, plans and objectives of management, are forward-looking statements. These statements are often, but are not always, made through the use of words or phrases such as anticipate, believe, contemplate, continue, could, estimate, expect, intend, may, plan, potential, predict, project, seek, should, target, will, would and similar expressions, or the negative of these terms, or similar expressions. Accordingly, these statements involve estimates, assumptions and uncertainties that could cause actual results to differ materially from those expressed in them. Any forward-looking statements are qualified in their entirety by reference to the factors discussed throughout this prospectus, any applicable prospectus supplement and any related free writing prospectus, as well as the information and documents incorporated by reference herein and therein, and in particular those factors referenced in the section Risk Factors.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financial resources necessary to continue our research activities, clinical studies and other business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initiate and complete clinical studies involving our therapeutic product candidates, including studies contemplated by clinical collaboration agreements, in the anticipated timeframes;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safety and efficacy data from clinical or nonclinical studies may not warrant further development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clinical and nonclinical data presented at conferences may not differentiate our product candidates from other companies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results of nonclinical studies may not be representative of disease behavior in a clinical setting and may not be predictive of the outcomes of clinical studies;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continued development and commercialization of ABI-H3733, if successful, in the China territory will be dependent on, and subject to, our collaboration agreement governing our HBV-related activity in the China territory.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are based on our managements beliefs and assumptions and on information currently available to our management. These statements involve known and unknown risks, uncertainties and other factors that may cause our actual results or events to be materially different from the plans, intentions and expectations expressed or implied by these forward-looking statements, including, without limitation the risk factors and cautionary statements described in other documents that we file from time to time with the SEC, specifically under Item 1A: Risk Factors and elsewhere in our Annual Report on Form 10-K for the year ended December 31, 2022 and the section of this prospectus and any applicable prospectus supplement titled Risk Factors.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in this prospectus, any applicable prospectus supplement and any related free writing prospectus, as well as the documents incorporated by reference herein and therein, represent our views as of their respective dates. We anticipate that subsequent events and developments will cause our views to change. However, while we may elect to update these forward-looking statements at some point in the future, we assume no obligation to update or revise any forward-looking statements, whether as a result of new information, future events or otherwise, except as required by law. You should, therefore, not rely on these forward-looking statements as representing our views as of any date subsequent to the dates on which they were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x856320_4"/>
      <w:bookmarkEnd w:id="19"/>
      <w:r>
        <w:rPr>
          <w:rFonts w:ascii="Times New Roman" w:hAnsi="Times New Roman"/>
          <w:b/>
          <w:sz w:val="20"/>
        </w:rPr>
        <w:t xml:space="preserve">THE COMPANY </w:t>
      </w:r>
    </w:p>
    <w:p>
      <w:pPr>
        <w:pStyle w:val="TextBody"/>
        <w:bidi w:val="0"/>
        <w:spacing w:before="240" w:after="0"/>
        <w:jc w:val="left"/>
        <w:rPr>
          <w:rFonts w:ascii="Times New Roman" w:hAnsi="Times New Roman"/>
          <w:sz w:val="20"/>
        </w:rPr>
      </w:pPr>
      <w:r>
        <w:rPr>
          <w:rFonts w:ascii="Times New Roman" w:hAnsi="Times New Roman"/>
          <w:sz w:val="20"/>
        </w:rPr>
        <w:t xml:space="preserve">We are a biopharmaceutical company advancing clinical candidates with the potential to improve the lives of millions of people living with chronic hepatitis B virus (HBV) infection around the world, an early stage development program targeting high-recurrence genital herpes associated with herpes simplex virus type 2 (HSV-2) and research programs focused on the discovery of novel antivirals to treat devastating viral diseases, including hepatitis delta virus (HDV) and transplant-related herpesviruses. </w:t>
      </w:r>
    </w:p>
    <w:p>
      <w:pPr>
        <w:pStyle w:val="TextBody"/>
        <w:bidi w:val="0"/>
        <w:spacing w:before="240" w:after="0"/>
        <w:jc w:val="left"/>
        <w:rPr>
          <w:rFonts w:ascii="Times New Roman" w:hAnsi="Times New Roman"/>
          <w:sz w:val="20"/>
        </w:rPr>
      </w:pPr>
      <w:r>
        <w:rPr>
          <w:rFonts w:ascii="Times New Roman" w:hAnsi="Times New Roman"/>
          <w:sz w:val="20"/>
        </w:rPr>
        <w:t xml:space="preserve">Our current business strategy is focused on three parallel paths: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b/>
                <w:sz w:val="20"/>
              </w:rPr>
              <w:t>Highly Potent Next-Generation HBV Core Inhibitors</w:t>
            </w:r>
            <w:r>
              <w:rPr>
                <w:rFonts w:ascii="Times New Roman" w:hAnsi="Times New Roman"/>
                <w:sz w:val="20"/>
              </w:rPr>
              <w:t xml:space="preserve">  Advancing our novel next-generation core inhibitors (CIs) in clinical studies, with ABI-4334 (currently prioritized) and 3733 (currently paused) in ongoing Phase 1a and Phase 1b studies,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Novel Small Molecule Approaches for HBV and HDV</w:t>
            </w:r>
            <w:r>
              <w:rPr>
                <w:rFonts w:ascii="Times New Roman" w:hAnsi="Times New Roman"/>
                <w:sz w:val="20"/>
              </w:rPr>
              <w:t xml:space="preserve">  Advancing research programs targeting (1) an orally bioavailable HBV/HDV entry inhibitor and (2) an orally bioavailable, liver-focused interferon-</w:t>
            </w:r>
            <w:r>
              <w:rPr>
                <w:rFonts w:ascii="SYMBOL" w:hAnsi="SYMBOL"/>
                <w:sz w:val="20"/>
              </w:rPr>
              <w:t>a</w:t>
            </w:r>
            <w:r>
              <w:rPr>
                <w:rFonts w:ascii="Times New Roman" w:hAnsi="Times New Roman"/>
                <w:sz w:val="20"/>
              </w:rPr>
              <w:t xml:space="preserve"> receptor (IFNAR) agonist.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b/>
                <w:sz w:val="20"/>
              </w:rPr>
              <w:t>Novel Antivirals Targeting Herpesviruses</w:t>
            </w:r>
            <w:r>
              <w:rPr>
                <w:rFonts w:ascii="Times New Roman" w:hAnsi="Times New Roman"/>
                <w:sz w:val="20"/>
              </w:rPr>
              <w:t xml:space="preserve">  Advancing (1) ABI-5366 (5366), a long-acting HSV-2 helicase inhibitor, and (2) our research program targeting a pan-herpes non-nucleoside polymerase inhibitor (NNPI) for transplant-associated infections.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HBV </w:t>
      </w:r>
    </w:p>
    <w:p>
      <w:pPr>
        <w:pStyle w:val="TextBody"/>
        <w:bidi w:val="0"/>
        <w:spacing w:before="120" w:after="0"/>
        <w:jc w:val="left"/>
        <w:rPr>
          <w:rFonts w:ascii="Times New Roman" w:hAnsi="Times New Roman"/>
          <w:sz w:val="20"/>
        </w:rPr>
      </w:pPr>
      <w:r>
        <w:rPr>
          <w:rFonts w:ascii="Times New Roman" w:hAnsi="Times New Roman"/>
          <w:sz w:val="20"/>
        </w:rPr>
        <w:t xml:space="preserve">Inspired by the hundreds of millions of people worldwide living with chronic HBV infection, the goal of our HBV program is to discover and develop finite and curative therapies for these patients. While we have learned that combination therapy with our first-generation CI product candidate, vebicorvir (VBR) plus the standard of care, nucleos(t)ide analog reverse transcriptase inhibitor (NrtI), did not result in a finite and curative treatment, we have designed and developed our next generation CIs for significantly increased potency and ability to engage an additional mechanism of action, targeting the viral reservoir, that VBR could not. We believe that a regimen of our next generation CIs in combination with NrtI therapy will be the antiviral backbone of future finite and curative therapies. To reach a finite and curative therapy, it may also be necessary to include additional mechanisms of action, whether discovered and developed internally or externally through collaborations, licenses, partnerships and other types of business arrangements. </w:t>
      </w:r>
    </w:p>
    <w:p>
      <w:pPr>
        <w:pStyle w:val="TextBody"/>
        <w:bidi w:val="0"/>
        <w:spacing w:before="360" w:after="0"/>
        <w:jc w:val="left"/>
        <w:rPr>
          <w:rFonts w:ascii="Times New Roman" w:hAnsi="Times New Roman"/>
          <w:b/>
          <w:sz w:val="20"/>
        </w:rPr>
      </w:pPr>
      <w:r>
        <w:rPr>
          <w:rFonts w:ascii="Times New Roman" w:hAnsi="Times New Roman"/>
          <w:b/>
          <w:sz w:val="20"/>
        </w:rPr>
        <w:t xml:space="preserve">Development Pipeline </w:t>
      </w:r>
    </w:p>
    <w:p>
      <w:pPr>
        <w:pStyle w:val="TextBody"/>
        <w:bidi w:val="0"/>
        <w:spacing w:before="120" w:after="0"/>
        <w:jc w:val="left"/>
        <w:rPr>
          <w:rFonts w:ascii="Times New Roman" w:hAnsi="Times New Roman"/>
          <w:sz w:val="20"/>
        </w:rPr>
      </w:pPr>
      <w:r>
        <w:rPr>
          <w:rFonts w:ascii="Times New Roman" w:hAnsi="Times New Roman"/>
          <w:sz w:val="20"/>
        </w:rPr>
        <w:t xml:space="preserve">To complement our CI programs seeking finite and curative chronic HBV therapies, we have leveraged the depth and breadth of our virology expertise to expand our pipeline with a focus on novel mechanisms acting on clinically validated targets in therapeutic areas of high unmet medical need. Since beginning this expansion of our portfolio in late 2021, we have announced several new programs, both in- and outside of HBV: our HDV/HBV entry inhibitor program, our IFNAR agonist program, our pan-herpes NNPI program for transplant-associated infections and the long-acting HSV-2 helicase inhibitor for high-recurrence genital herpes. We recently nominated 5366 as a development candidate for our HSV-2 program and look forward to future candidate nominations from our discovery virology pipeline.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these new programs are compelling complements to our CIs, as each program focuses on a clinically validated target in a virologic disease where innovation is critical to improving patients lives. In addition, because our new programs are focused on treatments for chronic diseases, rather than curative therapies, the path to proof-of-concept and registrational studies may be significantly shorter than that for our finite and curative HBV therapeutics. </w:t>
      </w:r>
    </w:p>
    <w:p>
      <w:pPr>
        <w:pStyle w:val="TextBody"/>
        <w:bidi w:val="0"/>
        <w:spacing w:before="240" w:after="0"/>
        <w:jc w:val="left"/>
        <w:rPr>
          <w:rFonts w:ascii="Times New Roman" w:hAnsi="Times New Roman"/>
          <w:sz w:val="20"/>
        </w:rPr>
      </w:pPr>
      <w:r>
        <w:rPr>
          <w:rFonts w:ascii="Times New Roman" w:hAnsi="Times New Roman"/>
          <w:sz w:val="20"/>
        </w:rPr>
        <w:t xml:space="preserve">We currently have corporate and administrative offices and research laboratory space in South San Francisco, California as well as registrational offices in China.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Assembly Biosciences, Inc., formerly known as Ventrus BioSciences, Inc., was incorporated under the laws of the State of Delaware on October 7, 2005, originally under the name South Island Biosciences, Inc. On July 11, 2014, we acquired Assembly Pharmaceuticals, Inc., a private company (the Merger). In connection with the Merger, we changed our name from Ventrus Biosciences, Inc. to Assembly Biosciences, Inc. </w:t>
      </w:r>
    </w:p>
    <w:p>
      <w:pPr>
        <w:pStyle w:val="TextBody"/>
        <w:bidi w:val="0"/>
        <w:spacing w:before="240" w:after="0"/>
        <w:jc w:val="left"/>
        <w:rPr>
          <w:rFonts w:ascii="Times New Roman" w:hAnsi="Times New Roman"/>
          <w:sz w:val="20"/>
        </w:rPr>
      </w:pPr>
      <w:r>
        <w:rPr>
          <w:rFonts w:ascii="Times New Roman" w:hAnsi="Times New Roman"/>
          <w:sz w:val="20"/>
        </w:rPr>
        <w:t xml:space="preserve">Our principal executive office is located at 331 Oyster Point Blvd., Fourth Floor, South San Francisco, California 94080 and our telephone number is (833) 509-4583. We maintain a website at </w:t>
      </w:r>
      <w:r>
        <w:rPr>
          <w:rFonts w:ascii="Times New Roman" w:hAnsi="Times New Roman"/>
          <w:i/>
          <w:sz w:val="20"/>
        </w:rPr>
        <w:t>www.assemblybio.com</w:t>
      </w:r>
      <w:r>
        <w:rPr>
          <w:rFonts w:ascii="Times New Roman" w:hAnsi="Times New Roman"/>
          <w:sz w:val="20"/>
        </w:rPr>
        <w:t xml:space="preserve">. The information on our website is not incorporated by reference in this prospectus or any accompanying prospectus supplement, and you should not consider it a part of this prospectus or any accompanying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856320_5"/>
      <w:bookmarkEnd w:id="20"/>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risk. See the risk factors described in our most recent Annual Report on Form 10-K (together with any material changes thereto contained in subsequent filings with the SEC that are incorporated by reference in this prospectus and any accompanying prospectus supplement) and those contained in our other filings with the SEC that are incorporated by reference in this prospectus and any accompanying prospectus supplement. Before making an investment decision, you should carefully consider these risks as well as other information we include or incorporate by reference in this prospectus and any accompanying prospectus supplement. These risks could materially affect our business, financial condition or results of operations and cause the value of our securities to decline. You could lose all or part of your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856320_6"/>
      <w:bookmarkEnd w:id="21"/>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set forth in any accompanying prospectus supplement, we expect to use the net proceeds from the sale of securities for general corporate purposes, including the financing of our operations, the possible repayment of indebtedness, if applicable, and possible business acquisitions.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856320_7"/>
      <w:bookmarkEnd w:id="22"/>
      <w:r>
        <w:rPr>
          <w:rFonts w:ascii="Times New Roman" w:hAnsi="Times New Roman"/>
          <w:b/>
          <w:sz w:val="20"/>
        </w:rPr>
        <w:t xml:space="preserve">DESCRIPTION OF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summary descriptions of the common stock, preferred stock, debt securities, warrants and subscription rights that may be offered and sold from time to time. These summary descriptions are not meant to be complete descriptions of each security. However, at the time of an offering and sale, this prospectus together with the accompanying prospectus supplement will contain the material terms of the securities being offered. </w:t>
      </w:r>
    </w:p>
    <w:p>
      <w:pPr>
        <w:pStyle w:val="TextBody"/>
        <w:bidi w:val="0"/>
        <w:spacing w:before="480" w:after="0"/>
        <w:jc w:val="center"/>
        <w:rPr>
          <w:rFonts w:ascii="Times New Roman" w:hAnsi="Times New Roman"/>
          <w:b/>
          <w:sz w:val="20"/>
        </w:rPr>
      </w:pPr>
      <w:bookmarkStart w:id="23" w:name="tx856320_8"/>
      <w:bookmarkEnd w:id="23"/>
      <w:r>
        <w:rPr>
          <w:rFonts w:ascii="Times New Roman" w:hAnsi="Times New Roman"/>
          <w:b/>
          <w:sz w:val="20"/>
        </w:rPr>
        <w:t xml:space="preserve">DESCRIPTION OF CAPITAL STOCK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following summary description of our capital stock is based on the provisions of the Delaware General Corporation Law (the DGCL), our certificate of incorporation, as amended, and our bylaws, as amended. This description does not purport to be complete and is qualified in its entirety by reference to the full text of the DGCL, as it may be amended from time to time, and to the terms of our certificate of incorporation and bylaws, as each may be amended from time to time, which are incorporated by reference as exhibits to the registration statement of which this prospectus is a part. See Where You Can Find More Information. As used in this Description of Capital Stock, the terms Assembly Bio, Assembly, the Company, we, our and us refer to Assembly Biosciences, Inc., a Delaware corporation, and do not, unless otherwise specified, include our subsidiaries.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Capital Stock </w:t>
      </w:r>
    </w:p>
    <w:p>
      <w:pPr>
        <w:pStyle w:val="TextBody"/>
        <w:bidi w:val="0"/>
        <w:spacing w:before="120" w:after="0"/>
        <w:jc w:val="left"/>
        <w:rPr>
          <w:rFonts w:ascii="Times New Roman" w:hAnsi="Times New Roman"/>
          <w:sz w:val="20"/>
        </w:rPr>
      </w:pPr>
      <w:r>
        <w:rPr>
          <w:rFonts w:ascii="Times New Roman" w:hAnsi="Times New Roman"/>
          <w:sz w:val="20"/>
        </w:rPr>
        <w:t xml:space="preserve">Our authorized capital stock consists of 150,000,000 shares of common stock, par value $0.001 per share, and 5,000,000 shares of preferred stock, par value $0.001 per share. The number of authorized shares of any class may be increased or decreased by an amendment to our certificate of incorporation proposed by our board of directors and approved by a majority of outstanding shares voted on the issue at a meeting at which a quorum exists.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our common stock are entitled to one vote per share on all matters to be voted on by the stockholders, and there are no cumulative voting rights.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common stock are entitled to receive ratable dividends, if any, payable when and as declared by our board of directors or any authorized committee thereof out of assets or funds legally available therefor, subject to any preferential rights that may be applicable to any outstanding preferred stock. In the event of a liquidation, dissolution or winding up of our company, after payment in full of all outstanding debts and other liabilities, the holders of common stock are entitled to share ratably in all remaining assets, subject to prior distribution rights of preferred stock, if any, then outstanding. No shares of common stock have preemptive rights or other subscription rights to purchase additional shares of common stock. There are no redemption or sinking fund provisions applicable to the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is authorized to issue up to 5,000,000 shares of preferred stock in one or more series without stockholder approval. Our board of directors may determine the rights, preferences, privileges and restrictions, including voting rights, dividend rights, conversion rights, redemption privileges and liquidation preferences, of each series of preferred stock. The purpose of authorizing our board of directors to issue preferred stock in one or more series and determine the number of shares in the series and its rights and preferences is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eliminate delays associated with a stockholder vote on specific issuances. The existence of authorized but unissued shares of preferred stock may enable our board of directors to render more difficult or to discourage an attempt to obtain control of us by means of a merger, tender offer, proxy contest or otherwise. The rights of holders of our common stock described above will be subject to, and may be adversely affected by, the rights of any preferred stock that we may designate and issue in the future.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 </w:t>
      </w:r>
    </w:p>
    <w:p>
      <w:pPr>
        <w:pStyle w:val="TextBody"/>
        <w:bidi w:val="0"/>
        <w:spacing w:before="240" w:after="0"/>
        <w:jc w:val="left"/>
        <w:rPr>
          <w:rFonts w:ascii="Times New Roman" w:hAnsi="Times New Roman"/>
          <w:sz w:val="20"/>
        </w:rPr>
      </w:pPr>
      <w:r>
        <w:rPr>
          <w:rFonts w:ascii="Times New Roman" w:hAnsi="Times New Roman"/>
          <w:sz w:val="20"/>
        </w:rPr>
        <w:t xml:space="preserve">We will incorporate by reference as an exhibit to the registration statement of which this prospectus forms a part the form of any certificate of designation that describes the terms of any series of preferred stock we may offer. This description and the applicable prospectus supplement and/or any related free writing prospectus may include the following terms, among others, where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and stated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authorized;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liquidation preference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rate, period and payment date, and method of calculation for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dividends will be cumulative or non-cumulative and, if cumulative, the date from which dividends will accumulate;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procedures for any auction and remarketing,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a sinking fund,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for redemption or repurchase, if applicable, and any restrictions on our ability to exercise those redemption and repurchase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listing of the preferred stock on any securities exchange or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preferred stock will be convertible into our common stock, and, if applicable, the conversion price, or how it will be calculated, and the conversion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preferred stock will be exchangeable into debt securities, and, if applicable, the exchange price, or how it will be calculated, and the exchange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voting rights, if any,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preemptive rights,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restrictions on transfer, sale or other assignment,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interests in the preferred stock will be represented by depositary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discussion of any material U.S. federal income tax considerations applicable to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relative ranking and preferences of the preferred stock as to dividend rights and rights if we liquidate, dissolve or wind up our affairs;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limitations on issuance of any class or series of preferred stock ranking senior to or on a parity with the series of preferred stock as to dividend rights and rights if we liquidate, dissolve or wind up our affairs;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When we issue shares of preferred stock under this prospectus, the shares will fully be paid and nonassessable and will not have, or be subject to, any preemptive or similar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Anti-Takeover Effects of Provisions of the Certificate of Incorporation, Bylaws and Other Agreements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the DGCL, our certificate of incorporation and our bylaws could have the effect of delaying, deferring or discouraging another party from acquiring control of us. These provisions, which are summarized below, are expected to discourage certain types of coercive takeover practices and inadequate takeover bids and, as a consequence, they might also inhibit temporary fluctuations in the market price of our common stock that often result from actual or rumored hostile takeover attempts. These provisions are also designed in part to encourage anyone seeking to acquire control of us or considering unsolicited tender offers or other unilateral takeover proposals to first negotiate with our board of directors rather than pursue non-negotiated takeover attempts. These provisions might also have the effect of preventing changes in our management. It is possible that these provisions could make it more difficult to accomplish transactions that stockholders might otherwise deem to be in their best interests. However,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 </w:t>
      </w:r>
    </w:p>
    <w:p>
      <w:pPr>
        <w:pStyle w:val="TextBody"/>
        <w:bidi w:val="0"/>
        <w:spacing w:before="360" w:after="0"/>
        <w:jc w:val="left"/>
        <w:rPr>
          <w:rFonts w:ascii="Times New Roman" w:hAnsi="Times New Roman"/>
          <w:i/>
          <w:sz w:val="20"/>
        </w:rPr>
      </w:pPr>
      <w:r>
        <w:rPr>
          <w:rFonts w:ascii="Times New Roman" w:hAnsi="Times New Roman"/>
          <w:i/>
          <w:sz w:val="20"/>
        </w:rPr>
        <w:t xml:space="preserve">Delaware Antitakeover Law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provisions of Section 203 of the DGCL (Section 203).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such persons affiliates and associates, owns, or did own within three years prior to such determination, 15% or more of the corporations voting stock. Under Section 203, a business combination between a corporation and an interested stockholder is prohibited unless it satisfies one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before the stockholder became interested, the board of directors of the corporation approved either the business combination or the transaction that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that is not owned by the interested stockholder.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Charter Documents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and our bylaws include a number of provisions that may have the effect of deterring hostile takeovers or delaying or preventing changes in control or management of our company. First, our certificate of incorporation and our bylaws provide that all stockholder action must be effected at a duly called meeting of stockholders and not by a consent in writing. Further, our bylaws limit who may call special meetings of the stockholders. Our certificate of incorporation does not include a provision for cumulative voting for directors. Under cumulative voting, a minority stockholder holding a sufficient percentage of a class of shares may be able to ensure the election of one or more directors. Our bylaws provide that the number of directors on our board, which may range from three to ten directors, shall be exclusively fixed by our board, which has set the number of directors at seven. Newly created directorships resulting from any increase in our authorized number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directors and any vacancies in our board resulting from death, resignation, retirement, disqualification or other cause (including removal from office by a vote of the stockholders) will be filled by a majority of our board then in office. Finally, our bylaws establish procedures and other terms and conditions, including advance notice procedures, regarding special meeting requests by stockholders holding in the aggregate at least 25% of our outstanding common stock, nomination of candidates for election as directors and stockholder proposals. These and other provisions of our certificate of incorporation, our bylaws and Delaware law could discourage potential acquisition proposals and could delay or prevent a change in control or management of our company. </w:t>
      </w:r>
    </w:p>
    <w:p>
      <w:pPr>
        <w:pStyle w:val="TextBody"/>
        <w:bidi w:val="0"/>
        <w:spacing w:before="240" w:after="0"/>
        <w:jc w:val="left"/>
        <w:rPr>
          <w:rFonts w:ascii="Times New Roman" w:hAnsi="Times New Roman"/>
          <w:sz w:val="20"/>
        </w:rPr>
      </w:pPr>
      <w:r>
        <w:rPr>
          <w:rFonts w:ascii="Times New Roman" w:hAnsi="Times New Roman"/>
          <w:sz w:val="20"/>
        </w:rPr>
        <w:t xml:space="preserve">Our bylaws also provide that the Court of Chancery of the State of Delaware (or if such court does not have jurisdiction, the Superior Court of Delaware, or if such other court does not have jurisdiction, the United States District Court for the District of Delaware) will be the exclusive forum for: any derivative action or proceeding brought on our behalf; any action asserting a breach of fiduciary duty; any action asserting a claim against us arising pursuant to the DGCL, our certificate of incorporation or our bylaws; or any action asserting a claim against us that is governed by the internal affairs doctrine. This provision will not apply to litigation brought to enforce any liability or duty created by: the Securities Act of 1933, as amended; the Securities Exchange Act of 1934, as amended; or the rules and regulations thereunder. The enforceability of similar choice of forum provisions in other companies organizational documents has been challenged in legal proceedings and, while the Delaware Supreme Court has upheld the validity of certain choice of forum provisions, it is possible that, in connection with one or more actions or proceedings described above, a court could find the choice of forum provisions contained in our bylaws to be inapplicable or unenforceable.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Select Market under the symbol ASMB.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American Stock Transfer &amp; Trust Company, LLC. The transfer agent and registrars address is 6201 15th Avenue, Brooklyn, New York 11219.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856320_9"/>
      <w:bookmarkEnd w:id="24"/>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paragraphs below describe the general terms and provisions of the debt securities we may issue. When we offer to sell a particular series of debt securities, we will describe the specific terms of such series, including any additional covenants or other terms or changes to existing covenants or other terms relating to such series, in a prospectus supplement and/or any related free writing prospectus. The prospectus supplement and/or any related free writing prospectus will also indicate whether the general terms and provisions described in this prospectus apply to a particular series of debt securities. We urge you to read any prospectus supplement and/or any related free writing prospectus related to any series of debt securities we may offer under this prospectus, as well as the actual indenture and any related supplemental indenture or officers certificate containing the terms of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offer senior or subordinated debt securities. Each series of debt securities may have different terms. The senior debt securities will be issued under one or more senior indentures, dated as of a date on or prior to such issuance, between us and the trustee identified in the applicable prospectus supplement and/or any related free writing prospectus, each as amended or supplemented from time to time. We will refer to any such indenture throughout this prospectus as the senior indenture. Any subordinated debt securities will be issued under one or more indentures, dated as of a date on or prior to such issuance, between us and the trustee identified in the applicable prospectus supplement and/or any related free writing prospectus, each as amended or supplemented from time to time. We will refer to any such indenture throughout this prospectus as the subordinated indenture. We will refer to the trustee under the senior indenture or the subordinated indenture as the trustee. The senior indenture and the subordinated indenture are sometimes collectively referred to in this prospectus as the indentures. The indentures will be subject to and governed by the Trust Indenture Act of 1939, as amended (the Trust Indenture Act). We have included copies of the forms of the indentures as exhibits to our registration statement of which this prospectus forms a part, however such forms will be amended and supplemented or replaced by one or more supplemental indentures or officers certificates or otherwise with respect to the specific terms of any series of debt securities we may offer. </w:t>
      </w:r>
    </w:p>
    <w:p>
      <w:pPr>
        <w:pStyle w:val="TextBody"/>
        <w:bidi w:val="0"/>
        <w:spacing w:before="240" w:after="0"/>
        <w:jc w:val="left"/>
        <w:rPr>
          <w:rFonts w:ascii="Times New Roman" w:hAnsi="Times New Roman"/>
          <w:sz w:val="20"/>
        </w:rPr>
      </w:pPr>
      <w:r>
        <w:rPr>
          <w:rFonts w:ascii="Times New Roman" w:hAnsi="Times New Roman"/>
          <w:sz w:val="20"/>
        </w:rPr>
        <w:t xml:space="preserve">If we issue debt securities at a discount from their principal amount, then, for purposes of calculating the aggregate offering price of the offered securities issued under this prospectus, we will include only the offering price of the debt securities and not the principal amount of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have summarized below the material provisions of the indentures and the debt securities, or indicated which material provisions will be described in a prospectus supplement and/or any related free writing prospectus. The prospectus supplement and/or any related free writing prospectus relating to any particular securities offered will describe the specific terms of the securities, which may be in addition to or different from the general terms summarized in this prospectus. Because the summary in this prospectus and in any prospectus supplement and/or any related free writing prospectus does not contain all of the information that you may find useful, you should read the documents relating to the securities that are described in this prospectus or in any applicable prospectus supplement and/or any related free writing prospectus. Please read Where You Can Find More Information to find out how you can obtain a copy of those documents. Except as otherwise indicated, the terms of the indentures are identical. As used under this caption, the term debt securities includes the debt securities being offered by this prospectus and all other debt securities that may be issued by us under the indentures.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 not limit the amount of debt securities that we may issue;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allow us to issue debt securities in one or more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 not require us to issue all of the debt securities of a series at the same time;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allow us to reopen a series to issue additional debt securities without the consent of the holders of the debt securities of such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that the debt securities will be unsecured, except as may be set forth in the applicable prospectus supplement and/or any related free writing 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we give you different information in the applicable prospectus supplement and/or any related free writing prospectus, the senior debt securities will be unsubordinated obligations and will be equal in right of payment with all of our other unsecured and unsubordinated indebtedness (if any). Payments on the subordinated debt securities will be subordinated in right of payment to the prior payment in full of all of our senior indebtedness, as described under Subordination and in the applicable prospectus supplement and/or any related free writing prospectus. </w:t>
      </w:r>
    </w:p>
    <w:p>
      <w:pPr>
        <w:pStyle w:val="TextBody"/>
        <w:bidi w:val="0"/>
        <w:spacing w:before="240" w:after="0"/>
        <w:jc w:val="left"/>
        <w:rPr>
          <w:rFonts w:ascii="Times New Roman" w:hAnsi="Times New Roman"/>
          <w:sz w:val="20"/>
        </w:rPr>
      </w:pPr>
      <w:r>
        <w:rPr>
          <w:rFonts w:ascii="Times New Roman" w:hAnsi="Times New Roman"/>
          <w:sz w:val="20"/>
        </w:rPr>
        <w:t xml:space="preserve">Each indenture provides that we may, but need not, designate more than one trustee under an indenture. Any trustee under an indenture may resign or be removed and a successor trustee may be appointed to act 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 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and/or any related free writing prospectus for each offering may include the following terms, among others, where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debt securities and whether they are senior or subordinated;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principal amount of the debt securities being offered, the aggregate principal amount of the debt securities outstanding as of the most recent practicable date and any limit on their aggregate principal amount, including the aggregate principal amount of debt securities authorized;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at which the debt securities will be issued, expressed as a percentage of the principal, and, if other than the principal amount thereof, the portion of the principal amount thereof payable upon declaration of acceleration of the maturity thereof or, if applicable, the portion of the principal amount of such debt securities that is convertible into common stock or other securities of ours or the method by which any such portion shall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convertible, the terms on which such debt securities are convertible, including the initial conversion price or rate and the conversion period and any applicable limitations on the ownership or transferability of common stock or other securities of ours received on conversion;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or the method for determining the date or dates, on which the principal of the debt securities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fixed or variable interest rate or rates of the debt securities, or the method by which the interest rate or rates is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or the method for determining the date or dates, from which interest will accrue;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interest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record dates for interest payment dates, or the method by which such dates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persons to whom interest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basis upon which interest will be calculated if other than that of a 360-day year of twelve 30-day months;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make-whole amount or other premium, which is the amount in addition to principal and interest that is required to be paid to the holder of the debt security as a result of any redemption or repurchase or accelerated payment of such debt security, or the method for determining the make-whole amount or other premium;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the principal of, and any premium or make-whole amount, and interest on, the debt securities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debt securities may be surrendered for registration of transfer or conversion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notices or demands to or upon us in respect of the debt securities and the applicable indenture may be served;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times, prices and other terms and conditions upon which we may redeem or repurchase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obligation we have to redeem, repay or purchase the debt securities pursuant to any sinking fund or analogous provision or at the option of holders of such securities, and the times and prices at which we must redeem, repay or purchase such securities as a result of such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currencies in which the debt securities are denominated and payable if other than U.S. dollars, which may be a foreign currency or units of two or more foreign currencies or a composite currency or currencies and the terms and conditions relating thereto, and the manner of determining the equivalent of such foreign currency in United States dollars;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principal of, and any premium or make-whole amount, or interest on, the debt securities are to be payable, at our election or at the election of a holder, in a currency or currencies other than that in which such securities are denominated or stated to be payable, and other related terms and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amount of payments of principal of, and any premium or make-whole amount, or interest on, the debt securities may be determined according to an index, formula or other method and how such amounts will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in registered form, bearer form, or both, and (1) if in registered form, the person to whom any interest shall be payable, if other than the person in whose name such security is registered at the close of business on the regular record date for such interest, or (2) if in bearer form, the manner in which, or the person to whom, any interest on such security shall be payable if otherwise than upon presentation and surrender upon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restrictions applicable to the offer, sale or delivery of debt securities in bearer form and the terms upon which such securities may be exchanged for securities in registered form and vice versa, if permitted by applicable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are to be issuable initially in temporary global form and whether such securities are to be issuable in permanent global form with or without coupons and, if so, whether beneficial owners of interests in any such permanent global security may, or shall be required to, exchange their interests for other debt securities, and the manner in which interest shall be paid;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identity of the depositary for debt securities in registered form, if such series are to be issuable as a global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as of which the debt securities in bearer form or in temporary global form shall be dated if other than the original issuance date of the first such security to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applicability, if any, of the defeasance and covenant defeasance provisions described in this prospectus or in the applicable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under what circumstances we will pay any additional amounts on the debt securities in respect of any tax, assessment or governmental charge and, if so, whether we will have the option to redeem such securities in lieu of making such a payment;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and under what circumstances the debt securities being offered are convertible into common stock or other securities of ours, as the case may be, including the conversion price or rate and the manner or calculation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circumstances, if any, specified in the applicable prospectus supplement and/or any related free writing prospectus, under which beneficial owners of interests in the global security may obtain definitive debt securities and the manner in which payments on a permanent global debt security will be made if any debt securities are issuable in temporary or permanent global form;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granting special rights to holders of the debt securities upon the occurrence of such events as specified in the applicable prospectus supplement and/or any related free writing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debt securities are to be issuable in definitive form only upon receipt of certain certificates or other documents or satisfaction of other conditions, then the form and/or terms of such certificates, documents or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of the applicable trustee and the nature of any material relationship with us or any of our affiliates, and the percentage of the debt securities necessary to require the trustee to take 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deletions from, modifications of or additions to our events of default or covenants with regard to the debt securities and any change in the right of any trustee or any of the holders to declare the principal amount of any of such securities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applicable CUSIP numbers;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debt securities not inconsistent with the provisions of the applicable indenture, as it may be replaced, amended or supplemented.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that provide for less than the entire principal amount thereof to be payable upon declaration of acceleration of the maturity of the debt securities. We refer to any such debt securities throughout this prospectus as original issue discount securities. The applicable prospectus supplement and/or any related free writing prospectus will describe the U.S. federal income tax consequences and other relevant considerations applicable to original issue discount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also may issue indexed debt securities. Payments of principal of, and premium and interest on, indexed debt securities are determined with reference to the rate of exchange between the currency or currency unit in which the debt security is denominated and any other currency or currency unit specified by us, to the relationship between two or more currencies or currency units or by other similar methods or formulas specified in the prospectus supplement and/or any related free writing prospectus. </w:t>
      </w:r>
    </w:p>
    <w:p>
      <w:pPr>
        <w:pStyle w:val="TextBody"/>
        <w:bidi w:val="0"/>
        <w:spacing w:before="240" w:after="0"/>
        <w:jc w:val="left"/>
        <w:rPr>
          <w:rFonts w:ascii="Times New Roman" w:hAnsi="Times New Roman"/>
          <w:sz w:val="20"/>
        </w:rPr>
      </w:pPr>
      <w:r>
        <w:rPr>
          <w:rFonts w:ascii="Times New Roman" w:hAnsi="Times New Roman"/>
          <w:sz w:val="20"/>
        </w:rPr>
        <w:t xml:space="preserve">Except as described under Merger, Consolidation or Sale of Assets or as may be set forth in any prospectus supplement and/or any related free writing prospectus, the debt securities will not contain any provisions that would (1) limit our ability to incur indebtedness or (2) afford holders of debt securities protection in the event of (a) a highly leveraged or similar transaction involving us or (b) a change of control or reorganization, restructuring, merger or similar transaction involving us that may adversely affect the holders of the debt securities. In the future, we may enter into transactions, such as the sale of all or substantially all of our assets or a merger or consolidation, that may have an adverse effect on our ability to service our indebtedness, including the debt securities, by, among other things, substantially reducing or eliminating our assets. </w:t>
      </w:r>
    </w:p>
    <w:p>
      <w:pPr>
        <w:pStyle w:val="TextBody"/>
        <w:bidi w:val="0"/>
        <w:spacing w:before="240" w:after="0"/>
        <w:jc w:val="left"/>
        <w:rPr>
          <w:rFonts w:ascii="Times New Roman" w:hAnsi="Times New Roman"/>
          <w:sz w:val="20"/>
        </w:rPr>
      </w:pPr>
      <w:r>
        <w:rPr>
          <w:rFonts w:ascii="Times New Roman" w:hAnsi="Times New Roman"/>
          <w:sz w:val="20"/>
        </w:rPr>
        <w:t xml:space="preserve">Our governing instruments do not define the term substantially all as it relates to the sale of assets. Additionally, case law interpreting the term substantially all relies upon the facts and circumstances of each particular case. Consequently, to determine whether a sale of substantially all of our assets has occurred, a holder of debt securities must review the financial and other information that we have disclosed to the public.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you with more information in the applicable prospectus supplement and/or any related free writing prospectus regarding any deletions, modifications or additions to the events of default or covenants or other terms that are described above or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Payment </w:t>
      </w:r>
    </w:p>
    <w:p>
      <w:pPr>
        <w:pStyle w:val="TextBody"/>
        <w:bidi w:val="0"/>
        <w:spacing w:before="120" w:after="0"/>
        <w:jc w:val="left"/>
        <w:rPr>
          <w:rFonts w:ascii="Times New Roman" w:hAnsi="Times New Roman"/>
          <w:sz w:val="20"/>
        </w:rPr>
      </w:pPr>
      <w:r>
        <w:rPr>
          <w:rFonts w:ascii="Times New Roman" w:hAnsi="Times New Roman"/>
          <w:sz w:val="20"/>
        </w:rPr>
        <w:t xml:space="preserve">Unless we give you different information in the applicable prospectus supplement and/or any related free writing prospectus, the principal of, and any premium or make-whole amount, and interest on, any series of the debt securities will be payable at the corporate trust office of the trustee. We will provide you with the address of the trustee in the applicable prospectus supplement and/or any related free writing prospectus. We may also pay interest by mailing a check to the address of the person entitled to it as it appears in the applicable register for the debt securities or by wire transfer of funds to that person at an account maintained within the United States or in accordance with the applicable procedures of the Depository Trust Company (DTC) or any other applicable depository company. </w:t>
      </w:r>
    </w:p>
    <w:p>
      <w:pPr>
        <w:pStyle w:val="TextBody"/>
        <w:bidi w:val="0"/>
        <w:spacing w:before="240" w:after="0"/>
        <w:jc w:val="left"/>
        <w:rPr>
          <w:rFonts w:ascii="Times New Roman" w:hAnsi="Times New Roman"/>
          <w:sz w:val="20"/>
        </w:rPr>
      </w:pPr>
      <w:r>
        <w:rPr>
          <w:rFonts w:ascii="Times New Roman" w:hAnsi="Times New Roman"/>
          <w:sz w:val="20"/>
        </w:rPr>
        <w:t xml:space="preserve">All monies that we pay to a paying agent or a trustee for the payment of the principal of, and any premium or make-whole amount, or interest on, any debt security will be repaid to us if unclaimed at the end of two years after the obligation underlying payment becomes due and payable. After funds have been returned to us, the holder of the debt security may look only to us for payment, without payment of interest for the period which we hold the funds. </w:t>
      </w:r>
    </w:p>
    <w:p>
      <w:pPr>
        <w:pStyle w:val="TextBody"/>
        <w:bidi w:val="0"/>
        <w:spacing w:before="360" w:after="0"/>
        <w:jc w:val="left"/>
        <w:rPr>
          <w:rFonts w:ascii="Times New Roman" w:hAnsi="Times New Roman"/>
          <w:b/>
          <w:sz w:val="20"/>
        </w:rPr>
      </w:pPr>
      <w:r>
        <w:rPr>
          <w:rFonts w:ascii="Times New Roman" w:hAnsi="Times New Roman"/>
          <w:b/>
          <w:sz w:val="20"/>
        </w:rPr>
        <w:t xml:space="preserve">Denomination, Interest, Registration and Transfer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described in the applicable prospectus supplement and/or any related free writing prospectus, the debt securities of any series will be issuable in a minimum denomination of $1,000 and integral multiples of $1,000.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limitations imposed upon debt securities that are evidenced by a book-entry position in the records of DTC or another depository company rather than by physical delivery of a note, a holder of debt securities of any series may: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exchange such debt securities for any authorized denomination of other debt securities of the same series and of a like aggregate principal amount and kind upon surrender of such debt securities at the corporate trust office of the applicable trustee or at the office of any transfer agent that we designate for such purpose;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surrender such debt securities for registration of transfer or exchange at the corporate trust office of the applicable trustee or at the office of any transfer agent that we designate for such purpose.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Every debt security surrendered for registration of transfer or exchange must be duly endorsed or accompanied by a written instrument of transfer satisfactory to the applicable trustee or transfer agent or, as applicable, comply with the applicable procedures of DTC or another depository company. Payment of a service charge will not be required for any registration of transfer or exchange of any debt securities, but we or the trustee may require payment of a sum sufficient to cover any tax or other governmental charge payable in connection therewith. If in addition to the applicable trustee, the applicable prospectus supplement and/or any related free writing prospectus refers to any transfer agent initially designated by us for any series of debt securities, we may at any time rescind the designation of any such transfer agent or approve a change in the location through which any such transfer agent acts, except that we will be required to maintain a transfer agent in each place of payment for such series. We may at any time designate additional transfer agents for any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any trustee, will be required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register the transfer of or exchange debt securities of any series during a period beginning at the opening of business 15 days before the day that the notice of redemption of any debt securities selected for redemption is mailed and ending at the close of business on the day of such mailing;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of or exchange any debt security, or portion thereof, so selected for redemption, in whole or in part, except the unredeemed portion of any debt security being redeemed in part;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register the transfer of or exchange any debt security that has been surrendered for repayment at the option of the holder, except the portion, if any, of such debt security not to be so repaid.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Merger, Consolidation or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provide that we may, without the consent of the holders of any outstanding debt securities, (1) consolidate with, (2) sell, lease or convey all or substantially all of our assets to or (3) merge with or into any other entity,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we are the continuing entity, or the successor entity, if other than us, assumes the obligations to (a) pay the principal of, and any premium or make-whole amount, and interest on, all of the debt securities and (b) duly perform and observe all of the covenants and conditions contained in each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giving effect to the transaction, there is no event of default under the indentures and no event which, after notice or the lapse of time, or both, would become such an event of default, occurs and continues;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officers certificate and legal opinion covering such conditions are delivered to each applicable trustee.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Covenants </w:t>
      </w:r>
    </w:p>
    <w:p>
      <w:pPr>
        <w:pStyle w:val="TextBody"/>
        <w:bidi w:val="0"/>
        <w:spacing w:before="120" w:after="0"/>
        <w:jc w:val="left"/>
        <w:rPr>
          <w:rFonts w:ascii="Times New Roman" w:hAnsi="Times New Roman"/>
          <w:i/>
          <w:sz w:val="20"/>
        </w:rPr>
      </w:pPr>
      <w:r>
        <w:rPr>
          <w:rFonts w:ascii="Times New Roman" w:hAnsi="Times New Roman"/>
          <w:i/>
          <w:sz w:val="20"/>
        </w:rPr>
        <w:t xml:space="preserve">Existence </w:t>
      </w:r>
    </w:p>
    <w:p>
      <w:pPr>
        <w:pStyle w:val="TextBody"/>
        <w:bidi w:val="0"/>
        <w:spacing w:before="120" w:after="0"/>
        <w:jc w:val="left"/>
        <w:rPr>
          <w:rFonts w:ascii="Times New Roman" w:hAnsi="Times New Roman"/>
          <w:sz w:val="20"/>
        </w:rPr>
      </w:pPr>
      <w:r>
        <w:rPr>
          <w:rFonts w:ascii="Times New Roman" w:hAnsi="Times New Roman"/>
          <w:sz w:val="20"/>
        </w:rPr>
        <w:t xml:space="preserve">Except as described under Merger, Consolidation or Sale of Assets, the indentures require us to do or cause to be done all things necessary to preserve and keep in full force and effect our existence, rights and franchises. However, the indentures do not require us to preserve any right or franchise if we determine that any right or franchise is no longer desirable in the conduct of our business. </w:t>
      </w:r>
    </w:p>
    <w:p>
      <w:pPr>
        <w:pStyle w:val="TextBody"/>
        <w:bidi w:val="0"/>
        <w:spacing w:before="360" w:after="0"/>
        <w:jc w:val="left"/>
        <w:rPr>
          <w:rFonts w:ascii="Times New Roman" w:hAnsi="Times New Roman"/>
          <w:i/>
          <w:sz w:val="20"/>
        </w:rPr>
      </w:pPr>
      <w:r>
        <w:rPr>
          <w:rFonts w:ascii="Times New Roman" w:hAnsi="Times New Roman"/>
          <w:i/>
          <w:sz w:val="20"/>
        </w:rPr>
        <w:t xml:space="preserve">Payment of Taxes and Other Claims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require us to pay, discharge or cause to be paid or discharged, before they become delinquent, (1) all taxes, assessments and governmental charges levied or imposed on us and (2) all lawful claims for labor, materials and supplies which, if unpaid, might by law become a lien upon our property. However, we will not be required to pay, discharge or cause to be paid or discharged any such tax, assessment, charge or claim whose amount, applicability or validity is being contested in good faith by appropriate proceedings. </w:t>
      </w:r>
    </w:p>
    <w:p>
      <w:pPr>
        <w:pStyle w:val="TextBody"/>
        <w:bidi w:val="0"/>
        <w:spacing w:before="360" w:after="0"/>
        <w:jc w:val="left"/>
        <w:rPr>
          <w:rFonts w:ascii="Times New Roman" w:hAnsi="Times New Roman"/>
          <w:i/>
          <w:sz w:val="20"/>
        </w:rPr>
      </w:pPr>
      <w:r>
        <w:rPr>
          <w:rFonts w:ascii="Times New Roman" w:hAnsi="Times New Roman"/>
          <w:i/>
          <w:sz w:val="20"/>
        </w:rPr>
        <w:t xml:space="preserve">Provision of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require us to (1) within 15 days of each of the respective dates by which we are required to file our annual reports, quarterly reports and other documents with the SEC, file with the trustee copies of the annual report, quarterly report and other documents that we file with the SEC under Section 13 or 15(d) of the Exchange Act, (2) file with the trustee and the SEC any additional information, documents and reports regarding compliance by us with the conditions and covenants of the indentures, as required, (3) within 30 days after the filing with the trustee, mail to all holders of debt securities, as their names and addresses appear in the applicable register for such debt securities, without cost to such holders, summaries of any documents and reports required to be filed by us pursuant to (1) and (2) above, and (4) supply, promptly upon written request and payment of the reasonable cost of duplication and delivery, copies of such documents to any prospective holder of debt securities. </w:t>
      </w:r>
    </w:p>
    <w:p>
      <w:pPr>
        <w:pStyle w:val="TextBody"/>
        <w:bidi w:val="0"/>
        <w:spacing w:before="360" w:after="0"/>
        <w:jc w:val="left"/>
        <w:rPr>
          <w:rFonts w:ascii="Times New Roman" w:hAnsi="Times New Roman"/>
          <w:i/>
          <w:sz w:val="20"/>
        </w:rPr>
      </w:pPr>
      <w:r>
        <w:rPr>
          <w:rFonts w:ascii="Times New Roman" w:hAnsi="Times New Roman"/>
          <w:i/>
          <w:sz w:val="20"/>
        </w:rPr>
        <w:t xml:space="preserve">Additional Covenants </w:t>
      </w:r>
    </w:p>
    <w:p>
      <w:pPr>
        <w:pStyle w:val="TextBody"/>
        <w:bidi w:val="0"/>
        <w:spacing w:before="120" w:after="0"/>
        <w:jc w:val="left"/>
        <w:rPr>
          <w:rFonts w:ascii="Times New Roman" w:hAnsi="Times New Roman"/>
          <w:sz w:val="20"/>
        </w:rPr>
      </w:pPr>
      <w:r>
        <w:rPr>
          <w:rFonts w:ascii="Times New Roman" w:hAnsi="Times New Roman"/>
          <w:sz w:val="20"/>
        </w:rPr>
        <w:t xml:space="preserve">The applicable prospectus supplement and/or any related free writing prospectus will set forth any of our additional covenants relating to any series of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Events of Default, Notice and Waiver </w:t>
      </w:r>
    </w:p>
    <w:p>
      <w:pPr>
        <w:pStyle w:val="TextBody"/>
        <w:bidi w:val="0"/>
        <w:spacing w:before="120" w:after="0"/>
        <w:jc w:val="left"/>
        <w:rPr>
          <w:rFonts w:ascii="Times New Roman" w:hAnsi="Times New Roman"/>
          <w:sz w:val="20"/>
        </w:rPr>
      </w:pPr>
      <w:r>
        <w:rPr>
          <w:rFonts w:ascii="Times New Roman" w:hAnsi="Times New Roman"/>
          <w:sz w:val="20"/>
        </w:rPr>
        <w:t xml:space="preserve">Unless the applicable prospectus supplement and/or any related free writing prospectus states otherwise, when we refer to events of default as defined in the indentures with respect to any series of debt securities, we mean: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any installment of interest on such debt security continuing for 30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principal of, or any premium or make-whole amount on, such debt security at its stated maturity;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making any sinking fund payment as required for such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performance or breach of any covenant or warranty in such debt security or in the indenture by us continuing for 60 days after written notice to us by the trustee or to us and the trustee by the holders of at least 25% in principal amount of the outstanding debt securities of that series as provided in the applicable indenture, but not of a covenant added to the indenture solely for the benefit of a series of debt securities issued thereunder other than such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default under any bond, debenture, note, mortgage, indenture or instrument under which there may be issued or by which there may be secured or evidenced any indebtedness for money borrowed by us (or by any subsidiary, the repayment of which we have guaranteed or for which we are directly responsible or liable as obligor or guarantor) having an aggregate principal amount of at least $30,000,000, which default shall have resulted in such indebtedness becoming or being declared due and payable prior to the date on which it would otherwise have become due and payable, without such indebtedness having been discharged, or such acceleration having been rescinded or annulled, within 30 days after notice specifying such default. Such notice shall be given to us by the trustee, or to us and the trustee by the holders of at least 10% in principal amount of the outstanding debt securities of that series. The written notice shall specify such default and require us to cause such indebtedness to be discharged or cause such acceleration to be rescinded or annulled and shall state that such notice is a Notice of Default under such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bankruptcy, insolvency or reorganization, or court appointment of a receiver, liquidator or trustee of 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provided with respect to a particular series of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occurs and is continuing with respect to debt securities of any series outstanding, then the applicable trustee or the holders of 25% or more in principal amount of the debt securities of that series will have the right to declare the principal amount of all the debt securities of that series to be due and payable. If the debt securities of that series are original issue discount securities or indexed securities, then the applicable trustee or the holders of 25% or more in principal amount of the debt securities of that series will have the right to declare the portion of the principal amount as may be specified in the terms thereof to be due and payable.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 all debt securities then outstanding under the applicable indenture may rescind and annul such declaration and its consequences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deposited with the applicable trustee all required payments of the principal, any premium or make-whole amount, interest and, to the extent permitted by law, interest on overdue installment of interest, plus applicable fees, expenses, disbursements and advances of the applicable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events of default, other than the non-payment of accelerated principal, or a specified portion thereof, and any premium or make-whole amount, have been cured or waived.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indentures also provide that the holders of at least a majority in principal amount of the outstanding debt securities of any series or of all debt securities then outstanding under the applicable indenture may, on behalf of all holders, waive any past default with respect to such series and its consequences, except a default: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payment of the principal, any premium or make-whole amount, or interest;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respect of a covenant or provision contained in the applicable indenture that cannot be modified or amended without the consent of the holders of the outstanding debt security that is affected by the default;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respect of a covenant or provision for the benefit or protection of the trustee, without its express written consent.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indentures require each trustee to give notice to the holders of debt securities within 90 days of a default unless such default has been cured or waived. However, the trustee may withhold notice if specified persons of such trustee consider such withholding to be in the interest of the holders of debt securities. The trustee may not withhold notice of a default in the payment of principal, any premium or interest on any debt security of such series or in the payment of any sinking fund installment in respect of any debt security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The indentures provide that holders of debt securities of any series may not institute any proceedings, judicial or otherwise, with respect to such indenture or for any remedy under the indenture, unless the trustee fails to act for a period of 60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or make-whole amount, and interest on, such debt securities at the respective due dates thereof. </w:t>
      </w:r>
    </w:p>
    <w:p>
      <w:pPr>
        <w:pStyle w:val="TextBody"/>
        <w:bidi w:val="0"/>
        <w:spacing w:before="240" w:after="0"/>
        <w:jc w:val="left"/>
        <w:rPr>
          <w:rFonts w:ascii="Times New Roman" w:hAnsi="Times New Roman"/>
          <w:sz w:val="20"/>
        </w:rPr>
      </w:pPr>
      <w:r>
        <w:rPr>
          <w:rFonts w:ascii="Times New Roman" w:hAnsi="Times New Roman"/>
          <w:sz w:val="20"/>
        </w:rPr>
        <w:t xml:space="preserve">The indentures provide that, subject to provisions in each indenture relating to its duties in the case of a default, a trustee has no obligation to exercise any of its rights or powers at the request or direction of any holders of any series of debt securities then outstanding under the indenture, unless the holders have offered to the trustee reasonable security or indemnity. The holders of at least a majority in principal amount of the outstanding debt securities of any series or of all debt securities then outstanding under an indenture shall have the right to direct the time, method and place of conducting any proceeding for any remedy available to the applicable trustee, or of exercising any trust or power conferred upon such trustee. However, a trustee may refuse to follow any direction which: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in conflict with any law or the applicable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involve the trustee in personal liability;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be unduly prejudicial to the holders of debt securities of the series not joining the proceeding.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Within 120 days after the close of each fiscal year, we will be required to deliver to each trustee a certificate, signed by one of our several specified officers, stating whether or not such officer has knowledge of any default under the applicable indenture. If the officer has knowledge of any default, the notice must specify the nature and status of the default.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of the Indentures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provide that modifications and amendments may be made only with the consent of the affected holders of a majority in principal amount of all outstanding debt securities issued under that indenture. However, no such modification or amendment may, without the consent of the holders of the debt securities affected by the modification or amendment: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stated maturity of the principal of, or any premium or make-whole amount on, or any installment of principal of or interest on, any such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of, the rate or amount of interest on, or any premium or make-whole amount payable on redemption of, any such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principal of an original issue discount security that would be due and payable upon declaration of acceleration of the maturity thereof or would be provable in bankruptcy, or adversely affect any right of repayment of the holder of any such debt security;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 the place of payment or the coin or currency for payment of principal of, or any premium or make-whole amount, or interest on, any such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the right to institute suit for the enforcement of any payment on or with respect to any such debt security on or after the stated maturity date or redemption date, if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adversely affect the right to convert any such debt security, if convertible;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in principal amount of any outstanding debt securities necessary to modify or amend the applicable indenture with respect to any such debt security, to waive compliance with particular provisions thereof or defaults and consequences thereunder or to reduce the quorum or voting requirements set forth in the applicable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modify any of the foregoing provisions or any of the provisions relating to the waiver of particular past defaults or covenants, except to increase the required percentage to effect such action or to provide that some of the other provisions may not be modified or waived without the consent of the holder of any such debt security.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aggregate principal amount of the outstanding debt securities of each series may, on behalf of all holders of debt securities of that series, waive, insofar as that series is concerned, our compliance with material restrictive covenants of the applicable indenture. </w:t>
      </w:r>
    </w:p>
    <w:p>
      <w:pPr>
        <w:pStyle w:val="TextBody"/>
        <w:bidi w:val="0"/>
        <w:spacing w:before="240" w:after="0"/>
        <w:jc w:val="left"/>
        <w:rPr>
          <w:rFonts w:ascii="Times New Roman" w:hAnsi="Times New Roman"/>
          <w:sz w:val="20"/>
        </w:rPr>
      </w:pPr>
      <w:r>
        <w:rPr>
          <w:rFonts w:ascii="Times New Roman" w:hAnsi="Times New Roman"/>
          <w:sz w:val="20"/>
        </w:rPr>
        <w:t xml:space="preserve">We and the respective trustee may make modifications and amendments of an indenture without the consent of any holder of debt securities for any of the following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the succession of another person to us as obligor under such indenture as permitted under an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our covenants for the benefit of the holders of all or any series of debt securities or to surrender any right or power conferred upon us in such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events of default for the benefit of the holders of all or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or change any provisions of an indenture (1) to change or eliminate restrictions on the payment of principal of, or premium or make-whole amount, or interest on, debt securities in bearer form or (2) to permit or facilitate the issuance of debt securities in uncertificated form, provided that such action shall not adversely affect the interests of the holders of the debt securities of any series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change or eliminate any provisions of an indenture, provided that any such change or elimination shall become effective only when there are no debt securities outstanding of any series created prior thereto that are entitled to the benefit of such provision;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secure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establish the form or terms of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acceptance of appointment by a successor trustee or facilitate the administration of the trusts under an indenture by more than one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in an indenture, provided that such action shall not adversely affect the interests of holders of debt securities of any series issued under such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supplement any of the provisions of an indenture to the extent necessary to permit or facilitate defeasance and discharge of any series of such debt securities, provided that any such action shall not adversely affect the interests of the holders of the outstanding debt securities of any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provisions with respect to a holders rights of conversion with respect to any series of debt securities that is convertible pursuant an indenture.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Voting </w:t>
      </w:r>
    </w:p>
    <w:p>
      <w:pPr>
        <w:pStyle w:val="TextBody"/>
        <w:bidi w:val="0"/>
        <w:spacing w:before="120" w:after="0"/>
        <w:jc w:val="left"/>
        <w:rPr>
          <w:rFonts w:ascii="Times New Roman" w:hAnsi="Times New Roman"/>
          <w:sz w:val="20"/>
        </w:rPr>
      </w:pPr>
      <w:r>
        <w:rPr>
          <w:rFonts w:ascii="Times New Roman" w:hAnsi="Times New Roman"/>
          <w:sz w:val="20"/>
        </w:rPr>
        <w:t xml:space="preserve">The indentures provide that in determining whether the holders of the requisite principal amount of outstanding debt securities of a series have given any request, demand, authorization, direction, notice, consent or waiver under the indentures or whether a quorum is present at a meeting of holders of debt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of an original issue discount security that shall be deemed to be outstanding shall be the amount of the principal thereof that would be due and payable as of the date of such determination upon declaration of acceleration of the maturity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of any debt security denominated in a foreign currency that shall be deemed outstanding shall be the U.S. dollar equivalent, determined on the issue date for such debt security, of the principal amount or, in the case of an original issue discount security, the U.S. dollar equivalent on the issue date of such debt security of the amount determined as provided in the preceding bullet point;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of an indexed security that shall be deemed outstanding shall be the principal face amount of such indexed security at original issuance, unless otherwise provided for such indexed security under such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debt securities owned by us or any other obligor upon the debt securities or by any affiliate of ours or of such other obligor shall be disregarded.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indentures contain provisions for convening meetings of the holders of debt securities of a series. A meeting will be permitted to be called at any time by the applicable trustee, and also, upon request, by us or the holders of at least 25% in principal amount of the outstanding debt securities of such series, in any such case upon notice given as provided in such indenture. Except for any consent that must be given by the holder of each debt security affected by the modifications and amendments of an indenture described above, any resolution presented at a meeting or adjourned meeting duly reconvened at which a quorum is present may be adopted by the affirmative vote of the holders of a majority of the aggregate principal amount of the outstanding debt securities of that series represented at such meeting.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preceding paragraph, except as referred to above, any resolution relating to a request, demand, authorization, direction, notice, consent, waiver or other action that may be made, given or taken by the holders of a specified percentage, which is less than a majority of the aggregate principal amount of the outstanding debt securities of a series, may be adopted at a meeting or adjourned meeting duly reconvened at which a quorum is present by the affirmative vote of such specified percentage. </w:t>
      </w:r>
    </w:p>
    <w:p>
      <w:pPr>
        <w:pStyle w:val="TextBody"/>
        <w:bidi w:val="0"/>
        <w:spacing w:before="240" w:after="0"/>
        <w:jc w:val="left"/>
        <w:rPr>
          <w:rFonts w:ascii="Times New Roman" w:hAnsi="Times New Roman"/>
          <w:sz w:val="20"/>
        </w:rPr>
      </w:pPr>
      <w:r>
        <w:rPr>
          <w:rFonts w:ascii="Times New Roman" w:hAnsi="Times New Roman"/>
          <w:sz w:val="20"/>
        </w:rPr>
        <w:t xml:space="preserve">Any resolution passed or decision taken at any properly held meeting of holders of debt securities of any series will be binding on all holders of such series. The quorum at any meeting called to adopt a resolution, and at any reconvened meeting, will be persons holding or representing a majority in principal amount of the outstanding debt securities of a series. However, if any action is to be taken relating to a consent or waiver that may be given by the holders of at least a specified percentage in principal amount of the outstanding debt securities of a series, the persons holding such percentage will constitute a quorum.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provisions, the indentures provide that if any action is to be taken at a meeting with respect to any request, demand, authorization, direction, notice, consent, waiver or other action that such indenture expressly provides may be made, given or taken by the holders of a specified percentage in principal amount of all outstanding debt securities affected by such action, or of the holders of such series and one or more additional series: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there shall be no minimum quorum requirement for such meeting;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amount of the outstanding debt securities of such series that vote in favor of such request, demand, authorization, direction, notice, consent, waiver or other action shall be taken account in determining whether such request, demand, authorization, direction, notice, consent, waiver or other action has been made, given or taken under such indenture.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Subordination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provided in the applicable prospectus supplement and/or related free writing prospectus, subordinated debt securities will be subject to the following subordination provisions. </w:t>
      </w:r>
    </w:p>
    <w:p>
      <w:pPr>
        <w:pStyle w:val="TextBody"/>
        <w:bidi w:val="0"/>
        <w:spacing w:before="240" w:after="0"/>
        <w:jc w:val="left"/>
        <w:rPr>
          <w:rFonts w:ascii="Times New Roman" w:hAnsi="Times New Roman"/>
          <w:sz w:val="20"/>
        </w:rPr>
      </w:pPr>
      <w:r>
        <w:rPr>
          <w:rFonts w:ascii="Times New Roman" w:hAnsi="Times New Roman"/>
          <w:sz w:val="20"/>
        </w:rPr>
        <w:t xml:space="preserve">Upon any distribution to our creditors in a liquidation, dissolution or reorganization, the payment of the principal of and interest on any subordinated debt securities will be subordinated to the extent provided in the applicable indenture in right of payment to the prior payment in full of all senior debt. However, our obligation to make payments of the principal of and interest on such subordinated debt securities otherwise will not be affected. No payment of principal or interest will be permitted to be made on subordinated debt securities at any time if a default on senior debt exists that permits the holders of such senior debt to accelerate its maturity and the default is the subject of judicial proceedings or we receive notice of the default. After all senior debt is paid in full and until the subordinated debt securities are paid in full, holders of subordinated debt securities will be subrogated to the rights of holders of senior debt to the extent that distributions otherwise payable to holders of subordinated debt securities have been applied to the payment of senior debt. The subordinated indenture will not restrict the amount of senior debt or other indebtedness of ours. As a result of these subordination provisions, in the event of a distribution of assets upon insolvency, holders of subordinated debt securities may recover less, ratably, than our general creditors. </w:t>
      </w:r>
    </w:p>
    <w:p>
      <w:pPr>
        <w:pStyle w:val="TextBody"/>
        <w:bidi w:val="0"/>
        <w:spacing w:before="240" w:after="0"/>
        <w:jc w:val="left"/>
        <w:rPr>
          <w:rFonts w:ascii="Times New Roman" w:hAnsi="Times New Roman"/>
          <w:sz w:val="20"/>
        </w:rPr>
      </w:pPr>
      <w:r>
        <w:rPr>
          <w:rFonts w:ascii="Times New Roman" w:hAnsi="Times New Roman"/>
          <w:sz w:val="20"/>
        </w:rPr>
        <w:t xml:space="preserve">The term senior debt will be defined in the applicable indenture as the principal of and interest on, or substantially similar payments to be made by us in respect of, other outstanding indebtedness, whether outstanding at the date of execution of the applicable indenture or subsequently incurred, created or assumed. The prospectus supplement and/or related free writing prospectus may include a description of additional terms implementing the subordination feature. </w:t>
      </w:r>
    </w:p>
    <w:p>
      <w:pPr>
        <w:pStyle w:val="TextBody"/>
        <w:bidi w:val="0"/>
        <w:spacing w:before="240" w:after="0"/>
        <w:jc w:val="left"/>
        <w:rPr>
          <w:rFonts w:ascii="Times New Roman" w:hAnsi="Times New Roman"/>
          <w:sz w:val="20"/>
        </w:rPr>
      </w:pPr>
      <w:r>
        <w:rPr>
          <w:rFonts w:ascii="Times New Roman" w:hAnsi="Times New Roman"/>
          <w:sz w:val="20"/>
        </w:rPr>
        <w:t xml:space="preserve">No restrictions will be included in any indenture relating to subordinated debt securities upon the creation of additional senior debt. </w:t>
      </w:r>
    </w:p>
    <w:p>
      <w:pPr>
        <w:pStyle w:val="TextBody"/>
        <w:bidi w:val="0"/>
        <w:spacing w:before="240" w:after="0"/>
        <w:jc w:val="left"/>
        <w:rPr>
          <w:rFonts w:ascii="Times New Roman" w:hAnsi="Times New Roman"/>
          <w:sz w:val="20"/>
        </w:rPr>
      </w:pPr>
      <w:r>
        <w:rPr>
          <w:rFonts w:ascii="Times New Roman" w:hAnsi="Times New Roman"/>
          <w:sz w:val="20"/>
        </w:rPr>
        <w:t xml:space="preserve">If this prospectus is being delivered in connection with the offering of a series of subordinated debt securities, the accompanying prospectus supplement and/or any related free writing prospectus or the information incorporated herein by reference will set forth the approximate amount of senior debt outstanding as of the end of our most recent fiscal quarter. </w:t>
      </w:r>
    </w:p>
    <w:p>
      <w:pPr>
        <w:pStyle w:val="TextBody"/>
        <w:bidi w:val="0"/>
        <w:spacing w:before="360" w:after="0"/>
        <w:jc w:val="left"/>
        <w:rPr>
          <w:rFonts w:ascii="Times New Roman" w:hAnsi="Times New Roman"/>
          <w:b/>
          <w:sz w:val="20"/>
        </w:rPr>
      </w:pPr>
      <w:r>
        <w:rPr>
          <w:rFonts w:ascii="Times New Roman" w:hAnsi="Times New Roman"/>
          <w:b/>
          <w:sz w:val="20"/>
        </w:rPr>
        <w:t xml:space="preserve">Discharge, Defeasance and Covenant Defeasance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indicated in the applicable prospectus supplement and/or any related free writing prospectus, the indentures allow us to discharge our obligations to holders of any series of debt securities issued under any indenture when: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(1) all securities of such series have already been delivered to the applicable trustee for cancellation; or (2) all securities of such series have not already been delivered to the applicable trustee for cancellation but (a) have become due and payable, (b) will become due and payable within one year or (c) if redeemable at our option, are to be redeemed within one year, and we have irrevocably deposited with the applicable trustee, in trust, funds in such currency or currencies, currency unit or units or composite currency or currencies in which such debt securities are payable, an amount sufficient to pay the entire indebtedness on such debt securities in respect of principal and any premium or make-whole amount, and interest to the date of such deposit if such debt securities have become due and payable or, if they have not, to the stated maturity or redemption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paid or caused to be paid all other sums payable;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officers certificate and an opinion of counsel stating the conditions to discharging the debt securities have been satisfied have been delivered to the trustee.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Unless otherwise indicated in the applicable prospectus supplement and/or related free writing prospectus, the indentures provide that, upon our irrevocable deposit with the applicable trustee, in trust, of an amount, in such currency or currencies, currency unit or units or composite currency or currencies in which such debt securities are payable at stated maturity, or government obligations, or both, applicable to such debt securities, which through the scheduled payment of principal and interest in accordance with their terms will provide money in an amount sufficient to pay the principal of, and any premium or make-whole amount, and interest on, such debt securities, and any mandatory sinking fund or analogous payments thereon, on the scheduled due dates therefor, the issuing company may elect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defease and be discharged from any and all obligations with respect to such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released from its obligations with respect to such debt securities under the applicable indenture or, if provided in the applicable prospectus supplement and/or any related free writing prospectus, its obligations with respect to any other covenant, and any omission to comply with such obligations shall not constitute an event of default with respect to such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above, we may not elect to defease and be discharged from the obligation to pay any additional amounts upon the occurrence of particular events of tax, assessment or governmental charge with respect to payments on such debt securities and the obligations to register the transfer or exchange of such debt securities, to replace temporary or mutilated, destroyed, lost or stolen debt securities, to maintain an office or agency in respect of such debt securities, or to hold monies for payment in trust. </w:t>
      </w:r>
    </w:p>
    <w:p>
      <w:pPr>
        <w:pStyle w:val="TextBody"/>
        <w:bidi w:val="0"/>
        <w:spacing w:before="240" w:after="0"/>
        <w:jc w:val="left"/>
        <w:rPr>
          <w:rFonts w:ascii="Times New Roman" w:hAnsi="Times New Roman"/>
          <w:sz w:val="20"/>
        </w:rPr>
      </w:pPr>
      <w:r>
        <w:rPr>
          <w:rFonts w:ascii="Times New Roman" w:hAnsi="Times New Roman"/>
          <w:sz w:val="20"/>
        </w:rPr>
        <w:t xml:space="preserve">The indentures only permit us to establish the trust described in the paragraph above if, among other things, we have delivered to the applicable trustee an opinion of counsel to the effect that the holders of such debt securities will not recognize income, gain or loss for United States federal income tax purposes as a result of such defeasance or covenant defeasance and will be subject to U.S. federal income tax on the same amounts, in the same manner and at the same times as would have been the case if such defeasance or covenant defeasance had not occurred. Such opinion of counsel, in the case of defeasance, will be required to refer to and be based upon a ruling received from or published by the Internal Revenue Service or a change in applicable U.S. federal income tax law occurring after the date of the indenture. In the event of such defeasance, the holders of such debt securities would be able to look only to such trust fund for payment of principal, any premium or make-whole amount, and interest. </w:t>
      </w:r>
    </w:p>
    <w:p>
      <w:pPr>
        <w:pStyle w:val="TextBody"/>
        <w:bidi w:val="0"/>
        <w:spacing w:before="240" w:after="0"/>
        <w:jc w:val="left"/>
        <w:rPr>
          <w:rFonts w:ascii="Times New Roman" w:hAnsi="Times New Roman"/>
          <w:sz w:val="20"/>
        </w:rPr>
      </w:pPr>
      <w:r>
        <w:rPr>
          <w:rFonts w:ascii="Times New Roman" w:hAnsi="Times New Roman"/>
          <w:sz w:val="20"/>
        </w:rPr>
        <w:t xml:space="preserve">When we use the term government obligations, we mean securities that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 obligations of the United States or the government that issued the foreign currency in which the debt securities of a particular series are payable, for the payment of which its full faith and credit is pledged;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obligations of a person controlled or supervised by and acting as an agency or instrumentality of the United States or other government that issued the foreign currency in which the debt securities of such series are payable, the payment of which is unconditionally guaranteed as a full faith and credit obligation by the United States or such other government, that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However,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in the applicable prospectus supplement and/or any related free writing prospectus, if after we have deposited funds and/or government obligations to effect defeasance or covenant defeasance with respect to debt securities of any series, (1) the holder of a debt security of such series is entitled to, and does,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elect under the terms of the applicable indenture or the terms of such debt security to receive payment in a currency, currency unit or composite currency other than that in which such deposit has been made in respect of such debt security or (2) a conversion event occurs in respect of the currency, currency unit or composite currency in which such deposit has been made, the indebtedness represented by such debt security will be deemed to have been, and will be, fully discharged and satisfied through the payment of the principal of, and premium or make-whole amount, and interest on, such debt security as they become due out of the proceeds yielded by converting the amount so deposited in respect of such debt security into the currency, currency unit or composite currency in which such debt security becomes payable as a result of such election or such cessation of usage based on the applicable market exchange rate. </w:t>
      </w:r>
    </w:p>
    <w:p>
      <w:pPr>
        <w:pStyle w:val="TextBody"/>
        <w:bidi w:val="0"/>
        <w:spacing w:before="240" w:after="0"/>
        <w:jc w:val="left"/>
        <w:rPr>
          <w:rFonts w:ascii="Times New Roman" w:hAnsi="Times New Roman"/>
          <w:sz w:val="20"/>
        </w:rPr>
      </w:pPr>
      <w:r>
        <w:rPr>
          <w:rFonts w:ascii="Times New Roman" w:hAnsi="Times New Roman"/>
          <w:sz w:val="20"/>
        </w:rPr>
        <w:t xml:space="preserve">When we use the term conversion event, we mean the cessation of use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currency, currency unit or composite currency both by the government of the country that issued such currency and for the settlement of transactions by a central bank or other public institutions of or within the international banking community;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European Currency Unit both within the European Monetary System and for the settlement of transactions by public institutions of or within the European Communities;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currency unit or composite currency other than the European Currency Unit for the purposes for which it was established.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in the applicable prospectus supplement and/or related free writing prospectus, all payments of principal of, and any premium or make-whole amount, and interest on, any debt security that is payable in a foreign currency that ceases to be used by its government of issuance shall be made in U.S. dollars.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(1) we effect covenant defeasance with respect to any debt securities and (2) those debt securities are declared due and payable because of the occurrence of any event of default, the amount in the currency, currency unit or composite currency in which such debt securities are payable, and government obligations on deposit with the applicable trustee, will be sufficient to pay amounts due on such debt securities at the time of their stated maturity but may not be sufficient to pay amounts due on such debt securities at the time of the acceleration resulting from such event of default. However, the issuing company would remain liable to make payments of any amounts due at the time of acceleration.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and/or any related free writing prospectus may further describe the provisions, if any, permitting such defeasance or covenant defeasance, including any modifications to the provisions described above, with respect to the debt securities of or within a particular series.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Rights </w:t>
      </w:r>
    </w:p>
    <w:p>
      <w:pPr>
        <w:pStyle w:val="TextBody"/>
        <w:bidi w:val="0"/>
        <w:spacing w:before="120" w:after="0"/>
        <w:jc w:val="left"/>
        <w:rPr>
          <w:rFonts w:ascii="Times New Roman" w:hAnsi="Times New Roman"/>
          <w:sz w:val="20"/>
        </w:rPr>
      </w:pPr>
      <w:r>
        <w:rPr>
          <w:rFonts w:ascii="Times New Roman" w:hAnsi="Times New Roman"/>
          <w:sz w:val="20"/>
        </w:rPr>
        <w:t xml:space="preserve">The terms and conditions, if any, upon which the debt securities are convertible into common stock or other securities of ours will be set forth in the applicable prospectus supplement and/or related free writing prospectus. The terms will include whether the debt securities are convertible into shares of common stock or other securities of ours, the conversion price, or manner of calculation thereof, the conversion period, provisions as to whether conversion will be at the issuing companys option or the option of the holders, the events requiring an adjustment of the conversion price and provisions affecting conversion in the event of the redemption of the debt securities and any restrictions on conversion. </w:t>
      </w:r>
    </w:p>
    <w:p>
      <w:pPr>
        <w:pStyle w:val="TextBody"/>
        <w:bidi w:val="0"/>
        <w:spacing w:before="360" w:after="0"/>
        <w:jc w:val="left"/>
        <w:rPr>
          <w:rFonts w:ascii="Times New Roman" w:hAnsi="Times New Roman"/>
          <w:b/>
          <w:sz w:val="20"/>
        </w:rPr>
      </w:pPr>
      <w:r>
        <w:rPr>
          <w:rFonts w:ascii="Times New Roman" w:hAnsi="Times New Roman"/>
          <w:b/>
          <w:sz w:val="20"/>
        </w:rPr>
        <w:t xml:space="preserve">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debt securities of a series may be issued in whole or in part in the form of one or more global securities that will be deposited with, or on behalf of, a depository identified in the applicable prospectus supplement and/or any related free writing prospectus relating to such series. Global securities, if any, issued in the United States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expected to be deposited with DTC as depository. We may issue global securities in either registered or bearer form and in either temporary or permanent form. We will describe the specific terms of the depository arrangement with respect to a series of debt securities in the applicable prospectus supplement and/or any related free writing prospectus relating to such series. We expect that unless the applicable prospectus supplement and/or related free writing prospectus provides otherwise, the following provisions will apply to depository arrangements. </w:t>
      </w:r>
    </w:p>
    <w:p>
      <w:pPr>
        <w:pStyle w:val="TextBody"/>
        <w:bidi w:val="0"/>
        <w:spacing w:before="240" w:after="0"/>
        <w:jc w:val="left"/>
        <w:rPr>
          <w:rFonts w:ascii="Times New Roman" w:hAnsi="Times New Roman"/>
          <w:sz w:val="20"/>
        </w:rPr>
      </w:pPr>
      <w:r>
        <w:rPr>
          <w:rFonts w:ascii="Times New Roman" w:hAnsi="Times New Roman"/>
          <w:sz w:val="20"/>
        </w:rPr>
        <w:t xml:space="preserve">Once a global security is issued, the depository for such global security or its nominee will credit on its book-entry registration and transfer system the respective principal amounts of the individual debt securities represented by such global security to the accounts of participants that have accounts with such depository. Such accounts shall be designated by the underwriters, dealers or agents with respect to such debt securities or by us if we offer such debt securities directly. Ownership of beneficial interests in such global security will be limited to participants with the depository or persons that may hold interests through those participants.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under procedures established by DTC, ownership of beneficial interests in any global security for which DTC is the depository will be shown on, and the transfer of that ownership will be effected only through, records maintained by DTC or its nominee, with respect to beneficial interests of participants with the depository, and records of participants, with respect to beneficial interests of persons who hold through participants with the depository. Neither we nor the trustee will have any responsibility or liability for any aspect of the records of DTC or for maintaining, supervising or reviewing any records of DTC or any of its participants relating to beneficial ownership interests in the debt securities. The laws of some states require that certain purchasers of securities take physical delivery of such securities in definitive form. Such limits and laws may impair the ability to own, pledge or transfer beneficial interest in a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So long as the depository for a global security or its nominee is the registered owner of such global security, such depository or such nominee, as the case may be, will be considered the sole owner or holder of the debt securities represented by the global security for all purposes under the applicable indenture. Except as described below or in the applicable prospectus supplement and/or any related free writing prospectus, owners of beneficial interest in a global security will not be entitled to have any of the individual debt securities represented by such global security registered in their names, will not receive or be entitled to receive physical delivery of any such debt securities in definitive form and will not be considered the owners or holders thereof under the applicable indenture. Beneficial owners of debt securities evidenced by a global security will not be considered the owners or holders thereof under the applicable indenture for any purpose, including with respect to the giving of any direction, instructions or approvals to the trustee under the indenture. Accordingly, each person owning a beneficial interest in a global security with respect to which DTC is the depository must rely on the procedures of DTC and, if such person is not a participant with the depository, on the procedures of the participant through which such person owns its interests, to exercise any rights of a holder under the applicable indenture. We understand that, under existing industry practice, if DTC requests any action of holders or if an owner of a beneficial interest in a global security desires to give or take any action which a holder is entitled to give or take under the applicable indenture, DTC would authorize the participants holding the relevant beneficial interest to give or take such action, and such participants would authorize beneficial owners through such participants to give or take such actions or would otherwise act upon the instructions of beneficial owners holding through them. </w:t>
      </w:r>
    </w:p>
    <w:p>
      <w:pPr>
        <w:pStyle w:val="TextBody"/>
        <w:bidi w:val="0"/>
        <w:spacing w:before="240" w:after="0"/>
        <w:jc w:val="left"/>
        <w:rPr>
          <w:rFonts w:ascii="Times New Roman" w:hAnsi="Times New Roman"/>
          <w:sz w:val="20"/>
        </w:rPr>
      </w:pPr>
      <w:r>
        <w:rPr>
          <w:rFonts w:ascii="Times New Roman" w:hAnsi="Times New Roman"/>
          <w:sz w:val="20"/>
        </w:rPr>
        <w:t xml:space="preserve">Payments of principal of, and any premium or make-whole amount, and interest on, individual debt securities represented by a global security registered in the name of a depository or its nominee will be made to or at the direction of the depository or its nominee, as the case may be, as the registered owner of the global security under the applicable indenture. Under the terms of the applicable indenture, we and the trustee may treat the persons in whose name debt securities, including a global security, are registered as the owners thereof for the purpose of receiving such payments. Consequently, neither we nor the trustee have or will have any responsibility or liability for the payment of such amounts to beneficial owners of debt securities including principal, any premium or make-whole amount, or interest. We believe, however, that it is currently the policy of DTC to immediately credit the accounts of relevant participants with such payments, in amounts proportionate to their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respective holdings of beneficial interests in the relevant global security as shown on the records of DTC or its nominee. We also expect that payments by participants to owners of beneficial interests in such global security held through such participants will be governed by standing instructions and customary practices, as is the case with securities held for the account of customers in bearer form or registered in street name, and will be the responsibility of such participants. Redemption notices with respect to any debt securities represented by a global security will be sent to the depository or its nominee. If less than all of the debt securities of any series are to be redeemed, we expect the depository to determine the amount of the interest of each participant in such debt securities to be redeemed to be determined by lot. Neither we, the trustee, any paying agent nor the security registrar for such debt securities will have any responsibility or liability for any aspect of the records relating to or payments made on account of beneficial ownership interests in the global security for such debt securities or for maintaining any records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trustee will be liable for any delay by the holders of a global security or the depository in identifying the beneficial owners of debt securities, and we and the trustee may conclusively rely on, and will be protected in relying on, instructions from the holder of a global security or the depository for all purposes. The rules applicable to DTC and its participants are on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If a depository for any debt securities is at any time unwilling, unable or ineligible to continue as depository and we do not appoint a successor depository within 90 days, we will issue individual debt securities in exchange for the global security representing such debt securities. In addition, we may at any time and at our sole discretion, subject to any limitations described in the applicable prospectus supplement and/or any related free writing prospectus relating to such debt securities, determine not to have any of such debt securities represented by one or more global securities and in such event will issue individual debt securities in exchange for the global security or securities representing such debt securities. Individual debt securities so issued will be issued in denominations of $1,000 and integral multiples of $1,000.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of a series may also be issued in whole or in part in the form of one or more bearer global securities that will be deposited with a depository, or with a nominee for such depository, identified in the applicable prospectus supplement and/or any related free writing prospectus. Any such bearer global securities may be issued in temporary or permanent form. The specific terms and procedures, including the specific terms of the depositary arrangement, with respect to any portion of a series of debt securities to be represented by one or more bearer global securities will be described in the applicable prospectus supplement and/or related free writing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No Recourse </w:t>
      </w:r>
    </w:p>
    <w:p>
      <w:pPr>
        <w:pStyle w:val="TextBody"/>
        <w:bidi w:val="0"/>
        <w:spacing w:before="120" w:after="0"/>
        <w:jc w:val="left"/>
        <w:rPr>
          <w:rFonts w:ascii="Times New Roman" w:hAnsi="Times New Roman"/>
          <w:sz w:val="20"/>
        </w:rPr>
      </w:pPr>
      <w:r>
        <w:rPr>
          <w:rFonts w:ascii="Times New Roman" w:hAnsi="Times New Roman"/>
          <w:sz w:val="20"/>
        </w:rPr>
        <w:t xml:space="preserve">There is no recourse under any obligation, covenant or agreement in the applicable indenture or with respect to any security against any of our or our successors past, present or future stockholders, employees, officers or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debt securities shall be construed in accordance with and governed by the laws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856320_10"/>
      <w:bookmarkEnd w:id="25"/>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for the purchase of shares of our common stock, shares of preferred stock or our debt securities. We may issue warrants independently or together with other securities, and they may be attached to or separate from the other securities. Each series of warrants will be issued under a separate warrant agreement that we will enter into with a bank or trust company, as warrant agent, as detailed in an accompanying prospectus supplement. The warrant agent will act solely as our agent in connection with the warrants and will not assume any obligation, or agency or trust relationship, with you.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a particular issue of warrants will describe the terms of those warrants, including, when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currencies, including composite currencies, in which the purchase price and/or exercise price of the warrants may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warrants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exercise price and the amount of securities you will receive upon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procedure for exercise of the warrants and the circumstances, if any, that will cause the warrants to be automatically exercised;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if any, we have to redeem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warrants will commence and the date on which the warrants will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of the warrant agent;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material terms of the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After warrants expire they will become void. The prospectus supplement may provide for the adjustment of the exercise price of the warrants. </w:t>
      </w:r>
    </w:p>
    <w:p>
      <w:pPr>
        <w:pStyle w:val="TextBody"/>
        <w:bidi w:val="0"/>
        <w:spacing w:before="240" w:after="0"/>
        <w:jc w:val="left"/>
        <w:rPr>
          <w:rFonts w:ascii="Times New Roman" w:hAnsi="Times New Roman"/>
          <w:sz w:val="20"/>
        </w:rPr>
      </w:pPr>
      <w:r>
        <w:rPr>
          <w:rFonts w:ascii="Times New Roman" w:hAnsi="Times New Roman"/>
          <w:sz w:val="20"/>
        </w:rPr>
        <w:t xml:space="preserve">Warrants may be exercised at the appropriate office of the warrant agent or any other office indicated in an accompanying prospectus supplement. Before the exercise of warrants, holders will not have any of the rights of holders of the securities purchasable upon exercise and will not be entitled to payments made to holders of those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description in an accompanying prospectus supplement of any warrants we offer will not necessarily be complete and will be qualified in its entirety by reference to the applicable warrant agreement, which will be filed with the SEC if we offer warrants. For more information on how you can obtain copies of any warrant agreement if we offer warrants, see Where You Can Find More Information. We urge you to read the applicable warrant agreement and any accompanying prospectus supplement in their entirety.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856320_11"/>
      <w:bookmarkEnd w:id="26"/>
      <w:r>
        <w:rPr>
          <w:rFonts w:ascii="Times New Roman" w:hAnsi="Times New Roman"/>
          <w:b/>
          <w:sz w:val="20"/>
        </w:rPr>
        <w:t xml:space="preserve">DESCRIPTION OF SUBSCRIPTION RIGHTS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subscription rights to purchase shares of our common stock, shares of our preferred stock or our debt securities. We may issue subscription rights independently or together with any other offered security, which may or may not be transferable by the stockholder.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any subscription rights we may offer will contain the specific terms of the subscription rights. These terms may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if any, for the subscription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and terms of each share of common stock or preferred stock or debt securities which may be purchased per each subscription right;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exercise price payable for each share of common stock or preferred stock or debt securities upon the exercise of the subscription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the subscription rights are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adjustment of the number or amount of securities receivable upon exercise of the subscription rights or the exercise price of the subscription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subscription rights, including the terms, procedures and limitations relating to the exchange and exercise of the subscription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subscription rights shall commence, and the date on which the subscription rights shall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the subscription rights may include an over-subscription privilege with respect to unsubscribed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material terms of any standby underwriting or purchase arrangement entered into by us in connection with the offering of subscription rights.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description in an accompanying prospectus supplement of any subscription rights we offer will not necessarily be complete and will be qualified in its entirety by reference to the applicable subscription rights certificate or subscription rights agreement, which will be filed with the SEC if we offer subscription rights. For more information on how you can obtain copies of any subscription rights certificate or subscription rights agreement if we offer subscription rights, see Where You Can Find More Information. We urge you to read the applicable subscription rights certificate, the applicable subscription rights agreement and any accompanying prospectus supplement in their entirety.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x856320_12"/>
      <w:bookmarkEnd w:id="27"/>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units comprised of shares of common stock, shares of preferred stock, debt securities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a prospectus supplement and/or any related free writing prospectus. If so described in a prospectus supplement and/or any related free writing prospectus, the specific terms of any series of units may differ from the general description of terms presented below. We urge you to read any prospectus supplement and/or any related free writing prospectus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of which this 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and/or any related free writing prospectus may describe: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the units and of the securities comprising the units, including whether and under what circumstances those securities may be held or transferred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of the governing unit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such units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applicable U.S. federal income tax considerations relating to the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the issuance, payment, settlement, transfer or exchange of the units or of the securities comprising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units and of the securities comprising the units.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provisions described in this section, as well as those described under Description of Capital Stock, Description of Debt Securities and Description of Warrants will apply to the securities included in each unit, to the extent relevant and as may be updated in any prospectus supplements and/or any related free writing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Issuance in Series </w:t>
      </w:r>
    </w:p>
    <w:p>
      <w:pPr>
        <w:pStyle w:val="TextBody"/>
        <w:bidi w:val="0"/>
        <w:spacing w:before="120" w:after="0"/>
        <w:jc w:val="left"/>
        <w:rPr>
          <w:rFonts w:ascii="Times New Roman" w:hAnsi="Times New Roman"/>
          <w:sz w:val="20"/>
        </w:rPr>
      </w:pPr>
      <w:r>
        <w:rPr>
          <w:rFonts w:ascii="Times New Roman" w:hAnsi="Times New Roman"/>
          <w:sz w:val="20"/>
        </w:rPr>
        <w:t xml:space="preserve">We may issue units in such amounts and in any number of distinct series. This section summarizes terms of the units that apply generally to all series. Most of the financial and other specific terms of a particular series of units will be described in the applicable prospectus supplement and/or any related free writing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Unit Agreements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 and/or any related free writing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provisions will generally apply to all unit agreements unless otherwise stated in the applicable prospectus supplement and/or any related free writing prospectus: </w:t>
      </w:r>
    </w:p>
    <w:p>
      <w:pPr>
        <w:pStyle w:val="TextBody"/>
        <w:bidi w:val="0"/>
        <w:spacing w:before="360" w:after="0"/>
        <w:jc w:val="left"/>
        <w:rPr>
          <w:rFonts w:ascii="Times New Roman" w:hAnsi="Times New Roman"/>
          <w:i/>
          <w:sz w:val="20"/>
        </w:rPr>
      </w:pPr>
      <w:r>
        <w:rPr>
          <w:rFonts w:ascii="Times New Roman" w:hAnsi="Times New Roman"/>
          <w:i/>
          <w:sz w:val="20"/>
        </w:rPr>
        <w:t xml:space="preserve">Modification without Consent </w:t>
      </w:r>
    </w:p>
    <w:p>
      <w:pPr>
        <w:pStyle w:val="TextBody"/>
        <w:bidi w:val="0"/>
        <w:spacing w:before="120" w:after="0"/>
        <w:jc w:val="left"/>
        <w:rPr>
          <w:rFonts w:ascii="Times New Roman" w:hAnsi="Times New Roman"/>
          <w:sz w:val="20"/>
        </w:rPr>
      </w:pPr>
      <w:r>
        <w:rPr>
          <w:rFonts w:ascii="Times New Roman" w:hAnsi="Times New Roman"/>
          <w:sz w:val="20"/>
        </w:rPr>
        <w:t xml:space="preserve">We and the applicable unit agent may amend any unit or unit agreement without the consent of any 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including modifying any provisions of the governing unit agreement that differ from those described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correct or supplement any defective or inconsistent provision;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other change that we believe is necessary or desirable and will not adversely affect the interests of the affected holders in any material respect.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 </w:t>
      </w:r>
    </w:p>
    <w:p>
      <w:pPr>
        <w:pStyle w:val="TextBody"/>
        <w:bidi w:val="0"/>
        <w:spacing w:before="360" w:after="0"/>
        <w:jc w:val="left"/>
        <w:rPr>
          <w:rFonts w:ascii="Times New Roman" w:hAnsi="Times New Roman"/>
          <w:i/>
          <w:sz w:val="20"/>
        </w:rPr>
      </w:pPr>
      <w:r>
        <w:rPr>
          <w:rFonts w:ascii="Times New Roman" w:hAnsi="Times New Roman"/>
          <w:i/>
          <w:sz w:val="20"/>
        </w:rPr>
        <w:t xml:space="preserve">Modification with Consent </w:t>
      </w:r>
    </w:p>
    <w:p>
      <w:pPr>
        <w:pStyle w:val="TextBody"/>
        <w:bidi w:val="0"/>
        <w:spacing w:before="120" w:after="0"/>
        <w:jc w:val="left"/>
        <w:rPr>
          <w:rFonts w:ascii="Times New Roman" w:hAnsi="Times New Roman"/>
          <w:sz w:val="20"/>
        </w:rPr>
      </w:pPr>
      <w:r>
        <w:rPr>
          <w:rFonts w:ascii="Times New Roman" w:hAnsi="Times New Roman"/>
          <w:sz w:val="20"/>
        </w:rPr>
        <w:t xml:space="preserve">We may not amend any particular unit or a unit agreement with respect to any particular unit unless we obtain the consent of the holder of that unit, if the amendment would: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 any right of the holder to exercise or enforce any right under a security included in the unit if the terms of that security require the consent of the holder to any changes that would impair the exercise or enforcement of that right;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of outstanding units or any series or class the consent of whose holders is required to amend that series or class, or the applicable unit agreement with respect to that series or class, as described below.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other change to a particular unit agreement and the units issued under that agreement would require the following approval: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change affects only the units of a particular series issued under that agreement, the change must be approved by the holders of a majority of the outstanding units of that series;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provisions regarding changes with majority approval also apply to changes affecting any securities issued under a unit agreement, as the governing document. </w:t>
      </w:r>
    </w:p>
    <w:p>
      <w:pPr>
        <w:pStyle w:val="TextBody"/>
        <w:bidi w:val="0"/>
        <w:spacing w:before="240" w:after="0"/>
        <w:jc w:val="left"/>
        <w:rPr>
          <w:rFonts w:ascii="Times New Roman" w:hAnsi="Times New Roman"/>
          <w:sz w:val="20"/>
        </w:rPr>
      </w:pPr>
      <w:r>
        <w:rPr>
          <w:rFonts w:ascii="Times New Roman" w:hAnsi="Times New Roman"/>
          <w:sz w:val="20"/>
        </w:rPr>
        <w:t xml:space="preserve">In each case, the required approval must be given by written consent. </w:t>
      </w:r>
    </w:p>
    <w:p>
      <w:pPr>
        <w:pStyle w:val="TextBody"/>
        <w:bidi w:val="0"/>
        <w:spacing w:before="360" w:after="0"/>
        <w:jc w:val="left"/>
        <w:rPr>
          <w:rFonts w:ascii="Times New Roman" w:hAnsi="Times New Roman"/>
          <w:i/>
          <w:sz w:val="20"/>
        </w:rPr>
      </w:pPr>
      <w:r>
        <w:rPr>
          <w:rFonts w:ascii="Times New Roman" w:hAnsi="Times New Roman"/>
          <w:i/>
          <w:sz w:val="20"/>
        </w:rPr>
        <w:t xml:space="preserve">Unit Agreements Will Not Be Qualified under Trust Indenture Act </w:t>
      </w:r>
    </w:p>
    <w:p>
      <w:pPr>
        <w:pStyle w:val="TextBody"/>
        <w:bidi w:val="0"/>
        <w:spacing w:before="120" w:after="0"/>
        <w:jc w:val="left"/>
        <w:rPr>
          <w:rFonts w:ascii="Times New Roman" w:hAnsi="Times New Roman"/>
          <w:sz w:val="20"/>
        </w:rPr>
      </w:pPr>
      <w:r>
        <w:rPr>
          <w:rFonts w:ascii="Times New Roman" w:hAnsi="Times New Roman"/>
          <w:sz w:val="20"/>
        </w:rPr>
        <w:t xml:space="preserve">No unit agreement will be qualified as an indenture, and no unit agent will be required to qualify as a trustee, under the Trust Indenture Act. Therefore, holders of units issued under unit agreements will not have the protections of the Trust Indenture Act with respect to their units.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Mergers and Similar Transactions Permitted; No Restrictive Covenants or 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The unit agreements will not restrict our ability to merge or consolidate with, or sell our assets to, another corporation or other entity or to engage in any other transactions. If at any time we merge or consolidate with, or sell our assets substantially as an entirety to, another corporation or other entity, the successor entity will succeed to and assume our obligations under the unit agreements. We will then be relieved of any further obligation under these agreements. </w:t>
      </w:r>
    </w:p>
    <w:p>
      <w:pPr>
        <w:pStyle w:val="TextBody"/>
        <w:bidi w:val="0"/>
        <w:spacing w:before="240" w:after="0"/>
        <w:jc w:val="left"/>
        <w:rPr>
          <w:rFonts w:ascii="Times New Roman" w:hAnsi="Times New Roman"/>
          <w:sz w:val="20"/>
        </w:rPr>
      </w:pPr>
      <w:r>
        <w:rPr>
          <w:rFonts w:ascii="Times New Roman" w:hAnsi="Times New Roman"/>
          <w:sz w:val="20"/>
        </w:rPr>
        <w:t xml:space="preserve">The unit agreements will not include any restrictions on our ability to put liens on our assets, nor will they restrict our ability to sell our assets. The unit agreements also will not provide for any events of default or remedies upon the occurrence of any events of default. </w:t>
      </w:r>
    </w:p>
    <w:p>
      <w:pPr>
        <w:pStyle w:val="TextBody"/>
        <w:bidi w:val="0"/>
        <w:spacing w:before="360" w:after="0"/>
        <w:jc w:val="left"/>
        <w:rPr>
          <w:rFonts w:ascii="Times New Roman" w:hAnsi="Times New Roman"/>
          <w:i/>
          <w:sz w:val="20"/>
        </w:rPr>
      </w:pPr>
      <w:r>
        <w:rPr>
          <w:rFonts w:ascii="Times New Roman" w:hAnsi="Times New Roman"/>
          <w:i/>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unit agreements and the units will be governed by Delaware law. </w:t>
      </w:r>
    </w:p>
    <w:p>
      <w:pPr>
        <w:pStyle w:val="TextBody"/>
        <w:bidi w:val="0"/>
        <w:spacing w:before="360" w:after="0"/>
        <w:jc w:val="left"/>
        <w:rPr>
          <w:rFonts w:ascii="Times New Roman" w:hAnsi="Times New Roman"/>
          <w:i/>
          <w:sz w:val="20"/>
        </w:rPr>
      </w:pPr>
      <w:r>
        <w:rPr>
          <w:rFonts w:ascii="Times New Roman" w:hAnsi="Times New Roman"/>
          <w:i/>
          <w:sz w:val="20"/>
        </w:rPr>
        <w:t xml:space="preserve">Form, Exchange and Transfer </w:t>
      </w:r>
    </w:p>
    <w:p>
      <w:pPr>
        <w:pStyle w:val="TextBody"/>
        <w:bidi w:val="0"/>
        <w:spacing w:before="120" w:after="0"/>
        <w:jc w:val="left"/>
        <w:rPr>
          <w:rFonts w:ascii="Times New Roman" w:hAnsi="Times New Roman"/>
          <w:sz w:val="20"/>
        </w:rPr>
      </w:pPr>
      <w:r>
        <w:rPr>
          <w:rFonts w:ascii="Times New Roman" w:hAnsi="Times New Roman"/>
          <w:sz w:val="20"/>
        </w:rPr>
        <w:t xml:space="preserve">Unless the accompanying prospectus supplement and/or any related free writing prospectus states otherwise, we will issue each unit in global form (i.e., book-entry)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 and/or any related free writing prospectus. </w:t>
      </w:r>
    </w:p>
    <w:p>
      <w:pPr>
        <w:pStyle w:val="TextBody"/>
        <w:bidi w:val="0"/>
        <w:spacing w:before="240" w:after="0"/>
        <w:jc w:val="left"/>
        <w:rPr>
          <w:rFonts w:ascii="Times New Roman" w:hAnsi="Times New Roman"/>
          <w:sz w:val="20"/>
        </w:rPr>
      </w:pPr>
      <w:r>
        <w:rPr>
          <w:rFonts w:ascii="Times New Roman" w:hAnsi="Times New Roman"/>
          <w:sz w:val="20"/>
        </w:rPr>
        <w:t xml:space="preserve">Unless the accompanying prospectus supplement and/or any related free writing prospectus states otherwise, each unit and all securities comprising the unit will be issued in the same form. </w:t>
      </w:r>
    </w:p>
    <w:p>
      <w:pPr>
        <w:pStyle w:val="TextBody"/>
        <w:bidi w:val="0"/>
        <w:spacing w:before="240" w:after="0"/>
        <w:jc w:val="left"/>
        <w:rPr>
          <w:rFonts w:ascii="Times New Roman" w:hAnsi="Times New Roman"/>
          <w:sz w:val="20"/>
        </w:rPr>
      </w:pPr>
      <w:r>
        <w:rPr>
          <w:rFonts w:ascii="Times New Roman" w:hAnsi="Times New Roman"/>
          <w:sz w:val="20"/>
        </w:rPr>
        <w:t xml:space="preserve">If we issue any units in registered, non-global form, the following will apply to them. </w:t>
      </w:r>
    </w:p>
    <w:p>
      <w:pPr>
        <w:pStyle w:val="TextBody"/>
        <w:bidi w:val="0"/>
        <w:spacing w:before="240" w:after="0"/>
        <w:jc w:val="left"/>
        <w:rPr>
          <w:rFonts w:ascii="Times New Roman" w:hAnsi="Times New Roman"/>
          <w:sz w:val="20"/>
        </w:rPr>
      </w:pPr>
      <w:r>
        <w:rPr>
          <w:rFonts w:ascii="Times New Roman" w:hAnsi="Times New Roman"/>
          <w:sz w:val="20"/>
        </w:rPr>
        <w:t xml:space="preserve">The units will be issued in the denominations stated in the applicable prospectus supplement and/or any related free writing prospectus. Holders may exchange their units for units of smaller denominations or combined into fewer units of larger denominations, as long as the total amount is not changed.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may exchange or transfer their units at the office of the unit agent. Holders may also replace lost, stolen, destroyed or mutilated units at that office. We may appoint another entity to perform these functions or perform them ourselves.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Only the depositary will be entitled to transfer or exchange a unit in global form, since it will be the sole holder of the unit. </w:t>
      </w:r>
    </w:p>
    <w:p>
      <w:pPr>
        <w:pStyle w:val="TextBody"/>
        <w:bidi w:val="0"/>
        <w:spacing w:before="360" w:after="0"/>
        <w:jc w:val="left"/>
        <w:rPr>
          <w:rFonts w:ascii="Times New Roman" w:hAnsi="Times New Roman"/>
          <w:i/>
          <w:sz w:val="20"/>
        </w:rPr>
      </w:pPr>
      <w:r>
        <w:rPr>
          <w:rFonts w:ascii="Times New Roman" w:hAnsi="Times New Roman"/>
          <w:i/>
          <w:sz w:val="20"/>
        </w:rPr>
        <w:t xml:space="preserve">Payments and Notices </w:t>
      </w:r>
    </w:p>
    <w:p>
      <w:pPr>
        <w:pStyle w:val="TextBody"/>
        <w:bidi w:val="0"/>
        <w:spacing w:before="120" w:after="0"/>
        <w:jc w:val="left"/>
        <w:rPr>
          <w:rFonts w:ascii="Times New Roman" w:hAnsi="Times New Roman"/>
          <w:sz w:val="20"/>
        </w:rPr>
      </w:pPr>
      <w:r>
        <w:rPr>
          <w:rFonts w:ascii="Times New Roman" w:hAnsi="Times New Roman"/>
          <w:sz w:val="20"/>
        </w:rPr>
        <w:t xml:space="preserve">In making payments and giving notices with respect to our units, we will follow the procedures as described in the applicable prospectus supplement and/or any related free writing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x856320_13"/>
      <w:bookmarkEnd w:id="28"/>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being offered hereby in one or more of the following ways from time to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underwriters for resale to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or dealers to purchasers;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of these methods.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any accompanying prospectus supplement. If so, the third party may use securities borrowed from us or the selling stockholders or others to settle such sales and may use securities received from us to close out any related short positions. We may also loan or pledge securities covered by this prospectus and any accompanying prospectus supplement to third parties, who may sell the loaned securities or, in an event of default in the case of a pledge, sell the pledged securities pursuant to this prospectus and any accompanying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will identify the specific plan of distribution, including any underwriters, dealers, agents or direct purchasers and their compensation in a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x856320_14"/>
      <w:bookmarkEnd w:id="29"/>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any accompanying prospectus supplement, Skadden, Arps, Slate, Meagher &amp; Flom LLP will provide opinions regarding the authorization and validity of the securities. Skadden, Arps, Slate, Meagher &amp; Flom LLP may also provide opinions regarding certain other matters. Any underwriters will be advised about legal matters by their own counsel, which will be named in an accompanying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tx856320_15"/>
      <w:bookmarkEnd w:id="30"/>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Ernst &amp; Young LLP, independent registered public accounting firm, has audited our consolidated financial statements included in our Annual Report on Form 10-K for the year ended December 31, 2022, as set forth in their report, which is incorporated by reference in this prospectus and elsewhere in the registration statement. Our consolidated financial statements are incorporated by reference in reliance on Ernst &amp; Young LLPs reports, given on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pBdr>
          <w:bottom w:val="single" w:sz="16"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480" w:after="0"/>
        <w:jc w:val="center"/>
        <w:rPr>
          <w:rFonts w:ascii="Times New Roman" w:hAnsi="Times New Roman"/>
          <w:b/>
          <w:sz w:val="32"/>
        </w:rPr>
      </w:pPr>
      <w:r>
        <w:rPr>
          <w:rFonts w:ascii="Times New Roman" w:hAnsi="Times New Roman"/>
          <w:b/>
          <w:sz w:val="32"/>
        </w:rPr>
        <w:t xml:space="preserve">Up to $75,000,000 </w:t>
      </w:r>
    </w:p>
    <w:p>
      <w:pPr>
        <w:pStyle w:val="TextBody"/>
        <w:bidi w:val="0"/>
        <w:spacing w:before="0" w:after="0"/>
        <w:jc w:val="left"/>
        <w:rPr/>
      </w:pPr>
      <w:r>
        <w:rPr/>
        <w:t> </w:t>
      </w:r>
    </w:p>
    <w:p>
      <w:pPr>
        <w:pStyle w:val="TextBody"/>
        <w:bidi w:val="0"/>
        <w:spacing w:before="0" w:after="0"/>
        <w:jc w:val="center"/>
        <w:rPr/>
      </w:pPr>
      <w:r>
        <w:rPr/>
        <w:drawing>
          <wp:inline distT="0" distB="0" distL="0" distR="0">
            <wp:extent cx="3275965" cy="65595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5"/>
                    <a:stretch>
                      <a:fillRect/>
                    </a:stretch>
                  </pic:blipFill>
                  <pic:spPr bwMode="auto">
                    <a:xfrm>
                      <a:off x="0" y="0"/>
                      <a:ext cx="3275965" cy="65595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480" w:after="0"/>
        <w:jc w:val="center"/>
        <w:rPr>
          <w:rFonts w:ascii="Times New Roman" w:hAnsi="Times New Roman"/>
          <w:b/>
          <w:sz w:val="32"/>
        </w:rPr>
      </w:pPr>
      <w:r>
        <w:rPr>
          <w:rFonts w:ascii="Times New Roman" w:hAnsi="Times New Roman"/>
          <w:b/>
          <w:sz w:val="32"/>
        </w:rPr>
        <w:t xml:space="preserve">Jefferies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16" w:space="1" w:color="000000"/>
        </w:pBdr>
        <w:bidi w:val="0"/>
        <w:spacing w:lineRule="atLeast" w:line="142" w:before="0" w:after="4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426800/000095017024038057/asmb-20231231.htm" TargetMode="External"/><Relationship Id="rId4" Type="http://schemas.openxmlformats.org/officeDocument/2006/relationships/hyperlink" Target="http://www.sec.gov/Archives/edgar/data/../../../ix?doc=/Archives/edgar/data/1426800/000095017024055680/asmb-20240331.htm" TargetMode="External"/><Relationship Id="rId5" Type="http://schemas.openxmlformats.org/officeDocument/2006/relationships/hyperlink" Target="http://www.sec.gov/Archives/edgar/data/../../../ix?doc=/Archives/edgar/data/1426800/000095017024093998/asmb-20240630.htm" TargetMode="External"/><Relationship Id="rId6" Type="http://schemas.openxmlformats.org/officeDocument/2006/relationships/hyperlink" Target="http://www.sec.gov/Archives/edgar/data/../../../ix?doc=/Archives/edgar/data/1426800/000095017024123402/asmb-20240930.htm" TargetMode="External"/><Relationship Id="rId7" Type="http://schemas.openxmlformats.org/officeDocument/2006/relationships/hyperlink" Target="http://www.sec.gov/Archives/edgar/data/../../../ix?doc=/Archives/edgar/data/1426800/000095017024045105/asmb-20240416.htm" TargetMode="External"/><Relationship Id="rId8" Type="http://schemas.openxmlformats.org/officeDocument/2006/relationships/hyperlink" Target="http://www.sec.gov/Archives/edgar/data/../../../ix?doc=/Archives/edgar/data/1426800/000095017024005024/asmb-20240111.htm" TargetMode="External"/><Relationship Id="rId9" Type="http://schemas.openxmlformats.org/officeDocument/2006/relationships/hyperlink" Target="http://www.sec.gov/Archives/edgar/data/../../../ix?doc=/Archives/edgar/data/1426800/000095017024010475/asmb-20240131.htm" TargetMode="External"/><Relationship Id="rId10" Type="http://schemas.openxmlformats.org/officeDocument/2006/relationships/hyperlink" Target="http://www.sec.gov/Archives/edgar/data/../../../ix?doc=/Archives/edgar/data/1426800/000095017024014534/asmb-20240208.htm" TargetMode="External"/><Relationship Id="rId11" Type="http://schemas.openxmlformats.org/officeDocument/2006/relationships/hyperlink" Target="http://www.sec.gov/Archives/edgar/data/../../../ix?doc=/Archives/edgar/data/1426800/000095017024032162/asmb-20240312.htm" TargetMode="External"/><Relationship Id="rId12" Type="http://schemas.openxmlformats.org/officeDocument/2006/relationships/hyperlink" Target="http://www.sec.gov/Archives/edgar/data/../../../ix?doc=/Archives/edgar/data/1426800/000095017024067951/asmb-20240529.htm" TargetMode="External"/><Relationship Id="rId13" Type="http://schemas.openxmlformats.org/officeDocument/2006/relationships/hyperlink" Target="http://www.sec.gov/Archives/edgar/data/../../../ix?doc=/Archives/edgar/data/1426800/000119312524163398/d852840d8k.htm" TargetMode="External"/><Relationship Id="rId14" Type="http://schemas.openxmlformats.org/officeDocument/2006/relationships/hyperlink" Target="http://www.sec.gov/Archives/edgar/data/../../../ix?doc=/Archives/edgar/data/0001426800/000095017024108629/asmb-20240923.htm" TargetMode="External"/><Relationship Id="rId15" Type="http://schemas.openxmlformats.org/officeDocument/2006/relationships/hyperlink" Target="http://www.sec.gov/Archives/edgar/data/1426800/000114420410065909/v205146_8a12b.htm" TargetMode="External"/><Relationship Id="rId16" Type="http://schemas.openxmlformats.org/officeDocument/2006/relationships/hyperlink" Target="http://www.sec.gov/Archives/edgar/data/1426800/000095017024038057/asmb-ex4_2.htm" TargetMode="External"/><Relationship Id="rId17" Type="http://schemas.openxmlformats.org/officeDocument/2006/relationships/image" Target="media/image1.jpeg"/><Relationship Id="rId18" Type="http://schemas.openxmlformats.org/officeDocument/2006/relationships/hyperlink" Target="http://www.sec.gov/Archives/edgar/data/../../../ix?doc=/Archives/edgar/data/1426800/000095017023009184/asmb-20221231.htm" TargetMode="External"/><Relationship Id="rId19" Type="http://schemas.openxmlformats.org/officeDocument/2006/relationships/hyperlink" Target="http://www.sec.gov/Archives/edgar/data/../../../ix?doc=/Archives/edgar/data/1426800/000156459022009855/asmb-10k_20211231.htm" TargetMode="External"/><Relationship Id="rId20" Type="http://schemas.openxmlformats.org/officeDocument/2006/relationships/hyperlink" Target="http://www.sec.gov/Archives/edgar/data/1426800/000156459022014232/asmb-def14a_20220525.htm" TargetMode="External"/><Relationship Id="rId21" Type="http://schemas.openxmlformats.org/officeDocument/2006/relationships/hyperlink" Target="http://www.sec.gov/Archives/edgar/data/../../../ix?doc=/Archives/edgar/data/1426800/000095017023002893/asmb-20230215.htm" TargetMode="External"/><Relationship Id="rId22" Type="http://schemas.openxmlformats.org/officeDocument/2006/relationships/hyperlink" Target="http://www.sec.gov/Archives/edgar/data/../../../ix?doc=/Archives/edgar/data/1426800/000095017023009175/asmb-20230322.htm" TargetMode="External"/><Relationship Id="rId23" Type="http://schemas.openxmlformats.org/officeDocument/2006/relationships/hyperlink" Target="http://www.sec.gov/Archives/edgar/data/1426800/000114420410065909/v205146_8a12b.htm" TargetMode="External"/><Relationship Id="rId24" Type="http://schemas.openxmlformats.org/officeDocument/2006/relationships/hyperlink" Target="http://www.sec.gov/Archives/edgar/data/1426800/000095017023009184/asmb-ex4_2.htm" TargetMode="External"/><Relationship Id="rId25" Type="http://schemas.openxmlformats.org/officeDocument/2006/relationships/image" Target="media/image1.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64</Pages>
  <Words>25705</Words>
  <Characters>133193</Characters>
  <CharactersWithSpaces>159040</CharactersWithSpaces>
  <Paragraphs>1712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