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980" w:right="1880" w:hanging="3972"/>
        <w:spacing w:after="0" w:line="501" w:lineRule="auto"/>
        <w:tabs>
          <w:tab w:leader="none" w:pos="39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40" w:right="1880" w:hanging="3432"/>
        <w:spacing w:after="0" w:line="501" w:lineRule="auto"/>
        <w:tabs>
          <w:tab w:leader="none" w:pos="38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___________to___________.</w:t>
      </w: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001-35005</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ASSEMBLY BIOSCIENCES,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40" w:type="dxa"/>
        <w:tblCellMar>
          <w:top w:w="0" w:type="dxa"/>
          <w:left w:w="0" w:type="dxa"/>
          <w:bottom w:w="0" w:type="dxa"/>
          <w:right w:w="0" w:type="dxa"/>
        </w:tblCellMar>
      </w:tblPr>
      <w:tr>
        <w:trPr>
          <w:trHeight w:val="220"/>
        </w:trPr>
        <w:tc>
          <w:tcPr>
            <w:tcW w:w="43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Pr>
          <w:p>
            <w:pPr>
              <w:jc w:val="right"/>
              <w:ind w:right="790"/>
              <w:spacing w:after="0"/>
              <w:rPr>
                <w:sz w:val="20"/>
                <w:szCs w:val="20"/>
                <w:color w:val="auto"/>
              </w:rPr>
            </w:pPr>
            <w:r>
              <w:rPr>
                <w:rFonts w:ascii="Arial" w:cs="Arial" w:eastAsia="Arial" w:hAnsi="Arial"/>
                <w:sz w:val="18"/>
                <w:szCs w:val="18"/>
                <w:b w:val="1"/>
                <w:bCs w:val="1"/>
                <w:color w:val="auto"/>
              </w:rPr>
              <w:t>20-8729264</w:t>
            </w:r>
          </w:p>
        </w:tc>
      </w:tr>
      <w:tr>
        <w:trPr>
          <w:trHeight w:val="216"/>
        </w:trPr>
        <w:tc>
          <w:tcPr>
            <w:tcW w:w="434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340" w:type="dxa"/>
            <w:vAlign w:val="bottom"/>
          </w:tcPr>
          <w:p>
            <w:pPr>
              <w:jc w:val="center"/>
              <w:ind w:right="1410"/>
              <w:spacing w:after="0"/>
              <w:rPr>
                <w:sz w:val="20"/>
                <w:szCs w:val="20"/>
                <w:color w:val="auto"/>
              </w:rPr>
            </w:pPr>
            <w:r>
              <w:rPr>
                <w:rFonts w:ascii="Arial" w:cs="Arial" w:eastAsia="Arial" w:hAnsi="Arial"/>
                <w:sz w:val="18"/>
                <w:szCs w:val="18"/>
                <w:color w:val="auto"/>
                <w:w w:val="92"/>
              </w:rPr>
              <w:t>incorporation or organization)</w:t>
            </w:r>
          </w:p>
        </w:tc>
        <w:tc>
          <w:tcPr>
            <w:tcW w:w="4100" w:type="dxa"/>
            <w:vAlign w:val="bottom"/>
          </w:tcPr>
          <w:p>
            <w:pPr>
              <w:spacing w:after="0"/>
              <w:rPr>
                <w:sz w:val="20"/>
                <w:szCs w:val="20"/>
                <w:color w:val="auto"/>
              </w:rPr>
            </w:pPr>
          </w:p>
        </w:tc>
      </w:tr>
      <w:tr>
        <w:trPr>
          <w:trHeight w:val="414"/>
        </w:trPr>
        <w:tc>
          <w:tcPr>
            <w:tcW w:w="434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11711 N. Meridian St., Suite 310</w:t>
            </w:r>
          </w:p>
        </w:tc>
        <w:tc>
          <w:tcPr>
            <w:tcW w:w="4100" w:type="dxa"/>
            <w:vAlign w:val="bottom"/>
          </w:tcPr>
          <w:p>
            <w:pPr>
              <w:spacing w:after="0"/>
              <w:rPr>
                <w:sz w:val="24"/>
                <w:szCs w:val="24"/>
                <w:color w:val="auto"/>
              </w:rPr>
            </w:pPr>
          </w:p>
        </w:tc>
      </w:tr>
      <w:tr>
        <w:trPr>
          <w:trHeight w:val="220"/>
        </w:trPr>
        <w:tc>
          <w:tcPr>
            <w:tcW w:w="4340" w:type="dxa"/>
            <w:vAlign w:val="bottom"/>
          </w:tcPr>
          <w:p>
            <w:pPr>
              <w:jc w:val="center"/>
              <w:ind w:right="1410"/>
              <w:spacing w:after="0"/>
              <w:rPr>
                <w:sz w:val="20"/>
                <w:szCs w:val="20"/>
                <w:color w:val="auto"/>
              </w:rPr>
            </w:pPr>
            <w:r>
              <w:rPr>
                <w:rFonts w:ascii="Arial" w:cs="Arial" w:eastAsia="Arial" w:hAnsi="Arial"/>
                <w:sz w:val="18"/>
                <w:szCs w:val="18"/>
                <w:b w:val="1"/>
                <w:bCs w:val="1"/>
                <w:color w:val="auto"/>
                <w:w w:val="95"/>
              </w:rPr>
              <w:t>Carmel, Indiana</w:t>
            </w:r>
          </w:p>
        </w:tc>
        <w:tc>
          <w:tcPr>
            <w:tcW w:w="4100" w:type="dxa"/>
            <w:vAlign w:val="bottom"/>
          </w:tcPr>
          <w:p>
            <w:pPr>
              <w:jc w:val="right"/>
              <w:ind w:right="990"/>
              <w:spacing w:after="0"/>
              <w:rPr>
                <w:sz w:val="20"/>
                <w:szCs w:val="20"/>
                <w:color w:val="auto"/>
              </w:rPr>
            </w:pPr>
            <w:r>
              <w:rPr>
                <w:rFonts w:ascii="Arial" w:cs="Arial" w:eastAsia="Arial" w:hAnsi="Arial"/>
                <w:sz w:val="18"/>
                <w:szCs w:val="18"/>
                <w:b w:val="1"/>
                <w:bCs w:val="1"/>
                <w:color w:val="auto"/>
              </w:rPr>
              <w:t>46032</w:t>
            </w:r>
          </w:p>
        </w:tc>
      </w:tr>
      <w:tr>
        <w:trPr>
          <w:trHeight w:val="230"/>
        </w:trPr>
        <w:tc>
          <w:tcPr>
            <w:tcW w:w="4340" w:type="dxa"/>
            <w:vAlign w:val="bottom"/>
          </w:tcPr>
          <w:p>
            <w:pPr>
              <w:jc w:val="center"/>
              <w:ind w:right="13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210-9311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729" w:right="239" w:bottom="1440" w:gutter="0" w:footer="0" w:header="0"/>
        </w:sectPr>
      </w:pPr>
    </w:p>
    <w:p>
      <w:pPr>
        <w:spacing w:after="0" w:line="181"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Large Accelerated Filer Non-accelerated Filer Emerging growth 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tabs>
          <w:tab w:leader="none" w:pos="5920" w:val="left"/>
          <w:tab w:leader="none" w:pos="85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380" w:val="left"/>
          <w:tab w:leader="none" w:pos="5920" w:val="left"/>
          <w:tab w:leader="none" w:pos="85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b/>
        <w:t>(Do not check if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3" w:lineRule="exact"/>
        <w:rPr>
          <w:sz w:val="24"/>
          <w:szCs w:val="24"/>
          <w:color w:val="auto"/>
        </w:rPr>
      </w:pPr>
    </w:p>
    <w:p>
      <w:pPr>
        <w:sectPr>
          <w:pgSz w:w="11900" w:h="16838" w:orient="portrait"/>
          <w:cols w:equalWidth="0" w:num="2">
            <w:col w:w="1980" w:space="540"/>
            <w:col w:w="8900"/>
          </w:cols>
          <w:pgMar w:left="240" w:top="729" w:right="239" w:bottom="1440" w:gutter="0" w:footer="0" w:header="0"/>
          <w:type w:val="continuous"/>
        </w:sect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680" w:val="left"/>
        </w:tabs>
        <w:rPr>
          <w:sz w:val="20"/>
          <w:szCs w:val="20"/>
          <w:color w:val="auto"/>
        </w:rPr>
      </w:pPr>
      <w:r>
        <w:rPr>
          <w:rFonts w:ascii="Arial" w:cs="Arial" w:eastAsia="Arial" w:hAnsi="Arial"/>
          <w:sz w:val="17"/>
          <w:szCs w:val="17"/>
          <w:color w:val="auto"/>
        </w:rPr>
        <w:t xml:space="preserve">Indicate by check mark whether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As of August 7, 2018, there were 25,446,479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60" w:type="dxa"/>
            <w:vAlign w:val="bottom"/>
            <w:gridSpan w:val="2"/>
          </w:tcPr>
          <w:p>
            <w:pPr>
              <w:ind w:left="580"/>
              <w:spacing w:after="0"/>
              <w:rPr>
                <w:sz w:val="20"/>
                <w:szCs w:val="20"/>
                <w:color w:val="auto"/>
              </w:rPr>
            </w:pPr>
            <w:r>
              <w:rPr>
                <w:rFonts w:ascii="Arial" w:cs="Arial" w:eastAsia="Arial" w:hAnsi="Arial"/>
                <w:sz w:val="18"/>
                <w:szCs w:val="18"/>
                <w:b w:val="1"/>
                <w:bCs w:val="1"/>
                <w:color w:val="auto"/>
              </w:rPr>
              <w:t>Index</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 Quantitative and Qualitative Disclosures about Market Risk</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20</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4. Controls and Procedures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PART II: OTHER INFORMATION</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 Legal Proceedings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1A. Risk Factors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22</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2. Unregistered Sales of Equity Securities and Use of Proceeds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3.</w:t>
              </w:r>
            </w:hyperlink>
          </w:p>
        </w:tc>
        <w:tc>
          <w:tcPr>
            <w:tcW w:w="97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Defaults Upon Senior Securities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4.</w:t>
              </w:r>
            </w:hyperlink>
          </w:p>
        </w:tc>
        <w:tc>
          <w:tcPr>
            <w:tcW w:w="97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5.</w:t>
              </w:r>
            </w:hyperlink>
          </w:p>
        </w:tc>
        <w:tc>
          <w:tcPr>
            <w:tcW w:w="97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17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w:t>
              </w:r>
            </w:hyperlink>
          </w:p>
        </w:tc>
        <w:tc>
          <w:tcPr>
            <w:tcW w:w="9740" w:type="dxa"/>
            <w:vAlign w:val="bottom"/>
            <w:gridSpan w:val="14"/>
            <w:shd w:val="clear" w:color="auto" w:fill="CCEEFF"/>
          </w:tcPr>
          <w:p>
            <w:pPr>
              <w:ind w:left="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gridSpan w:val="2"/>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5"/>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50</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8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100" w:type="dxa"/>
            <w:vAlign w:val="bottom"/>
            <w:tcBorders>
              <w:top w:val="single" w:sz="8" w:color="CCEEFF"/>
              <w:bottom w:val="single" w:sz="8" w:color="auto"/>
            </w:tcBorders>
          </w:tcPr>
          <w:p>
            <w:pPr>
              <w:spacing w:after="0"/>
              <w:rPr>
                <w:sz w:val="24"/>
                <w:szCs w:val="24"/>
                <w:color w:val="auto"/>
              </w:rPr>
            </w:pPr>
          </w:p>
        </w:tc>
        <w:tc>
          <w:tcPr>
            <w:tcW w:w="32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54,192,131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82,033,209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Marketable securities, at fair value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38,480,105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37,914,482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from collaboration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2,125,597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2,273,421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2,731,385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897,400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97,529,218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123,118,512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Marketable securities, at fair value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2,204,103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3,347,213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639,897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Security deposits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406,735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339,558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29,000,000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12,638,136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12,638,136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44,888,871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46,184,933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142,418,089</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169,303,445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2,538,976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2,123,939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5,079,780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Deferred revenue - short-term</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5,512,109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5,229,227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13,130,865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13,492,166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2,108,367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2,135,802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 long-term</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38,078,292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40,555,708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long-term liabilities</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40,186,659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42,691,510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53,317,524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56,183,676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Common stock, $0.001 par value; 100,000,000 and 50,000,000 shares authorized as of June 30, 2018 and</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December 31, 2017, respectively; 20,614,498 and 20,137,974 shares issued and outstanding as of June 30, 2018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December 31, 2017, respectively</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383,543,035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364,528,037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(392,391)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(294,091,006)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(251,036,015)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89,100,565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113,119,769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142,418,089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169,303,445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Collaboration revenue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3,217,865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6,782,925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3,043,680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17,840,128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12,125,021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32,381,302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22,698,760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12,543,658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3,801,541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18,239,693</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7,842,000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30,383,786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15,926,562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50,620,995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30,540,760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(27,165,921</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(13,567,251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(43,838,070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(27,497,080</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and other income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239,858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899,422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376,342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Realized loss from marketable securities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(127,234)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(340,984)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(150,250)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(478,232)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325,782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(101,126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749,172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(101,890</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(26,840,139)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(13,668,377)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(43,088,898)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(27,598,970)</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(26,806,232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(13,598,864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(43,054,991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(27,529,457</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8"/>
              </w:rPr>
              <w:t>Unrealized loss recognized in accumulated other comprehensive loss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before reclassification, net of tax benefit of $29,835, $57,437, $29,835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$57,437, respectively</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(39,962)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(31,203)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(129,937)</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(92,359)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ind w:left="160"/>
              <w:spacing w:after="0" w:line="201" w:lineRule="exact"/>
              <w:rPr>
                <w:sz w:val="20"/>
                <w:szCs w:val="20"/>
                <w:color w:val="auto"/>
              </w:rPr>
            </w:pPr>
            <w:r>
              <w:rPr>
                <w:rFonts w:ascii="Arial" w:cs="Arial" w:eastAsia="Arial" w:hAnsi="Arial"/>
                <w:sz w:val="18"/>
                <w:szCs w:val="18"/>
                <w:color w:val="auto"/>
                <w:w w:val="94"/>
              </w:rPr>
              <w:t>Reclassification adjustment of unrealized loss included in net loss, net of</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5"/>
              </w:rPr>
              <w:t>tax expense of $36,307, $183,371, $36,307 and $183,371, respectively</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127,234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157,613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150,250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294,861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(26,718,960</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(13,472,454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(43,034,678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(27,326,955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20,541,549</w:t>
            </w:r>
          </w:p>
        </w:tc>
        <w:tc>
          <w:tcPr>
            <w:tcW w:w="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17,342,623</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20,387,532</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17,305,657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(43,054,991)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(27,529,457)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311,946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15,671,738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Realized loss from marketable securities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150,250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478,232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 benefit</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(33,907)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receivable from collaboration</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147,824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(1,833,985)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Accounts payable</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415,037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680"/>
              <w:spacing w:after="0"/>
              <w:rPr>
                <w:sz w:val="20"/>
                <w:szCs w:val="20"/>
                <w:color w:val="auto"/>
              </w:rPr>
            </w:pPr>
            <w:r>
              <w:rPr>
                <w:rFonts w:ascii="Arial" w:cs="Arial" w:eastAsia="Arial" w:hAnsi="Arial"/>
                <w:sz w:val="18"/>
                <w:szCs w:val="18"/>
                <w:color w:val="auto"/>
              </w:rPr>
              <w:t>Accrued expenses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(1,059,220)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Deferred revenue</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(2,194,534)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48,070,080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680"/>
              <w:spacing w:after="0"/>
              <w:rPr>
                <w:sz w:val="20"/>
                <w:szCs w:val="20"/>
                <w:color w:val="auto"/>
              </w:rPr>
            </w:pPr>
            <w:r>
              <w:rPr>
                <w:rFonts w:ascii="Arial" w:cs="Arial" w:eastAsia="Arial" w:hAnsi="Arial"/>
                <w:sz w:val="18"/>
                <w:szCs w:val="18"/>
                <w:color w:val="auto"/>
              </w:rPr>
              <w:t>Security deposits</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(67,177)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(31,547,019)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22,587,758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680"/>
              <w:spacing w:after="0"/>
              <w:rPr>
                <w:sz w:val="20"/>
                <w:szCs w:val="20"/>
                <w:color w:val="auto"/>
              </w:rPr>
            </w:pPr>
            <w:r>
              <w:rPr>
                <w:rFonts w:ascii="Arial" w:cs="Arial" w:eastAsia="Arial" w:hAnsi="Arial"/>
                <w:sz w:val="18"/>
                <w:szCs w:val="18"/>
                <w:color w:val="auto"/>
              </w:rPr>
              <w:t>Purchases of fixed assets</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(91,817)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Purchases of marketable securities</w:t>
            </w: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(32,166,978)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(32,591,164)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00" w:type="dxa"/>
            <w:vAlign w:val="bottom"/>
          </w:tcPr>
          <w:p>
            <w:pPr>
              <w:ind w:left="680"/>
              <w:spacing w:after="0"/>
              <w:rPr>
                <w:sz w:val="20"/>
                <w:szCs w:val="20"/>
                <w:color w:val="auto"/>
              </w:rPr>
            </w:pPr>
            <w:r>
              <w:rPr>
                <w:rFonts w:ascii="Arial" w:cs="Arial" w:eastAsia="Arial" w:hAnsi="Arial"/>
                <w:sz w:val="18"/>
                <w:szCs w:val="18"/>
                <w:color w:val="auto"/>
              </w:rPr>
              <w:t>Redemptions of marketable securities</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32,621,000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20,133,000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362,205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(12,458,164)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Proceeds from the exercise of stock options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beginning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left="560"/>
        <w:spacing w:after="0"/>
        <w:tabs>
          <w:tab w:leader="none" w:pos="2120" w:val="left"/>
        </w:tabs>
        <w:rPr>
          <w:sz w:val="20"/>
          <w:szCs w:val="20"/>
          <w:color w:val="auto"/>
        </w:rPr>
      </w:pPr>
      <w:r>
        <w:rPr>
          <w:rFonts w:ascii="Arial" w:cs="Arial" w:eastAsia="Arial" w:hAnsi="Arial"/>
          <w:sz w:val="18"/>
          <w:szCs w:val="18"/>
          <w:color w:val="auto"/>
        </w:rPr>
        <w:t>3,343,736</w:t>
      </w:r>
      <w:r>
        <w:rPr>
          <w:sz w:val="20"/>
          <w:szCs w:val="20"/>
          <w:color w:val="auto"/>
        </w:rPr>
        <w:tab/>
      </w:r>
      <w:r>
        <w:rPr>
          <w:rFonts w:ascii="Arial" w:cs="Arial" w:eastAsia="Arial" w:hAnsi="Arial"/>
          <w:sz w:val="18"/>
          <w:szCs w:val="18"/>
          <w:color w:val="auto"/>
        </w:rPr>
        <w:t>748,058</w:t>
      </w:r>
    </w:p>
    <w:p>
      <w:pPr>
        <w:spacing w:after="0" w:line="23" w:lineRule="exact"/>
        <w:rPr>
          <w:sz w:val="20"/>
          <w:szCs w:val="20"/>
          <w:color w:val="auto"/>
        </w:rPr>
      </w:pPr>
    </w:p>
    <w:p>
      <w:pPr>
        <w:jc w:val="both"/>
        <w:ind w:left="560"/>
        <w:spacing w:after="0"/>
        <w:tabs>
          <w:tab w:leader="none" w:pos="2120" w:val="left"/>
        </w:tabs>
        <w:rPr>
          <w:sz w:val="20"/>
          <w:szCs w:val="20"/>
          <w:color w:val="auto"/>
        </w:rPr>
      </w:pPr>
      <w:r>
        <w:rPr>
          <w:rFonts w:ascii="Arial" w:cs="Arial" w:eastAsia="Arial" w:hAnsi="Arial"/>
          <w:sz w:val="18"/>
          <w:szCs w:val="18"/>
          <w:color w:val="auto"/>
        </w:rPr>
        <w:t>3,343,736</w:t>
      </w:r>
      <w:r>
        <w:rPr>
          <w:sz w:val="20"/>
          <w:szCs w:val="20"/>
          <w:color w:val="auto"/>
        </w:rPr>
        <w:tab/>
      </w:r>
      <w:r>
        <w:rPr>
          <w:rFonts w:ascii="Arial" w:cs="Arial" w:eastAsia="Arial" w:hAnsi="Arial"/>
          <w:sz w:val="18"/>
          <w:szCs w:val="18"/>
          <w:color w:val="auto"/>
        </w:rPr>
        <w:t>748,058</w:t>
      </w:r>
    </w:p>
    <w:p>
      <w:pPr>
        <w:spacing w:after="0" w:line="224" w:lineRule="exact"/>
        <w:rPr>
          <w:sz w:val="20"/>
          <w:szCs w:val="20"/>
          <w:color w:val="auto"/>
        </w:rPr>
      </w:pPr>
    </w:p>
    <w:p>
      <w:pPr>
        <w:jc w:val="both"/>
        <w:ind w:left="400"/>
        <w:spacing w:after="0"/>
        <w:tabs>
          <w:tab w:leader="none" w:pos="1900" w:val="left"/>
        </w:tabs>
        <w:rPr>
          <w:sz w:val="20"/>
          <w:szCs w:val="20"/>
          <w:color w:val="auto"/>
        </w:rPr>
      </w:pPr>
      <w:r>
        <w:rPr>
          <w:rFonts w:ascii="Arial" w:cs="Arial" w:eastAsia="Arial" w:hAnsi="Arial"/>
          <w:sz w:val="18"/>
          <w:szCs w:val="18"/>
          <w:color w:val="auto"/>
        </w:rPr>
        <w:t>(27,841,078)</w:t>
      </w:r>
      <w:r>
        <w:rPr>
          <w:sz w:val="20"/>
          <w:szCs w:val="20"/>
          <w:color w:val="auto"/>
        </w:rPr>
        <w:tab/>
      </w:r>
      <w:r>
        <w:rPr>
          <w:rFonts w:ascii="Arial" w:cs="Arial" w:eastAsia="Arial" w:hAnsi="Arial"/>
          <w:sz w:val="18"/>
          <w:szCs w:val="18"/>
          <w:color w:val="auto"/>
        </w:rPr>
        <w:t>10,877,652</w:t>
      </w:r>
    </w:p>
    <w:p>
      <w:pPr>
        <w:spacing w:after="0" w:line="23"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8"/>
          <w:szCs w:val="18"/>
          <w:color w:val="auto"/>
        </w:rPr>
        <w:t>82,033,209</w:t>
      </w:r>
      <w:r>
        <w:rPr>
          <w:sz w:val="20"/>
          <w:szCs w:val="20"/>
          <w:color w:val="auto"/>
        </w:rPr>
        <w:tab/>
      </w:r>
      <w:r>
        <w:rPr>
          <w:rFonts w:ascii="Arial" w:cs="Arial" w:eastAsia="Arial" w:hAnsi="Arial"/>
          <w:sz w:val="18"/>
          <w:szCs w:val="18"/>
          <w:color w:val="auto"/>
        </w:rPr>
        <w:t>28,575,085</w:t>
      </w:r>
    </w:p>
    <w:p>
      <w:pPr>
        <w:spacing w:after="0" w:line="31" w:lineRule="exact"/>
        <w:rPr>
          <w:sz w:val="20"/>
          <w:szCs w:val="20"/>
          <w:color w:val="auto"/>
        </w:rPr>
      </w:pPr>
    </w:p>
    <w:p>
      <w:pPr>
        <w:spacing w:after="0"/>
        <w:tabs>
          <w:tab w:leader="none" w:pos="440" w:val="left"/>
          <w:tab w:leader="none" w:pos="1460" w:val="left"/>
          <w:tab w:leader="none" w:pos="19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54,192,131</w:t>
        <w:tab/>
        <w:t>$</w:t>
      </w:r>
      <w:r>
        <w:rPr>
          <w:sz w:val="20"/>
          <w:szCs w:val="20"/>
          <w:color w:val="auto"/>
        </w:rPr>
        <w:tab/>
      </w:r>
      <w:r>
        <w:rPr>
          <w:rFonts w:ascii="Arial" w:cs="Arial" w:eastAsia="Arial" w:hAnsi="Arial"/>
          <w:sz w:val="16"/>
          <w:szCs w:val="16"/>
          <w:b w:val="1"/>
          <w:bCs w:val="1"/>
          <w:color w:val="auto"/>
        </w:rPr>
        <w:t>39,452,737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7322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04" w:right="239" w:bottom="1440" w:gutter="0" w:footer="0" w:header="0"/>
          <w:type w:val="continuous"/>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0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Change in unrealized gain on marketable securities available-for-sale, before tax expense</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26,785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328,436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15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Total Stockholders'</w:t>
            </w:r>
          </w:p>
        </w:tc>
      </w:tr>
      <w:tr>
        <w:trPr>
          <w:trHeight w:val="210"/>
        </w:trPr>
        <w:tc>
          <w:tcPr>
            <w:tcW w:w="470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 Loss</w:t>
            </w: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Equity</w:t>
            </w:r>
          </w:p>
        </w:tc>
      </w:tr>
      <w:tr>
        <w:trPr>
          <w:trHeight w:val="20"/>
        </w:trPr>
        <w:tc>
          <w:tcPr>
            <w:tcW w:w="47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20,137,974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20,138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364,528,037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(392,391)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1"/>
              </w:rPr>
              <w:t>$ (251,036,015)</w:t>
            </w:r>
          </w:p>
        </w:tc>
        <w:tc>
          <w:tcPr>
            <w:tcW w:w="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113,119,769</w:t>
            </w:r>
          </w:p>
        </w:tc>
        <w:tc>
          <w:tcPr>
            <w:tcW w:w="100" w:type="dxa"/>
            <w:vAlign w:val="bottom"/>
            <w:shd w:val="clear" w:color="auto" w:fill="CCEEFF"/>
          </w:tcPr>
          <w:p>
            <w:pPr>
              <w:spacing w:after="0"/>
              <w:rPr>
                <w:sz w:val="17"/>
                <w:szCs w:val="17"/>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4"/>
                <w:szCs w:val="14"/>
                <w:color w:val="auto"/>
              </w:rPr>
              <w:t>Proceeds from the exercise of stock options</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476,524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3,343,260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3,343,736</w:t>
            </w:r>
          </w:p>
        </w:tc>
        <w:tc>
          <w:tcPr>
            <w:tcW w:w="100" w:type="dxa"/>
            <w:vAlign w:val="bottom"/>
          </w:tcPr>
          <w:p>
            <w:pPr>
              <w:spacing w:after="0"/>
              <w:rPr>
                <w:sz w:val="18"/>
                <w:szCs w:val="18"/>
                <w:color w:val="auto"/>
              </w:rPr>
            </w:pPr>
          </w:p>
        </w:tc>
      </w:tr>
      <w:tr>
        <w:trPr>
          <w:trHeight w:val="130"/>
        </w:trPr>
        <w:tc>
          <w:tcPr>
            <w:tcW w:w="4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Change in unrealized gain on marketable securities, net of income tax expense</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of $6,472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20,313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20,313</w:t>
            </w:r>
          </w:p>
        </w:tc>
        <w:tc>
          <w:tcPr>
            <w:tcW w:w="100" w:type="dxa"/>
            <w:vAlign w:val="bottom"/>
            <w:shd w:val="clear" w:color="auto" w:fill="CCEEFF"/>
          </w:tcPr>
          <w:p>
            <w:pPr>
              <w:spacing w:after="0"/>
              <w:rPr>
                <w:sz w:val="14"/>
                <w:szCs w:val="14"/>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15,671,738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15,671,738</w:t>
            </w:r>
          </w:p>
        </w:tc>
        <w:tc>
          <w:tcPr>
            <w:tcW w:w="100" w:type="dxa"/>
            <w:vAlign w:val="bottom"/>
          </w:tcPr>
          <w:p>
            <w:pPr>
              <w:spacing w:after="0"/>
              <w:rPr>
                <w:sz w:val="18"/>
                <w:szCs w:val="18"/>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(43,054,991)</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(43,054,991)</w:t>
            </w:r>
          </w:p>
        </w:tc>
      </w:tr>
      <w:tr>
        <w:trPr>
          <w:trHeight w:val="20"/>
        </w:trPr>
        <w:tc>
          <w:tcPr>
            <w:tcW w:w="4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4"/>
                <w:szCs w:val="14"/>
                <w:b w:val="1"/>
                <w:bCs w:val="1"/>
                <w:color w:val="auto"/>
              </w:rPr>
              <w:t>Balance as of June 30, 2018</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20,614,498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20,614</w:t>
            </w:r>
          </w:p>
        </w:tc>
        <w:tc>
          <w:tcPr>
            <w:tcW w:w="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383,543,035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40"/>
              <w:spacing w:after="0" w:line="223" w:lineRule="exact"/>
              <w:rPr>
                <w:sz w:val="20"/>
                <w:szCs w:val="20"/>
                <w:color w:val="auto"/>
              </w:rPr>
            </w:pPr>
            <w:r>
              <w:rPr>
                <w:rFonts w:ascii="Arial" w:cs="Arial" w:eastAsia="Arial" w:hAnsi="Arial"/>
                <w:sz w:val="13"/>
                <w:szCs w:val="13"/>
                <w:b w:val="1"/>
                <w:bCs w:val="1"/>
                <w:color w:val="auto"/>
              </w:rPr>
              <w:t>(372,078</w:t>
            </w:r>
            <w:r>
              <w:rPr>
                <w:rFonts w:ascii="Arial" w:cs="Arial" w:eastAsia="Arial" w:hAnsi="Arial"/>
                <w:sz w:val="25"/>
                <w:szCs w:val="25"/>
                <w:b w:val="1"/>
                <w:bCs w:val="1"/>
                <w:color w:val="auto"/>
                <w:vertAlign w:val="superscript"/>
              </w:rPr>
              <w:t>)</w:t>
            </w:r>
          </w:p>
        </w:tc>
        <w:tc>
          <w:tcPr>
            <w:tcW w:w="1080" w:type="dxa"/>
            <w:vAlign w:val="bottom"/>
            <w:gridSpan w:val="2"/>
          </w:tcPr>
          <w:p>
            <w:pPr>
              <w:jc w:val="right"/>
              <w:ind w:right="160"/>
              <w:spacing w:after="0" w:line="223" w:lineRule="exact"/>
              <w:rPr>
                <w:sz w:val="20"/>
                <w:szCs w:val="20"/>
                <w:color w:val="auto"/>
              </w:rPr>
            </w:pPr>
            <w:r>
              <w:rPr>
                <w:rFonts w:ascii="Arial" w:cs="Arial" w:eastAsia="Arial" w:hAnsi="Arial"/>
                <w:sz w:val="13"/>
                <w:szCs w:val="13"/>
                <w:b w:val="1"/>
                <w:bCs w:val="1"/>
                <w:color w:val="auto"/>
                <w:w w:val="96"/>
              </w:rPr>
              <w:t>$ (294,091,006</w:t>
            </w:r>
            <w:r>
              <w:rPr>
                <w:rFonts w:ascii="Arial" w:cs="Arial" w:eastAsia="Arial" w:hAnsi="Arial"/>
                <w:sz w:val="25"/>
                <w:szCs w:val="25"/>
                <w:b w:val="1"/>
                <w:bCs w:val="1"/>
                <w:color w:val="auto"/>
                <w:w w:val="96"/>
                <w:vertAlign w:val="superscript"/>
              </w:rPr>
              <w:t>)</w:t>
            </w:r>
          </w:p>
        </w:tc>
        <w:tc>
          <w:tcPr>
            <w:tcW w:w="240" w:type="dxa"/>
            <w:vAlign w:val="bottom"/>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89,100,565</w:t>
            </w:r>
          </w:p>
        </w:tc>
        <w:tc>
          <w:tcPr>
            <w:tcW w:w="10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Assembly Biosciences, Inc., together with its subsidiaries (Assembly or the Company), is a clinical-stage biotechnology company advancing two innovative platform programs: a new class of oral therapeutic candidates for the treatment of hepatitis B virus (HBV) infection and a novel class of oral synthetic live biotherapeutic candidates, which are designed to treat disorders associated with the microbiome.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250 million people worldwide are chronically infected with HBV. The Company’s HBV-cure program is pursuing multiple drug candidates that inhibit the HBV lifecycle and block the generation of covalently closed circular DNA (cccDNA), with the aim of increasing the current low cure rates for patients with HBV. Assembly has discovered multiple novel core protein Allosteric Modifiers (CpAMs or core inhibitors), which are small molecules that directly target and allosterically modify the HBV core (HBc) protein.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Microbiome program consists of a fully integrated platform that includes a disease targeted strain identification and selection process, methods for strain isolation and growth under current Good Manufacturing Practices (cGMP) conditions, and a licensed patented delivery system that we call GEMICEL®, which is designed to allow for targeted oral delivery of live biologic and conventional therapies to the lower gastrointestinal (GI) tract. The Microbiome program is prioritizing efforts on optimizing our lead product candidates, ABI-M201 (Ulcerative Colitis) and ABI-M301 (Crohn’s disease), in preparation for studies to support potential INDs. Using our microbiome platform, we are exploring additional product candidates for other disease indications, including irritable bowel syndrome, non-alcoholic steatohepatitis (NASH) and immuno-oncology, which indications we may pursue either internally or in collaboration with partners.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the Company entered into a Research, Development, Collaboration and License Agreement (the Collaboration Agreement) with Allergan Pharmaceuticals International Limited (Allergan) to develop and commercialize select microbiome gastrointestinal programs. Pursuant to the terms of the Collaboration Agreement, in connection with the closing of the transaction in February 2017, Allergan paid the Company an upfront payment of $50 million. Additionally, the Company is eligible to receive up to approximately $630 million in payments related to seven development milestones and up to approximately $2.15 billion in payments related to 12 commercial development and sales milestones in connection with the successful development and commercialization of licensed compounds for up to six different indications (see Note 7). Allergan and the Company have agreed to share development costs up to an aggregate of $75 million through proof-of-concept (POC) studies on a ⅔, ⅓ basis, respectively, and Allergan has agreed to assume all post-POC development costs. Additionally, the Company has an option to co-promote the licensed programs in the United States and China, subject to certain conditions set forth in the Collaboration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primarily through the sale of equity securities, the proceeds from the exercise of warrants and stock options, the issuance of debt and an up-front payment related to the Collaboration Agreement. The Company has incurred losses from operations and negative cash flows from operating activities since inception and expects to continue to incur substantial losses for the next several years as it continues its product development efforts. Management believes the Company currently has sufficient funds to meet its operating requirements for at least the next twelve months. If the Company cannot generate significant cash from its operations, it intends to obtain any additional funding it requires through strategic relationships, public or private equity or debt financings, grants or other arrangements. The Company cannot assure such funding will be available on reasonable terms, if at all.</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Company is unable to generate enough revenue from the Collaboration Agreement when needed or to secure additional sources of funding and receive related full and timely collections of amounts due, it may be necessary to significantly reduce the current rate of spending through reductions in staff and delaying, scaling back, or stopping certain research and development programs, including more costly clinical trials.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Summary of Significant Accounting Policies and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condensed consolidated interim financial statements include the accounts of the Company and its subsidiaries. All intercompany balances and transactions have been eliminated in consolidation.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U.S. Securities and Exchange Commission (SEC) and on the same basis as the Company prepares its annual audited consolidated financial statements. The condensed consolidated balance sheet at June 30, 2018, condensed consolidated statements of operations and comprehensive loss for the three and six months ended June 30, 2018 and 2017, condensed consolidated statements of cash flows for the six months ended June 30, 2018 and 2017, and condensed consolidated statement of changes in stockholders’ equity for the six months ended June 30, 2018 are unaudited, but include all adjustments, consisting only of normal recurring adjustments, that the Company considers necessary for a fair presentation of the financial position, operating results and cash flows for the periods presented. The results for the three and six months ended June 30, 2018 are not necessarily indicative of results to be expected for the year ending December 31, 2018 or for any future interim period. The consolidated balance sheet at December 31, 2017 has been derived from audited financial statements; however, it does not include all of the information and notes required by U.S. GAAP for complete financial statements. The accompanying condensed consolidated financial statements should be read in conjunction with the audited consolidated financial statements for the year ended December 31, 2017, and notes thereto included in the Company’s Annual Report on Form 10-K for the fiscal year ended December 31, 2017 filed with the SEC on March 8, 2018 (the 2017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preparation of the condensed consolidated financial statements in conformity with the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 estimates inherent in the preparation of the accompanying condensed consolidated financial statements include recoverability and useful lives (indefinite or finite) of intangible assets, assessment of impairment of goodwill, provisions for income taxes, amounts receivable under the collaboration agreement, and the fair value of stock options, restricted stock units (RSUs) and warrants granted to employees, consultants, directors, investors, licensors, placement agents and underwriters.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 and assumptions.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There have been no material changes in the Company’s significant accounting policies to those previously disclosed in the 2017 Annual Report other than the adoption of the Financial Accounting Standards Board (FASB) Accounting Standard Updates (ASU)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(see Note 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 of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Since the Company has only incurred losses, basic and diluted net loss per share is the same. Securities that could potentially result in diluted loss per share in the future that were not included in the computation of diluted loss per share at June 30, 2018 and 2017 are as follows: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Options to purchase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31750</wp:posOffset>
            </wp:positionV>
            <wp:extent cx="17322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9" w:lineRule="exact"/>
        <w:rPr>
          <w:sz w:val="20"/>
          <w:szCs w:val="20"/>
          <w:color w:val="auto"/>
        </w:rPr>
      </w:pPr>
    </w:p>
    <w:p>
      <w:pPr>
        <w:ind w:left="140"/>
        <w:spacing w:after="0"/>
        <w:tabs>
          <w:tab w:leader="none" w:pos="160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7" w:lineRule="exact"/>
        <w:rPr>
          <w:sz w:val="20"/>
          <w:szCs w:val="20"/>
          <w:color w:val="auto"/>
        </w:rPr>
      </w:pPr>
    </w:p>
    <w:p>
      <w:pPr>
        <w:jc w:val="both"/>
        <w:ind w:left="460"/>
        <w:spacing w:after="0"/>
        <w:tabs>
          <w:tab w:leader="none" w:pos="1900" w:val="left"/>
        </w:tabs>
        <w:rPr>
          <w:sz w:val="20"/>
          <w:szCs w:val="20"/>
          <w:color w:val="auto"/>
        </w:rPr>
      </w:pPr>
      <w:r>
        <w:rPr>
          <w:rFonts w:ascii="Arial" w:cs="Arial" w:eastAsia="Arial" w:hAnsi="Arial"/>
          <w:sz w:val="18"/>
          <w:szCs w:val="18"/>
          <w:color w:val="auto"/>
        </w:rPr>
        <w:t>15,296</w:t>
      </w:r>
      <w:r>
        <w:rPr>
          <w:sz w:val="20"/>
          <w:szCs w:val="20"/>
          <w:color w:val="auto"/>
        </w:rPr>
        <w:tab/>
      </w:r>
      <w:r>
        <w:rPr>
          <w:rFonts w:ascii="Arial" w:cs="Arial" w:eastAsia="Arial" w:hAnsi="Arial"/>
          <w:sz w:val="18"/>
          <w:szCs w:val="18"/>
          <w:color w:val="auto"/>
        </w:rPr>
        <w:t>16,909</w:t>
      </w:r>
    </w:p>
    <w:p>
      <w:pPr>
        <w:spacing w:after="0" w:line="23" w:lineRule="exact"/>
        <w:rPr>
          <w:sz w:val="20"/>
          <w:szCs w:val="20"/>
          <w:color w:val="auto"/>
        </w:rPr>
      </w:pPr>
    </w:p>
    <w:p>
      <w:pPr>
        <w:ind w:left="240"/>
        <w:spacing w:after="0"/>
        <w:tabs>
          <w:tab w:leader="none" w:pos="1680" w:val="left"/>
        </w:tabs>
        <w:rPr>
          <w:sz w:val="20"/>
          <w:szCs w:val="20"/>
          <w:color w:val="auto"/>
        </w:rPr>
      </w:pPr>
      <w:r>
        <w:rPr>
          <w:rFonts w:ascii="Arial" w:cs="Arial" w:eastAsia="Arial" w:hAnsi="Arial"/>
          <w:sz w:val="16"/>
          <w:szCs w:val="16"/>
          <w:color w:val="auto"/>
        </w:rPr>
        <w:t>4,740,674</w:t>
      </w:r>
      <w:r>
        <w:rPr>
          <w:sz w:val="20"/>
          <w:szCs w:val="20"/>
          <w:color w:val="auto"/>
        </w:rPr>
        <w:tab/>
      </w:r>
      <w:r>
        <w:rPr>
          <w:rFonts w:ascii="Arial" w:cs="Arial" w:eastAsia="Arial" w:hAnsi="Arial"/>
          <w:sz w:val="16"/>
          <w:szCs w:val="16"/>
          <w:color w:val="auto"/>
        </w:rPr>
        <w:t>4,837,464</w:t>
      </w:r>
    </w:p>
    <w:p>
      <w:pPr>
        <w:spacing w:after="0" w:line="32" w:lineRule="exact"/>
        <w:rPr>
          <w:sz w:val="20"/>
          <w:szCs w:val="20"/>
          <w:color w:val="auto"/>
        </w:rPr>
      </w:pPr>
    </w:p>
    <w:p>
      <w:pPr>
        <w:jc w:val="both"/>
        <w:ind w:left="360"/>
        <w:spacing w:after="0"/>
        <w:tabs>
          <w:tab w:leader="none" w:pos="2340" w:val="left"/>
        </w:tabs>
        <w:rPr>
          <w:sz w:val="20"/>
          <w:szCs w:val="20"/>
          <w:color w:val="auto"/>
        </w:rPr>
      </w:pPr>
      <w:r>
        <w:rPr>
          <w:rFonts w:ascii="Arial" w:cs="Arial" w:eastAsia="Arial" w:hAnsi="Arial"/>
          <w:sz w:val="18"/>
          <w:szCs w:val="18"/>
          <w:color w:val="auto"/>
        </w:rPr>
        <w:t>350,059</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14605</wp:posOffset>
            </wp:positionV>
            <wp:extent cx="17322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11" w:lineRule="exact"/>
        <w:rPr>
          <w:sz w:val="20"/>
          <w:szCs w:val="20"/>
          <w:color w:val="auto"/>
        </w:rPr>
      </w:pPr>
    </w:p>
    <w:p>
      <w:pPr>
        <w:ind w:left="240"/>
        <w:spacing w:after="0"/>
        <w:tabs>
          <w:tab w:leader="none" w:pos="1680" w:val="left"/>
        </w:tabs>
        <w:rPr>
          <w:sz w:val="20"/>
          <w:szCs w:val="20"/>
          <w:color w:val="auto"/>
        </w:rPr>
      </w:pPr>
      <w:r>
        <w:rPr>
          <w:rFonts w:ascii="Arial" w:cs="Arial" w:eastAsia="Arial" w:hAnsi="Arial"/>
          <w:sz w:val="16"/>
          <w:szCs w:val="16"/>
          <w:b w:val="1"/>
          <w:bCs w:val="1"/>
          <w:color w:val="auto"/>
        </w:rPr>
        <w:t>4,946,743</w:t>
      </w:r>
      <w:r>
        <w:rPr>
          <w:sz w:val="20"/>
          <w:szCs w:val="20"/>
          <w:color w:val="auto"/>
        </w:rPr>
        <w:tab/>
      </w:r>
      <w:r>
        <w:rPr>
          <w:rFonts w:ascii="Arial" w:cs="Arial" w:eastAsia="Arial" w:hAnsi="Arial"/>
          <w:sz w:val="16"/>
          <w:szCs w:val="16"/>
          <w:b w:val="1"/>
          <w:bCs w:val="1"/>
          <w:color w:val="auto"/>
        </w:rPr>
        <w:t>4,854,373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31750</wp:posOffset>
            </wp:positionV>
            <wp:extent cx="173228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3228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720"/>
            <w:col w:w="2520"/>
          </w:cols>
          <w:pgMar w:left="240" w:top="904" w:right="239" w:bottom="1440" w:gutter="0" w:footer="0" w:header="0"/>
          <w:type w:val="continuous"/>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recognizes revenue under the FASB’s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core principle of the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8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81" w:lineRule="exact"/>
        <w:rPr>
          <w:sz w:val="20"/>
          <w:szCs w:val="20"/>
          <w:color w:val="auto"/>
        </w:rPr>
      </w:pPr>
    </w:p>
    <w:p>
      <w:pPr>
        <w:ind w:left="120" w:hanging="112"/>
        <w:spacing w:after="0" w:line="258"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 and</w:t>
      </w:r>
    </w:p>
    <w:p>
      <w:pPr>
        <w:spacing w:after="0" w:line="1" w:lineRule="exact"/>
        <w:rPr>
          <w:rFonts w:ascii="Arial" w:cs="Arial" w:eastAsia="Arial" w:hAnsi="Arial"/>
          <w:sz w:val="18"/>
          <w:szCs w:val="18"/>
          <w:color w:val="auto"/>
        </w:rPr>
      </w:pPr>
    </w:p>
    <w:p>
      <w:pPr>
        <w:ind w:left="120" w:right="20" w:hanging="112"/>
        <w:spacing w:after="0" w:line="261"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When determining the transaction price, an entity must consider the effects of all of the following:</w:t>
      </w:r>
    </w:p>
    <w:p>
      <w:pPr>
        <w:spacing w:after="0" w:line="147" w:lineRule="exact"/>
        <w:rPr>
          <w:sz w:val="20"/>
          <w:szCs w:val="20"/>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variable consideration;</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constraining estimates of variable consideration;</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existence of a significant financing component in the contract;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noncash consideration; and</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payable to a customer.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price is allocated to each performance obligation on a relative standalone selling price basis.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transaction price allocated to each performance obligation is recognized when that performance obligation is satisfied, at a point in time or over time as appropriate.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for a sales-based or usage-based royalty promised in exchange for a license of intellectual property is recognized only when (or as) the later of the following events occurs:</w:t>
      </w:r>
    </w:p>
    <w:p>
      <w:pPr>
        <w:spacing w:after="0" w:line="170"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subsequent sale or usage occurs; or</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performance obligation to which some or all of the sales-based or usage-based royalty has been allocated has been satisfied (or partially satisfied).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Adoption of Recent Accounting Pronouncements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 modified by ASU 2015-14,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 Deferral of the Effective Date</w:t>
      </w:r>
      <w:r>
        <w:rPr>
          <w:rFonts w:ascii="Arial" w:cs="Arial" w:eastAsia="Arial" w:hAnsi="Arial"/>
          <w:sz w:val="16"/>
          <w:szCs w:val="16"/>
          <w:color w:val="auto"/>
        </w:rPr>
        <w:t>, ASU 2016-08,</w:t>
      </w:r>
      <w:r>
        <w:rPr>
          <w:rFonts w:ascii="Arial" w:cs="Arial" w:eastAsia="Arial" w:hAnsi="Arial"/>
          <w:sz w:val="16"/>
          <w:szCs w:val="16"/>
          <w:i w:val="1"/>
          <w:iCs w:val="1"/>
          <w:color w:val="auto"/>
        </w:rPr>
        <w:t xml:space="preserve"> Revenue from Contracts with Customers (Topic 606): Principal versus Agent Considerations (Reporting Revenue Gross versus Net), </w:t>
      </w:r>
      <w:r>
        <w:rPr>
          <w:rFonts w:ascii="Arial" w:cs="Arial" w:eastAsia="Arial" w:hAnsi="Arial"/>
          <w:sz w:val="16"/>
          <w:szCs w:val="16"/>
          <w:color w:val="auto"/>
        </w:rPr>
        <w:t>ASU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revenue recognition principle in ASU 2014-09 is that an entity should recognize revenue to depict the transfer of goods or services to customers in an amount that reflects the consideration to which the entity expects to be entitled in exchange for those goods or services. In addition, new and enhanced disclosures will be required. Companies may adopt the new standard either using the full retrospective approach, a modified retrospective approach with practical expedients, or a cumulative effect upon adoption approach. The Company adopted the new standard on January 1, 2018 using the modified retrospective approach. The Collaboration Agreement is the Company’s only revenue contract, and adoption of ASU 2014-09 did not have any impact on the Company’s accounting for the Collaboration Agreement in the accompanying condensed consolidated financial statements.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ASU 2016-01 requires equity investments to be measured at fair value with changes in fair value recognized in net income; simplifies the impairment assessment of equity investments without readily determinable fair values by requiring a qualitative assessment to identify impairment; eliminates the requirement for public business entities to disclose the method(s) and significant assumptions used to estimate the fair value that is required to be disclosed for financial instruments measured at amortized cost on the balance sheet; requires public business entities to use the exit price notion when measuring the fair value of financial instruments for disclosure purposes;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requires separate presentation of financial assets and financial liabilities by measurement category and form of financial assets on the balance sheet or the accompanying notes to the financial statements and clarifies that an entity should evaluate the need for a valuation allowance on a deferred tax asset related to available-for-sale securities in combination with the entity’s other deferred tax assets. ASU 2016-01 is effective for financial statements issued for fiscal years beginning after December 15, 2017, and interim periods within those fiscal years. On January 1, 2018, the Company implemented ASU 2016-01 without any impact on the Company’s condensed consolidated financial statements and related disclosures.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 Classification of Certain Cash Receipts and Cash Payments,</w:t>
      </w:r>
      <w:r>
        <w:rPr>
          <w:rFonts w:ascii="Arial" w:cs="Arial" w:eastAsia="Arial" w:hAnsi="Arial"/>
          <w:sz w:val="18"/>
          <w:szCs w:val="18"/>
          <w:color w:val="auto"/>
        </w:rPr>
        <w:t xml:space="preserve"> which addresses eight specific cash flow issues with the objective of reducing the existing diversity in practice in how certain cash receipts and cash payments are presented and classified in the statement of cash flows. On January 1, 2018, the Company implemented ASU 2016-15 without any material impact on the Company’s condensed consolidated statement of cash flows and related disclosures.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ASU 2017-09 provides clarity and reduces both (1) diversity in practice and (2) cost and complexity when applying the guidance in Topic 718, to a change to the terms or conditions of a share-based payment award. The amendments in ASU 2017-09 should be applied prospectively to an award modified on or after the adoption date. On January 1, 2018, the Company implemented ASU 2017-09 without any material impact on the Company’s condensed consolidated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Topic 840, </w:t>
      </w:r>
      <w:r>
        <w:rPr>
          <w:rFonts w:ascii="Arial" w:cs="Arial" w:eastAsia="Arial" w:hAnsi="Arial"/>
          <w:sz w:val="17"/>
          <w:szCs w:val="17"/>
          <w:i w:val="1"/>
          <w:iCs w:val="1"/>
          <w:color w:val="auto"/>
        </w:rPr>
        <w:t>Leases (Topic 840)</w:t>
      </w:r>
      <w:r>
        <w:rPr>
          <w:rFonts w:ascii="Arial" w:cs="Arial" w:eastAsia="Arial" w:hAnsi="Arial"/>
          <w:sz w:val="17"/>
          <w:szCs w:val="17"/>
          <w:color w:val="auto"/>
        </w:rPr>
        <w:t xml:space="preserve">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classification. Leases with a term of 12 months or less will be accounted for similar to existing guidance for operating leases. In January 2018, the FASB issued ASU 2018-01, </w:t>
      </w:r>
      <w:r>
        <w:rPr>
          <w:rFonts w:ascii="Arial" w:cs="Arial" w:eastAsia="Arial" w:hAnsi="Arial"/>
          <w:sz w:val="17"/>
          <w:szCs w:val="17"/>
          <w:i w:val="1"/>
          <w:iCs w:val="1"/>
          <w:color w:val="auto"/>
        </w:rPr>
        <w:t>Leases (Topic 842) Land Easement Practical Expedient for Transition to Topic 842</w:t>
      </w:r>
      <w:r>
        <w:rPr>
          <w:rFonts w:ascii="Arial" w:cs="Arial" w:eastAsia="Arial" w:hAnsi="Arial"/>
          <w:sz w:val="17"/>
          <w:szCs w:val="17"/>
          <w:color w:val="auto"/>
        </w:rPr>
        <w:t>, which amends ASU 2016-02 to provide entities an optional transition practical expedient to not evaluate under Topic 842 existing or expired land easements that were not previously accounted for as leases under the current leases guidance in Topic 842. An entity that elects this practical expedient should evaluate new or modified land easements under Topic 842 beginning at the date that the entity adopts Topic 842. The standard will be effective for annual and interim periods beginning after December 15, 2018, with early adoption permitted upon issuance. The Company is currently evaluating the effect that the updated standard will have on its condensed consolidated financial statements and related disclosures.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which requires that expected credit losses relating to financial assets measured on an amortized cost basis and available-for-sale debt securities be recorded through an allowance for credit losses. ASU 2016-13 limits the amount of credit losses to be recognized for available-for-sale debt securities to the amount by which carrying value exceeds fair value and also requires the reversal of previously recognized credit losses if fair value increases. The new standard will be effective on January 1, 2020. Early adoption will be available on January 1, 2019. The Company is currently evaluating the effect that the updated standard will have on its condensed consolidated financial statements and related disclosures.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spacing w:after="0" w:line="293"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Income Statement - Reporting Comprehensive Income, (Topic 220):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from Accumulated Other Comprehensive Income, </w:t>
      </w:r>
      <w:r>
        <w:rPr>
          <w:rFonts w:ascii="Arial" w:cs="Arial" w:eastAsia="Arial" w:hAnsi="Arial"/>
          <w:sz w:val="16"/>
          <w:szCs w:val="16"/>
          <w:color w:val="auto"/>
        </w:rPr>
        <w:t>which allows a reclassification from accumulated other comprehensive income to retained earnings for</w:t>
      </w:r>
      <w:r>
        <w:rPr>
          <w:rFonts w:ascii="Arial" w:cs="Arial" w:eastAsia="Arial" w:hAnsi="Arial"/>
          <w:sz w:val="16"/>
          <w:szCs w:val="16"/>
          <w:i w:val="1"/>
          <w:iCs w:val="1"/>
          <w:color w:val="auto"/>
        </w:rPr>
        <w:t xml:space="preserve"> </w:t>
      </w:r>
      <w:r>
        <w:rPr>
          <w:rFonts w:ascii="Arial" w:cs="Arial" w:eastAsia="Arial" w:hAnsi="Arial"/>
          <w:sz w:val="16"/>
          <w:szCs w:val="16"/>
          <w:color w:val="auto"/>
        </w:rPr>
        <w:t>stranded tax effects resulting from the newly enacted federal corporate income tax rate under the Tax Cuts and Jobs Act. The amount of the reclassification would be the difference between the historical corporate income tax rate and the newly enacted 21% corporate income tax rate. The new standard is effective for fiscal years, including interim periods within those fiscal years, beginning after December 15, 2018 with early adoption in any interim period permitted. The Company is currently evaluating the effect that the updated standard will have on its condensed consolidated financial statements and related disclosures.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ASU 2018-07 simplifies several aspects of the accounting for nonemployee share-based payment transactions resulting from expanding the scope</w:t>
      </w:r>
      <w:r>
        <w:rPr>
          <w:rFonts w:ascii="Arial" w:cs="Arial" w:eastAsia="Arial" w:hAnsi="Arial"/>
          <w:sz w:val="17"/>
          <w:szCs w:val="17"/>
          <w:i w:val="1"/>
          <w:iCs w:val="1"/>
          <w:color w:val="auto"/>
        </w:rPr>
        <w:t xml:space="preserve"> </w:t>
      </w:r>
      <w:r>
        <w:rPr>
          <w:rFonts w:ascii="Arial" w:cs="Arial" w:eastAsia="Arial" w:hAnsi="Arial"/>
          <w:sz w:val="17"/>
          <w:szCs w:val="17"/>
          <w:color w:val="auto"/>
        </w:rPr>
        <w:t>of Topic 718, Compensation—Stock Compensation, to include share-based payment transactions for acquiring goods and services from nonemployees. ASU 2018-07 is effective for public business entities for fiscal years beginning after December 15, 2018, including interim periods within that fiscal year. This ASU is required to be applied with a modified retrospective approach, which gives the option of applying the new lease requirements as of the effective date with enhanced disclosure requirements for comparative periods presented under the current guidance, or applying the new standard at the beginning of the earliest comparative period presented. The Company is currently evaluating the effect that the updated standard will have on its condensed consolidated financial statements and related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 consist of the following as of June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8"/>
                <w:szCs w:val="18"/>
                <w:b w:val="1"/>
                <w:bCs w:val="1"/>
                <w:color w:val="auto"/>
              </w:rPr>
              <w:t>June 30, 2018</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260"/>
              <w:spacing w:after="0" w:line="271" w:lineRule="exact"/>
              <w:rPr>
                <w:sz w:val="20"/>
                <w:szCs w:val="20"/>
                <w:color w:val="auto"/>
              </w:rPr>
            </w:pPr>
            <w:r>
              <w:rPr>
                <w:rFonts w:ascii="Arial" w:cs="Arial" w:eastAsia="Arial" w:hAnsi="Arial"/>
                <w:sz w:val="18"/>
                <w:szCs w:val="18"/>
                <w:b w:val="1"/>
                <w:bCs w:val="1"/>
                <w:color w:val="auto"/>
                <w:w w:val="86"/>
              </w:rPr>
              <w:t xml:space="preserve">Gain </w:t>
            </w:r>
            <w:r>
              <w:rPr>
                <w:rFonts w:ascii="Arial" w:cs="Arial" w:eastAsia="Arial" w:hAnsi="Arial"/>
                <w:sz w:val="30"/>
                <w:szCs w:val="30"/>
                <w:b w:val="1"/>
                <w:bCs w:val="1"/>
                <w:color w:val="auto"/>
                <w:w w:val="86"/>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1"/>
              </w:rPr>
              <w:t xml:space="preserve">Loss </w:t>
            </w:r>
            <w:r>
              <w:rPr>
                <w:rFonts w:ascii="Arial" w:cs="Arial" w:eastAsia="Arial" w:hAnsi="Arial"/>
                <w:sz w:val="30"/>
                <w:szCs w:val="30"/>
                <w:b w:val="1"/>
                <w:bCs w:val="1"/>
                <w:color w:val="auto"/>
                <w:w w:val="81"/>
                <w:vertAlign w:val="superscript"/>
              </w:rPr>
              <w:t>(1)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securities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35,562,134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(179,540)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35,387,716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U.S.Treasury Securities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998,672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999,640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available-for-sale securities</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38,639,018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(179,540)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38,480,105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available-for-sale securities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2,207,073</w:t>
            </w: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(2,970)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2,204,103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40,846,091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(182,510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40,684,208</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160"/>
              <w:spacing w:after="0"/>
              <w:rPr>
                <w:sz w:val="20"/>
                <w:szCs w:val="20"/>
                <w:color w:val="auto"/>
              </w:rPr>
            </w:pPr>
            <w:r>
              <w:rPr>
                <w:rFonts w:ascii="Arial" w:cs="Arial" w:eastAsia="Arial" w:hAnsi="Arial"/>
                <w:sz w:val="18"/>
                <w:szCs w:val="18"/>
                <w:color w:val="auto"/>
              </w:rPr>
              <w:t>(1) Gross unrealized gain (loss) is pre-tax.</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8"/>
                <w:szCs w:val="18"/>
                <w:b w:val="1"/>
                <w:bCs w:val="1"/>
                <w:color w:val="auto"/>
              </w:rPr>
              <w:t>December 31, 2017</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8"/>
              </w:rPr>
              <w:t>Gross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ind w:right="260"/>
              <w:spacing w:after="0" w:line="271" w:lineRule="exact"/>
              <w:rPr>
                <w:sz w:val="20"/>
                <w:szCs w:val="20"/>
                <w:color w:val="auto"/>
              </w:rPr>
            </w:pPr>
            <w:r>
              <w:rPr>
                <w:rFonts w:ascii="Arial" w:cs="Arial" w:eastAsia="Arial" w:hAnsi="Arial"/>
                <w:sz w:val="18"/>
                <w:szCs w:val="18"/>
                <w:b w:val="1"/>
                <w:bCs w:val="1"/>
                <w:color w:val="auto"/>
                <w:w w:val="86"/>
              </w:rPr>
              <w:t xml:space="preserve">Gain </w:t>
            </w:r>
            <w:r>
              <w:rPr>
                <w:rFonts w:ascii="Arial" w:cs="Arial" w:eastAsia="Arial" w:hAnsi="Arial"/>
                <w:sz w:val="30"/>
                <w:szCs w:val="30"/>
                <w:b w:val="1"/>
                <w:bCs w:val="1"/>
                <w:color w:val="auto"/>
                <w:w w:val="86"/>
                <w:vertAlign w:val="superscript"/>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center"/>
              <w:ind w:right="280"/>
              <w:spacing w:after="0" w:line="271" w:lineRule="exact"/>
              <w:rPr>
                <w:sz w:val="20"/>
                <w:szCs w:val="20"/>
                <w:color w:val="auto"/>
              </w:rPr>
            </w:pPr>
            <w:r>
              <w:rPr>
                <w:rFonts w:ascii="Arial" w:cs="Arial" w:eastAsia="Arial" w:hAnsi="Arial"/>
                <w:sz w:val="18"/>
                <w:szCs w:val="18"/>
                <w:b w:val="1"/>
                <w:bCs w:val="1"/>
                <w:color w:val="auto"/>
                <w:w w:val="81"/>
              </w:rPr>
              <w:t xml:space="preserve">Loss </w:t>
            </w:r>
            <w:r>
              <w:rPr>
                <w:rFonts w:ascii="Arial" w:cs="Arial" w:eastAsia="Arial" w:hAnsi="Arial"/>
                <w:sz w:val="30"/>
                <w:szCs w:val="30"/>
                <w:b w:val="1"/>
                <w:bCs w:val="1"/>
                <w:color w:val="auto"/>
                <w:w w:val="81"/>
                <w:vertAlign w:val="superscript"/>
              </w:rPr>
              <w:t>(1)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Short-term available-for-sale securities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38,092,585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(183,738)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37,914,482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Long-term available-for-sale securities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3,357,778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3,347,213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41,450,363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(194,303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41,261,695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 xml:space="preserve"> Gross unrealized gain (loss) is pre-tax.</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contractual term to maturity of short-term marketable securities held by the Company as of June 30, 2018 is less than one year. The weighted average contractual term to maturity of long-term marketable securities held by the Company is approximately one year as of June 30, 2018.</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fair value of marketable securities was classified into fair value measurement categories as of June 30, 2018 and December 31, 2017 as follows: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Quoted prices in active markets for identical assets (Level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Quoted prices for similar assets observable in the marketplace (Level 2)</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195"/>
        </w:trPr>
        <w:tc>
          <w:tcPr>
            <w:tcW w:w="20" w:type="dxa"/>
            <w:vAlign w:val="bottom"/>
          </w:tcPr>
          <w:p>
            <w:pPr>
              <w:spacing w:after="0"/>
              <w:rPr>
                <w:sz w:val="16"/>
                <w:szCs w:val="16"/>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57"/>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40,684,208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41,261,695</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40,684,208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41,261,695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80" w:space="720"/>
            <w:col w:w="3120"/>
          </w:cols>
          <w:pgMar w:left="240" w:top="908" w:right="23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marketable securities are determined using quoted market prices from daily exchange traded markets based on the closing prices as of June 30, 2018 and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marketable securities between Levels 1, 2 or 3 for the six months ended June 30, 2018 and 2017.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Company’s investments’ gross unrealized losses and fair value, aggregated by investment category and length of time that individual securities have been in a continuous unrealized loss position, at June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2300" w:type="dxa"/>
            <w:vAlign w:val="bottom"/>
            <w:gridSpan w:val="5"/>
          </w:tcPr>
          <w:p>
            <w:pPr>
              <w:jc w:val="right"/>
              <w:ind w:right="548"/>
              <w:spacing w:after="0"/>
              <w:rPr>
                <w:sz w:val="20"/>
                <w:szCs w:val="20"/>
                <w:color w:val="auto"/>
              </w:rPr>
            </w:pPr>
            <w:r>
              <w:rPr>
                <w:rFonts w:ascii="Arial" w:cs="Arial" w:eastAsia="Arial" w:hAnsi="Arial"/>
                <w:sz w:val="14"/>
                <w:szCs w:val="14"/>
                <w:b w:val="1"/>
                <w:bCs w:val="1"/>
                <w:color w:val="auto"/>
              </w:rPr>
              <w:t>Less than 12 Months</w:t>
            </w:r>
          </w:p>
        </w:tc>
        <w:tc>
          <w:tcPr>
            <w:tcW w:w="180" w:type="dxa"/>
            <w:vAlign w:val="bottom"/>
          </w:tcPr>
          <w:p>
            <w:pPr>
              <w:spacing w:after="0"/>
              <w:rPr>
                <w:sz w:val="14"/>
                <w:szCs w:val="14"/>
                <w:color w:val="auto"/>
              </w:rPr>
            </w:pPr>
          </w:p>
        </w:tc>
        <w:tc>
          <w:tcPr>
            <w:tcW w:w="1500" w:type="dxa"/>
            <w:vAlign w:val="bottom"/>
            <w:gridSpan w:val="3"/>
          </w:tcPr>
          <w:p>
            <w:pPr>
              <w:ind w:left="260"/>
              <w:spacing w:after="0"/>
              <w:rPr>
                <w:sz w:val="20"/>
                <w:szCs w:val="20"/>
                <w:color w:val="auto"/>
              </w:rPr>
            </w:pPr>
            <w:r>
              <w:rPr>
                <w:rFonts w:ascii="Arial" w:cs="Arial" w:eastAsia="Arial" w:hAnsi="Arial"/>
                <w:sz w:val="14"/>
                <w:szCs w:val="14"/>
                <w:b w:val="1"/>
                <w:bCs w:val="1"/>
                <w:color w:val="auto"/>
                <w:w w:val="97"/>
              </w:rPr>
              <w:t>12 Months or More</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4620" w:type="dxa"/>
            <w:vAlign w:val="bottom"/>
          </w:tcPr>
          <w:p>
            <w:pPr>
              <w:spacing w:after="0"/>
              <w:rPr>
                <w:sz w:val="13"/>
                <w:szCs w:val="13"/>
                <w:color w:val="auto"/>
              </w:rPr>
            </w:pPr>
          </w:p>
        </w:tc>
        <w:tc>
          <w:tcPr>
            <w:tcW w:w="100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5"/>
              </w:rPr>
              <w:t>Fair Value</w:t>
            </w:r>
          </w:p>
        </w:tc>
        <w:tc>
          <w:tcPr>
            <w:tcW w:w="10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6"/>
              </w:rPr>
              <w:t>Unrealized Losses</w:t>
            </w:r>
          </w:p>
        </w:tc>
        <w:tc>
          <w:tcPr>
            <w:tcW w:w="220" w:type="dxa"/>
            <w:vAlign w:val="bottom"/>
          </w:tcPr>
          <w:p>
            <w:pPr>
              <w:spacing w:after="0"/>
              <w:rPr>
                <w:sz w:val="13"/>
                <w:szCs w:val="13"/>
                <w:color w:val="auto"/>
              </w:rPr>
            </w:pPr>
          </w:p>
        </w:tc>
        <w:tc>
          <w:tcPr>
            <w:tcW w:w="98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Fair Value</w:t>
            </w:r>
          </w:p>
        </w:tc>
        <w:tc>
          <w:tcPr>
            <w:tcW w:w="11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7"/>
              </w:rPr>
              <w:t>Unrealized Losses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87"/>
              </w:rPr>
              <w:t>Unrealized Losses</w:t>
            </w:r>
          </w:p>
        </w:tc>
        <w:tc>
          <w:tcPr>
            <w:tcW w:w="100" w:type="dxa"/>
            <w:vAlign w:val="bottom"/>
            <w:gridSpan w:val="2"/>
          </w:tcPr>
          <w:p>
            <w:pPr>
              <w:spacing w:after="0"/>
              <w:rPr>
                <w:sz w:val="13"/>
                <w:szCs w:val="13"/>
                <w:color w:val="auto"/>
              </w:rPr>
            </w:pPr>
          </w:p>
        </w:tc>
      </w:tr>
      <w:tr>
        <w:trPr>
          <w:trHeight w:val="142"/>
        </w:trPr>
        <w:tc>
          <w:tcPr>
            <w:tcW w:w="4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Corporate bonds</w:t>
            </w:r>
          </w:p>
        </w:tc>
        <w:tc>
          <w:tcPr>
            <w:tcW w:w="78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$ 31,221,671</w:t>
            </w:r>
          </w:p>
        </w:tc>
        <w:tc>
          <w:tcPr>
            <w:tcW w:w="2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(177,650</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999,150</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(4,860</w:t>
            </w:r>
          </w:p>
        </w:tc>
        <w:tc>
          <w:tcPr>
            <w:tcW w:w="14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$ 32,220,821</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(182,510</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r>
      <w:tr>
        <w:trPr>
          <w:trHeight w:val="156"/>
        </w:trPr>
        <w:tc>
          <w:tcPr>
            <w:tcW w:w="4620" w:type="dxa"/>
            <w:vAlign w:val="bottom"/>
          </w:tcPr>
          <w:p>
            <w:pPr>
              <w:spacing w:after="0" w:line="155" w:lineRule="exact"/>
              <w:rPr>
                <w:sz w:val="20"/>
                <w:szCs w:val="20"/>
                <w:color w:val="auto"/>
              </w:rPr>
            </w:pPr>
            <w:r>
              <w:rPr>
                <w:rFonts w:ascii="Arial" w:cs="Arial" w:eastAsia="Arial" w:hAnsi="Arial"/>
                <w:sz w:val="14"/>
                <w:szCs w:val="14"/>
                <w:b w:val="1"/>
                <w:bCs w:val="1"/>
                <w:color w:val="auto"/>
              </w:rPr>
              <w:t>Total</w:t>
            </w: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$ 31,221,671</w:t>
            </w:r>
          </w:p>
        </w:tc>
        <w:tc>
          <w:tcPr>
            <w:tcW w:w="220" w:type="dxa"/>
            <w:vAlign w:val="bottom"/>
          </w:tcPr>
          <w:p>
            <w:pPr>
              <w:spacing w:after="0"/>
              <w:rPr>
                <w:sz w:val="13"/>
                <w:szCs w:val="13"/>
                <w:color w:val="auto"/>
              </w:rPr>
            </w:pPr>
          </w:p>
        </w:tc>
        <w:tc>
          <w:tcPr>
            <w:tcW w:w="32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(177,650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999,150</w:t>
            </w:r>
          </w:p>
        </w:tc>
        <w:tc>
          <w:tcPr>
            <w:tcW w:w="200" w:type="dxa"/>
            <w:vAlign w:val="bottom"/>
          </w:tcPr>
          <w:p>
            <w:pPr>
              <w:spacing w:after="0"/>
              <w:rPr>
                <w:sz w:val="13"/>
                <w:szCs w:val="13"/>
                <w:color w:val="auto"/>
              </w:rPr>
            </w:pPr>
          </w:p>
        </w:tc>
        <w:tc>
          <w:tcPr>
            <w:tcW w:w="70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(4,860</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$ 32,220,821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(182,510</w:t>
            </w:r>
          </w:p>
        </w:tc>
        <w:tc>
          <w:tcPr>
            <w:tcW w:w="100" w:type="dxa"/>
            <w:vAlign w:val="bottom"/>
            <w:gridSpan w:val="2"/>
          </w:tcPr>
          <w:p>
            <w:pPr>
              <w:jc w:val="right"/>
              <w:ind w:right="60"/>
              <w:spacing w:after="0"/>
              <w:rPr>
                <w:sz w:val="20"/>
                <w:szCs w:val="20"/>
                <w:color w:val="auto"/>
              </w:rPr>
            </w:pPr>
            <w:r>
              <w:rPr>
                <w:rFonts w:ascii="Arial" w:cs="Arial" w:eastAsia="Arial" w:hAnsi="Arial"/>
                <w:sz w:val="8"/>
                <w:szCs w:val="8"/>
                <w:b w:val="1"/>
                <w:bCs w:val="1"/>
                <w:color w:val="auto"/>
                <w:w w:val="73"/>
              </w:rPr>
              <w:t>)</w:t>
            </w:r>
          </w:p>
        </w:tc>
      </w:tr>
      <w:tr>
        <w:trPr>
          <w:trHeight w:val="20"/>
        </w:trPr>
        <w:tc>
          <w:tcPr>
            <w:tcW w:w="4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determined that the unrealized losses are deemed to be temporary as of June 30, 2018. The Company believes that the unrealized losses generally are caused by increases in the risk premiums required by market participants rather than an adverse change in cash flows or a fundamental weakness in the credit quality of the issuer or underlying assets. Because the Company has the ability and intent to hold these investments until a recovery of fair value, which may be maturity, it does not consider the investment in corporate bonds to be other-than-temporarily impaired at June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Note 4 - Property, Plant and Equipment, Net</w:t>
            </w: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00" w:type="dxa"/>
            <w:vAlign w:val="bottom"/>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0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 (Years)</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Computer hardware and software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104,968</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Lab equipment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3 to 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369,827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369,827</w:t>
            </w: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equipment</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25,354</w:t>
            </w: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Leasehold improvement</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 to 3.25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789,865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773,700</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1,365,666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1,273,849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3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(725,769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(413,823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639,897</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860,026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expense for the three months ended June 30, 2018 and 2017 was approximately $143,860 and $50,914, respectively, and was recorded in both research and development expense and general and administrative expense in the condensed consolidated statements of operations.</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expense for the six months ended June 30, 2018 and 2017 was approximately $311,946 and $82,830, respectively, and was recorded in both research and development expense and general and administrative expense in the condensed consolidated statements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Note 5 - Accrued Expenses</w:t>
            </w: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20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80" w:type="dxa"/>
            <w:vAlign w:val="bottom"/>
          </w:tcPr>
          <w:p>
            <w:pPr>
              <w:spacing w:after="0"/>
              <w:rPr>
                <w:sz w:val="20"/>
                <w:szCs w:val="20"/>
                <w:color w:val="auto"/>
              </w:rPr>
            </w:pPr>
          </w:p>
        </w:tc>
        <w:tc>
          <w:tcPr>
            <w:tcW w:w="5400" w:type="dxa"/>
            <w:vAlign w:val="bottom"/>
            <w:tcBorders>
              <w:bottom w:val="single" w:sz="8" w:color="CCEEFF"/>
            </w:tcBorders>
          </w:tcPr>
          <w:p>
            <w:pPr>
              <w:spacing w:after="0"/>
              <w:rPr>
                <w:sz w:val="20"/>
                <w:szCs w:val="20"/>
                <w:color w:val="auto"/>
              </w:rPr>
            </w:pPr>
          </w:p>
        </w:tc>
        <w:tc>
          <w:tcPr>
            <w:tcW w:w="2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Salaries, bonuses and employee benefits</w:t>
            </w:r>
          </w:p>
        </w:tc>
        <w:tc>
          <w:tcPr>
            <w:tcW w:w="2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2,601,181</w:t>
            </w:r>
          </w:p>
        </w:tc>
        <w:tc>
          <w:tcPr>
            <w:tcW w:w="42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4,518,128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674,686</w:t>
            </w:r>
          </w:p>
        </w:tc>
        <w:tc>
          <w:tcPr>
            <w:tcW w:w="100" w:type="dxa"/>
            <w:vAlign w:val="bottom"/>
            <w:shd w:val="clear" w:color="auto" w:fill="CCEEFF"/>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54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General and administrative expenses</w:t>
            </w:r>
          </w:p>
        </w:tc>
        <w:tc>
          <w:tcPr>
            <w:tcW w:w="2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1,084,202</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946,186</w:t>
            </w:r>
          </w:p>
        </w:tc>
        <w:tc>
          <w:tcPr>
            <w:tcW w:w="100" w:type="dxa"/>
            <w:vAlign w:val="bottom"/>
            <w:tcBorders>
              <w:bottom w:val="single" w:sz="8" w:color="CCEE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w:t>
            </w:r>
          </w:p>
        </w:tc>
        <w:tc>
          <w:tcPr>
            <w:tcW w:w="2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5,079,780</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30, 2018, the Company’s stockholders approved the adoption of the Fourth Amended and Restated Certificate of Incorporation, which amended and restated the Company’s Third Amended and Restated Certificate of Incorporation, as amended, to, among other things, increase the authorized number of shares of common stock, par value $0.001 per share, from 50,000,000 shares to 100,000,000 shares. The Fourth Amended and Restated Certificate of Incorporation was filed with the Secretary of State of the State of Delaware on May 31,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2018, the Company issued an aggregate of 476,524 shares of common stock and received gross proceeds of approximately $3.3 million from the exercise of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24, 2018, the Board authorized the filing of a Certificate of Elimination with the Secretary of State of the State of Delaware to remove the Certificate of Designation of Series A Non-Voting Convertible Preferred Stock (the Series A Preferred Stock) from the Company’s Third Amended and Restated Certificate of Incorporation, as amended (which was amended and restated on May 31, 2018), because no shares of the Series A Preferred Stock were outstanding and no shares were available to be 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2018, the Company had awards outstanding under the 2010 Equity Incentive Plan (the 2010 Plan), which has been frozen, the Amended and Restated 2014 Stock Incentive Plan (the 2014 Plan) and the Assembly Biosciences, Inc. 2017 Inducement Award Plan. Shares of common stock underlying awards that are forfeited under the 2010 Plan will become available for issuance under the 2014 Plan.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30, 2018, the Company’s stockholders approved the Assembly Biosciences, Inc. 2018 Stock Incentive Plan (the 2018 Plan) pursuant to which the Company reserved 1,900,000 shares of common stock for issuance. Shares underlying awards that are forfeited under the 2014 Plan on or after May 30, 2018 will also become available for issuance under the 2018 Plan. As of June 30, 2018, no awards had been made under the 2018 Plan.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summary of the Company’s option activity and related information for the six-month period ended June 30, 2018 is as follows: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4"/>
          </w:tcPr>
          <w:p>
            <w:pPr>
              <w:ind w:left="80"/>
              <w:spacing w:after="0"/>
              <w:rPr>
                <w:sz w:val="20"/>
                <w:szCs w:val="20"/>
                <w:color w:val="auto"/>
              </w:rPr>
            </w:pPr>
            <w:r>
              <w:rPr>
                <w:rFonts w:ascii="Arial" w:cs="Arial" w:eastAsia="Arial" w:hAnsi="Arial"/>
                <w:sz w:val="18"/>
                <w:szCs w:val="18"/>
                <w:b w:val="1"/>
                <w:bCs w:val="1"/>
                <w:color w:val="auto"/>
              </w:rPr>
              <w:t>Weighted Average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Total Intrinsic</w:t>
            </w:r>
          </w:p>
        </w:tc>
      </w:tr>
      <w:tr>
        <w:trPr>
          <w:trHeight w:val="234"/>
        </w:trPr>
        <w:tc>
          <w:tcPr>
            <w:tcW w:w="4520" w:type="dxa"/>
            <w:vAlign w:val="bottom"/>
          </w:tcPr>
          <w:p>
            <w:pPr>
              <w:spacing w:after="0"/>
              <w:rPr>
                <w:sz w:val="20"/>
                <w:szCs w:val="20"/>
                <w:color w:val="auto"/>
              </w:rPr>
            </w:pPr>
          </w:p>
        </w:tc>
        <w:tc>
          <w:tcPr>
            <w:tcW w:w="3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Number of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18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4,551,819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162,002,439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Granted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718,604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3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(476,524)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Forfeited</w:t>
            </w:r>
          </w:p>
        </w:tc>
        <w:tc>
          <w:tcPr>
            <w:tcW w:w="3320" w:type="dxa"/>
            <w:vAlign w:val="bottom"/>
            <w:gridSpan w:val="3"/>
          </w:tcPr>
          <w:p>
            <w:pPr>
              <w:jc w:val="right"/>
              <w:ind w:right="80"/>
              <w:spacing w:after="0"/>
              <w:rPr>
                <w:sz w:val="20"/>
                <w:szCs w:val="20"/>
                <w:color w:val="auto"/>
              </w:rPr>
            </w:pPr>
            <w:r>
              <w:rPr>
                <w:rFonts w:ascii="Arial" w:cs="Arial" w:eastAsia="Arial" w:hAnsi="Arial"/>
                <w:sz w:val="18"/>
                <w:szCs w:val="18"/>
                <w:color w:val="auto"/>
              </w:rPr>
              <w:t>(53,225)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2018</w:t>
            </w:r>
          </w:p>
        </w:tc>
        <w:tc>
          <w:tcPr>
            <w:tcW w:w="18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4,740,674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155,548,709</w:t>
            </w:r>
          </w:p>
        </w:tc>
        <w:tc>
          <w:tcPr>
            <w:tcW w:w="120" w:type="dxa"/>
            <w:vAlign w:val="bottom"/>
            <w:tcBorders>
              <w:top w:val="single" w:sz="8" w:color="CCEEFF"/>
            </w:tcBorders>
            <w:shd w:val="clear" w:color="auto" w:fill="CCEEFF"/>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8"/>
                <w:szCs w:val="18"/>
                <w:color w:val="auto"/>
              </w:rPr>
              <w:t>Options vested and exercisable</w:t>
            </w:r>
          </w:p>
        </w:tc>
        <w:tc>
          <w:tcPr>
            <w:tcW w:w="18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3,114,694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95,909,545</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options granted for the six months ended June 30, 2018 and 2017, were based on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152400</wp:posOffset>
            </wp:positionV>
            <wp:extent cx="651764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17640" cy="300355"/>
                    </a:xfrm>
                    <a:prstGeom prst="rect">
                      <a:avLst/>
                    </a:prstGeom>
                    <a:noFill/>
                  </pic:spPr>
                </pic:pic>
              </a:graphicData>
            </a:graphic>
          </wp:anchor>
        </w:drawing>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7720" w:type="dxa"/>
            <w:vAlign w:val="bottom"/>
            <w:shd w:val="clear" w:color="auto" w:fill="CCEEFF"/>
          </w:tcPr>
          <w:p>
            <w:pPr>
              <w:spacing w:after="0"/>
              <w:rPr>
                <w:sz w:val="19"/>
                <w:szCs w:val="19"/>
                <w:color w:val="auto"/>
              </w:rPr>
            </w:pPr>
          </w:p>
        </w:tc>
        <w:tc>
          <w:tcPr>
            <w:tcW w:w="2560" w:type="dxa"/>
            <w:vAlign w:val="bottom"/>
            <w:tcBorders>
              <w:bottom w:val="single" w:sz="8" w:color="auto"/>
            </w:tcBorders>
            <w:gridSpan w:val="5"/>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23"/>
        </w:trPr>
        <w:tc>
          <w:tcPr>
            <w:tcW w:w="77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$41.36</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$57.53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$12.81</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$25.96</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560" w:type="dxa"/>
            <w:vAlign w:val="bottom"/>
          </w:tcPr>
          <w:p>
            <w:pPr>
              <w:jc w:val="right"/>
              <w:spacing w:after="0"/>
              <w:rPr>
                <w:sz w:val="20"/>
                <w:szCs w:val="20"/>
                <w:color w:val="auto"/>
              </w:rPr>
            </w:pPr>
            <w:r>
              <w:rPr>
                <w:rFonts w:ascii="Arial" w:cs="Arial" w:eastAsia="Arial" w:hAnsi="Arial"/>
                <w:sz w:val="18"/>
                <w:szCs w:val="18"/>
                <w:color w:val="auto"/>
              </w:rPr>
              <w:t>76.7%</w:t>
            </w:r>
          </w:p>
        </w:tc>
        <w:tc>
          <w:tcPr>
            <w:tcW w:w="660" w:type="dxa"/>
            <w:vAlign w:val="bottom"/>
          </w:tcPr>
          <w:p>
            <w:pPr>
              <w:ind w:left="20"/>
              <w:spacing w:after="0"/>
              <w:rPr>
                <w:sz w:val="20"/>
                <w:szCs w:val="20"/>
                <w:color w:val="auto"/>
              </w:rPr>
            </w:pPr>
            <w:r>
              <w:rPr>
                <w:rFonts w:ascii="Arial" w:cs="Arial" w:eastAsia="Arial" w:hAnsi="Arial"/>
                <w:sz w:val="18"/>
                <w:szCs w:val="18"/>
                <w:color w:val="auto"/>
                <w:w w:val="99"/>
              </w:rPr>
              <w:t>- 86.1%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84.4%</w:t>
            </w:r>
          </w:p>
        </w:tc>
        <w:tc>
          <w:tcPr>
            <w:tcW w:w="680" w:type="dxa"/>
            <w:vAlign w:val="bottom"/>
          </w:tcPr>
          <w:p>
            <w:pPr>
              <w:ind w:left="20"/>
              <w:spacing w:after="0"/>
              <w:rPr>
                <w:sz w:val="20"/>
                <w:szCs w:val="20"/>
                <w:color w:val="auto"/>
              </w:rPr>
            </w:pPr>
            <w:r>
              <w:rPr>
                <w:rFonts w:ascii="Arial" w:cs="Arial" w:eastAsia="Arial" w:hAnsi="Arial"/>
                <w:sz w:val="18"/>
                <w:szCs w:val="18"/>
                <w:color w:val="auto"/>
              </w:rPr>
              <w:t>- 87.0%</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- 2.93%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- 2.23%</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Term (years)</w:t>
            </w: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660" w:type="dxa"/>
            <w:vAlign w:val="bottom"/>
          </w:tcPr>
          <w:p>
            <w:pPr>
              <w:ind w:left="20"/>
              <w:spacing w:after="0"/>
              <w:rPr>
                <w:sz w:val="20"/>
                <w:szCs w:val="20"/>
                <w:color w:val="auto"/>
              </w:rPr>
            </w:pPr>
            <w:r>
              <w:rPr>
                <w:rFonts w:ascii="Arial" w:cs="Arial" w:eastAsia="Arial" w:hAnsi="Arial"/>
                <w:sz w:val="18"/>
                <w:szCs w:val="18"/>
                <w:color w:val="auto"/>
              </w:rPr>
              <w:t>- 7.0</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680" w:type="dxa"/>
            <w:vAlign w:val="bottom"/>
          </w:tcPr>
          <w:p>
            <w:pPr>
              <w:ind w:left="20"/>
              <w:spacing w:after="0"/>
              <w:rPr>
                <w:sz w:val="20"/>
                <w:szCs w:val="20"/>
                <w:color w:val="auto"/>
              </w:rPr>
            </w:pPr>
            <w:r>
              <w:rPr>
                <w:rFonts w:ascii="Arial" w:cs="Arial" w:eastAsia="Arial" w:hAnsi="Arial"/>
                <w:sz w:val="18"/>
                <w:szCs w:val="18"/>
                <w:color w:val="auto"/>
              </w:rPr>
              <w:t>- 7.0</w:t>
            </w: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Estimated future stock-based compensation expense relating to unvested stock options is as follows: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8"/>
                <w:szCs w:val="18"/>
                <w:b w:val="1"/>
                <w:bCs w:val="1"/>
                <w:color w:val="auto"/>
                <w:w w:val="95"/>
              </w:rPr>
              <w:t>Future Stock Option</w:t>
            </w:r>
          </w:p>
        </w:tc>
      </w:tr>
      <w:tr>
        <w:trPr>
          <w:trHeight w:val="216"/>
        </w:trPr>
        <w:tc>
          <w:tcPr>
            <w:tcW w:w="8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Compensation</w:t>
            </w:r>
          </w:p>
        </w:tc>
      </w:tr>
      <w:tr>
        <w:trPr>
          <w:trHeight w:val="234"/>
        </w:trPr>
        <w:tc>
          <w:tcPr>
            <w:tcW w:w="8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Expenses</w:t>
            </w:r>
          </w:p>
        </w:tc>
      </w:tr>
      <w:tr>
        <w:trPr>
          <w:trHeight w:val="210"/>
        </w:trPr>
        <w:tc>
          <w:tcPr>
            <w:tcW w:w="88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Six Months Ending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10,112,053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Year Ending December 31,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10,698,701</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3,823,450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Year Ending December 31, 2021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904,725</w:t>
            </w:r>
          </w:p>
        </w:tc>
        <w:tc>
          <w:tcPr>
            <w:tcW w:w="80" w:type="dxa"/>
            <w:vAlign w:val="bottom"/>
          </w:tcPr>
          <w:p>
            <w:pPr>
              <w:spacing w:after="0"/>
              <w:rPr>
                <w:sz w:val="18"/>
                <w:szCs w:val="18"/>
                <w:color w:val="auto"/>
              </w:rPr>
            </w:pPr>
          </w:p>
        </w:tc>
      </w:tr>
      <w:tr>
        <w:trPr>
          <w:trHeight w:val="230"/>
        </w:trPr>
        <w:tc>
          <w:tcPr>
            <w:tcW w:w="88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 2022</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38,214</w:t>
            </w:r>
          </w:p>
        </w:tc>
        <w:tc>
          <w:tcPr>
            <w:tcW w:w="80" w:type="dxa"/>
            <w:vAlign w:val="bottom"/>
            <w:shd w:val="clear" w:color="auto" w:fill="CCEEFF"/>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25,577,143</w:t>
            </w: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contractual term of exercisable options is approximately 6.5 years at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no warrant activity during the six months ended June 30, 2018. The weighted average remaining contractual life of outstanding warrants to purchase 15,296 shares of common stock at June 30, 2018 is approximately 2.2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March 29, 2018, the Company issued 131,559 RSUs to employees as annual performance awards, which RSUs will vest over four years assuming continuous service by the applicable employees through the vesting dates. On June 1, 2018, the Company issued 100,000 RSUs to a consultant for services, which RSUs will vest quarterly over 18 months assuming continuous services by the consultant under his consulting agreement through the vesting dates.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 summary of the Company's restricted stock units and related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Unvested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Unvested as of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80"/>
        <w:spacing w:after="0"/>
        <w:rPr>
          <w:sz w:val="20"/>
          <w:szCs w:val="20"/>
          <w:color w:val="auto"/>
        </w:rPr>
      </w:pPr>
      <w:r>
        <w:rPr>
          <w:rFonts w:ascii="Arial" w:cs="Arial" w:eastAsia="Arial" w:hAnsi="Arial"/>
          <w:sz w:val="16"/>
          <w:szCs w:val="16"/>
          <w:b w:val="1"/>
          <w:bCs w:val="1"/>
          <w:u w:val="single" w:color="auto"/>
          <w:color w:val="auto"/>
        </w:rPr>
        <w:t>Number of units</w:t>
      </w:r>
    </w:p>
    <w:p>
      <w:pPr>
        <w:spacing w:after="0" w:line="5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231,559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805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350,059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8058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0581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31750</wp:posOffset>
            </wp:positionV>
            <wp:extent cx="8058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left="191" w:right="109"/>
        <w:spacing w:after="0" w:line="289" w:lineRule="auto"/>
        <w:rPr>
          <w:sz w:val="20"/>
          <w:szCs w:val="20"/>
          <w:color w:val="auto"/>
        </w:rPr>
      </w:pPr>
      <w:r>
        <w:rPr>
          <w:rFonts w:ascii="Arial" w:cs="Arial" w:eastAsia="Arial" w:hAnsi="Arial"/>
          <w:sz w:val="16"/>
          <w:szCs w:val="16"/>
          <w:b w:val="1"/>
          <w:bCs w:val="1"/>
          <w:color w:val="auto"/>
        </w:rPr>
        <w:t>Weighted average grant price</w:t>
      </w:r>
    </w:p>
    <w:p>
      <w:pPr>
        <w:spacing w:after="0" w:line="2" w:lineRule="exact"/>
        <w:rPr>
          <w:sz w:val="20"/>
          <w:szCs w:val="20"/>
          <w:color w:val="auto"/>
        </w:rPr>
      </w:pPr>
    </w:p>
    <w:p>
      <w:pPr>
        <w:ind w:left="831" w:hanging="831"/>
        <w:spacing w:after="0"/>
        <w:tabs>
          <w:tab w:leader="none" w:pos="831" w:val="left"/>
        </w:tabs>
        <w:numPr>
          <w:ilvl w:val="0"/>
          <w:numId w:val="7"/>
        </w:numPr>
        <w:rPr>
          <w:rFonts w:ascii="Arial" w:cs="Arial" w:eastAsia="Arial" w:hAnsi="Arial"/>
          <w:sz w:val="16"/>
          <w:szCs w:val="16"/>
          <w:color w:val="auto"/>
        </w:rPr>
      </w:pPr>
      <w:r>
        <w:rPr>
          <w:rFonts w:ascii="Arial" w:cs="Arial" w:eastAsia="Arial" w:hAnsi="Arial"/>
          <w:sz w:val="16"/>
          <w:szCs w:val="16"/>
          <w:color w:val="auto"/>
        </w:rPr>
        <w:t>44.28</w:t>
      </w:r>
    </w:p>
    <w:p>
      <w:pPr>
        <w:spacing w:after="0" w:line="45" w:lineRule="exact"/>
        <w:rPr>
          <w:rFonts w:ascii="Arial" w:cs="Arial" w:eastAsia="Arial" w:hAnsi="Arial"/>
          <w:sz w:val="16"/>
          <w:szCs w:val="16"/>
          <w:color w:val="auto"/>
        </w:rPr>
      </w:pPr>
    </w:p>
    <w:p>
      <w:pPr>
        <w:ind w:left="831"/>
        <w:spacing w:after="0"/>
        <w:rPr>
          <w:rFonts w:ascii="Arial" w:cs="Arial" w:eastAsia="Arial" w:hAnsi="Arial"/>
          <w:sz w:val="16"/>
          <w:szCs w:val="16"/>
          <w:color w:val="auto"/>
        </w:rPr>
      </w:pPr>
      <w:r>
        <w:rPr>
          <w:rFonts w:ascii="Arial" w:cs="Arial" w:eastAsia="Arial" w:hAnsi="Arial"/>
          <w:sz w:val="16"/>
          <w:szCs w:val="16"/>
          <w:color w:val="auto"/>
        </w:rPr>
        <w:t>44.85</w:t>
      </w:r>
    </w:p>
    <w:p>
      <w:pPr>
        <w:spacing w:after="0" w:line="32" w:lineRule="exact"/>
        <w:rPr>
          <w:rFonts w:ascii="Arial" w:cs="Arial" w:eastAsia="Arial" w:hAnsi="Arial"/>
          <w:sz w:val="16"/>
          <w:szCs w:val="16"/>
          <w:color w:val="auto"/>
        </w:rPr>
      </w:pPr>
    </w:p>
    <w:p>
      <w:pPr>
        <w:ind w:left="831"/>
        <w:spacing w:after="0"/>
        <w:rPr>
          <w:rFonts w:ascii="Arial" w:cs="Arial" w:eastAsia="Arial" w:hAnsi="Arial"/>
          <w:sz w:val="16"/>
          <w:szCs w:val="16"/>
          <w:color w:val="auto"/>
        </w:rPr>
      </w:pPr>
      <w:r>
        <w:rPr>
          <w:rFonts w:ascii="Arial" w:cs="Arial" w:eastAsia="Arial" w:hAnsi="Arial"/>
          <w:sz w:val="16"/>
          <w:szCs w:val="16"/>
          <w:color w:val="auto"/>
        </w:rPr>
        <w:t>49.14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886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8" w:lineRule="exact"/>
        <w:rPr>
          <w:sz w:val="20"/>
          <w:szCs w:val="20"/>
          <w:color w:val="auto"/>
        </w:rPr>
      </w:pPr>
    </w:p>
    <w:p>
      <w:pPr>
        <w:ind w:left="831" w:hanging="831"/>
        <w:spacing w:after="0"/>
        <w:tabs>
          <w:tab w:leader="none" w:pos="831" w:val="left"/>
        </w:tabs>
        <w:numPr>
          <w:ilvl w:val="0"/>
          <w:numId w:val="8"/>
        </w:numPr>
        <w:rPr>
          <w:rFonts w:ascii="Arial" w:cs="Arial" w:eastAsia="Arial" w:hAnsi="Arial"/>
          <w:sz w:val="16"/>
          <w:szCs w:val="16"/>
          <w:color w:val="auto"/>
        </w:rPr>
      </w:pPr>
      <w:r>
        <w:rPr>
          <w:rFonts w:ascii="Arial" w:cs="Arial" w:eastAsia="Arial" w:hAnsi="Arial"/>
          <w:sz w:val="16"/>
          <w:szCs w:val="16"/>
          <w:color w:val="auto"/>
        </w:rPr>
        <w:t>44.64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886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wp:posOffset>
            </wp:positionV>
            <wp:extent cx="7886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7860" w:space="720"/>
            <w:col w:w="1340" w:space="149"/>
            <w:col w:w="1351"/>
          </w:cols>
          <w:pgMar w:left="240" w:top="908" w:right="239" w:bottom="1440" w:gutter="0" w:footer="0" w:header="0"/>
        </w:sectPr>
      </w:pP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the Company had unrecognized stock-based compensation expense related to all unvested restricted stock units of $8.0 million. The weighted average remaining contractual term of unvested RSUs is approximately 9.7 years at June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ESPP</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30, 2018, the Company’s stockholders approved the Assembly Biosciences, Inc. 2018 Employee Stock Purchase Plan (the 2018 ESPP). The 2018 ESPP provides for the purchase by employees of up to an aggregate of 400,000 shares of the Company’s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Eligible employees can purchase the Company’s Common Stock at the end of a predetermined offering period at 85% of the lower of the fair market value at the beginning or end of the offering period. The ESPP is compensatory and results in stock-based compensation expense.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2018, no shares have been purchased and 400,000 shares are available for future sale under the Company’s 2018 ESPP. Share-based compensation expense recorded was approximately $18,887 for the three and six months ended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for the three and six months ended June 30, 2018 and 2017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4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6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3,689,413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1,226,269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6,213,521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2,178,195</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7,899,558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784,992</w:t>
            </w:r>
          </w:p>
        </w:tc>
        <w:tc>
          <w:tcPr>
            <w:tcW w:w="1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9,458,217</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1,057,713</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11,588,971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2,011,261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15,671,738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Collaboration Agreement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2017, the Company entered into the Collaboration Agreement with Allergan to develop and commercialize select microbiome gastrointestinal programs. Pursuant to the Collaboration Agreement, the Company granted Allergan an exclusive worldwide license to certain of its intellectual property, including its intellectual property arising under the Collaboration Agreement, to develop and commercialize licensed compounds for ulcerative colitis (UC), Crohn’s disease, and irritable bowel syndrome (IBS). Allergan and the Company will collaborate on research and development activities with respect to the licensed compounds in accordance with a mutually agreed upon research and development plan.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closing of the transaction in February 2017, Allergan paid the Company an upfront payment of $50 million. Additionally, the Company is eligible to receive variable consideration in the form of cost-sharing reimbursements, up to approximately $630 million in related to seven development milestones and up to approximately $2.15 billion in related to 12 commercial development and sales milestones in connection with the successful development and commercialization of licensed compounds for up to six different indications. There is significant uncertainty as to whether the stated milestones will be achieved, and the Company has not included the associated variable consideration in the transaction price as it is not probable that a significant reversal in the amount of cumulative revenue recognized would not occur.</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the Company is eligible to receive tiered royalties at rates ranging from the mid-single digits to the mid-teens based on net sales. Allergan and the Company have agreed to share development costs up to an aggregate of $75 million through proof-of-concept (POC) studies on a ⅔, ⅓ basis, respectively, and Allergan has agreed to assume all post-POC development costs. In the event any pre-POC development costs exceed $75 million in the aggregate, the Company may elect either (a) to fund ⅓ of such costs in excess of $75 million or (b) to allow Allergan to deduct from future development milestone payments ⅓ of the development costs funded by Allergan in excess of $75 million plus a premium of 25%. The Company has an option to co-promote the licensed programs in the U.S. and China, subject to certain conditions set forth in the Collaboration Agreement. Allergan may terminate the Collaboration Agreement for convenience at any time upon either 90 days’ (prior to the initiation of the first POC trial of a licensed product) or 120 days’ (after the initiation of the first POC trial of a licensed product), as applicable, advance written notice to the Company. The Collaboration Agreement also contains customary provisions for termination by either party, including in the event of breach of the Collaboration Agreement, subject to cure.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5" w:name="page16"/>
    <w:bookmarkEnd w:id="15"/>
    <w:p>
      <w:pPr>
        <w:jc w:val="both"/>
        <w:spacing w:after="0" w:line="287" w:lineRule="auto"/>
        <w:rPr>
          <w:sz w:val="20"/>
          <w:szCs w:val="20"/>
          <w:color w:val="auto"/>
        </w:rPr>
      </w:pPr>
      <w:r>
        <w:rPr>
          <w:rFonts w:ascii="Arial" w:cs="Arial" w:eastAsia="Arial" w:hAnsi="Arial"/>
          <w:sz w:val="16"/>
          <w:szCs w:val="16"/>
          <w:color w:val="auto"/>
        </w:rPr>
        <w:t>The Company determined that it has four performance obligations under the Collaboration Agreement associated with the transfer of the license and the performance of the research and development services combined for each of the four indications; the license is not distinct because Allergan cannot obtain value from the license without the research and development services that the Company is uniquely able to perform. The deferred revenue associated with the $50 million upfront payment will be recorded proportionally over a ten-year service period as the research and development services are expected to be performed. As such, the Company recognized the upfront payment received of $50.0 million as approximately $5.0 million in short-term deferred revenue and $45.0 million in long-term deferred revenue as of the closing date. Given the early stage of development, the Company has determined the relative selling price for each of the four indications to be $12.5 million. For the three months ended June 30, 2018 and 2017, the Company recorded approximately $1.2 million and $1.2 million, respectively, in revenue related to the amortization of deferred revenue. For the six months ended June 30, 2018 and 2017, the Company recorded approximately $2.5 million and $1.9 million, respectively, in revenue related to the amortization of deferred revenue. Short-term and long-term deferred revenue contract liabilities related to the Collaboration Agreement were approximately $5.5 million and approximately $38.1 million at June 30, 2018 and approximately $5.2 million and approximately $40.6 million at December 31, 2017.</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Expense reimbursements will be recognized as collaboration revenue when the related expenses are incurred. The reimbursable expenses incurred in connection with the Collaboration Agreement during the three months ended June 30, 2018 and 2017 were approximately $2.0 million and $1.1 million, and during the six months ended June 30, 2018 and 2017 were approximately $4.3 million and $1.1 million, respectively, and recorded in collaboration revenue on the condensed consolidated statement of operations. On the condensed consolidated balance sheets, contract balances of approximately $2.1 million and approximately $2.3 million were recorded as accounts receivable from collaboration as of June 30, 2018 and December 31, 2017, respectively. As of January 1, 2018, and June 30, 2018, the Company had a contract liability balance of $0.2 million and $0.5 million, respectively, related to expense reimbursement performance obligations that were not satisfied.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Property Leases and Equipment 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office space for corporate functions in Carmel, Indiana under a lease agreement that expires in August 2023. The leased location in Carmel, Indiana supports both the HBV-cure and Microbiome programs. The Company leases office and laboratory space in San Francisco, California under a sublease that expires in December 2018. The leased location in San Francisco, California supports both the HBV-cure and Microbiome programs. The Company also conducts research, development and small scale manufacturing activities for the Microbiome program at office and laboratory space in Groton, Connecticut under a lease that expires in March 2019.</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leasing expenses for the three months ended June 30, 2018 and 2017 were approximately $0.4 million and $0.3 million, respectively. The total leasing expenses for the six months ended June 30, 2018 and 2017 were approximately $0.8 million and $0.6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Lease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a Master Lease Agreement dated November 25, 2014, the Company leases certain equipment. The equipment lease expense for the three months ended June 30, 2018 and 2017 amounted to approximately $344,000 and $180,000, respectively. The equipment lease expense for the six months ended June 30, 2018 and 2017 amounted to approximately $648,000 and $359,000, respectively. These equipment leases began to expire in 2017, with the final lease expiring in 2021. The sum of all future payments through termination is approximately $3.6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material legal proceedings. From time to time, the Company may be subject to various legal proceedings and claims that arise in the ordinary course of its business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Follow-on Equity Financing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11, 2018, the Company entered into an underwriting agreement (the “Underwriting Agreement”) with Jefferies LLC, Leerink Partners LLC and William Blair &amp; Company, L.L.C., as representatives of the several underwriters listed in Schedule 1 thereto (the “Underwriters”), in connection with the issuance and sale of 4,000,000 shares of the Company’s common stock, par value $0.001 per share (the “Common Stock”), at a public offering price of $36.00 per share (the “Offering”). In addition, pursuant to the Underwriting Agreement, the Company granted the Underwriters a 30-day option to purchase up to 600,000 additional shares of Common Stock on the same terms, and the Underwriters exercised the option in full on July 12, 2018 (the “Option Exercise”). The Company received aggregate net proceeds of approximately $155.4 million from the Offering and the Option Exercise, after deducting underwriting discounts and commissions and estimated offering expenses payable by the Company.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Sublease of Office and Laboratory Space in South San Francisco, California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18, 2018, the Company and Prothena Biosciences Inc. (“Sub-Sublandlord”) entered into a sub-sublease for the Company’s lease of approximately 46,641 square feet of office and laboratory space (the “Sublease”) in South San Francisco, California (the “Premises”). The term of the Sublease begins on the date on which all necessary consents have been executed and delivered, including the consents of HCP BTC, LLC (the “Master Landlord”) and Amgen, Inc. (the “Sublandlord”). The term of the Sublease shall continue until December 15, 2023. The Company’s obligation to pay rent begins on the date on which Sub-Sublandlord first delivers a portion of the Premises to the Company, which is expected to occur on or before October 16, 2018 (the “Rent Commencement Date”). Sub-Sublandlord has agreed to use good faith efforts to submit and obtain any and all necessary permits promptly, complete any and all improvements agreed upon and deliver the complete Premises not later than November 30,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obligated to pay Sub-Sublandlord monthly base rent in the following amounts: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3"/>
          </w:tcPr>
          <w:p>
            <w:pPr>
              <w:ind w:left="80"/>
              <w:spacing w:after="0"/>
              <w:rPr>
                <w:sz w:val="20"/>
                <w:szCs w:val="20"/>
                <w:color w:val="auto"/>
              </w:rPr>
            </w:pPr>
            <w:r>
              <w:rPr>
                <w:rFonts w:ascii="Arial" w:cs="Arial" w:eastAsia="Arial" w:hAnsi="Arial"/>
                <w:sz w:val="18"/>
                <w:szCs w:val="18"/>
                <w:b w:val="1"/>
                <w:bCs w:val="1"/>
                <w:color w:val="auto"/>
                <w:w w:val="95"/>
              </w:rPr>
              <w:t>Total Monthly Base Rent for the</w:t>
            </w:r>
          </w:p>
        </w:tc>
      </w:tr>
      <w:tr>
        <w:trPr>
          <w:trHeight w:val="216"/>
        </w:trPr>
        <w:tc>
          <w:tcPr>
            <w:tcW w:w="5100" w:type="dxa"/>
            <w:vAlign w:val="bottom"/>
          </w:tcPr>
          <w:p>
            <w:pPr>
              <w:spacing w:after="0"/>
              <w:rPr>
                <w:sz w:val="18"/>
                <w:szCs w:val="18"/>
                <w:color w:val="auto"/>
              </w:rPr>
            </w:pPr>
          </w:p>
        </w:tc>
        <w:tc>
          <w:tcPr>
            <w:tcW w:w="2500" w:type="dxa"/>
            <w:vAlign w:val="bottom"/>
            <w:gridSpan w:val="3"/>
          </w:tcPr>
          <w:p>
            <w:pPr>
              <w:ind w:left="620"/>
              <w:spacing w:after="0"/>
              <w:rPr>
                <w:sz w:val="20"/>
                <w:szCs w:val="20"/>
                <w:color w:val="auto"/>
              </w:rPr>
            </w:pPr>
            <w:r>
              <w:rPr>
                <w:rFonts w:ascii="Arial" w:cs="Arial" w:eastAsia="Arial" w:hAnsi="Arial"/>
                <w:sz w:val="18"/>
                <w:szCs w:val="18"/>
                <w:b w:val="1"/>
                <w:bCs w:val="1"/>
                <w:color w:val="auto"/>
                <w:w w:val="95"/>
              </w:rPr>
              <w:t>Monthly Base Rent per</w:t>
            </w:r>
          </w:p>
        </w:tc>
        <w:tc>
          <w:tcPr>
            <w:tcW w:w="180" w:type="dxa"/>
            <w:vAlign w:val="bottom"/>
          </w:tcPr>
          <w:p>
            <w:pPr>
              <w:spacing w:after="0"/>
              <w:rPr>
                <w:sz w:val="18"/>
                <w:szCs w:val="18"/>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Complete Premises (following</w:t>
            </w:r>
          </w:p>
        </w:tc>
      </w:tr>
      <w:tr>
        <w:trPr>
          <w:trHeight w:val="234"/>
        </w:trPr>
        <w:tc>
          <w:tcPr>
            <w:tcW w:w="5100" w:type="dxa"/>
            <w:vAlign w:val="bottom"/>
          </w:tcPr>
          <w:p>
            <w:pPr>
              <w:jc w:val="center"/>
              <w:ind w:left="430"/>
              <w:spacing w:after="0"/>
              <w:rPr>
                <w:sz w:val="20"/>
                <w:szCs w:val="20"/>
                <w:color w:val="auto"/>
              </w:rPr>
            </w:pPr>
            <w:r>
              <w:rPr>
                <w:rFonts w:ascii="Arial" w:cs="Arial" w:eastAsia="Arial" w:hAnsi="Arial"/>
                <w:sz w:val="18"/>
                <w:szCs w:val="18"/>
                <w:b w:val="1"/>
                <w:bCs w:val="1"/>
                <w:color w:val="auto"/>
                <w:w w:val="90"/>
              </w:rPr>
              <w:t>Months</w:t>
            </w:r>
          </w:p>
        </w:tc>
        <w:tc>
          <w:tcPr>
            <w:tcW w:w="2500" w:type="dxa"/>
            <w:vAlign w:val="bottom"/>
            <w:gridSpan w:val="3"/>
          </w:tcPr>
          <w:p>
            <w:pPr>
              <w:ind w:left="660"/>
              <w:spacing w:after="0"/>
              <w:rPr>
                <w:sz w:val="20"/>
                <w:szCs w:val="20"/>
                <w:color w:val="auto"/>
              </w:rPr>
            </w:pPr>
            <w:r>
              <w:rPr>
                <w:rFonts w:ascii="Arial" w:cs="Arial" w:eastAsia="Arial" w:hAnsi="Arial"/>
                <w:sz w:val="18"/>
                <w:szCs w:val="18"/>
                <w:b w:val="1"/>
                <w:bCs w:val="1"/>
                <w:color w:val="auto"/>
                <w:w w:val="97"/>
              </w:rPr>
              <w:t>Rentable Square Foot</w:t>
            </w:r>
          </w:p>
        </w:tc>
        <w:tc>
          <w:tcPr>
            <w:tcW w:w="180" w:type="dxa"/>
            <w:vAlign w:val="bottom"/>
          </w:tcPr>
          <w:p>
            <w:pPr>
              <w:spacing w:after="0"/>
              <w:rPr>
                <w:sz w:val="20"/>
                <w:szCs w:val="20"/>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delivery of Premises)</w:t>
            </w:r>
          </w:p>
        </w:tc>
      </w:tr>
      <w:tr>
        <w:trPr>
          <w:trHeight w:val="210"/>
        </w:trPr>
        <w:tc>
          <w:tcPr>
            <w:tcW w:w="5100" w:type="dxa"/>
            <w:vAlign w:val="bottom"/>
            <w:tcBorders>
              <w:top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90"/>
              </w:rPr>
              <w:t>Rent Commencement Date – August 31, 2019</w:t>
            </w:r>
          </w:p>
        </w:tc>
        <w:tc>
          <w:tcPr>
            <w:tcW w:w="14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226,208.85 (prorated)</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jc w:val="center"/>
              <w:ind w:left="430"/>
              <w:spacing w:after="0"/>
              <w:rPr>
                <w:sz w:val="20"/>
                <w:szCs w:val="20"/>
                <w:color w:val="auto"/>
              </w:rPr>
            </w:pPr>
            <w:r>
              <w:rPr>
                <w:rFonts w:ascii="Arial" w:cs="Arial" w:eastAsia="Arial" w:hAnsi="Arial"/>
                <w:sz w:val="18"/>
                <w:szCs w:val="18"/>
                <w:color w:val="auto"/>
                <w:w w:val="90"/>
              </w:rPr>
              <w:t>September 1, 2019 – August 31, 2020</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234,137.82</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0"/>
              </w:rPr>
              <w:t>September 1, 2020 – August 31, 2021</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242,533.20</w:t>
            </w: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jc w:val="center"/>
              <w:ind w:left="430"/>
              <w:spacing w:after="0"/>
              <w:rPr>
                <w:sz w:val="20"/>
                <w:szCs w:val="20"/>
                <w:color w:val="auto"/>
              </w:rPr>
            </w:pPr>
            <w:r>
              <w:rPr>
                <w:rFonts w:ascii="Arial" w:cs="Arial" w:eastAsia="Arial" w:hAnsi="Arial"/>
                <w:sz w:val="18"/>
                <w:szCs w:val="18"/>
                <w:color w:val="auto"/>
                <w:w w:val="90"/>
              </w:rPr>
              <w:t>September 1, 2021 – August 31, 2022</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2400" w:type="dxa"/>
            <w:vAlign w:val="bottom"/>
          </w:tcPr>
          <w:p>
            <w:pPr>
              <w:jc w:val="right"/>
              <w:spacing w:after="0"/>
              <w:rPr>
                <w:sz w:val="20"/>
                <w:szCs w:val="20"/>
                <w:color w:val="auto"/>
              </w:rPr>
            </w:pPr>
            <w:r>
              <w:rPr>
                <w:rFonts w:ascii="Arial" w:cs="Arial" w:eastAsia="Arial" w:hAnsi="Arial"/>
                <w:sz w:val="18"/>
                <w:szCs w:val="18"/>
                <w:color w:val="auto"/>
              </w:rPr>
              <w:t>250,928.58</w:t>
            </w: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0"/>
              </w:rPr>
              <w:t>September 1, 2022 – August 31, 2023</w:t>
            </w:r>
          </w:p>
        </w:tc>
        <w:tc>
          <w:tcPr>
            <w:tcW w:w="1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259,790.37</w:t>
            </w:r>
          </w:p>
        </w:tc>
        <w:tc>
          <w:tcPr>
            <w:tcW w:w="100" w:type="dxa"/>
            <w:vAlign w:val="bottom"/>
            <w:shd w:val="clear" w:color="auto" w:fill="CCEEFF"/>
          </w:tcPr>
          <w:p>
            <w:pPr>
              <w:spacing w:after="0"/>
              <w:rPr>
                <w:sz w:val="18"/>
                <w:szCs w:val="18"/>
                <w:color w:val="auto"/>
              </w:rPr>
            </w:pPr>
          </w:p>
        </w:tc>
      </w:tr>
      <w:tr>
        <w:trPr>
          <w:trHeight w:val="230"/>
        </w:trPr>
        <w:tc>
          <w:tcPr>
            <w:tcW w:w="5100" w:type="dxa"/>
            <w:vAlign w:val="bottom"/>
          </w:tcPr>
          <w:p>
            <w:pPr>
              <w:jc w:val="center"/>
              <w:ind w:left="430"/>
              <w:spacing w:after="0"/>
              <w:rPr>
                <w:sz w:val="20"/>
                <w:szCs w:val="20"/>
                <w:color w:val="auto"/>
              </w:rPr>
            </w:pPr>
            <w:r>
              <w:rPr>
                <w:rFonts w:ascii="Arial" w:cs="Arial" w:eastAsia="Arial" w:hAnsi="Arial"/>
                <w:sz w:val="18"/>
                <w:szCs w:val="18"/>
                <w:color w:val="auto"/>
                <w:w w:val="88"/>
              </w:rPr>
              <w:t>September 1, 2023 – December 15, 2023</w:t>
            </w:r>
          </w:p>
        </w:tc>
        <w:tc>
          <w:tcPr>
            <w:tcW w:w="1400" w:type="dxa"/>
            <w:vAlign w:val="bottom"/>
          </w:tcPr>
          <w:p>
            <w:pPr>
              <w:ind w:left="6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268,652.16 (prorated)</w:t>
            </w: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monthly base rent obligations, the Company is obligated to pay Sub-Sublandlord (1) all of the operating expenses allocated to the Premises, (2) additional charges, costs, fees or expenses for which Sub-Sublandlord is separately charged under the sublease or the master lease, (3) other sums of money relating to the Premises that are or become payable by Sub-Sublandlord to Sublandlord that have accrued during the term, (4) any real property taxes and assessments related to the Premises that are separately billed to the Sublandlord or Sub-Sublandlord during the term of the Sublease,</w:t>
      </w:r>
    </w:p>
    <w:p>
      <w:pPr>
        <w:spacing w:after="0" w:line="2" w:lineRule="exact"/>
        <w:rPr>
          <w:sz w:val="20"/>
          <w:szCs w:val="20"/>
          <w:color w:val="auto"/>
        </w:rPr>
      </w:pPr>
    </w:p>
    <w:p>
      <w:pPr>
        <w:ind w:right="20" w:firstLine="8"/>
        <w:spacing w:after="0" w:line="261" w:lineRule="auto"/>
        <w:tabs>
          <w:tab w:leader="none" w:pos="25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and all charges of the Master Landlord or the Sublandlord or other amounts payable to the Master Landlord or the Sublandlord under the master lease or the sublease caused by the Company’s failure to perform its obligations under the Sublease.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Sublease, the Company deposited $552,986.74 as security for the Company’s performance of the terms of the Sublease.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Sublease, the Company has the option to expand the Premises by approximately 33,137 square feet of office space, provided the Company gives notice to Sub-Sublandlord by December 31, 2019. Also pursuant to the Sublease, the Company has a right of first refusal regarding any future sub-sublease of any portion of the subleased premises by the Sub-Sublandlord.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interim financial statements and this Management’s Discussion and Analysis of Financial Condition and Results of Operations should be read in conjunction with the financial statements and notes thereto for the year ended December 31, 2017, and the related Management’s Discussion and Analysis of Financial Condition and Results of Operations, both of which are contained in our Annual Report on Form 10-K for the fiscal year ended December 31, 2017 filed with the SEC on March 8, 2018 (2017 Annual Report). In addition to historical information, this discussion and analysis contains forward-looking statements within the meaning of Section 27A of the Securities Act of 1933, as amended and Section 21E of the Securities Exchange Act of 1934, as amended. These forward-looking statements are subject to risks and uncertainties, including those set forth under “Part I. Item 1A. Risk Factors” in our 2017 Annual Report, “Part II. Item 1A. Risk Factors” in this report, and elsewhere in this report, that could cause actual results to differ materially from historical results or anticipated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are a clinical-stage biotechnology company advancing two innovative platform programs: a new class of oral therapeutic candidates for the treatment of hepatitis B virus (HBV) infection and a novel class of oral synthetic live biotherapeutic candidates, which are designed to treat disorders associated with the microbiome.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HBV-cure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Over 250 million people worldwide are chronically infected with HBV. Our HBV-cure program is pursuing multiple drug candidates that inhibit the HBV lifecycle and block the generation of covalently closed circular DNA (cccDNA), with the aim of increasing the current low cure rate for patients with HBV. We have discovered multiple novel Core protein Allosteric Modifiers (CpAMs or core inhibitors), which are small molecules that directly target and allosterically modulate the HBV core (HBc) protein. The lead product candidate from this program, ABI-H0731, has completed both the Phase 1a portion of a Phase 1a/1b human clinical trial in New Zealand and the Phase 1b portion of the clinical trial (ABI-H0731-101b) in New Zealand and other countries outside the United States. We have also completed an additional Phase 1a (ABI-H0731-102) pharmacokinetic (PK), safety and tolerability study of ABI-H0731 in healthy volunteers in the United States.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interim data from our completed Phase 1a (ABI-H0731-102) safety and PK study and Phase1b (ABI-H0731-101b) study of antiviral effects was presented at The International Liver Congress, the Annual Meeting of the European Association for the Study of the Liver (EASL) on April 12, 2018. The poster presented data for two cohorts (100 mg and 200 mg) of HBV patients that had completed dosing in the Phase 1b trial. Initial results from two incomplete patient cohorts (300 mg and 400 mg) were also reported. The poster also presented the safety and PK from three additional cohorts (100 mg, 200 mg and 300 mg) from a separate Phase 1a study in healthy volunteers.</w:t>
      </w:r>
    </w:p>
    <w:p>
      <w:pPr>
        <w:spacing w:after="0" w:line="188"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 xml:space="preserve">The Phase 1b (ABI-H0731-101b) patient study enrolled both HBV e-antigen (HBeAg) positive and negative patients. Potent antiviral activity was observed across patient cohorts in a dose dependent manner. Specifically, in the 300 mg dose cohort, the mean overall decline from baseline was ≥2.8 log </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with ≥2.9 and 2.5 log </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mean declines in HBeAg positive and negative patients, respectively. Maximal viral load declines of 3.6 to 4.0 log </w:t>
      </w:r>
      <w:r>
        <w:rPr>
          <w:rFonts w:ascii="Arial" w:cs="Arial" w:eastAsia="Arial" w:hAnsi="Arial"/>
          <w:sz w:val="30"/>
          <w:szCs w:val="30"/>
          <w:color w:val="auto"/>
          <w:vertAlign w:val="subscript"/>
        </w:rPr>
        <w:t>10</w:t>
      </w:r>
      <w:r>
        <w:rPr>
          <w:rFonts w:ascii="Arial" w:cs="Arial" w:eastAsia="Arial" w:hAnsi="Arial"/>
          <w:sz w:val="18"/>
          <w:szCs w:val="18"/>
          <w:color w:val="auto"/>
        </w:rPr>
        <w:t xml:space="preserve"> IU/mL were observed in HBeAg negative patients treated at all dose levels (100 mg to 400 mg). We intend to report final results from this study at a scientific conference later in 2018.</w:t>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Across all cohorts in the Phase 1a and Phase 1b studies, ABI-H0731 was generally well tolerated. No serious adverse effects or dose-limiting toxicities were identified, and there was no pattern of treatment emergent clinical or laboratory abnormalities observed. Among the 62 patients and volunteers treated for 14-28 days, all treatment emergent adverse events were observed to be minor (Grade 1), with the exception of an isolated Grade 3 rash at the 400 mg dose that resolved with no intervention required other than treatment discontinuation. No other study discontinuations have occurred in these studies.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reported study results from our Phase 1a (ABI-H0731-102) and 1b (ABI-H0731-101b) clinical studies support the advancement of ABI-H0731 into Phase 2a combination studies using the 300 mg dose. The Phase 2a clinical studies began in July 2018. The first Phase 2a trial, ABI-H0731-201 (the “201 Study”), is enrolling HBeAg positive HBV patients whose viral load has already been suppressed on a standard of care nucleos(t)ide therapy. Approximately 45 patients will be randomized 3:2 to receive either daily ABI-H0731 (300 mg) or placebo in addition to their continued nucleos(t)ide therapy for six months. The 201 Study will compare declines in HBV S antigen (HBsAg) and HBV E antigen (HBeAg) in subjects on combination therapy to those seen in subjects on monotherapy, as well as the safety and tolerability of ABI-H0731. Blood levels of HBsAg and HBeAg can be biomarkers for the presence of cccDNA in HBV infected liver cells. Accordingly, a decline in these markers would be expected to correlate with inhibition of cccDNA generation.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spacing w:after="0" w:line="302" w:lineRule="auto"/>
        <w:rPr>
          <w:sz w:val="20"/>
          <w:szCs w:val="20"/>
          <w:color w:val="auto"/>
        </w:rPr>
      </w:pPr>
      <w:r>
        <w:rPr>
          <w:rFonts w:ascii="Arial" w:cs="Arial" w:eastAsia="Arial" w:hAnsi="Arial"/>
          <w:sz w:val="16"/>
          <w:szCs w:val="16"/>
          <w:color w:val="auto"/>
        </w:rPr>
        <w:t>The second Phase 2a trial, ABI-H0731-202 (the “202 Study”), is enrolling HBeAg positive HBV patients who are naïve to nucleos(t)ide treatment. Approximately 24 patients will be randomized 1:1 to receive either daily ABI-H0731 (300 mg) or placebo in combination with standard of care entecavir (0.5 mg) for six months. The 202 Study will assess the antiviral potency of the combination compared with entecavir alone. Endpoints include the speed and depth of viral suppression, as well as changes in biomarkers (HBsAg and HBeAg) for the presence of cccDNA, and the safety and tolerability of ABI-H0731.</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Product Candidates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fourth quarter of 2017, we announced the selection of our second product candidate from this program, ABI-H2158, which is currently undergoing investigational new drug (IND) enabling studies. Pending the successful completion of IND-enabling studies and clearance of an IND, ABI-H2158 is expected to begin a Phase 1a human clinical trial in the fourth quarter of 2018. ABI-H2158 is an internally discovered and developed drug product candidate that is chemically distinct from ABI-H0731. We anticipate the selection of a third product candidate for this program in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Microbiome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Microbiome program consists of a fully integrated platform that includes a disease targeted strain identification and selection process, methods for strain isolation and growth under current Good Manufacturing Practice (cGMP) conditions, and a patented delivery system that we call GEMICEL®, which is designed to allow for targeted oral delivery of live biologic and conventional therapies to the lower gastrointestinal (GI) tract. The Microbiome program is prioritizing efforts on optimizing our lead product candidates, ABI-M201 (Ulcerative Colitis) and ABI-M301 (Crohn’s disease), in preparation for studies to support potential INDs. Using our microbiome platform, we are exploring additional product candidates for other disease indications, including irritable bowel syndrome, non-alcoholic steatohepatitis (NASH) and immuno-oncology, which indications we may pursue either internally or in collaboration with partners.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January 2017, we entered into the Research, Development, Collaboration and License Agreement (the Collaboration Agreement) with Allergan Pharmaceuticals International Limited (Allergan) to develop and commercialize select microbiome gastrointestinal programs. Pursuant to the terms of the Collaboration Agreement, in connection with the closing of the transaction in February 2017, Allergan paid us an upfront payment of $50 million. Additionally, we are eligible to receive up to approximately $630 million in payments related to seven development milestones and up to approximately $2.15 billion in payments related to 12 commercial development and sales milestones in connection with the successful development and commercialization of licensed compounds for up to six different indications. We have agreed with Allergan to share development costs up to an aggregate of $75 million through proof-of-concept (POC) studies on a ⅔, ⅓ basis, respectively, and Allergan has agreed to assume all post-POC development costs. Additionally, we have an option to co-promote the licensed programs in the United States and China, subject to certain conditions set forth in the Collaboration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have corporate and administrative offices in Carmel, Indiana, administrative offices and research laboratory space in San Francisco, California and research, development and small scale manufacturing activities for the Microbiome program in facilities located in Groton, Connecticut. On July 18, 2018, we entered into a sublease for administrative and laboratory space in South San Francisco, California. The term of the sublease begins on the date on which all necessary consents have been executed and delivered, including the consents of the master landlord and sublandlord, and continues until December 15, 2023. Assuming the necessary consents and permits are obtained, we expect to move our administrative and research laboratory operations currently located in San Francisco to this new location by the end of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GAAP. The preparation of these financial statements requires us to make estimates and assumptions that affect the reported amounts of assets, liabilities, revenues, and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estimates and judgments, including those related to accrued expenses and stock-based compensation,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critical accounting policies and significant estimates are detailed in our 2017 Annual Report. Our critical accounting policies and significant estimates have not changed from those previously disclosed in our 2017 Annual Report, except for those accounting subjects mentioned in the section of the notes to the condensed consolidated financial statements titled Adoption of Recent Accounting Pronouncements.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2018 and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2018 and 2017, collaboration revenue was approximately $3.2 million and $2.4 million, respectively, which included the amortization of deferred revenue and reimbursement revenue in each case incurred under the Collaboration Agreement. This increase is the result of an increase in activities under the Collaboration Agreement and related reimbursements received from Allergan.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 excluding stock-based compensation expense, was approximately $14.2 million for the three months ended June 30, 2018, an increase of approximately $3.3 million from approximately $10.9 million for the same period in 2017. The increase was primarily due to an increase of approximately $3.1 million in research and development expenses for our HBV-cure program and an increase of approximately $0.2 million in research and development expenses for our Microbiome program.</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development-related stock-based compensation expense was approximately $3.7 million for the three months ended June 30, 2018, an increase of approximately $2.5 million from approximately $1.2 million for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and accounting services, insurance and travel expenses, as well as the stock-based compensation expense associated with equity awards to our employees, consultants, and directors.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General and administrative expense, excluding stock-based compensation expense, was approximately $4.6 million for the three months ended June 30, 2018, an increase of approximately $1.6 million from approximately $3.0 million for the same period in 2017. The increase was primarily due to an increase of approximately $0.8 million in salary and benefits expenses due to additional employees in IT, HR and Finance, an increase of approximately $0.4 million in legal expenses and $0.3 million in professional expenses.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administrative-related stock-based compensation expense was approximately $7.9 million for the three months ended June 30, 2018, an increase of approximately $7.1 million from approximately $0.8 million for the same period in 2017. This increase was primarily due to a $4.3 million one-time expense related to the departure and transition to consultant of one of our former officers and $3.5 million of expenses related to non-cash stock-based compensation grants and employee incentive programs, including the Assembly Biosciences, Inc. 2018 Employee Stock Purchase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2018 and 2017</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six months ended June 30, 2018 and 2017, collaboration revenue was approximately $6.8 million and $3.0 million, respectively, which included the amortization of deferred revenue and reimbursement revenue in each case incurred under the Collaboration Agreement. This increase is the result of ramp-up in activities under the Collaboration Agreement and related reimbursements received from Allergan.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 excluding stock-based compensation expense, was approximately $26.2 million for the six months ended June 30, 2018, an increase of approximately $5.7 million from approximately $20.5 million for the same period in 2017. The increase was primarily due to an increase of approximately $1.1 million in research and development expenses for our Microbiome program and an increase of approximately $4.7 million in research and development expenses for our HBV-cure program, which were offset by a decrease of approximately $0.1 million in research expenses for outsourced chemistry.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development-related stock-based compensation expense was approximately $6.2 million for the six months ended June 30, 2018, an increase of approximately $4.0 million from approximately $2.2 million for the same period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consists primarily of salaries, consulting fees and other related costs, professional fees for legal services and accounting services, insurance and travel expenses, as well as the stock-based compensation expense associated with equity awards to our employees, consultants, and directors.</w:t>
      </w:r>
    </w:p>
    <w:p>
      <w:pPr>
        <w:spacing w:after="0" w:line="18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General and administrative expense, excluding stock-based compensation expense, was approximately $8.8 million for the six months ended June 30, 2018, an increase of approximately $2.0 million from approximately $6.8 million for the same period in 2017. The increase was primarily due to an increase of approximately $1.7 million in salary and benefits expenses due to additional employees in IT, HR and Finance, $0.4 million in professional expenses and approximately $0.1 million of franchise tax expense, which were offset by a decrease of approximately $0.2 million in legal expenses.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both"/>
        <w:spacing w:after="0" w:line="279" w:lineRule="auto"/>
        <w:rPr>
          <w:sz w:val="20"/>
          <w:szCs w:val="20"/>
          <w:color w:val="auto"/>
        </w:rPr>
      </w:pPr>
      <w:r>
        <w:rPr>
          <w:rFonts w:ascii="Arial" w:cs="Arial" w:eastAsia="Arial" w:hAnsi="Arial"/>
          <w:sz w:val="17"/>
          <w:szCs w:val="17"/>
          <w:color w:val="auto"/>
        </w:rPr>
        <w:t>General and administrative-related stock-based compensation expense was approximately $9.5 million for the six months ended June 30, 2018, an increase of approximately $8.4 million from approximately $1.1 million for the same period in 2017. This increase was primarily due to a $4.3 million one-time expense related to the departure and transition to consultant of one of our former officers and $5.2 million of expenses related to non-cash stock-based compensation grants and employee incentive programs, including the Assembly Biosciences, Inc. 2018 Employee Stock Purchase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June 30, 2018 principally through equity financing, raising an aggregate of approximately $257.4 million in net proceeds, and a strategic partnership raising an aggregate of $50 million in upfront payments.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July 11, 2018, we entered into an underwriting agreement (the “Underwriting Agreement”) with Jefferies LLC, Leerink Partners LLC and William Blair</w:t>
      </w:r>
    </w:p>
    <w:p>
      <w:pPr>
        <w:spacing w:after="0" w:line="35" w:lineRule="exact"/>
        <w:rPr>
          <w:sz w:val="20"/>
          <w:szCs w:val="20"/>
          <w:color w:val="auto"/>
        </w:rPr>
      </w:pPr>
    </w:p>
    <w:p>
      <w:pPr>
        <w:jc w:val="both"/>
        <w:ind w:firstLine="8"/>
        <w:spacing w:after="0" w:line="252" w:lineRule="auto"/>
        <w:tabs>
          <w:tab w:leader="none" w:pos="19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L.L.C., as representatives of the several underwriters listed in Schedule 1 thereto (the “Underwriters”), in connection with the issuance and sale of 4,000,000 shares of the common stock, par value $0.001 per share (the “Common Stock”), at a public offering price of $36.00 per share (the “Offering”). In addition, pursuant to the Underwriting Agreement, we granted the Underwriters a 30-day option to purchase up to 600,000 additional shares of Common Stock on the same terms, and the Underwriters exercised the option in full on July 12, 2018 (the “Option Exercise”). We received aggregate net proceeds of approximately $155.4 million from the Offering and the Option Exercise, after deducting underwriting discounts and commissions and estimated offering expenses payable by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Operating Activities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operating activities was approximately $31.5 million for the six months ended June 30, 2018. It was primarily driven by approximately $43.1 million of net loss and a decrease of $4.6 million of operating assets and liabilities, and offset by a $15.7 million non-cash expense recorded for the stock-based compensation, $0.3 million of depreciation and amortization expense and approximately $0.2 million of realized loss from marketable securities.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was approximately $22.6 million for the six months ended June 30, 2017 and funded our research and development program build out and general and administrative expenses. It was primarily driven by approximately $48.1 million of deferred revenue related to the Collaboration Agreement, approximately $3.2 million of non-cash stock-based compensation expense and approximately $0.5 million of realized loss from marketable securities, and offset by approximately $27.5 million of net loss, an increase of approximately $1.5 million of operating assets and a decrease of approximately $0.2 million in operating liabilities, excluding deferred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Investing Activities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investing activities from continuing operations for the six months ended June 30, 2018 was approximately $0.4 million primarily due to approximately $32.6 million for the redemption of marketable securities, and offset by a purchase of approximately $32.2 million marketable securities.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investing activities from continuing operations for the six months ended June 30, 2017 was approximately $12.5 million primarily due to a purchase of approximately $32.6 million marketable securities, and offset by approximately $20.1 million of the redemption of marketable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six months ended June 30, 2018 was approximately $3.3 million, resulting from the exercise of stock options to purchase 476,524 shares of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six months ended June 30, 2017 was approximately $0.7 million, resulting from the exercise of stock options to purchase 113,935 shares of common stock.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Funding Requirements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development and clinical trials of our product candidates.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will be forced to delay, reduce or eliminate our research and development programs or future commercialization efforts.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monitor our cash needs and the status of the capital markets on a continuous basis. From time to time, we opportunistically raise capital and have done so multiple times since our initial public offering by issuing equity securities, most recently in July 2018. We expect to continue to raise capital when and as needed and at the time and in the manner most advantageous to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our cash position as of June 30, 2018, we expect that our existing cash, cash equivalents and marketable securities, will enable us to fund our operating expenses and capital expenditure requirements for at least the next twelve months. Our future capital requirements will depend on many factors, including:</w:t>
      </w:r>
    </w:p>
    <w:p>
      <w:pPr>
        <w:spacing w:after="0" w:line="181" w:lineRule="exact"/>
        <w:rPr>
          <w:sz w:val="20"/>
          <w:szCs w:val="20"/>
          <w:color w:val="auto"/>
        </w:rPr>
      </w:pPr>
    </w:p>
    <w:p>
      <w:pPr>
        <w:ind w:left="660" w:hanging="652"/>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scope, progress, timing, results and costs of our ongoing discovery, nonclinical development, laboratory testing and clinical trials of our product candidates and any additional clinical trials we may conduct in the future;</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further acquire or in-license other medicines and technologies;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 in preclinical and clinical development;</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manufacture, and to contract with third parties to manufacture, adequate supplies of our product candidates for our clinical trials and any eventual commercialization;</w:t>
      </w: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 and</w:t>
      </w: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medicines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the holders of our common stock. Debt financing, if available, may involve agreements that include covenants limiting or restricting our ability to take specific actions, such as incurring additional debt, making capital expenditures or declaring dividends.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in our commitments under contractual obligations as disclosed in our 2017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compared to the quantitative and qualitative disclosures about market risk described in our 2017 Annual Report.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Securities Exchange Act of 1934, as amended (the Exchange Act), which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pursuant to Exchange Act Rules 13a-15(b) and 15d-15(b). Based upon that evaluation, our Chief Executive Officer and Chief Financial Officer concluded that our disclosure controls and procedures as of the end of the period covered by this report were effective at the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in the quarter ended June 30, 2018 that materially affected, or are reasonably likely to materially affect, our internal control over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legal proceedings. In the future, we might from time to time become involved in litigation relating to claims arising from our ordinary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report contains forward-looking statements that involve risks and uncertainties. Our actual results could differ materially from those discussed in this report. Factors that could cause or contribute to these differences include, but are not limited to, those discussed below and elsewhere in this report and in any documents incorporated in this report by reference.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You should carefully consider the following risk factors, together with all other information in this report, including our financial statements and notes thereto, and in our other filings with the SEC. If any of the following risks, or other risks not presently known to us or that we currently believe to not be significant,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approved products and currently are dependent on the future success of our HBV-cure and Microbiome programs.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date, we have no approved products on the market and have generated no product revenues. Our prospects are substantially dependent on our ability to develop and commercialize our HBV and microbiome product candidates. Unless and until we receive approval from the FDA or other regulatory authorities for our product candidates, we cannot sell our product candidates and will not have product revenues. We will have to fund all of our operations and capital expenditures from cash on hand, any future securities offerings or debt financings and any fees we may generate from out-licensing, collaborations or other strategic arrangements. If we are unable to develop and commercialize any product candidates from our HBV-cure and Microbiome programs, we will be unable to generate revenues or build a sustainable or profitable business.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all of our product candidates are currently in early clinical development or in varying stages of nonclinical development and their risk of failure is high. The data supporting our drug discovery and nonclinical and clinical development programs are derived from either laboratory, nonclinical studies or Phase 1a/1b clinical data. We cannot predict when or if any one of our product candidates will prove safe and effective in humans or will receive regulatory approval. The scientific evidence to support the feasibility of our product candidates and therapeutic approaches is limited, and many companies, some with more resources than we have, are and may be developing competitive product candidates. For these and other reasons, our drug discovery and development may not be successful, and we may not generate viable products or revenue.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entirely on the success of product candidates from our HBV-cure program and our Microbiome program. We cannot be certain that we or our collaborators will be able to obtain regulatory approval for, or successfully commercialize, product candidates from either of our current programs or any other product candidates we may subsequently identify.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and our collaborators are not permitted to market or promote any product candidates in the United States, Europe or other countries before we receive regulatory approval from the FDA or comparable foreign regulatory authorities, and we may never receive such regulatory approval for our current product candidates. We have not submitted a biologics license application (BLA) or new drug application (NDA) to the FDA or comparable applications to other regulatory authorities and do not expect to be in a position to do so in the foreseeable future.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All of our product candidates are currently in early clinical development or in varying stages of nonclinical development. It may be years before the larger, pivotal trials necessary to support regulatory approval of our product candidates are initiated, if ever.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successfully meet a number of critical developmental milestones, including:</w:t>
      </w:r>
    </w:p>
    <w:p>
      <w:pPr>
        <w:spacing w:after="0" w:line="1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developing dosages that will be tolerated, safe and effective;</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reaching agreement with the FDA or comparable foreign regulatory authorities regarding the scope, design and data necessary to support regulatory approval for the product candidate;</w:t>
      </w: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demonstrating through clinical trials that the product candidate is safe and effective in patients for the intended indication;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appropriate delivery mechanism;</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demonstrating that the product candidate formulation will be stable for commercially reasonable time periods; and</w:t>
      </w:r>
    </w:p>
    <w:p>
      <w:pPr>
        <w:spacing w:after="0" w:line="9"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the development and scale-up to permit manufacture of our product candidates in quantities sufficient to execute on our clinical development plans and, eventually, in commercial quantities and at acceptable prices.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time necessary to achieve these developmental milestones for any individual product candidate is long and uncertain, and we may not successfully complete these milestones for our HBV and microbiome therapies or any other product candidates that we may develop. We have not yet completed and may never complete the development of any products. If we are unable to complete clinical development of our HBV or microbiome therapies, or any other product candidates that we may identify, we will be unable to generate revenue or build a sustainable or profitable business.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Nonclinical studies may not be representative of disease behavior in clinical trials. The outcomes of nonclinical testing and clinical trials are uncertain, and results of earlier nonclinical studies and clinical trials may not be predictive of future clinical trial results.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results of nonclinical studies may not be representative of disease behavior in a clinical setting and thus may not be predictive of the outcomes of our clinical trials. In addition, the results of nonclinical studies and early clinical trials of product candidates may not be predictive of the results of later-stage clinical trials, and the results of any study or trial for any of our product candidates may not be as positive as the results for any prior studies or trials, if at all.</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Nonclinical studies and clinical testing are expensive, can take many years to complete and their outcomes are highly uncertain. Failure can occur at any time during the nonclinical study and clinical trial processes due to inadequate performance of a drug candidate or inadequate adherence by patients or investigators to clinical trial protocols. Further, clinical trials might not provide statistically significant data supporting a product candidate’s safety and effectiveness to obtain the requisite regulatory approvals. In addition, there is a high failure rate for drugs and biologics proceeding through clinical trials. Our failure to replicate earlier positive results in later-stage clinical trials or otherwise demonstrate the required characteristics to support marketing approval for any of our product candidates would substantially harm our business, prospects,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Top-line or interim data may not accurately reflect the complete results of a particular study or trial.</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publicly disclose top-line or interim data from time to time, which is based on a preliminary analysis of then-available efficacy, tolerability, PK and safety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evaluate fully and carefully all data. As a result, the top-line or interim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interim or preliminary data we previously published. As a result, top-line and interim data should be viewed with caution until the final data are available.</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 others, including regulatory agencies, may not accept or agree with our assumptions, estimations, calculations, conclusions or analyses or may interpret or weigh the importance of data differently, which could impact the value of the particular program, the approvability or commercialization of the particular drug candidate or biotherapeutic and our company in general. In addition, the information we may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or interim data that we report differ from actual results, or if others, including regulatory authorities, disagree with the conclusions reached, our ability to obtain approval for, and commercialize, our product candidates may be harmed or delayed, which could harm our business, financial condition, operating results or prospects.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Nonclinical and clinical testing required for our product candidates is expensive and time-consuming and may result in delays or may fail to demonstrate safety and efficacy for desired indications.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obtain FDA approval to market a new drug product, we must demonstrate safety and effectiveness in humans. To meet these requirements, we must conduct extensive nonclinical testing and sufficient adequate and well-controlled clinical trials. Conducting clinical trials is a lengthy, time consuming, and expensive process. The length of time might vary substantially according to the type, complexity, novelty, and intended use of the product candidate, and often can be several years or more per trial. Delays associated with product candidates for which we are directly conducting nonclinical studies or clinical trials might cause us to incur additional operating expenses. The commencement and rate of completion of clinical trials might be delayed by many factors, including, for example: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with regulatory authorities on trial design;</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(CROs) and clinical trial sites;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demonstrate efficiency during clinical trials;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emergence of unforeseen safety issues;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manufacture sufficient quantities of qualified materials under cGMP for use in clinical trials;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recruit a sufficient number of patients;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trial or return for post-treatment follow-up;</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product side effects, disease progression or other reasons;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dropping out of a trial to the detriment of enrollment;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modification of clinical trial protocols;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by our contract manufacturers to produce and deliver sufficient supply of clinical trial materials;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suspension, or termination of clinical trials by the institutional review board or ethics committee responsible for overseeing the study at a particular study site; and</w:t>
      </w:r>
    </w:p>
    <w:p>
      <w:pPr>
        <w:ind w:left="660" w:right="20" w:hanging="652"/>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institutional review board, ethics committee, or other regulatory delays or clinical holds requiring suspension or termination of the trials.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used and intend to continue to rely on one or more CROs to conduct our nonclinical studies and clinical trials. We are highly dependent on these CROs to conduct our studies and trials in accordance with the requirements of the FDA, applicable local laws and good clinical and scientific practice. In the event the CROs fail to perform their duties in such a fashion, we may not be able to complete our clinical trials and may fail to obtain regulatory approval for any of our product candidates.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failure of nonclinical studies and clinical trials to demonstrate safety and effectiveness of a product candidate for the desired indications could harm the development of that product candidate or other product candidates. This failure could cause us to abandon a product candidate and could delay development of other product candidates. Any delay in, or termination of, our nonclinical studies or clinical trials would delay the filing of our NDAs or BLAs with the FDA and, ultimately, our ability to commercialize our product candidates and generate product revenues. Any change in, or termination of, our clinical trials could materially harm our business, financial condition, and results of operation.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product candidates that we may discover and develop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Many product candidates that initially showed promise in early stage testing have later been found to cause side effects that prevented their further development. Undesirable side effects caused by any product candidates that we may discover or develop, or safety, tolerability or toxicity issues that may occur in our nonclinical studies, clinical trials or in the future, could cause us or regulatory authorities to interrupt, restrict, delay, or halt clinical trials. Such results could also cause us to, or regulatory authorities to require us to, cease further development of our product candidates for any or all targeted indications. The drug-related side effects could affect patient recruitment or the ability of enrolled patients to complete the trial or result in potential product liability claims and could result in a more restrictive label or the delay or denial of regulatory approval by the FDA or other comparable foreign authorities. Any of these events could prevent us from achieving or maintaining market acceptance of the particular product candidate, if approved, and could significantly harm our business, prospects, financial condition and results of operations. In the Phase 1a portion of the trial recently completed in New Zealand and the Phase 1b interim data recently reported, the most common treatment-emergent adverse events that we observed were headaches and rashes, which were among the only adverse events deemed by clinical investigators to be probably or possibly related to the study drug, with the exception of a single isolated Grade 3 rash that resolved rapidly without intervention other than treatment discontinuation, which is the only study discontinuation to date.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or unacceptable side effects caused by these product candidates, a number of potentially significant negative consequences could result, including:</w:t>
      </w:r>
    </w:p>
    <w:p>
      <w:pPr>
        <w:spacing w:after="0" w:line="170"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them off the market;</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660" w:right="2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Risk Evaluation Mitigation Strategies (REMS) plan to ensure that the benefits of the product outweigh its risks;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conduct additional clinical trials or change the labeling of a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 history of operating losses and expect to incur significant additional operating losses.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were established in October 2005, began active operations in the spring of 2007, terminated programs related to three prior product candidates, then merged with Assembly Pharmaceuticals, Inc. (Assembly Pharmaceuticals), a private company, in July 2014. We have only a limited operating history since the merger. Therefore, there is limited historical financial information upon which to base an evaluation of our performance. Our prospects must be considered in light of the uncertainties, risks, expenses, and difficulties frequently encountered by companies in their early stages of operations. We, and Assembly Pharmaceuticals prior to our merger, have generated losses since we began operations and as of June 30, 2018 and December 31, 2017, the combined company had an accumulated deficit of approximately $294.1 million and $251.0 million, respectively, and net losses of approximately $42.8 million, $44.3 million and $28.5 million for the years ended December 31, 2017, 2016 and 2015, respectively. These net losses have had, and will continue to have, an adverse effect on our stockholders’ equity and working capital. We expect to incur substantial additional losses over the next several years as we continue to pursue our research, development, nonclinical studies and clinical trial activities. Further, since our initial public offering, we have incurred and will continue to incur as a public company significant additional legal, accounting and other expenses to which we were not subject to as a private company, including expenses related to our efforts in complying with the requirements of the Sarbanes-Oxley Act of 2002 (the Sarbanes-Oxley Act), the Dodd-Frank Wall Street Reform and Consumer Protection Act of 2010 and other public company disclosure and corporate governance requirements and responding to requests of government regulators. The amount of future losses and when, if ever, we will achieve profitability are uncertain and will depend, in part, on the rate of increase in our expenses, our ability to generate revenues and our ability to raise additional capital. We have no products that have generated any commercial revenue, do not expect to generate revenues from the commercial sale of products unless and until our HBV or microbiome therapies or any other product candidate is approved by the FDA for sale, and we might never generate revenues from the sale of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not currently profitable and might never become profitable.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 history of losses and expect to incur significant operating and capital expenditures and resultant substantial losses and negative operating cash flow for the next several years and beyond if we do not successfully launch and commercialize any product candidates from our HBV or microbiome programs. We might never achieve or maintain profitability. We anticipate that our expenses will continue to be substantial in the foreseeable future as we:</w:t>
      </w:r>
    </w:p>
    <w:p>
      <w:pPr>
        <w:spacing w:after="0" w:line="147" w:lineRule="exact"/>
        <w:rPr>
          <w:sz w:val="20"/>
          <w:szCs w:val="20"/>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ABI-H0731, our first HBV-cure candidate, through clinical development and conduct nonclinical studies and clinical trials of ABI-H2158, our second HBV-cure product candidate;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ABI-M201 and ABI-M301, the lead candidates from our Microbiome program, toward potential INDs;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continue to undertake research and development to identify potential additional product candidates in both our HBV-cure and Microbiome programs;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pursue our intellectual property strategy.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In addition, our expenses could increase if we are required by the FDA or comparable foreign regulatory authorities to perform studies or trials in addition to those currently expected, or if there are any delays in completing our clinical trials or the development of any of our product candidates.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we will need to generate significant revenues in order to achieve and maintain profitability. Our ability to generate revenue and achieve profitability will depend on, among other things:</w:t>
      </w:r>
    </w:p>
    <w:p>
      <w:pPr>
        <w:spacing w:after="0" w:line="17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research, nonclinical studies and clinical trials for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necessary regulatory approvals from the FDA and comparable foreign regulatory authorities for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patent protection for our products, methods, processes and technologies;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manufacturing, sales, and marketing arrangements internally and/or with third parties for any approved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raising sufficient funds to finance our activities, if and when needed.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might not succeed at any of these undertakings. If we are unsuccessful at some or all of these undertakings, our business, prospects, and results of operations might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an early stage company and might not be able to commercialize any product candidates.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an early stage company and have not demonstrated our ability to perform the functions necessary for the successful commercialization of any product candidates. The successful commercialization of any product candidates will require us to perform a variety of functions, including:</w:t>
      </w:r>
    </w:p>
    <w:p>
      <w:pPr>
        <w:spacing w:after="0" w:line="14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continuing to undertake research and development and nonclinical studies and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conducting sales, marketing and distribution activities.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failure to commercialize successfully our product candidates would negatively impact the value of our company and could impair our ability to raise capital, expand our business, diversify our research and development pipeline, market our product candidates, if approved, or continue our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product candidates is subject to risks and delays.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development of our product candidates is subject to the risks of failure and delay inherent in the development of new pharmaceutical products and products based on new technologies, including:</w:t>
      </w:r>
    </w:p>
    <w:p>
      <w:pPr>
        <w:spacing w:after="0" w:line="170"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product development, nonclinical and clinical testing;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unplanned expenditures in product development, nonclinical and clinical testing;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a product candidate to demonstrate acceptable safety and efficacy;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receive regulatory approvals;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emergence of superior or equivalent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inability to manufacture and sell on our own, or through any others, product candidates on a commercial scale or at a financially viable cost; and</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achieve market acceptance.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these risks, our research and development efforts might not result in any commercially viable products. If we do not successfully complete a significant portion of these development efforts, obtain required regulatory approvals, and have commercial success with any approved products, our business, financial condition and results of operations will be materially harmed.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are substantial risks inherent in attempting to commercialize new drugs and biologics, and, as a result, we may not be able to develop successfully products for commercial use.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Scientific research and development requires significant amounts of capital and takes a long time to reach commercial viability, if it can be achieved at all. To date, our research and development projects have not produced commercially viable drugs or biologics and may never do so. During the research and development process, we may experience technological barriers that we may be unable to overcome. Further, certain underlying premises in our development programs are not fully proven.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HBV therapy research and development efforts involve therapeutics based on modulating forms of HBV core proteins with Core protein Allosteric Modifiers (CpAMS or core inhibitors). The development of our core inhibitor technology is in early stages, and the commercial feasibility and acceptance of our core inhibitor technology is unknown. More specifically, the theory that treatment with core inhibitors may result in the loss of covalently closed circular DNA (cccDNA) compared to conventional (standard of care) therapies is unproven. It is also unknown if the biomarkers assumed to be indicators of active cccDNA (serum viral antigen levels in HBV patients) will be meaningfully altered in patients on treatment with core inhibitors. Additionally, even if core inhibitor technology is successful at targeting the HBV core protein and treatment is successful at reducing cccDNA levels in HBV patients, it may not result in a commercially viable drug if there is not a corresponding medical benefit related to the underlying HBV infection.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Similarly, our Microbiome program is based on a novel therapeutic approach designed to treat disorders associated with the microbiome. To our knowledge, no companies have received regulatory approval for, or manufactured on a commercial scale, any microbiome-based therapeutics. The technology for our microbiome therapy is in nonclinical development and our GEMICEL® dual-targeted release capsule formulation is novel and has not yet shown to deliver successfully live bacteria in patients. The ability to deliver bacteria effectively and reliably to the GI tract is unproven, and, even if it can be proven, it may be difficult or impossible to provide the treatment economically. Because of these uncertainties, it is possible that no commercial products will be successfully developed. If we are unable to develop successfully commercial products, we will be unable to generate revenue or build a sustainable or profitable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additional financing to complete the development of any product candidate and fund our activities in the future.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anticipate that we will incur operating losses for the next several years as we continue to develop our HBV product candidates and our microbiome platform as well as initiate any development of any other product candidates and will require substantial funds during that time to support our operations. We expect that our current resources will provide us with sufficient capital to fund our operations for at least the next twelve months. However, we might consume our available capital before that time if, for example, we are not efficient in managing our resources or if we encounter unforeseen costs, delays or other issues or if regulatory requirements change. If that happens, we may need additional financing to continue the development of our HBV product candidates and our Microbiome program. There is no assurance that we will be able to generate sufficient revenue from our Collaboration Agreement with Allergan when needed to or that we will be successful in raising any necessary additional capital on terms that are acceptable to us, or at all. If such event or other unforeseen circumstances occurred and we were unable to generate revenue or raise capital, we could be forced to delay, scale back or discontinue product development, sacrifice attractive business opportunities, cease operations entirely and sell or otherwise transfer all or substantially all of our remaining assets.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face significant development and regulatory hurdles prior to marketing, which could delay or prevent our receipt of licensing, sales and/or milestone revenue.</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Before we or any commercial partners obtain the approvals necessary to sell any of our product candidates, we must show through nonclinical studies and human testing in clinical trials that each potential product is safe and effective. The rates at which we complete our scientific studies and clinical trials depend on many factors, including, but not limited to, our ability to obtain adequate supplies of the products to be tested and patient enrollment. Patient enrollment is a function of many factors, including the size of the patient population, the proximity of patients to clinical sites, the eligibility criteria for the trial, the design of the clinical trial, and other potential drug candidates being studied. Delays in patient enrollment for our trials may result in increased costs and longer development times. In addition, we will need additional financing to develop our product candidates, which we might seek and receive from third-party commercial partners. Further, we currently do not have the infrastructure to manufacture, market and sell our product candidates. If we partner with one or more third-party entities, those commercial partners may demand and receive rights to control product development and commercialization. As a result, these commercial partners may conduct these programs and activities more slowly or in a different manner than expected. If any of these events were to occur, the development of any product candidate could be significantly delayed, more expensive or less lucrative to us than anticipated, any of which would have a significant adverse effect on our business.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jc w:val="both"/>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our Collaboration Agreement with Allergan, which may be terminated or may not be successful due to a number of factors, which could have a material adverse effect on our business and operating results.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we entered into the Collaboration Agreement with Allergan for the development and commercialization of select microbiome gastrointestinal programs in ulcerative colitis, Crohn’s disease and irritable bowel syndromes. Our collaboration with Allergan may be terminated, or may not be successful, due to a number of factors. In particular, Allergan may terminate the Collaboration Agreement for convenience at any time upon either 90 days’ (prior to the initiation of the first proof of concept (POC) trial of a licensed product) or 120 days’ (after the initiation of the first POC trial of a licensed product), as applicable, advance written notice to us. The Collaboration Agreement also contains customary provisions for termination by either party, including in the event of breach of the Collaboration Agreement, subject to cure. In addition, if we are unable to identify product candidates for the licensed indications or we are unable to protect our products by obtaining and defending patents, the collaboration could fail. If the collaboration is unsuccessful for these or other reasons, or is otherwise terminated for any reason, we may not receive all or any of the research program funding, milestone payments or royalties under the agreement. Any of the foregoing could result in a material adverse effect on our business, results of operations and prospects and would likely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license relationship for each of our HBV-cure program and our Microbiome program.</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license agreement with Indiana University Research and Technology Corporation (IURTC) from whom we have licensed ABI-H0731 and certain other HBV therapies, requires us to make milestone payments based upon the successful accomplishment of clinical and regulatory milestones related to ABI-H0731 and certain other HBV therapies. The aggregate amount of all performance milestone payments under the IURTC License Agreement, should all performance milestones through development be met, is $825,000, with a portion related to the first performance milestone having been paid. We also are obligated to pay IURTC royalty payments based on net sales of the licensed technology. We are also obligated to pay diligence maintenance fees ($25,000-$100,000) each year to the extent that the royalty, sublicensing, and milestone payments to IURTC are less than the diligence maintenance fee for that year. Our license with Therabiome, LLC (Therabiome), from whom we have licensed our delivery platform of our Microbiome program, also requires us to pay regulatory and clinical milestones as well as royalty payments to Therabiome. If we breach any of these obligations, we could lose our rights to the targeted delivery mechanism of our Microbiome program. If we fail to comply with similar obligations to any other licensor, then that licensor would have the right to terminate the license, in which event we would not be able to commercialize drug candidates or technologies that were covered by the license. In addition, the milestone and other payments associated with licenses will make it less profitable for us to develop our drug candidates than if we owned the technology ourselves.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academic collaborators might take actions to delay, prevent, or undermine the success of our product candidates.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In addition, should a collaboration be terminated, replacement collaborators might not be available on attractive terms, or at all. The activities of any collaborator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is not successful, we might require substantially greater capital to undertake development and marketing of our proposed products and might not be able to develop and market these products effectively, if at all. In addition, a lack of development and marketing collaborations might lead to significant delays in introducing proposed products into certain markets and/or reduced sales of proposed products in such markets.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rely on data provided by our collaborators and others that has not been independently verified and could prove to be false, misleading, or incomplete.</w:t>
      </w: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rely on third-party vendors, scientists, and collaborators to provide us with significant data and other information related to our projects, nonclinical studies and clinical trials, and our business. If these third parties provide inaccurate, misleading, or incomplete data, our business, prospects, and results of operations could be materially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Research, development and commercialization goals may not be achieved in the timeframes that we publicly estimate, which could have an adverse impact on our business and could cause our stock price to decline.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set goals, and make public statements regarding our expectations, regarding the timing of certain accomplishments, developments and milestones under our research and development programs. The actual timing of these events can vary significantly due to a number of factors, including, without limitation,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our business could be materially adversely affected, and the price of our common stock could decline.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lack suitable facilities for certain nonclinical and clinical testing and expect to rely on third parties to conduct some of our research and nonclinical testing and our clinical trials, and those third parties may not perform satisfactorily, including failing to meet deadlines for the completion of such research, testing or trials.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do not have sufficient facilities to conduct all of our anticipated nonclinical and clinical testing. As a result, we expect to contract with third parties to conduct a significant portion of our nonclinical and clinical testing required for regulatory approval for our product candidates. We will be reliant on the services of third parties to conduct studies on our behalf. If we are unable to retain or continue with third parties for these purposes on acceptable terms, we may be unable to develop successfully our product candidates. In addition, any failures by third parties to perform adequately their responsibilities may delay the submission of our product candidates for regulatory approval, which would impair our financial condition and business prospects.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reliance on these third parties for research and development activities also reduces our control over these activities but will not relieve us of our responsibilities. For example, we are responsible for ensuring that each of our studies is conducted in accordance with the applicable protocol, legal and regulatory requirements and scientific standards, including, in the case of clinical trials, good clinical practices, and our reliance on third parties does not relieve us of our regulatory responsibilities. Furthermore, these third parties may also have relationships with other entities, some of which may be our competitors. In addition, these third parties are not our employees, and except for remedies available to us under our agreements with such third parties, we cannot control whether or not they devote sufficient time and resources to our clinical and nonclinical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studies or clinical trials may be extended, delayed or terminated and we may not be able to obtain, or may be delayed in obtaining, regulatory approvals for our product candidates. As a result, our results of operations and business prospects would be harmed, our costs could increase and our ability to generate revenues could be delayed.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either establish our own clinical and commercial manufacturing capabilities or rely on third parties to formulate and manufacture our product candidates, and we rely on third parties to manufacture products that we study in combination with our product candidates. Our use of third parties to manufacture these materials may increase the risk that we will not have sufficient quantities of our product candidates or other products, or necessary quantities of such materials on time or at an acceptable cost.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currently do not have our own manufacturing facilities and rely on third-party manufacturers to supply the quantities of ABI-H0731 used in our clinical trials, the quantities of ABI-H2158 used in our nonclinical studies and drug substance and drug product for our Microbiome program. In the past, we have relied exclusively on third-party manufacturers to supply drug substance and drug product materials for our Microbiome program. We are currently transitioning some of the third-party manufacturing to a small scale internal manufacturing facility to supply quantities of our microbiome drug substance and drug product for use in our planned nonclinical studies and early phase clinical trials. In addition, if any product candidate we might develop or acquire in the future receives FDA or other regulatory approval, we will need to either manufacture commercial quantities of the product on our own or rely on one or more third-party contractors to manufacture our products. The establishment of internal manufacturing capabilities is difficult and costly, and we may not be successful in doing so. If, for any reason, we are unable to establish our own manufacturing capabilities and we are unable to rely on any third-party sources we have identified to manufacture our product candidates, either for clinical trials or, at some future date, for commercial quantities, then we would need to identify and contract with additional or replacement third-party manufacturers to manufacture compounds, drug substance and drug products for nonclinical, clinical and commercial purposes. We might not be successful in identifying additional or replacement third-party manufacturers, or in negotiating acceptable terms with any that we do identify. If we are unable to establish and maintain manufacturing capacity either on our own or through third parties, the development and sales of our products and our financial performance will be materially and adversely affected.</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before we or any of our collaborators can begin to commercially manufacture our product candidates, each manufacturing facility and process is subject to regulatory review. Manufacturing of drugs for clinical and commercial purposes must comply with the FDA’s cGMPs and applicable non-U.S. regulatory requirements. The cGMP requirements govern quality control and documentation policies and procedures. Complying with cGMP and non-U.S. regulatory requirements will require that we expend time, money, and effort in production, recordkeeping, and quality control to assure that the product meets applicable specifications and other requirements. Any manufacturing facility must also pass a pre-approval inspection prior to FDA approval. Failure to pass a pre-approval inspection might significantly delay FDA approval of our product candidates. If we or any of our future collaborators fails to comply with these requirements with respect to the manufacture of any of our product candidates, regulatory action could limit the jurisdictions in which we are permitted to sell our products, if approved. As a result, our business, financial condition, and results of operations might be materially harmed.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We are exposed to the following risks with respect to the manufacture of our product candidates:</w:t>
      </w:r>
    </w:p>
    <w:p>
      <w:pPr>
        <w:spacing w:after="0" w:line="225" w:lineRule="exact"/>
        <w:rPr>
          <w:sz w:val="20"/>
          <w:szCs w:val="20"/>
          <w:color w:val="auto"/>
        </w:rPr>
      </w:pPr>
    </w:p>
    <w:p>
      <w:pPr>
        <w:jc w:val="both"/>
        <w:ind w:left="660" w:hanging="652"/>
        <w:spacing w:after="0" w:line="279"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we are unable to establish our own manufacturing capabilities, we will need to identify manufacturers for commercial supply on acceptable terms, which we may not be able to do because the number of potential manufacturers is limited, and the FDA must approve any new or replacement contractor. This approval would generally require compliance inspections. In addition, a new manufacturer would have to be educated in, or develop substantially equivalent processes for, production of our products after receipt of FDA approval, if any.</w:t>
      </w:r>
    </w:p>
    <w:p>
      <w:pPr>
        <w:spacing w:after="0" w:line="171"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third-party manufacturers with whom we contract might be unable to formulate and manufacture our product candidates in the volume and of the quality required to meet our clinical and, if approved, commercial needs in a timely manner.</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third-party manufacturers with whom we contract might not perform as agreed or might not remain in the contract manufacturing business for the time required to supply our clinical trials or to produce, store and distribute successfully our products.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One or more of any third-party manufacturers with whom we contract could be foreign, which increases the risk of shipping delays and adds the risk of import restrictions.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Drug manufacturers are subject to ongoing periodic unannounced inspection by the FDA and corresponding state agencies to ensure strict compliance with cGMP and other government regulations and corresponding foreign requirements. Any internal manufacturing facilities we establish may fail to comply, and we would not have complete control over any third-party manufacturers’ compliance, with these regulations and requirements.</w:t>
      </w:r>
    </w:p>
    <w:p>
      <w:pPr>
        <w:spacing w:after="0" w:line="186" w:lineRule="exact"/>
        <w:rPr>
          <w:rFonts w:ascii="Arial" w:cs="Arial" w:eastAsia="Arial" w:hAnsi="Arial"/>
          <w:sz w:val="18"/>
          <w:szCs w:val="18"/>
          <w:color w:val="auto"/>
        </w:rPr>
      </w:pPr>
    </w:p>
    <w:p>
      <w:pPr>
        <w:jc w:val="both"/>
        <w:ind w:left="660" w:right="2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obtain additional intellectual property rights from third parties in order to manufacture our product candidates, and if any third-party manufacturer makes improvements in the manufacturing process for our product candidates, we might not own, or might have to share, the intellectual property rights to the innovation with our licensors.</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share our trade secrets and know-how with third parties, thereby risking the misappropriation or disclosure of our intellectual property by or to third parties.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contract with third-party manufacturers, we might compete with other companies for access to these manufacturers’ facilities and might be subject to manufacturing delays if the manufacturers give other clients higher priority than us.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these risks could delay our development efforts, nonclinical studies and clinical trials or the approval, if any, of our product candidates by the FDA or applicable non-U.S. regulatory authorities or the commercialization of our product candidates and could result in higher costs or deprive us of potential product revenues. As a result, our business, financial condition, and results of operations might be materially harmed.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or our collaborators cannot compete successfully for market share against other companies, we might not achieve sufficient product revenues and our business will suffer.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product candidates receive approval from the FDA or applicable non-U.S. regulatory authorities, they will compete with a number of existing and future drugs and biologics developed, manufactured and marketed by others. Existing or future competing drugs might provide greater therapeutic convenience or clinical or other benefits for a specific indication than our product candidates or might offer comparable performance at a lower cost. If our product candidates fail to capture and maintain market share, we might not achieve sufficient product revenues and our business will suffer.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might compete against fully integrated pharmaceutical or biotechnology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187"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undertaking nonclinical testing and human clinical trials;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FDA and other regulatory approvals of drugs;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have or be able to obtain the same resources and experience as our competitors. If we are unable to perform these tasks effectively and efficiently, our results of operations might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competitors might render our product candidates or technologies obsolete or non-competitive.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pharmaceutical and biotechnology industries are intensely competitive. In addition, the clinical and commercial landscape for HBV, ulcerative colitis (UC), inflammatory bowel disease (IBD), including Crohn’s disease, irritable bowel syndrome (IBS), nonalcoholic steatohepatitis disease (NASH) and immuno-oncology is rapidly changing; we expect new data from commercial and clinical-stage products to continue to emerge. We will compete with organizations that have existing treatments and that are or will be developing treatments for the indications that our product candidates target. If our competitors develop effective treatments for HBV, UC, IBD, IBS, NASH and immuno-oncology or any other indication or field we might pursue, and successfully commercialize those treatments, our business and prospects might be materially harmed, due to intense competition in these markets.</w:t>
      </w:r>
    </w:p>
    <w:p>
      <w:pPr>
        <w:spacing w:after="0" w:line="17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product candidates under development in our Microbiome program will be subject to regulation as biologics. These candidates, and any other future product candidates for which we or our collaborators intend to seek approval as biologic products, may face competition sooner than anticipated.</w:t>
      </w:r>
    </w:p>
    <w:p>
      <w:pPr>
        <w:spacing w:after="0" w:line="10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Patient Protection and Affordable Care Act (ACA)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the BPCIA may be fully adopted by the FDA, any such processes could have a material adverse effect on the future commercial prospects for our biological products.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if product candidates from our Microbiome program are approved as biological products under a BLA, they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not able to develop collaborative marketing relationships with licensees or partners, or create effective internal sales, marketing, and distribution capability, we might be unable to market our products successfully.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market our product candidates, if approved, we will have to establish our own marketing and sales force or out-license our product candidates to, or collaborate with, larger firms with experience in marketing and selling pharmaceutical products. There can be no assurance that we will be able to successfully establish our own marketing capabilities or establish marketing, sales, or distribution relationships with third parties; that such relationships, if established, will be successful; or that we will be successful in gaining market acceptance for our product candidates. To the extent that we enter into any marketing, sales, or distribution arrangements with third parties, our product revenues will be lower than if we marketed and sold our products directly, and any revenues we receive will depend upon the efforts of such third parties. If we are unable to establish such third-party sales and marketing relationships, or choose not to do so, we will have to establish our own in-house capabilities. We, as a company, have no experience in marketing or selling pharmaceutical products and currently have no sales, marketing, or distribution infrastructure. To market any of our products directly, we would need to develop a marketing, sales, and distribution force that both has technical expertise and the ability to support a distribution capability. To establish our own marketing, sales, and distribution capacity would significantly increase our costs, and require substantial additional capital. In addition, there is intense competition for proficient sales and marketing personnel, and we might not be able to attract individuals who have the qualifications necessary to market, sell, and distribute our products. There can be no assurance that we will be able to establish internal marketing, sales, or distribution capabilities.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The commercial success of our product candidates will depend upon the degree of market acceptance by physicians, patients, third-party payors and others in the medical community.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products, if approved for marketing, will depend in part on the medical community, patients and third-party payors accepting our product candidates as effective and safe. If these products do not achieve an adequate level of acceptance, we may not generate significant product revenue and may not become profitable. The degree of market acceptance of our products, if approved for marketing, will depend on a number of factors, including:</w:t>
      </w:r>
    </w:p>
    <w:p>
      <w:pPr>
        <w:spacing w:after="0" w:line="18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or perceived safety and efficacy of the products, and advantages over alternative treatments;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pricing and cost-effectiveness of our products relative to competing products or therapies, including generic drugs or biosimilars, if available;</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labeling of any approved product;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emergence, and timing of market introduction, of competitive products;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marketing and distribution efforts by us and our licensees and distributors, if any;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third-party insurance coverage or governmental reimbursement.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a potential product displays a favorable efficacy and safety profile in nonclinical studies and clinical trials, market acceptance of the product will not be known until after it is launched. Any failure to achieve market acceptance for our product candidates will harm our business, results and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might materially suffer.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highly dependent on the services of our executive officers and senior management team. Our employment agreements with our executive officers and senior management team members do not ensure their retention.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future success also depends, in part, on our ability to identify, hire, and retain additional management team members as our operations grow and our ability to replace our management team members in the event any leave us for any reason. We expect to experience intense competition for qualified personnel and might be unable to attract and retain the personnel necessary for the development of our business. Finally, we do not currently maintain, nor do we intend to obtain in the future, “key man” life insurance that would compensate us in the event of the death or disability of any of the members of our management team.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failure by us to retain, attract and motivate executives and other key employees could have a material adverse impact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additional qualified personnel, our ability to grow our business might be harmed.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2018, we had 89 employees and contracts with a number of temporary contractors, consultants and contract research organizations. We will need to hire or contract with additional qualified personnel with expertise in clinical research and testing, formulation and manufacturing and sales and marketing to commercialize our HBV drug candidates and our microbiome biotherapeutic candidates or any other product candidate we may seek to develop. We compete for qualified individuals with numerous biopharmaceutical companies, universities and other research institutions. Competition for these individuals is intense, and we cannot be certain that our search for such personnel will be successful. Attracting and retaining qualified personnel will be critical to our success.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We might not successfully manage our growth.</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will depend upon the expansion of our operations and the effective management of our growth, which will place a significant strain on our current and future management and other administrative and operational resources. To manage this growth, we may need to expand our facilities, augment our operational, financial and management systems and hire and train additional qualified personnel. If we are unable to manage our growth effectively, our business would be harmed.</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might seek to develop our business through acquisitions of or investment in new or complementary businesses, products or technologies, and the failure to manage these acquisitions or investments, or the failure to integrate them with our existing business, could have a material adverse effect on us.</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might consider opportunities to acquire or invest in other technologies, products and businesses that might enhance our capabilities or complement our current product candidates. Potential and completed acquisitions and strategic investments involve numerous risks, including potential problems or issues associated with the following:</w:t>
      </w:r>
    </w:p>
    <w:p>
      <w:pPr>
        <w:spacing w:after="0" w:line="18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assimilating the purchased technologies, products or business operations;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uniform standards, procedures, controls and policies;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unanticipated costs associated with the acquisition or investment;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our management’s attention from our preexisting business;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or obtaining the necessary regulatory approvals or complying with regulatory requirements;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effects on existing business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current commitments with respect to any acquisition or investment in other technologies or businesses. We do not know if we will identify suitable acquisitions, whether we will be able to successfully complete any acquisitions, or whether we will be able to successfully integrate any acquired product, technology or business into our business or retain key personnel, suppliers or collaborators.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develop successfully our business through acquisitions would depend on our ability to identify, negotiate, complete and integrate suitable target businesses or technologies and obtain any necessary financing. These efforts could be expensive and time consuming and might disrupt our ongoing operations. If we are unable to integrate efficiently any acquired business, technology or product into our business, our business and financial condition might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Regulatory and Legal Environment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Product candidates employing our technology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trials,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product recall; product seizure; interruption of manufacturing or clinical trials; operating or marketing restrictions; injunctions; criminal prosecution and civil or criminal penalties including fines and other monetary penalties; exclusion from federal health care programs such as Medicare and Medicaid; adverse publicity; and disruptions to our business. Further, government investigations into potential violations of these laws would require us to expend considerable resources and face adverse publicity and the potential disruption of our business even if we are ultimately found not to have committed a violation. If products employing our technologies are marketed abroad, they will also be subject to extensive regulation by foreign governments, whether or not they have obtained FDA approval for a given product and its uses. Such foreign regulation might be equally or more demanding than corresponding U.S. regulation.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 candidates. The regulatory review and approval process, which includes nonclinical testing and clinical trials of each product candidate, is lengthy, expensive, and uncertain. We or our collaborators must obtain and maintain regulatory authorization to conduct clinical trials and approval for each product we intend to market, and the manufacturing facilities used for the products must be inspected and meet legal requirements. Securing regulatory approval requires submitting extensive nonclinical and clinical data and other supporting information for each proposed therapeutic indication in order to establish the product’s safety and efficacy for each intended use. The development and approval process might take many years, requires substantial resources, and might never lead to the approval of a product.</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Even if we or our collaborators are able to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Material changes to an approved product, such as, for example, manufacturing changes or revised labeling, might require further regulatory review and approval. Once obtained, any approvals might be withdrawn, including, for example, if there is a later discovery of previously unknown problems with the product, such as a previously unknown safety issue.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our collaborators, or our contract manufacturers fail to comply with applicable regulatory requirements at any stage during the regulatory process, such noncompliance could result in, among other things,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the applicable regulatory authorities in foreign jurisdictions to commercialize our product candidates in those jurisdictions. In order to obtain FDA approval of any product candidate, we must submit to the FDA an NDA, in the case of our HBV-cure program, or a BLA, in the case of our product candidates in our Microbiome program, demonstrating that the product candidate is safe for humans and effective for its intended use (for biological products, this standard is referred to as safe, pure and potent). This demonstration requires significant research, nonclinical studies, and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or biological products that the FDA considers safe for humans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approval process might also be delayed by changes in government regulation, future legislation or administrative action or changes in FDA policy that occur prior to or during our regulatory review. Delays in obtaining regulatory approvals might:</w:t>
      </w:r>
    </w:p>
    <w:p>
      <w:pPr>
        <w:spacing w:after="0" w:line="170"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impose costly procedures on us;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diminish any competitive advantages that we might otherwise enjoy.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we comply with all FDA requests, the FDA might ultimately reject one or more of our NDAs or BLAs. We cannot be sure that we will ever obtain regulatory approval for our product candidates. Failure to obtain FDA approval of our product candidates will severely undermine our business by leaving us without a saleable product, and therefore without any source of revenues, until another product candidate could be developed or obtained. There is no guarantee that we will ever be able to develop an existing, or acquire another, product candidate.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foreign jurisdictions, we must receive approval from the appropriate regulatory authorities before we can commercialize any product candidates. The risks associated with foreign regulatory approval processes are similar to the risks associated with the FDA approval procedures described above. We cannot assure you that we will receive the approvals necessary to commercialize our product candidates for sale outside the United States.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302" w:lineRule="auto"/>
        <w:rPr>
          <w:sz w:val="20"/>
          <w:szCs w:val="20"/>
          <w:color w:val="auto"/>
        </w:rPr>
      </w:pPr>
      <w:r>
        <w:rPr>
          <w:rFonts w:ascii="Arial" w:cs="Arial" w:eastAsia="Arial" w:hAnsi="Arial"/>
          <w:sz w:val="16"/>
          <w:szCs w:val="16"/>
          <w:b w:val="1"/>
          <w:bCs w:val="1"/>
          <w:i w:val="1"/>
          <w:iCs w:val="1"/>
          <w:color w:val="auto"/>
        </w:rPr>
        <w:t>Even if our product candidates are approved, we and our collaborators will be subject to extensive post-approval regulation, including ongoing obligations and continued regulatory review, which may result in significant additional expense. If approved, our product candidates could be subject to post-marketing restrictions or withdrawal from the market and we, or any collaborators, may be subject to substantial penalties if we, or they, fail to comply with regulatory requirements or if we, or they, experience unanticipated problems with our products following approval.</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Once a product candidate is approved, numerous post-approval requirements apply. Among other things, we and our collaborators will be subject to requirements regarding testing, manufacturing, quality control, clinical trials, post-marketing studies, labeling, advertising, promotion, distribution, import and export, governmental pricing, price reporting and rebate requirements. The holder of an approved NDA or BLA is subject to ongoing FDA oversight, monitoring and reporting obligations, including obligations to monitor and report adverse events and instances of the failure of a product to meet the specifications in the NDA or BLA. Application holders must submit new or supplemental applications and obtain FDA approval for changes to the approved product, product labeling, or manufacturing process, depending on the nature of the change. Application holders also must submit advertising and other promotional material to the FDA and report on ongoing clinical trials. The FDA also has the authority to require changes in the labeling of approved drug products and to require post-marketing studies. The FDA can also impose distribution and use restrictions under a REMS.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Advertising and promotional materials must comply with FDA rules in addition to other applicable federal and state laws. The distribution of product samples to physicians must comply with the requirements of the Prescription Drug Marketing Act. Manufacturing facilities remain subject to FDA inspection and must continue to adhere to the FDA’s cGMP requirements. Sales, marketing, and scientific/educational grant programs, among other activities, must comply with the anti-fraud and abuse provisions of the Social Security Act, the False Claims Act,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Depending on the circumstances, failure to meet these post-approval requirements can result in criminal prosecution, fines, injunctions, recall or seizure of products, total or partial suspension of production, denial or withdrawal of pre-marketing product approvals, or refusal to allow us to enter into supply contracts, including government contracts. In addition, even if we comply with FDA and other requirements, new information regarding the safety or effectiveness of a product could lead the FDA to modify or withdraw product approval.</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For example, certain policies of the current administration may impact our business and industry. Namely, the current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an Executive Order was issued directing all executive agencies, including the FDA, that, for each notice of proposed rulemaking or final regulation to be issued in fiscal years 2018 and beyond, the agencies must identify regulations to offset any incremental cost of a new regulation.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Even if we or our collaborators are able to commercialize any product candidates, those products may become subject to unfavorable pricing regulations, third-party coverage and reimbursement practices or healthcare reform initiatives, which would harm our business.</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medicines vary widely from country to country. In the United States, recently enacted legislation may significantly change the approval requirements in ways that could involve additional costs and cause delays in obtaining approvals. Some countries require approval of the sale price of a medicine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medicine in a particular country, but then be subject to price regulations that delay our commercial launch of the medicine, possibly for lengthy time periods, and negatively impact the revenues we are able to generate from the sale of the medicine in that country. Adverse pricing limitations may hinder our ability to recoup our investment in one or more product candidates, even if our product candidates obtain marketing approval.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89" w:lineRule="auto"/>
        <w:rPr>
          <w:sz w:val="20"/>
          <w:szCs w:val="20"/>
          <w:color w:val="auto"/>
        </w:rPr>
      </w:pPr>
      <w:r>
        <w:rPr>
          <w:rFonts w:ascii="Arial" w:cs="Arial" w:eastAsia="Arial" w:hAnsi="Arial"/>
          <w:sz w:val="16"/>
          <w:szCs w:val="16"/>
          <w:color w:val="auto"/>
        </w:rPr>
        <w:t>Our ability to commercialize any medicines successfully also will depend in part on the extent to which reimbursement for these medicines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If reimbursement is not available or is available only to limited levels, we may not be able to commercialize successfully any product candidate for which we obtain marketing approval.</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medicines, and coverage may be more limited than the purposes for which the medicine is approved by the FDA or similar regulatory authorities outside the United States. Moreover, eligibility for reimbursement does not imply that any medicine will be paid for in all cases or at a rate that covers our costs, including research, development, manufacture, sale and distribution. Interim reimbursement levels for new medicines, if applicable, may also not be sufficient to cover our costs and may not be made permanent. Reimbursement rates may vary according to the use of the medicine and the clinical setting in which it is used, may be based on reimbursement levels already set for lower cost medicines and may be incorporated into existing payments for other services. Net prices for medicines may be reduced by mandatory discounts or rebates required by government healthcare programs or private payors and by any future relaxation of laws that presently restrict imports of medicines from countries where they may be sold at lower prices than in the United States. Third-party payors often rely upon Medicare coverage policy and payment limitations in setting their own reimbursement policies. Our inability to obtain promptly coverage and profitable payment rates from both government-funded and private payors for any approved product candidates that we develop could have a material adverse effect on our operating results, our ability to raise capital needed to commercialize product candidates and our overall financial condition.</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United States and in other countries, there have been, and we expect there will continue to be, a number of legislative and regulatory proposals to change the healthcare system in ways that could significantly affect our business. International, federal and state lawmakers regularly propose and, at times, enact legislation that would result in significant changes to the healthcare system, some of which are intended to contain or reduce the costs of medical products and services. The U.S. government and other governments have shown significant interest in pursuing healthcare reform, as evidenced by the Patient Protection and Affordable Care Act and its amendment, the Health Care and Education Reconciliation Act (the ACA).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drug candidates are the following:</w:t>
      </w:r>
    </w:p>
    <w:p>
      <w:pPr>
        <w:spacing w:after="0" w:line="225"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Act pharmaceutical pricing program;</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requirements to report financial arrangements with physicians and teaching hospitals;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left="660" w:hanging="65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its enactment, there have been many judicial, Presidential, and Congressional challenges to numerous aspects of the ACA. In 2012, the U.S. Supreme Court heard challenges to the constitutionality of the individual mandate and the viability of certain provisions of the Healthcare Reform Act. The Supreme Court’s decision upheld most of the Healthcare Reform Act and determined that requiring individuals to maintain “minimum essential” health insurance coverage or pay a penalty to the Internal Revenue Service was within Congress’s constitutional taxing authority. However, as a result of tax reform legislation passed in late December 2017, the individual mandate has been eliminated. The long ranging effects of the elimination of the individual mandate on the viability of the ACA are unknown at this time.</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Centers for Medicare &amp; Medicaid Services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The full impact of the ACA, any law repealing and/or replacing elements of it, and the political uncertainty surrounding any repeal or replacement legislation on our business remains unclear.</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included aggregate reductions to Medicare payments to providers of up to 2% per fiscal year, starting in 2013.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Further, in some foreign jurisdictions, there have been a number of legislative and regulatory proposals to change the healthcare system in ways that could affect our ability to sell our products profitably. The continuing efforts of U.S. and other governments, insurance companies, managed care organizations and other payors of healthcare services to contain or reduce healthcare costs may adversely affect our ability to set satisfactory prices for our products, to generate revenues, and to achieve and maintain profitability.</w:t>
      </w:r>
    </w:p>
    <w:p>
      <w:pPr>
        <w:spacing w:after="0" w:line="17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193" w:lineRule="exact"/>
        <w:rPr>
          <w:sz w:val="20"/>
          <w:szCs w:val="20"/>
          <w:color w:val="auto"/>
        </w:rPr>
      </w:pPr>
    </w:p>
    <w:p>
      <w:pPr>
        <w:jc w:val="both"/>
        <w:ind w:left="660" w:hanging="652"/>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ind w:left="660" w:hanging="652"/>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89"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93" w:lineRule="exact"/>
        <w:rPr>
          <w:rFonts w:ascii="Arial" w:cs="Arial" w:eastAsia="Arial" w:hAnsi="Arial"/>
          <w:sz w:val="18"/>
          <w:szCs w:val="18"/>
          <w:color w:val="auto"/>
        </w:rPr>
      </w:pPr>
    </w:p>
    <w:p>
      <w:pPr>
        <w:jc w:val="both"/>
        <w:ind w:left="660" w:hanging="652"/>
        <w:spacing w:after="0" w:line="279"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71"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 and the Public Health Service Act (PHSA), which prohibits, among other things, the introduction into interstate commerce of a biological product unless a biologics license is in effect for that product;</w:t>
      </w:r>
    </w:p>
    <w:p>
      <w:pPr>
        <w:spacing w:after="0" w:line="181"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and</w:t>
      </w:r>
    </w:p>
    <w:p>
      <w:pPr>
        <w:spacing w:after="0" w:line="188"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9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regulators globally are also imposing greater monetary fines for privacy violations. For example, in 2016, the European Union adopted a new regulation governing data practices and privacy called the General Data Protection Regulation (GDPR), which became effective on May 25, 2018. The GDPR applies to any company established in the European Union as well as to those outside the European Union if they collect and use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may result in monetary penalties of up to €20 million or 4% of worldwide revenue, whichever is higher. The GDPR and other changes in laws or regulations associated with the enhanced protection of certain types of personal data, such as healthcare data or other sensitive information, could greatly increase our cost of providing our products and services or even prevent us from offering certain services in jurisdictions that we may operate in.</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ACA provides that the government may assert that a claim including items or services resulting from a violation of the federal Anti-Kickback Statute constitutes a false or fraudulent claim for purposes of the False Claims Act.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drug candidates outside the United States will also likely subject us to non-U.S. equivalents of the healthcare laws mentioned above, among other non-U.S. laws.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as amended (the Exchange Act), the Sarbanes-Oxley Act and the listing standards of NASDAQ, the exchange on which our common stock is listed. We expect that the requirements of these rules and regulations will continue to increase our legal, accounting and financial compliance costs, make some activities more difficult, time consuming and costly and place significant strain on our personnel, systems and resources.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current controls and any new controls that we develop in the future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will be required to include in our periodic reports that will be filed with the SEC. If we were to have ineffective disclosure controls and procedures or internal control over financial reporting, our investors could lose confidence in our reported financial and other information, which would likely have a negative effect on the market price of our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might not be able to obtain insurance.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exposes us to the risk of product liability claims that are inherent in the development of drugs and biotherapeutics. If the use of one or more of our product candidates or approved drugs, if any, harms people, we might be subject to costly and damaging product liability claims brought against us by clinical trial participants, consumers, health care providers, pharmaceutical companies or others selling our products. Our inability to obtain sufficient product liability/clinical trial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We intend to expand our insurance coverage to include product liability insurance covering the sale of commercial products if we obtain marketing approval for our drug candidates in development, but we might be unable to obtain commercially reasonable product liability insurance for any products approved for marketing.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the liability. Any successful product liability claims or series of claims brought against us would decrease our cash and could cause the value of our common stock to decrease.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might be exposed to liability claims associated with the use of hazardous materials and chemicals.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research, development and manufacturing activities and/or those of our third-party contractors might involve the controlled use of hazardous materials and chemicals. Although we will strive to have our safety procedures, and those of our contractors,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materially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adversely affect our business, financial condition and results of operations. We currently do not carry hazardous materials liability insurance. We intend to obtain such insurance in the future, if necessary, but cannot give assurance that we could obtain such coverage.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result in significant liability for us and harm our reputation.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fraud or other misconduct, including intentional failure to:</w:t>
      </w:r>
    </w:p>
    <w:p>
      <w:pPr>
        <w:spacing w:after="0" w:line="225"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the United States Foreign Corrupt Practices Act (the FCPA), the U.K. anti-bribery laws, the China anti-bribery laws and other anti-bribery laws;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Misconduct could also involve the improper use or misrepresentation of information obtained in the course of clinical trials, creating fraudulent data in our nonclinical studies or clinical trials or illegal misappropriation of product materials, which could result in regulatory sanctions, delays in clinical trials, or serious harm to our reputation. We have adopted a code of conduct for our directors, officers and employees (the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(collectively, Trade Laws). We can face serious consequences for violations.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Among other matters,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particularly in China, to increase in time. We engage third parties for clinical trials and/or to obtain necessary permits, licenses, patent registrations, and other regulatory approvals. We can be held liable for the corrupt or other illegal activities of our personnel, agents, or partners, even if we do not explicitly authorize or have prior knowledge of such activities.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line="277" w:lineRule="auto"/>
        <w:rPr>
          <w:sz w:val="20"/>
          <w:szCs w:val="20"/>
          <w:color w:val="auto"/>
        </w:rPr>
      </w:pPr>
      <w:r>
        <w:rPr>
          <w:rFonts w:ascii="Arial" w:cs="Arial" w:eastAsia="Arial" w:hAnsi="Arial"/>
          <w:sz w:val="18"/>
          <w:szCs w:val="18"/>
          <w:b w:val="1"/>
          <w:bCs w:val="1"/>
          <w:i w:val="1"/>
          <w:iCs w:val="1"/>
          <w:color w:val="auto"/>
        </w:rPr>
        <w:t>We are establishing international operations and conducting clinical trials outside of the United States, including in China, and a number of risks associated with international operations could materially and adversely affect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23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 for which our product candidates are being developed;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fluctuations and compliance with foreign currency exchange rules, which could result in increased operating expenses and reduced revenues, and other obligations incident to doing business in another country;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protecting our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and our licensors, IURTC and Therabiome,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to protect our proprietary position by filing patent applications in the United States and abroad related to our novel technologies and chemical and biological compositions that are important to our business. To date, although our licensors and the Company have filed patent applications and we have an issued patent in the U.S. related to our licensed delivery technology, we do not own or have any rights to any issued patents that cover any of our product candidates, and we cannot be certain that we will secure any rights to any issued patents with claims that cover any of our proprietary product candidates and technologies. 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patent process also is subject to numerous risks and uncertainties, and there can be no assurance that we will be successful in protecting our products by obtaining and defending patents. These risks and uncertainties include the following:</w:t>
      </w:r>
    </w:p>
    <w:p>
      <w:pPr>
        <w:spacing w:after="0" w:line="170"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patent rights, if obtained, might be challenged, invalidated, or circumvented, or otherwise might not provide any competitive advantage;</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competitors, many of which have substantially greater resources than we do and many of which might make significant investments in competing technologies, might seek, or might already have obtained, patents that will limit, interfere with, or eliminate our ability to make, use, and sell our potential products either in the United States or in international markets;</w:t>
      </w:r>
    </w:p>
    <w:p>
      <w:pPr>
        <w:spacing w:after="0" w:line="181" w:lineRule="exact"/>
        <w:rPr>
          <w:rFonts w:ascii="Arial" w:cs="Arial" w:eastAsia="Arial" w:hAnsi="Arial"/>
          <w:sz w:val="18"/>
          <w:szCs w:val="18"/>
          <w:color w:val="auto"/>
        </w:rPr>
      </w:pPr>
    </w:p>
    <w:p>
      <w:pPr>
        <w:jc w:val="both"/>
        <w:ind w:left="660" w:hanging="652"/>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a matter of public policy regarding worldwide health concerns, there might be significant pressure on the U.S. government and other international governmental bodies to limit the scope of patent protection both inside and outside the United States for disease treatments that prove successful; and</w:t>
      </w:r>
    </w:p>
    <w:p>
      <w:pPr>
        <w:spacing w:after="0" w:line="123"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Countries other than the United States might have patent laws that provide less protection than those governing U.S. courts, allowing foreign competitors the ability to exploit these laws to create, develop, and market competing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U.S. Patent and Trademark Office (the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Thus, even if we or our licensors are able to obtain patents, the patents might be substantially narrower than anticipated.</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Patent and other intellectual property protection is crucial to the success of our business and prospects, and there is a substantial risk that such protections, if obtained, will prove inadequate. Our business and prospects will be harmed if we fail to obtain these protections or they prove insufficient.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comply with our obligations under our license agreements, we could lose rights to our product candidates or key technologies.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obtained rights to develop, market and sell some of our product candidates and technologies through intellectual property license agreements with third parties, including IURTC and Therabiome. These license agreements impose various diligence, milestone payment, royalty and other obligations on us. If we fail to comply with our obligations under our license agreements, we could lose some or all of our rights to develop, market and sell products covered by these licenses, and our ability to form collaborations or partnerships may be impaired. In addition, disputes may arise under our license agreements with third parties, which could prevent or impair our ability to maintain our current licensing arrangements on acceptable terms and to develop and commercialize the affected product candidates.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choose to go to court to stop another party from using the inventions claimed in any patents we obtain, that individual or company has the right to ask the court to rule that such patents are invalid or should not be enforced against that third party. These lawsuits are expensive and would consume time and resources and divert the attention of managerial and scientific personnel even if we were successful in stopping the infringement of such patents. There is a risk that the court will decide that such patents are not valid and that we do not have the right to stop the other party from using the inventions. There is also the risk that, even if the validity of such patents is upheld, the court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trade secret protections through confidentiality agreements with our employees, customers and other parties, and the breach of these agreements could adversely affect our business and prospects.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trade secrets and proprietary know-how, which we seek to protect, in part, through confidentiality, invention, and non-disclosure agreements with our employees, scientific advisors, consultants, collaborators, suppliers, and other parties. There can be no assurance that these agreements will not be breached, that we would have adequate remedies for any such breach or that our trade secrets will not otherwise become known to or independently developed by our competitors. If any of these events occurs, or we otherwise lose protection for our trade secrets or proprietary know-how, the value of this information may be greatly reduced.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our employees or consultants breach their confidentiality obligations, to be able to enforce these confidentiality provisions, we would need to know of the breach and have sufficient funds to enforce the provisions. We cannot assure you that we would know of or be able to afford enforcement of any breach. In addition, such provisions are subject to state law and interpretation by courts, which could limit the scope and duration of these provisions. Any limitation on or non-enforcement of these confidentiality provisions could have an adverse effect on our business.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third party may claim that we are using inventions covered by the third party's patent rights and may go to court to stop us from engaging in our normal operations and activities, including making or selling our product candidates. Patent litigation is costly and time consuming. We may not have sufficient resources to address these actions, and such actions could affect our results of operations and divert the attention of managerial and scientific personnel.</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in order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monetary damages, encounter significant delays in bringing our product candidates to market and be precluded from manufacturing or selling our product candidates, any of which could harm our business significantly.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Composition-of-matter patents relating to the active pharmaceutical ingredient (API)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United States and other countries are typically not published until 18 months after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United States, the first to file a patent application encompassing the invention is entitled to patent protection for the invention. The United States moved to a “first to file” system under the Leahy-Smith America Invents Act (AIA), effective March 16, 2013. The effects of this change and other elements of the AIA are currently unclear, as the USPTO is still implementing associated regulations, and the applicability of the AIA and associated regulations to our patents and patent applications have not been fully determined. This new system also includes new procedures for challenging issued patents and pending patent applications, which creates additional uncertainty. We may become involved in any variety of proceedings challenging our patents and patent applications or the patents and patent applications of others, and the outcome of any such proceedings are highly uncertain. An unfavorable outcome in any such proceedings could reduce the scope of, invalidate, and/or find our patent rights unenforceable, allowing third parties to commercialize our technology and compete directly with us, or result in our inability to manufacture, develop or commercialize our product candidates without infringing the patent rights of others. In addition to ongoing changes with the AIA and USPTO regulations, recent decisions of the Supreme Court of the United States, and the possibility of statutory change to patent subject matter eligibility law advocated by such groups as the Intellectual Property Owners Association and the American Intellectual Property Law Association, provide additional uncertainty.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69" w:lineRule="auto"/>
        <w:rPr>
          <w:sz w:val="20"/>
          <w:szCs w:val="20"/>
          <w:color w:val="auto"/>
        </w:rPr>
      </w:pPr>
      <w:r>
        <w:rPr>
          <w:rFonts w:ascii="Arial" w:cs="Arial" w:eastAsia="Arial" w:hAnsi="Arial"/>
          <w:sz w:val="17"/>
          <w:szCs w:val="17"/>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anticipate increasing our activity and commercializing our product candidates, do not protect proprietary rights to the same extent or in the same manner as the laws of the United States.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some of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developing an extensive worldwide patent portfolio. The cost of maintaining our patent protection is high and maintaining our patent protection requires continuous review and compliance in order to maintain worldwide patent protection. We may not be able to maintain effectively our intellectual property position throughout the major markets of the world.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United States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United States, and we may encounter significant problems in securing and defending our intellectual property rights outside the United States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enforce effectively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24" w:lineRule="exact"/>
        <w:rPr>
          <w:sz w:val="20"/>
          <w:szCs w:val="20"/>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236"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225"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damage our brand and reputation and have a material adverse effect on our business, operations and prospects.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The proliferation of counterfeit pharmaceuticals has grown in recent years and may continue to grow in the future.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counterfeit products could be used in nonclinical studies or clinical trials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existence of and any increase in the sales and production of counterfeit pharmaceuticals, or the technological capabilities of counterfeiters, could negatively impact our revenues, brand reputation, business and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common stock on The NASDAQ Capital Market.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common stock is listed on The NASDAQ Capital Market under the symbol “ASMB.” We might not be able to maintain the listing standards of that exchange. If we fail to maintain the listing requirements, our common stock might trade on the OTC Bulletin Board or in the “pink sheets” maintained by OTC Markets Group Inc. These alternative markets are generally considered to be markets that are less efficient and less broad than The NASDAQ Capital Market. A delisting of our common stock from The NASDAQ Capital Market and our inability to list the stock on another national securities exchange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 and you could lose all or part of your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our merger with Assembly Pharmaceuticals on July 11, 2014 through June 30, 2018, the closing price of our common stock has fluctuated between $4.54 and $64.16. Continued volatility in the market price of our common stock might prevent a stockholder from being able to sell shares of our common stock at or above the price paid for such shares. The trading price of our common stock might be volatile and subject to wide price fluctuations in response to various factors, including:</w:t>
      </w:r>
    </w:p>
    <w:p>
      <w:pPr>
        <w:spacing w:after="0" w:line="18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progress, results and timing of our clinical trials and nonclinical studies and other studies involving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 or failure of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or loss of required regulatory approvals for our product candidates;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capital;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issuances by us of our common stock or securities exercisable for or convertible into common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 of shares of our common stock by our significant stockholders or members of our management;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investor perceptions of us and the pharmaceutical industry;</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 or the announcement of any changes to our credit rating;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introduction of new products or announcements of significant contracts, acquisitions or capital commitments by us or our competitors;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overall performance of the equity markets;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and other factors might cause the market price of our common stock to fluctuate substantially, which might limit or prevent investors from readily selling their shares of our common stock and might otherwise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our share price.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30, 2018, our executive officers and directors owned approximately 7.8% of our outstanding voting common stock, and this group together with other stockholders holding beneficially 5% of more of our outstanding voting common stock, owned approximately 51.3% of our outstanding voting common stock. Therefore, these stockholders, if acting together, have the ability to influence us through their ownership position. These stockholders may be able to determine the outcome of certain significant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and credit carryforwards to offset future taxable income may be subject to certain limitations.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2017, we had potentially utilizable gross Federal net operating loss carryforwards of approximately $153.2 million, State net operating loss carry-forwards of approximately $165.0 million and research and development credit carry forward of approximately $5.6 million, all of which expire between 2027 and 2037. Our ability to utilize our net operating loss and credit carryforwards is dependent upon our ability to generate taxable income in future periods and may be limited due to restrictions imposed on utilization of net operating loss and credit carryforwards under federal and state laws upon a change in ownership.</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Sections 382 and 383 of the Internal Revenue Code of 1986, as amended, a corporation that undergoes an “ownership change,” is subject to annual limitations on its ability to use its pre-change net operating loss carryforwards (NOLs) and other pre-change tax attributes (such as research tax credits) to offset its post-change income or taxes. For these purposes, an ownership change generally occurs where the equity ownership of one or more stockholders or groups of stockholders who owns at least 5% of a corporation’s stock increases its ownership by more than 50 percentage points over its lowest ownership percentage within a three-year period (calculated on a rolling basis). We have determined that an ownership change occurred in each of December 2010, January 2013 and October 2014. The result of these ownership changes is that approximately $40.0 million of our approximately $153.2 million of net operating losses will not be available to us to offset future taxable income. In addition, we may experience ownership changes in the future, some of which are outside our control. Accordingly, we may not be able to utilize a material portion of our net operating losses or credits. Limitations on our ability to utilize our net operating losses to offset U.S. federal taxable income could potentially result in increased future tax liability to us. In addition, at the state level, there may be periods during which the use of net operating losses is suspended or otherwise limited, which could accelerate or permanently increase state taxes owed.</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U.S. federal net operating losses incurred in taxable periods beginning before January 1, 2018 generally may be carried forward for up to 20 years, the annual limitation may effectively provide a cap on the cumulative amount of pre-ownership change losses, including certain recognized built-in losses that may be utilized. Such pre-ownership change losses in excess of the cap may be lost. In addition, if an ownership change were to occur, it is possible that the limitations imposed on our ability to use pre-ownership change losses and certain recognized built-in losses could cause a net increase in our U.S. federal income tax liability and require U.S. federal income taxes to be paid earlier than otherwise would be paid if such limitations were not in effect. Further, if for financial reporting purposes the amount or value of these deferred tax assets is reduced, such reduction would have a negative impact on the book value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17"/>
          <w:szCs w:val="17"/>
          <w:color w:val="auto"/>
        </w:rPr>
        <w:t>In addition, under the Tax Cuts and Jobs Act (the Tax Act), the amount of U.S. federal net operating losses generated in taxable periods beginning after December 31, 2017 that we are permitted to deduct in any taxable year is limited to 80% of our taxable income in such year, where taxable income is determined without regard to the NOL deduction itself. The Tax Act generally eliminates the ability to carry back any post-2017 NOL to prior taxable years, while allowing unused post-2017 NOLs to be carried forward indefinitely. There is a risk that due to ownership changes, changes in law or other unforeseen reasons, our existing NOLs could expire or otherwise be unavailable to offset future income tax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 and our stock may not appreciate in value.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intend to retain our future earnings, if any, to finance the operation and growth of our business and do not expect to pay any cash dividends in the foreseeable future. As a result, the success of an investment in shares of our common stock will depend upon any future appreciation in its value. There is no guarantee that shares of our common stock will appreciate in value or that the price at which our stockholders have purchased their shares will be able to be maintained.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add to our operating costs and might strain our resources and distract our management.</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public company, we face increased legal, accounting, administrative and other costs and expenses not faced by private companies. We are subject to the reporting requirements of the Exchange Act, which requires that we file annual, quarterly and current reports with respect to our business and financial condition, and the rules and regulations implemented by the SEC, the Sarbanes-Oxley Act, and The NASDAQ Capital Market, each of which imposes additional reporting and other obligations on public companies. These rules and regulations increase our legal and financial compliance costs and make some activities more time-consuming and costly, although we are currently unable to estimate these costs with any degree of certainty. Complying with these requirements might divert management’s attention from other business concerns, which could have a material adverse effect on our prospects, business, and financial condition.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expenses incurred by public companies generally for reporting and corporate governance purposes have been increasing. These increased costs will require us to divert a significant amount of money that we could otherwise use to develop our product candidates or otherwise expand our business. If we are unable to satisfy our obligations as a public company, we could be subject to delisting of our common stock, fines, sanctions and other regulatory action and potentially civil litigation.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Several provisions of the Delaware General Corporation Law and our charter documents could discourage, delay or prevent a merger or acquisition, which could adversely affect the market price of our securities.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Several provisions of the Delaware General Corporation Law and our charter documents could discourage, delay or prevent a merger or acquisition that stockholders may consider favorable, and the market price of our securities could be reduced as a result. These provisions may include:</w:t>
      </w:r>
    </w:p>
    <w:p>
      <w:pPr>
        <w:spacing w:after="0" w:line="147" w:lineRule="exact"/>
        <w:rPr>
          <w:sz w:val="20"/>
          <w:szCs w:val="20"/>
          <w:color w:val="auto"/>
        </w:rPr>
      </w:pPr>
    </w:p>
    <w:p>
      <w:pPr>
        <w:ind w:left="660" w:right="2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stockholders’ approval;</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us from engaging in a “business combination” with an “interested stockholder” for a period of three years after the date of the transaction in which the person became an interested stockholder unless certain provisions are met;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the persons who may call special meetings of stockholders; and</w:t>
      </w:r>
    </w:p>
    <w:p>
      <w:pPr>
        <w:spacing w:after="0" w:line="225"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stockholder meetings.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securities analysts downgrade our stock or cease coverage of us, the price of our stock could decline.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trading market for our common stock relies in part on the research and reports that industry or financial analysts publish about us or our business. Currently, a limited number of financial analysts publish reports about us and our business. We do not control these analysts or any other analysts. Furthermore, there are many large, well-established, publicly traded companies active in our industry and market, which may mean that it is less likely that we will receive widespread analyst coverage. If any analyst who covers us downgrades our stock, our stock price would likely decline rapidly. If one or more analysts cease coverage of our company, we could lose visibility in the market, which in turn could cause our stock price to decline.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7, 2018, the Company and Thomas E. Rollins, Chief Development Officer and a named executive officer in the Company’s most recent proxy statement, agreed that Mr. Rollins will depart the Company effective August 22,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quarterly report on Form 10-Q:</w:t>
      </w:r>
    </w:p>
    <w:p>
      <w:pPr>
        <w:spacing w:after="0" w:line="22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2"/>
              </w:rPr>
              <w:t>Incorporated</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96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96"/>
              </w:rPr>
              <w:t>Exhibit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Filed</w:t>
            </w:r>
          </w:p>
        </w:tc>
        <w:tc>
          <w:tcPr>
            <w:tcW w:w="14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by Reference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96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4"/>
              </w:rPr>
              <w:t>Number</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80" w:type="dxa"/>
            <w:vAlign w:val="bottom"/>
            <w:gridSpan w:val="10"/>
          </w:tcPr>
          <w:p>
            <w:pPr>
              <w:ind w:left="80"/>
              <w:spacing w:after="0"/>
              <w:rPr>
                <w:sz w:val="20"/>
                <w:szCs w:val="20"/>
                <w:color w:val="auto"/>
              </w:rPr>
            </w:pPr>
            <w:r>
              <w:rPr>
                <w:rFonts w:ascii="Arial" w:cs="Arial" w:eastAsia="Arial" w:hAnsi="Arial"/>
                <w:sz w:val="18"/>
                <w:szCs w:val="18"/>
                <w:b w:val="1"/>
                <w:bCs w:val="1"/>
                <w:color w:val="auto"/>
              </w:rPr>
              <w:t>Description of Document</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from</w:t>
            </w:r>
          </w:p>
        </w:tc>
        <w:tc>
          <w:tcPr>
            <w:tcW w:w="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c>
          <w:tcPr>
            <w:tcW w:w="820" w:type="dxa"/>
            <w:vAlign w:val="bottom"/>
            <w:gridSpan w:val="3"/>
          </w:tcPr>
          <w:p>
            <w:pPr>
              <w:ind w:left="180"/>
              <w:spacing w:after="0"/>
              <w:rPr>
                <w:sz w:val="20"/>
                <w:szCs w:val="20"/>
                <w:color w:val="auto"/>
              </w:rPr>
            </w:pPr>
            <w:r>
              <w:rPr>
                <w:rFonts w:ascii="Arial" w:cs="Arial" w:eastAsia="Arial" w:hAnsi="Arial"/>
                <w:sz w:val="18"/>
                <w:szCs w:val="18"/>
                <w:b w:val="1"/>
                <w:bCs w:val="1"/>
                <w:color w:val="auto"/>
                <w:w w:val="91"/>
              </w:rPr>
              <w:t>Number</w:t>
            </w:r>
          </w:p>
        </w:tc>
      </w:tr>
      <w:tr>
        <w:trPr>
          <w:trHeight w:val="392"/>
        </w:trPr>
        <w:tc>
          <w:tcPr>
            <w:tcW w:w="440" w:type="dxa"/>
            <w:vAlign w:val="bottom"/>
            <w:gridSpan w:val="4"/>
          </w:tcPr>
          <w:p>
            <w:pPr>
              <w:jc w:val="center"/>
              <w:ind w:left="130"/>
              <w:spacing w:after="0"/>
              <w:rPr>
                <w:rFonts w:ascii="Arial" w:cs="Arial" w:eastAsia="Arial" w:hAnsi="Arial"/>
                <w:sz w:val="18"/>
                <w:szCs w:val="18"/>
                <w:color w:val="0000EE"/>
                <w:w w:val="87"/>
              </w:rPr>
            </w:pPr>
            <w:hyperlink r:id="rId8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20" w:type="dxa"/>
            <w:vAlign w:val="bottom"/>
            <w:gridSpan w:val="14"/>
          </w:tcPr>
          <w:p>
            <w:pPr>
              <w:spacing w:after="0"/>
              <w:rPr>
                <w:rFonts w:ascii="Arial" w:cs="Arial" w:eastAsia="Arial" w:hAnsi="Arial"/>
                <w:sz w:val="18"/>
                <w:szCs w:val="18"/>
                <w:color w:val="0000EE"/>
                <w:w w:val="94"/>
              </w:rPr>
            </w:pPr>
            <w:hyperlink r:id="rId83">
              <w:r>
                <w:rPr>
                  <w:rFonts w:ascii="Arial" w:cs="Arial" w:eastAsia="Arial" w:hAnsi="Arial"/>
                  <w:sz w:val="18"/>
                  <w:szCs w:val="18"/>
                  <w:color w:val="0000EE"/>
                  <w:w w:val="94"/>
                </w:rPr>
                <w:t>Fourth Amended and Restated Certificate of Incorporation, dated May 31, 2018.</w:t>
              </w:r>
            </w:hyperlink>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3"/>
          </w:tcPr>
          <w:p>
            <w:pPr>
              <w:jc w:val="center"/>
              <w:ind w:right="180"/>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8-K</w:t>
              </w:r>
            </w:hyperlink>
          </w:p>
        </w:tc>
        <w:tc>
          <w:tcPr>
            <w:tcW w:w="820" w:type="dxa"/>
            <w:vAlign w:val="bottom"/>
            <w:gridSpan w:val="2"/>
          </w:tcPr>
          <w:p>
            <w:pPr>
              <w:jc w:val="center"/>
              <w:ind w:right="180"/>
              <w:spacing w:after="0"/>
              <w:rPr>
                <w:rFonts w:ascii="Arial" w:cs="Arial" w:eastAsia="Arial" w:hAnsi="Arial"/>
                <w:sz w:val="18"/>
                <w:szCs w:val="18"/>
                <w:color w:val="0000EE"/>
                <w:w w:val="91"/>
              </w:rPr>
            </w:pPr>
            <w:hyperlink r:id="rId83">
              <w:r>
                <w:rPr>
                  <w:rFonts w:ascii="Arial" w:cs="Arial" w:eastAsia="Arial" w:hAnsi="Arial"/>
                  <w:sz w:val="18"/>
                  <w:szCs w:val="18"/>
                  <w:color w:val="0000EE"/>
                  <w:w w:val="91"/>
                </w:rPr>
                <w:t>6/1/2018</w:t>
              </w:r>
            </w:hyperlink>
          </w:p>
        </w:tc>
        <w:tc>
          <w:tcPr>
            <w:tcW w:w="620" w:type="dxa"/>
            <w:vAlign w:val="bottom"/>
            <w:gridSpan w:val="2"/>
          </w:tcPr>
          <w:p>
            <w:pPr>
              <w:jc w:val="center"/>
              <w:ind w:left="310"/>
              <w:spacing w:after="0"/>
              <w:rPr>
                <w:rFonts w:ascii="Arial" w:cs="Arial" w:eastAsia="Arial" w:hAnsi="Arial"/>
                <w:sz w:val="18"/>
                <w:szCs w:val="18"/>
                <w:color w:val="0000EE"/>
                <w:w w:val="87"/>
              </w:rPr>
            </w:pPr>
            <w:hyperlink r:id="rId8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20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40" w:type="dxa"/>
            <w:vAlign w:val="bottom"/>
            <w:gridSpan w:val="5"/>
          </w:tcPr>
          <w:p>
            <w:pPr>
              <w:jc w:val="center"/>
              <w:ind w:left="30"/>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Separation Agreement dated May 31, 2018 between Assembly Biosciences, Inc.</w:t>
              </w:r>
            </w:hyperlink>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58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and David J. Barrett.</w:t>
              </w:r>
            </w:hyperlink>
          </w:p>
        </w:tc>
        <w:tc>
          <w:tcPr>
            <w:tcW w:w="2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ind w:right="420"/>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X</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540" w:type="dxa"/>
            <w:vAlign w:val="bottom"/>
            <w:gridSpan w:val="5"/>
          </w:tcPr>
          <w:p>
            <w:pPr>
              <w:jc w:val="center"/>
              <w:ind w:left="30"/>
              <w:spacing w:after="0" w:line="196" w:lineRule="exact"/>
              <w:rPr>
                <w:rFonts w:ascii="Arial" w:cs="Arial" w:eastAsia="Arial" w:hAnsi="Arial"/>
                <w:sz w:val="18"/>
                <w:szCs w:val="18"/>
                <w:color w:val="0000EE"/>
                <w:w w:val="93"/>
              </w:rPr>
            </w:pPr>
            <w:hyperlink w:anchor="page6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2#</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Consulting Agreement effective June 1, 2018 between Assembly Biosciences,</w:t>
              </w:r>
            </w:hyperlink>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Inc. and David J. Barrett</w:t>
              </w:r>
            </w:hyperlink>
          </w:p>
        </w:tc>
        <w:tc>
          <w:tcPr>
            <w:tcW w:w="3860" w:type="dxa"/>
            <w:vAlign w:val="bottom"/>
            <w:tcBorders>
              <w:top w:val="single" w:sz="8" w:color="0000EE"/>
            </w:tcBorders>
            <w:gridSpan w:val="6"/>
          </w:tcPr>
          <w:p>
            <w:pPr>
              <w:spacing w:after="0"/>
              <w:rPr>
                <w:sz w:val="17"/>
                <w:szCs w:val="17"/>
                <w:color w:val="auto"/>
              </w:rPr>
            </w:pPr>
          </w:p>
        </w:tc>
        <w:tc>
          <w:tcPr>
            <w:tcW w:w="38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0000EE"/>
            </w:tcBorders>
          </w:tcPr>
          <w:p>
            <w:pPr>
              <w:jc w:val="cente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X</w:t>
              </w:r>
            </w:hyperlink>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540" w:type="dxa"/>
            <w:vAlign w:val="bottom"/>
            <w:gridSpan w:val="5"/>
          </w:tcPr>
          <w:p>
            <w:pPr>
              <w:jc w:val="center"/>
              <w:ind w:left="30"/>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3#</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4"/>
              </w:rPr>
            </w:pPr>
            <w:hyperlink w:anchor="page68">
              <w:r>
                <w:rPr>
                  <w:rFonts w:ascii="Arial" w:cs="Arial" w:eastAsia="Arial" w:hAnsi="Arial"/>
                  <w:sz w:val="18"/>
                  <w:szCs w:val="18"/>
                  <w:color w:val="0000EE"/>
                  <w:w w:val="94"/>
                </w:rPr>
                <w:t>Restricted Stock Unit Award Notice and Restricted Stock Unit Award Agreement</w:t>
              </w:r>
            </w:hyperlink>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58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between Assembly Biosciences, Inc. and David J. Barrett.</w:t>
              </w:r>
            </w:hyperlink>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gridSpan w:val="2"/>
          </w:tcPr>
          <w:p>
            <w:pPr>
              <w:jc w:val="center"/>
              <w:ind w:right="4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X</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420" w:type="dxa"/>
            <w:vAlign w:val="bottom"/>
            <w:gridSpan w:val="4"/>
          </w:tcPr>
          <w:p>
            <w:pPr>
              <w:jc w:val="center"/>
              <w:spacing w:after="0" w:line="196" w:lineRule="exact"/>
              <w:rPr>
                <w:rFonts w:ascii="Arial" w:cs="Arial" w:eastAsia="Arial" w:hAnsi="Arial"/>
                <w:sz w:val="18"/>
                <w:szCs w:val="18"/>
                <w:color w:val="0000EE"/>
                <w:w w:val="93"/>
              </w:rPr>
            </w:pPr>
            <w:hyperlink r:id="rId8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4#</w:t>
              </w:r>
            </w:hyperlink>
          </w:p>
        </w:tc>
        <w:tc>
          <w:tcPr>
            <w:tcW w:w="420" w:type="dxa"/>
            <w:vAlign w:val="bottom"/>
          </w:tcPr>
          <w:p>
            <w:pPr>
              <w:spacing w:after="0"/>
              <w:rPr>
                <w:sz w:val="17"/>
                <w:szCs w:val="17"/>
                <w:color w:val="auto"/>
              </w:rPr>
            </w:pPr>
          </w:p>
        </w:tc>
        <w:tc>
          <w:tcPr>
            <w:tcW w:w="418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r:id="rId84">
              <w:r>
                <w:rPr>
                  <w:rFonts w:ascii="Arial" w:cs="Arial" w:eastAsia="Arial" w:hAnsi="Arial"/>
                  <w:sz w:val="18"/>
                  <w:szCs w:val="18"/>
                  <w:color w:val="0000EE"/>
                  <w:w w:val="95"/>
                </w:rPr>
                <w:t>Assembly Biosciences, Inc. 2018 Stock Incentive Plan.</w:t>
              </w:r>
            </w:hyperlink>
          </w:p>
        </w:tc>
        <w:tc>
          <w:tcPr>
            <w:tcW w:w="1840" w:type="dxa"/>
            <w:vAlign w:val="bottom"/>
            <w:gridSpan w:val="7"/>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3"/>
          </w:tcPr>
          <w:p>
            <w:pPr>
              <w:jc w:val="center"/>
              <w:ind w:right="180"/>
              <w:spacing w:after="0" w:line="196" w:lineRule="exact"/>
              <w:rPr>
                <w:rFonts w:ascii="Arial" w:cs="Arial" w:eastAsia="Arial" w:hAnsi="Arial"/>
                <w:sz w:val="18"/>
                <w:szCs w:val="18"/>
                <w:color w:val="0000EE"/>
                <w:w w:val="99"/>
              </w:rPr>
            </w:pPr>
            <w:hyperlink r:id="rId84">
              <w:r>
                <w:rPr>
                  <w:rFonts w:ascii="Arial" w:cs="Arial" w:eastAsia="Arial" w:hAnsi="Arial"/>
                  <w:sz w:val="18"/>
                  <w:szCs w:val="18"/>
                  <w:color w:val="0000EE"/>
                  <w:w w:val="99"/>
                </w:rPr>
                <w:t>8-K</w:t>
              </w:r>
            </w:hyperlink>
          </w:p>
        </w:tc>
        <w:tc>
          <w:tcPr>
            <w:tcW w:w="820" w:type="dxa"/>
            <w:vAlign w:val="bottom"/>
            <w:gridSpan w:val="2"/>
          </w:tcPr>
          <w:p>
            <w:pPr>
              <w:jc w:val="center"/>
              <w:ind w:right="180"/>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6/1/2018</w:t>
              </w:r>
            </w:hyperlink>
          </w:p>
        </w:tc>
        <w:tc>
          <w:tcPr>
            <w:tcW w:w="820" w:type="dxa"/>
            <w:vAlign w:val="bottom"/>
            <w:gridSpan w:val="3"/>
          </w:tcPr>
          <w:p>
            <w:pPr>
              <w:jc w:val="center"/>
              <w:ind w:left="110"/>
              <w:spacing w:after="0" w:line="196" w:lineRule="exact"/>
              <w:rPr>
                <w:rFonts w:ascii="Arial" w:cs="Arial" w:eastAsia="Arial" w:hAnsi="Arial"/>
                <w:sz w:val="18"/>
                <w:szCs w:val="18"/>
                <w:color w:val="0000EE"/>
                <w:w w:val="85"/>
              </w:rPr>
            </w:pPr>
            <w:hyperlink r:id="rId8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r>
      <w:tr>
        <w:trPr>
          <w:trHeight w:val="20"/>
        </w:trPr>
        <w:tc>
          <w:tcPr>
            <w:tcW w:w="120" w:type="dxa"/>
            <w:vAlign w:val="bottom"/>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0" w:type="dxa"/>
            <w:vAlign w:val="bottom"/>
            <w:gridSpan w:val="4"/>
          </w:tcPr>
          <w:p>
            <w:pPr>
              <w:jc w:val="cente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5#</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7"/>
              </w:rPr>
            </w:pPr>
            <w:hyperlink r:id="rId85">
              <w:r>
                <w:rPr>
                  <w:rFonts w:ascii="Arial" w:cs="Arial" w:eastAsia="Arial" w:hAnsi="Arial"/>
                  <w:sz w:val="18"/>
                  <w:szCs w:val="18"/>
                  <w:color w:val="0000EE"/>
                  <w:w w:val="97"/>
                </w:rPr>
                <w:t>Form of Notice of Stock Option Grant and Stock Option Agreement under the</w:t>
              </w:r>
            </w:hyperlink>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56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2018 Stock Incentive Plan.</w:t>
              </w:r>
            </w:hyperlink>
          </w:p>
        </w:tc>
        <w:tc>
          <w:tcPr>
            <w:tcW w:w="380" w:type="dxa"/>
            <w:vAlign w:val="bottom"/>
            <w:gridSpan w:val="5"/>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3"/>
          </w:tcPr>
          <w:p>
            <w:pPr>
              <w:jc w:val="center"/>
              <w:ind w:right="180"/>
              <w:spacing w:after="0" w:line="196" w:lineRule="exact"/>
              <w:rPr>
                <w:rFonts w:ascii="Arial" w:cs="Arial" w:eastAsia="Arial" w:hAnsi="Arial"/>
                <w:sz w:val="18"/>
                <w:szCs w:val="18"/>
                <w:color w:val="0000EE"/>
                <w:w w:val="99"/>
              </w:rPr>
            </w:pPr>
            <w:hyperlink r:id="rId85">
              <w:r>
                <w:rPr>
                  <w:rFonts w:ascii="Arial" w:cs="Arial" w:eastAsia="Arial" w:hAnsi="Arial"/>
                  <w:sz w:val="18"/>
                  <w:szCs w:val="18"/>
                  <w:color w:val="0000EE"/>
                  <w:w w:val="99"/>
                </w:rPr>
                <w:t>8-K</w:t>
              </w:r>
            </w:hyperlink>
          </w:p>
        </w:tc>
        <w:tc>
          <w:tcPr>
            <w:tcW w:w="820" w:type="dxa"/>
            <w:vAlign w:val="bottom"/>
            <w:gridSpan w:val="2"/>
          </w:tcPr>
          <w:p>
            <w:pPr>
              <w:jc w:val="center"/>
              <w:ind w:right="180"/>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6/1/2018</w:t>
              </w:r>
            </w:hyperlink>
          </w:p>
        </w:tc>
        <w:tc>
          <w:tcPr>
            <w:tcW w:w="820" w:type="dxa"/>
            <w:vAlign w:val="bottom"/>
            <w:gridSpan w:val="3"/>
          </w:tcPr>
          <w:p>
            <w:pPr>
              <w:jc w:val="center"/>
              <w:ind w:left="110"/>
              <w:spacing w:after="0" w:line="196" w:lineRule="exact"/>
              <w:rPr>
                <w:rFonts w:ascii="Arial" w:cs="Arial" w:eastAsia="Arial" w:hAnsi="Arial"/>
                <w:sz w:val="18"/>
                <w:szCs w:val="18"/>
                <w:color w:val="0000EE"/>
                <w:w w:val="85"/>
              </w:rPr>
            </w:pPr>
            <w:hyperlink r:id="rId8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r>
      <w:tr>
        <w:trPr>
          <w:trHeight w:val="20"/>
        </w:trPr>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196"/>
        </w:trPr>
        <w:tc>
          <w:tcPr>
            <w:tcW w:w="540" w:type="dxa"/>
            <w:vAlign w:val="bottom"/>
            <w:gridSpan w:val="5"/>
          </w:tcPr>
          <w:p>
            <w:pPr>
              <w:jc w:val="center"/>
              <w:ind w:left="30"/>
              <w:spacing w:after="0" w:line="196" w:lineRule="exact"/>
              <w:rPr>
                <w:rFonts w:ascii="Arial" w:cs="Arial" w:eastAsia="Arial" w:hAnsi="Arial"/>
                <w:sz w:val="18"/>
                <w:szCs w:val="18"/>
                <w:color w:val="0000EE"/>
                <w:w w:val="93"/>
              </w:rPr>
            </w:pPr>
            <w:hyperlink r:id="rId8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6#</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8"/>
              </w:rPr>
            </w:pPr>
            <w:hyperlink r:id="rId86">
              <w:r>
                <w:rPr>
                  <w:rFonts w:ascii="Arial" w:cs="Arial" w:eastAsia="Arial" w:hAnsi="Arial"/>
                  <w:sz w:val="18"/>
                  <w:szCs w:val="18"/>
                  <w:color w:val="0000EE"/>
                  <w:w w:val="98"/>
                </w:rPr>
                <w:t>Form of Restricted Stock Unit Award Notice and Restricted Stock Unit Award</w:t>
              </w:r>
            </w:hyperlink>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Arial" w:cs="Arial" w:eastAsia="Arial" w:hAnsi="Arial"/>
                <w:sz w:val="18"/>
                <w:szCs w:val="18"/>
                <w:color w:val="0000EE"/>
                <w:w w:val="90"/>
              </w:rPr>
            </w:pPr>
            <w:hyperlink r:id="rId86">
              <w:r>
                <w:rPr>
                  <w:rFonts w:ascii="Arial" w:cs="Arial" w:eastAsia="Arial" w:hAnsi="Arial"/>
                  <w:sz w:val="18"/>
                  <w:szCs w:val="18"/>
                  <w:color w:val="0000EE"/>
                  <w:w w:val="90"/>
                </w:rPr>
                <w:t>Agreement under the 2018 Stock Incentive Plan.</w:t>
              </w:r>
            </w:hyperlink>
          </w:p>
        </w:tc>
        <w:tc>
          <w:tcPr>
            <w:tcW w:w="2140" w:type="dxa"/>
            <w:vAlign w:val="bottom"/>
            <w:tcBorders>
              <w:top w:val="single" w:sz="8" w:color="0000EE"/>
            </w:tcBorders>
            <w:gridSpan w:val="5"/>
          </w:tcPr>
          <w:p>
            <w:pPr>
              <w:spacing w:after="0"/>
              <w:rPr>
                <w:sz w:val="17"/>
                <w:szCs w:val="17"/>
                <w:color w:val="auto"/>
              </w:rPr>
            </w:pPr>
          </w:p>
        </w:tc>
        <w:tc>
          <w:tcPr>
            <w:tcW w:w="360" w:type="dxa"/>
            <w:vAlign w:val="bottom"/>
            <w:gridSpan w:val="4"/>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gridSpan w:val="2"/>
          </w:tcPr>
          <w:p>
            <w:pPr>
              <w:jc w:val="center"/>
              <w:ind w:right="680"/>
              <w:spacing w:after="0" w:line="196" w:lineRule="exact"/>
              <w:rPr>
                <w:rFonts w:ascii="Arial" w:cs="Arial" w:eastAsia="Arial" w:hAnsi="Arial"/>
                <w:sz w:val="18"/>
                <w:szCs w:val="18"/>
                <w:color w:val="0000EE"/>
                <w:w w:val="99"/>
              </w:rPr>
            </w:pPr>
            <w:hyperlink r:id="rId86">
              <w:r>
                <w:rPr>
                  <w:rFonts w:ascii="Arial" w:cs="Arial" w:eastAsia="Arial" w:hAnsi="Arial"/>
                  <w:sz w:val="18"/>
                  <w:szCs w:val="18"/>
                  <w:color w:val="0000EE"/>
                  <w:w w:val="99"/>
                </w:rPr>
                <w:t>8-K</w:t>
              </w:r>
            </w:hyperlink>
          </w:p>
        </w:tc>
        <w:tc>
          <w:tcPr>
            <w:tcW w:w="820" w:type="dxa"/>
            <w:vAlign w:val="bottom"/>
            <w:gridSpan w:val="2"/>
          </w:tcPr>
          <w:p>
            <w:pPr>
              <w:jc w:val="center"/>
              <w:ind w:right="180"/>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6/1/2018</w:t>
              </w:r>
            </w:hyperlink>
          </w:p>
        </w:tc>
        <w:tc>
          <w:tcPr>
            <w:tcW w:w="820" w:type="dxa"/>
            <w:vAlign w:val="bottom"/>
            <w:gridSpan w:val="3"/>
          </w:tcPr>
          <w:p>
            <w:pPr>
              <w:jc w:val="center"/>
              <w:ind w:left="110"/>
              <w:spacing w:after="0" w:line="196" w:lineRule="exact"/>
              <w:rPr>
                <w:rFonts w:ascii="Arial" w:cs="Arial" w:eastAsia="Arial" w:hAnsi="Arial"/>
                <w:sz w:val="18"/>
                <w:szCs w:val="18"/>
                <w:color w:val="0000EE"/>
                <w:w w:val="85"/>
              </w:rPr>
            </w:pPr>
            <w:hyperlink r:id="rId86">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r>
      <w:tr>
        <w:trPr>
          <w:trHeight w:val="20"/>
        </w:trPr>
        <w:tc>
          <w:tcPr>
            <w:tcW w:w="1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196"/>
        </w:trPr>
        <w:tc>
          <w:tcPr>
            <w:tcW w:w="540" w:type="dxa"/>
            <w:vAlign w:val="bottom"/>
            <w:gridSpan w:val="5"/>
          </w:tcPr>
          <w:p>
            <w:pPr>
              <w:jc w:val="center"/>
              <w:ind w:left="30"/>
              <w:spacing w:after="0" w:line="196" w:lineRule="exact"/>
              <w:rPr>
                <w:rFonts w:ascii="Arial" w:cs="Arial" w:eastAsia="Arial" w:hAnsi="Arial"/>
                <w:sz w:val="18"/>
                <w:szCs w:val="18"/>
                <w:color w:val="0000EE"/>
                <w:w w:val="93"/>
              </w:rPr>
            </w:pPr>
            <w:hyperlink r:id="rId8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Assembly Biosciences, Inc. 2018 Employee Stock Purchase Plan.</w:t>
              </w:r>
            </w:hyperlink>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3"/>
          </w:tcPr>
          <w:p>
            <w:pPr>
              <w:jc w:val="center"/>
              <w:ind w:right="180"/>
              <w:spacing w:after="0" w:line="196" w:lineRule="exact"/>
              <w:rPr>
                <w:rFonts w:ascii="Arial" w:cs="Arial" w:eastAsia="Arial" w:hAnsi="Arial"/>
                <w:sz w:val="18"/>
                <w:szCs w:val="18"/>
                <w:color w:val="0000EE"/>
                <w:w w:val="99"/>
              </w:rPr>
            </w:pPr>
            <w:hyperlink r:id="rId87">
              <w:r>
                <w:rPr>
                  <w:rFonts w:ascii="Arial" w:cs="Arial" w:eastAsia="Arial" w:hAnsi="Arial"/>
                  <w:sz w:val="18"/>
                  <w:szCs w:val="18"/>
                  <w:color w:val="0000EE"/>
                  <w:w w:val="99"/>
                </w:rPr>
                <w:t>8-K</w:t>
              </w:r>
            </w:hyperlink>
          </w:p>
        </w:tc>
        <w:tc>
          <w:tcPr>
            <w:tcW w:w="820" w:type="dxa"/>
            <w:vAlign w:val="bottom"/>
            <w:gridSpan w:val="2"/>
          </w:tcPr>
          <w:p>
            <w:pPr>
              <w:jc w:val="center"/>
              <w:ind w:right="180"/>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6/1/2018</w:t>
              </w:r>
            </w:hyperlink>
          </w:p>
        </w:tc>
        <w:tc>
          <w:tcPr>
            <w:tcW w:w="820" w:type="dxa"/>
            <w:vAlign w:val="bottom"/>
            <w:gridSpan w:val="3"/>
          </w:tcPr>
          <w:p>
            <w:pPr>
              <w:jc w:val="center"/>
              <w:ind w:left="110"/>
              <w:spacing w:after="0" w:line="196" w:lineRule="exact"/>
              <w:rPr>
                <w:rFonts w:ascii="Arial" w:cs="Arial" w:eastAsia="Arial" w:hAnsi="Arial"/>
                <w:sz w:val="18"/>
                <w:szCs w:val="18"/>
                <w:color w:val="0000EE"/>
                <w:w w:val="85"/>
              </w:rPr>
            </w:pPr>
            <w:hyperlink r:id="rId87">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r>
      <w:tr>
        <w:trPr>
          <w:trHeight w:val="20"/>
        </w:trPr>
        <w:tc>
          <w:tcPr>
            <w:tcW w:w="180" w:type="dxa"/>
            <w:vAlign w:val="bottom"/>
            <w:tcBorders>
              <w:right w:val="single" w:sz="8" w:color="0000EE"/>
            </w:tcBorders>
            <w:gridSpan w:val="2"/>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gridSpan w:val="7"/>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r>
      <w:tr>
        <w:trPr>
          <w:trHeight w:val="196"/>
        </w:trPr>
        <w:tc>
          <w:tcPr>
            <w:tcW w:w="180" w:type="dxa"/>
            <w:vAlign w:val="bottom"/>
            <w:gridSpan w:val="2"/>
          </w:tcPr>
          <w:p>
            <w:pPr>
              <w:spacing w:after="0"/>
              <w:rPr>
                <w:sz w:val="17"/>
                <w:szCs w:val="17"/>
                <w:color w:val="auto"/>
              </w:rPr>
            </w:pPr>
          </w:p>
        </w:tc>
        <w:tc>
          <w:tcPr>
            <w:tcW w:w="360" w:type="dxa"/>
            <w:vAlign w:val="bottom"/>
            <w:gridSpan w:val="3"/>
          </w:tcPr>
          <w:p>
            <w:pPr>
              <w:jc w:val="center"/>
              <w:ind w:right="60"/>
              <w:spacing w:after="0" w:line="196" w:lineRule="exact"/>
              <w:rPr>
                <w:rFonts w:ascii="Arial" w:cs="Arial" w:eastAsia="Arial" w:hAnsi="Arial"/>
                <w:sz w:val="18"/>
                <w:szCs w:val="18"/>
                <w:color w:val="0000EE"/>
                <w:w w:val="85"/>
              </w:rPr>
            </w:pPr>
            <w:hyperlink w:anchor="page75">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Certification of Chief Executive Officer Pursuant to Section 302 of the Sarbanes-</w:t>
              </w:r>
            </w:hyperlink>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Oxley Act of 2002.</w:t>
              </w:r>
            </w:hyperlink>
          </w:p>
        </w:tc>
        <w:tc>
          <w:tcPr>
            <w:tcW w:w="4460" w:type="dxa"/>
            <w:vAlign w:val="bottom"/>
            <w:tcBorders>
              <w:top w:val="single" w:sz="8" w:color="0000EE"/>
            </w:tcBorders>
            <w:gridSpan w:val="11"/>
          </w:tcPr>
          <w:p>
            <w:pPr>
              <w:spacing w:after="0"/>
              <w:rPr>
                <w:sz w:val="17"/>
                <w:szCs w:val="17"/>
                <w:color w:val="auto"/>
              </w:rPr>
            </w:pPr>
          </w:p>
        </w:tc>
        <w:tc>
          <w:tcPr>
            <w:tcW w:w="1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0000EE"/>
            </w:tcBorders>
          </w:tcPr>
          <w:p>
            <w:pPr>
              <w:jc w:val="cente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X</w:t>
              </w:r>
            </w:hyperlink>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540" w:type="dxa"/>
            <w:vAlign w:val="bottom"/>
            <w:gridSpan w:val="5"/>
          </w:tcPr>
          <w:p>
            <w:pPr>
              <w:jc w:val="center"/>
              <w:ind w:left="30"/>
              <w:spacing w:after="0" w:line="196" w:lineRule="exact"/>
              <w:rPr>
                <w:rFonts w:ascii="Arial" w:cs="Arial" w:eastAsia="Arial" w:hAnsi="Arial"/>
                <w:sz w:val="18"/>
                <w:szCs w:val="18"/>
                <w:color w:val="0000EE"/>
                <w:w w:val="85"/>
              </w:rPr>
            </w:pPr>
            <w:hyperlink w:anchor="page76">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Certification of Chief Financial Officer Pursuant to Section 302 of the Sarbanes-</w:t>
              </w:r>
            </w:hyperlink>
          </w:p>
        </w:tc>
        <w:tc>
          <w:tcPr>
            <w:tcW w:w="440" w:type="dxa"/>
            <w:vAlign w:val="bottom"/>
          </w:tcPr>
          <w:p>
            <w:pPr>
              <w:spacing w:after="0"/>
              <w:rPr>
                <w:sz w:val="17"/>
                <w:szCs w:val="17"/>
                <w:color w:val="auto"/>
              </w:rPr>
            </w:pPr>
          </w:p>
        </w:tc>
        <w:tc>
          <w:tcPr>
            <w:tcW w:w="560" w:type="dxa"/>
            <w:vAlign w:val="bottom"/>
            <w:gridSpan w:val="2"/>
          </w:tcPr>
          <w:p>
            <w:pPr>
              <w:jc w:val="center"/>
              <w:ind w:right="42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X</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6">
              <w:r>
                <w:rPr>
                  <w:rFonts w:ascii="Arial" w:cs="Arial" w:eastAsia="Arial" w:hAnsi="Arial"/>
                  <w:sz w:val="18"/>
                  <w:szCs w:val="18"/>
                  <w:color w:val="0000EE"/>
                  <w:w w:val="93"/>
                </w:rPr>
                <w:t>Oxley Act of 2002.</w:t>
              </w:r>
            </w:hyperlink>
          </w:p>
        </w:tc>
        <w:tc>
          <w:tcPr>
            <w:tcW w:w="4400" w:type="dxa"/>
            <w:vAlign w:val="bottom"/>
            <w:tcBorders>
              <w:top w:val="single" w:sz="8" w:color="0000EE"/>
            </w:tcBorders>
            <w:gridSpan w:val="10"/>
          </w:tcPr>
          <w:p>
            <w:pPr>
              <w:spacing w:after="0"/>
              <w:rPr>
                <w:sz w:val="17"/>
                <w:szCs w:val="17"/>
                <w:color w:val="auto"/>
              </w:rPr>
            </w:pPr>
          </w:p>
        </w:tc>
        <w:tc>
          <w:tcPr>
            <w:tcW w:w="2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540" w:type="dxa"/>
            <w:vAlign w:val="bottom"/>
            <w:gridSpan w:val="5"/>
          </w:tcPr>
          <w:p>
            <w:pPr>
              <w:jc w:val="center"/>
              <w:ind w:left="30"/>
              <w:spacing w:after="0" w:line="196"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32.</w:t>
              </w:r>
              <w:r>
                <w:rPr>
                  <w:rFonts w:ascii="Arial" w:cs="Arial" w:eastAsia="Arial" w:hAnsi="Arial"/>
                  <w:sz w:val="18"/>
                  <w:szCs w:val="18"/>
                  <w:u w:val="single" w:color="auto"/>
                  <w:color w:val="0000EE"/>
                  <w:w w:val="99"/>
                </w:rPr>
                <w:t>1*</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Certification of Chief Executive Officer Pursuant to Section 906 of the Sarbanes-</w:t>
              </w:r>
            </w:hyperlink>
          </w:p>
        </w:tc>
        <w:tc>
          <w:tcPr>
            <w:tcW w:w="440" w:type="dxa"/>
            <w:vAlign w:val="bottom"/>
          </w:tcPr>
          <w:p>
            <w:pPr>
              <w:spacing w:after="0"/>
              <w:rPr>
                <w:sz w:val="17"/>
                <w:szCs w:val="17"/>
                <w:color w:val="auto"/>
              </w:rPr>
            </w:pPr>
          </w:p>
        </w:tc>
        <w:tc>
          <w:tcPr>
            <w:tcW w:w="560" w:type="dxa"/>
            <w:vAlign w:val="bottom"/>
            <w:gridSpan w:val="2"/>
          </w:tcPr>
          <w:p>
            <w:pPr>
              <w:jc w:val="center"/>
              <w:ind w:right="42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X</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Oxley Act of 2002.</w:t>
              </w:r>
            </w:hyperlink>
          </w:p>
        </w:tc>
        <w:tc>
          <w:tcPr>
            <w:tcW w:w="4460" w:type="dxa"/>
            <w:vAlign w:val="bottom"/>
            <w:tcBorders>
              <w:top w:val="single" w:sz="8" w:color="0000EE"/>
            </w:tcBorders>
            <w:gridSpan w:val="11"/>
          </w:tcPr>
          <w:p>
            <w:pPr>
              <w:spacing w:after="0"/>
              <w:rPr>
                <w:sz w:val="17"/>
                <w:szCs w:val="17"/>
                <w:color w:val="auto"/>
              </w:rPr>
            </w:pPr>
          </w:p>
        </w:tc>
        <w:tc>
          <w:tcPr>
            <w:tcW w:w="16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540" w:type="dxa"/>
            <w:vAlign w:val="bottom"/>
            <w:gridSpan w:val="5"/>
          </w:tcPr>
          <w:p>
            <w:pPr>
              <w:jc w:val="center"/>
              <w:ind w:left="30"/>
              <w:spacing w:after="0" w:line="196" w:lineRule="exact"/>
              <w:rPr>
                <w:rFonts w:ascii="Arial" w:cs="Arial" w:eastAsia="Arial" w:hAnsi="Arial"/>
                <w:sz w:val="18"/>
                <w:szCs w:val="18"/>
                <w:color w:val="0000EE"/>
                <w:w w:val="99"/>
              </w:rPr>
            </w:pPr>
            <w:hyperlink w:anchor="page78">
              <w:r>
                <w:rPr>
                  <w:rFonts w:ascii="Arial" w:cs="Arial" w:eastAsia="Arial" w:hAnsi="Arial"/>
                  <w:sz w:val="18"/>
                  <w:szCs w:val="18"/>
                  <w:color w:val="0000EE"/>
                  <w:w w:val="99"/>
                </w:rPr>
                <w:t>32.</w:t>
              </w:r>
              <w:r>
                <w:rPr>
                  <w:rFonts w:ascii="Arial" w:cs="Arial" w:eastAsia="Arial" w:hAnsi="Arial"/>
                  <w:sz w:val="18"/>
                  <w:szCs w:val="18"/>
                  <w:u w:val="single" w:color="auto"/>
                  <w:color w:val="0000EE"/>
                  <w:w w:val="99"/>
                </w:rPr>
                <w:t>2*</w:t>
              </w:r>
            </w:hyperlink>
          </w:p>
        </w:tc>
        <w:tc>
          <w:tcPr>
            <w:tcW w:w="420" w:type="dxa"/>
            <w:vAlign w:val="bottom"/>
          </w:tcPr>
          <w:p>
            <w:pPr>
              <w:spacing w:after="0"/>
              <w:rPr>
                <w:sz w:val="17"/>
                <w:szCs w:val="17"/>
                <w:color w:val="auto"/>
              </w:rPr>
            </w:pPr>
          </w:p>
        </w:tc>
        <w:tc>
          <w:tcPr>
            <w:tcW w:w="6020" w:type="dxa"/>
            <w:vAlign w:val="bottom"/>
            <w:gridSpan w:val="14"/>
          </w:tcPr>
          <w:p>
            <w:pPr>
              <w:spacing w:after="0" w:line="196"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Certification of Chief Financial Officer Pursuant to Section 906 of the Sarbanes-</w:t>
              </w:r>
            </w:hyperlink>
          </w:p>
        </w:tc>
        <w:tc>
          <w:tcPr>
            <w:tcW w:w="440" w:type="dxa"/>
            <w:vAlign w:val="bottom"/>
          </w:tcPr>
          <w:p>
            <w:pPr>
              <w:spacing w:after="0"/>
              <w:rPr>
                <w:sz w:val="17"/>
                <w:szCs w:val="17"/>
                <w:color w:val="auto"/>
              </w:rPr>
            </w:pPr>
          </w:p>
        </w:tc>
        <w:tc>
          <w:tcPr>
            <w:tcW w:w="560" w:type="dxa"/>
            <w:vAlign w:val="bottom"/>
            <w:gridSpan w:val="2"/>
          </w:tcPr>
          <w:p>
            <w:pPr>
              <w:jc w:val="center"/>
              <w:ind w:right="420"/>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X</w:t>
              </w:r>
            </w:hyperlink>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8">
              <w:r>
                <w:rPr>
                  <w:rFonts w:ascii="Arial" w:cs="Arial" w:eastAsia="Arial" w:hAnsi="Arial"/>
                  <w:sz w:val="18"/>
                  <w:szCs w:val="18"/>
                  <w:color w:val="0000EE"/>
                  <w:w w:val="93"/>
                </w:rPr>
                <w:t>Oxley Act of 2002.</w:t>
              </w:r>
            </w:hyperlink>
          </w:p>
        </w:tc>
        <w:tc>
          <w:tcPr>
            <w:tcW w:w="4400" w:type="dxa"/>
            <w:vAlign w:val="bottom"/>
            <w:tcBorders>
              <w:top w:val="single" w:sz="8" w:color="0000EE"/>
            </w:tcBorders>
            <w:gridSpan w:val="10"/>
          </w:tcPr>
          <w:p>
            <w:pPr>
              <w:spacing w:after="0"/>
              <w:rPr>
                <w:sz w:val="17"/>
                <w:szCs w:val="17"/>
                <w:color w:val="auto"/>
              </w:rPr>
            </w:pPr>
          </w:p>
        </w:tc>
        <w:tc>
          <w:tcPr>
            <w:tcW w:w="2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540" w:type="dxa"/>
            <w:vAlign w:val="bottom"/>
            <w:gridSpan w:val="5"/>
          </w:tcPr>
          <w:p>
            <w:pPr>
              <w:jc w:val="center"/>
              <w:ind w:left="30"/>
              <w:spacing w:after="0"/>
              <w:rPr>
                <w:sz w:val="20"/>
                <w:szCs w:val="20"/>
                <w:color w:val="auto"/>
              </w:rPr>
            </w:pPr>
            <w:r>
              <w:rPr>
                <w:rFonts w:ascii="Arial" w:cs="Arial" w:eastAsia="Arial" w:hAnsi="Arial"/>
                <w:sz w:val="18"/>
                <w:szCs w:val="18"/>
                <w:color w:val="auto"/>
                <w:w w:val="86"/>
              </w:rPr>
              <w:t>101</w:t>
            </w:r>
          </w:p>
        </w:tc>
        <w:tc>
          <w:tcPr>
            <w:tcW w:w="420" w:type="dxa"/>
            <w:vAlign w:val="bottom"/>
          </w:tcPr>
          <w:p>
            <w:pPr>
              <w:spacing w:after="0"/>
              <w:rPr>
                <w:sz w:val="20"/>
                <w:szCs w:val="20"/>
                <w:color w:val="auto"/>
              </w:rPr>
            </w:pPr>
          </w:p>
        </w:tc>
        <w:tc>
          <w:tcPr>
            <w:tcW w:w="6020" w:type="dxa"/>
            <w:vAlign w:val="bottom"/>
            <w:gridSpan w:val="14"/>
          </w:tcPr>
          <w:p>
            <w:pPr>
              <w:spacing w:after="0"/>
              <w:rPr>
                <w:sz w:val="20"/>
                <w:szCs w:val="20"/>
                <w:color w:val="auto"/>
              </w:rPr>
            </w:pPr>
            <w:r>
              <w:rPr>
                <w:rFonts w:ascii="Arial" w:cs="Arial" w:eastAsia="Arial" w:hAnsi="Arial"/>
                <w:sz w:val="18"/>
                <w:szCs w:val="18"/>
                <w:color w:val="auto"/>
              </w:rPr>
              <w:t>Financials in XBRL format.</w:t>
            </w:r>
          </w:p>
        </w:tc>
        <w:tc>
          <w:tcPr>
            <w:tcW w:w="440" w:type="dxa"/>
            <w:vAlign w:val="bottom"/>
          </w:tcPr>
          <w:p>
            <w:pPr>
              <w:spacing w:after="0"/>
              <w:rPr>
                <w:sz w:val="20"/>
                <w:szCs w:val="20"/>
                <w:color w:val="auto"/>
              </w:rPr>
            </w:pPr>
          </w:p>
        </w:tc>
        <w:tc>
          <w:tcPr>
            <w:tcW w:w="560" w:type="dxa"/>
            <w:vAlign w:val="bottom"/>
            <w:gridSpan w:val="2"/>
          </w:tcPr>
          <w:p>
            <w:pPr>
              <w:jc w:val="center"/>
              <w:ind w:right="420"/>
              <w:spacing w:after="0"/>
              <w:rPr>
                <w:sz w:val="20"/>
                <w:szCs w:val="20"/>
                <w:color w:val="auto"/>
              </w:rPr>
            </w:pPr>
            <w:r>
              <w:rPr>
                <w:rFonts w:ascii="Arial" w:cs="Arial" w:eastAsia="Arial" w:hAnsi="Arial"/>
                <w:sz w:val="18"/>
                <w:szCs w:val="18"/>
                <w:color w:val="auto"/>
              </w:rPr>
              <w:t>X</w:t>
            </w: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2"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management contracts or compensatory plans or arrangements.</w:t>
      </w:r>
    </w:p>
    <w:p>
      <w:pPr>
        <w:spacing w:after="0" w:line="23" w:lineRule="exact"/>
        <w:rPr>
          <w:sz w:val="20"/>
          <w:szCs w:val="20"/>
          <w:color w:val="auto"/>
        </w:rPr>
      </w:pPr>
    </w:p>
    <w:p>
      <w:pPr>
        <w:jc w:val="both"/>
        <w:ind w:left="340" w:hanging="332"/>
        <w:spacing w:after="0" w:line="25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Quarterly Report on Form 10-Q are not deemed filed with the SEC and are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Exchange Act of 1934,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8, 2018</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8, 2018</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Graham Cooper</w:t>
            </w:r>
          </w:p>
        </w:tc>
      </w:tr>
      <w:tr>
        <w:trPr>
          <w:trHeight w:val="211"/>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Graham Cooper</w:t>
            </w:r>
          </w:p>
        </w:tc>
      </w:tr>
    </w:tbl>
    <w:p>
      <w:pPr>
        <w:ind w:left="6280"/>
        <w:spacing w:after="0"/>
        <w:rPr>
          <w:sz w:val="20"/>
          <w:szCs w:val="20"/>
          <w:color w:val="auto"/>
        </w:rPr>
      </w:pPr>
      <w:r>
        <w:rPr>
          <w:rFonts w:ascii="Arial" w:cs="Arial" w:eastAsia="Arial" w:hAnsi="Arial"/>
          <w:sz w:val="18"/>
          <w:szCs w:val="18"/>
          <w:color w:val="auto"/>
        </w:rPr>
        <w:t>Chief Financial Officer and Chief Operating Officer</w:t>
      </w:r>
    </w:p>
    <w:p>
      <w:pPr>
        <w:spacing w:after="0" w:line="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10.1</w:t>
      </w: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color w:val="auto"/>
        </w:rPr>
        <w:t>Assembly Biosciences,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David J. Barrett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3290 Creamery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Hope, Pennsylvania 18938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General Release of Claims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letter (this “</w:t>
      </w:r>
      <w:r>
        <w:rPr>
          <w:rFonts w:ascii="Arial" w:cs="Arial" w:eastAsia="Arial" w:hAnsi="Arial"/>
          <w:sz w:val="18"/>
          <w:szCs w:val="18"/>
          <w:u w:val="single" w:color="auto"/>
          <w:color w:val="auto"/>
        </w:rPr>
        <w:t>Agreement</w:t>
      </w:r>
      <w:r>
        <w:rPr>
          <w:rFonts w:ascii="Arial" w:cs="Arial" w:eastAsia="Arial" w:hAnsi="Arial"/>
          <w:sz w:val="18"/>
          <w:szCs w:val="18"/>
          <w:color w:val="auto"/>
        </w:rPr>
        <w:t>”) provides notice to you that effective today, May 31, 2018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your employment with Assembly Biosciences, Inc. (the “</w:t>
      </w:r>
      <w:r>
        <w:rPr>
          <w:rFonts w:ascii="Arial" w:cs="Arial" w:eastAsia="Arial" w:hAnsi="Arial"/>
          <w:sz w:val="18"/>
          <w:szCs w:val="18"/>
          <w:u w:val="single" w:color="auto"/>
          <w:color w:val="auto"/>
        </w:rPr>
        <w:t>Company</w:t>
      </w:r>
      <w:r>
        <w:rPr>
          <w:rFonts w:ascii="Arial" w:cs="Arial" w:eastAsia="Arial" w:hAnsi="Arial"/>
          <w:sz w:val="18"/>
          <w:szCs w:val="18"/>
          <w:color w:val="auto"/>
        </w:rPr>
        <w:t>”) is being terminated without Cause pursuant to Section 9(e) of that certain Employment Agreement by and between you and the Company entered into as of January 15, 2014, with an effective date of December 22, 2013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 Each capitalized term used herein and not otherwise defined shall have the meaning assigned to such term in the Employment Agreement. The Company thanks you for your contributions and wishes you well in your future endeavors.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Agreement also sets forth the terms of the Release referenced in Section 10(c) of the Employment Agreement and you acknowledge that this Agreement becoming effective is a condition of your right to receive the Separation Benefits defined in such Section 10(c). Finally, you are eligible to receive additional compensation in return for you providing consulting services to the Company, as described in more detail below.</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Regardless of whether you enter into this Agreement, you shall be entitled to the Accrued Benefits as defined in Section 10(a) of the Employment Agreement. Also regardless of whether you enter into this Agreement, you will remain bound by your continuing obligations to the Company under your June 2015 Proprietary Information and Inventions Agreement and under Sections 6 and 7 of your Employment Agreement [Confidential Information and Inventions; Non-Competition and Non-Solicitation], and the other provisions of the Employment Agreement which by their terms or by the nature of the obligation survive the termination of your employment (the “</w:t>
      </w:r>
      <w:r>
        <w:rPr>
          <w:rFonts w:ascii="Arial" w:cs="Arial" w:eastAsia="Arial" w:hAnsi="Arial"/>
          <w:sz w:val="17"/>
          <w:szCs w:val="17"/>
          <w:u w:val="single" w:color="auto"/>
          <w:color w:val="auto"/>
        </w:rPr>
        <w:t>Continuing Obligations</w:t>
      </w:r>
      <w:r>
        <w:rPr>
          <w:rFonts w:ascii="Arial" w:cs="Arial" w:eastAsia="Arial" w:hAnsi="Arial"/>
          <w:sz w:val="17"/>
          <w:szCs w:val="17"/>
          <w:color w:val="auto"/>
        </w:rPr>
        <w:t>”). Such Continuing Obligations include, without limitation, your confidentiality obligations, return of property obligations, non-competition obligations, and non-solicitation obligations.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remainder of this Agreement sets forth the terms of the Agreement. You acknowledge that you are entering into this Agreement knowingly and voluntarily. With those understandings, you and the Company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 from Employment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confirms that your employment with the Company shall terminate on the Separation Date. Accordingly, your right to participate in the employee benefit plans of the Company shall cease on the Separation Date, except as noted in Section 2(d) below, if applicable.</w:t>
      </w:r>
    </w:p>
    <w:p>
      <w:pPr>
        <w:spacing w:after="0" w:line="166"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 Benefits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Subject to this Agreement becoming effective and your compliance with this Agreement and the Continuing Obligations, the Company shall provide you with the following “</w:t>
      </w:r>
      <w:r>
        <w:rPr>
          <w:rFonts w:ascii="Arial" w:cs="Arial" w:eastAsia="Arial" w:hAnsi="Arial"/>
          <w:sz w:val="17"/>
          <w:szCs w:val="17"/>
          <w:u w:val="single" w:color="auto"/>
          <w:color w:val="auto"/>
        </w:rPr>
        <w:t>Separation Benefits</w:t>
      </w:r>
      <w:r>
        <w:rPr>
          <w:rFonts w:ascii="Arial" w:cs="Arial" w:eastAsia="Arial" w:hAnsi="Arial"/>
          <w:sz w:val="17"/>
          <w:szCs w:val="17"/>
          <w:color w:val="auto"/>
        </w:rPr>
        <w:t>” as set forth in Section 10(c) of the Employment Agreement except as modified by this Agreement:</w:t>
      </w:r>
    </w:p>
    <w:p>
      <w:pPr>
        <w:spacing w:after="0" w:line="147" w:lineRule="exact"/>
        <w:rPr>
          <w:sz w:val="20"/>
          <w:szCs w:val="20"/>
          <w:color w:val="auto"/>
        </w:rPr>
      </w:pPr>
    </w:p>
    <w:p>
      <w:pPr>
        <w:jc w:val="both"/>
        <w:ind w:left="660" w:hanging="4"/>
        <w:spacing w:after="0" w:line="285" w:lineRule="auto"/>
        <w:tabs>
          <w:tab w:leader="none" w:pos="132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Separation Pay</w:t>
      </w:r>
      <w:r>
        <w:rPr>
          <w:rFonts w:ascii="Arial" w:cs="Arial" w:eastAsia="Arial" w:hAnsi="Arial"/>
          <w:sz w:val="16"/>
          <w:szCs w:val="16"/>
          <w:color w:val="auto"/>
        </w:rPr>
        <w:t>. The Company shall provide you with continued payment of your final Base Salary (which is at the annualized rate of $460,000) for a period of twelve (12) months following the date of your “separation from service” within the meaning of Treasury Regulation §1.409A-1(h) (such separation date being referred to in this Agreement as the “</w:t>
      </w:r>
      <w:r>
        <w:rPr>
          <w:rFonts w:ascii="Arial" w:cs="Arial" w:eastAsia="Arial" w:hAnsi="Arial"/>
          <w:sz w:val="16"/>
          <w:szCs w:val="16"/>
          <w:u w:val="single" w:color="auto"/>
          <w:color w:val="auto"/>
        </w:rPr>
        <w:t>Separation from Service Date,</w:t>
      </w:r>
      <w:r>
        <w:rPr>
          <w:rFonts w:ascii="Arial" w:cs="Arial" w:eastAsia="Arial" w:hAnsi="Arial"/>
          <w:sz w:val="16"/>
          <w:szCs w:val="16"/>
          <w:color w:val="auto"/>
        </w:rPr>
        <w:t>” such payment being the “</w:t>
      </w:r>
      <w:r>
        <w:rPr>
          <w:rFonts w:ascii="Arial" w:cs="Arial" w:eastAsia="Arial" w:hAnsi="Arial"/>
          <w:sz w:val="16"/>
          <w:szCs w:val="16"/>
          <w:u w:val="single" w:color="auto"/>
          <w:color w:val="auto"/>
        </w:rPr>
        <w:t>Separation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w:t>
      </w:r>
      <w:r>
        <w:rPr>
          <w:rFonts w:ascii="Arial" w:cs="Arial" w:eastAsia="Arial" w:hAnsi="Arial"/>
          <w:sz w:val="16"/>
          <w:szCs w:val="16"/>
          <w:color w:val="auto"/>
        </w:rPr>
        <w:t>” and such twelve (12) month period commencing upon the Separation of Service Date being the “</w:t>
      </w:r>
      <w:r>
        <w:rPr>
          <w:rFonts w:ascii="Arial" w:cs="Arial" w:eastAsia="Arial" w:hAnsi="Arial"/>
          <w:sz w:val="16"/>
          <w:szCs w:val="16"/>
          <w:u w:val="single" w:color="auto"/>
          <w:color w:val="auto"/>
        </w:rPr>
        <w:t>Separation Pay Period</w:t>
      </w:r>
      <w:r>
        <w:rPr>
          <w:rFonts w:ascii="Arial" w:cs="Arial" w:eastAsia="Arial" w:hAnsi="Arial"/>
          <w:sz w:val="16"/>
          <w:szCs w:val="16"/>
          <w:color w:val="auto"/>
        </w:rPr>
        <w:t>”). The first installment of the Separation Pay will be paid on the Company’s first regular payday occurring after the later of (i) sixty (60) days after the Separation Date and</w:t>
      </w:r>
    </w:p>
    <w:p>
      <w:pPr>
        <w:spacing w:after="0" w:line="2" w:lineRule="exact"/>
        <w:rPr>
          <w:rFonts w:ascii="Arial" w:cs="Arial" w:eastAsia="Arial" w:hAnsi="Arial"/>
          <w:sz w:val="16"/>
          <w:szCs w:val="16"/>
          <w:color w:val="auto"/>
        </w:rPr>
      </w:pPr>
    </w:p>
    <w:p>
      <w:pPr>
        <w:jc w:val="both"/>
        <w:ind w:left="660" w:hanging="4"/>
        <w:spacing w:after="0" w:line="253" w:lineRule="auto"/>
        <w:tabs>
          <w:tab w:leader="none" w:pos="9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Separation from Service Date in an amount equal to the sum of payments of Base Salary that would have been paid if you had remained in the employment of the Company for the period from the Separation from Service Date through the payment date. The remaining installments will be paid until the end of the Separation Pay Period at the same rate as the Base Salary in accordance with the Company’s normal payroll practices for its employees. All payments will be less applicable taxes and withholdings, in accordance with the Company’s normal payroll practices for its employees.</w:t>
      </w:r>
    </w:p>
    <w:p>
      <w:pPr>
        <w:spacing w:after="0" w:line="191" w:lineRule="exact"/>
        <w:rPr>
          <w:rFonts w:ascii="Arial" w:cs="Arial" w:eastAsia="Arial" w:hAnsi="Arial"/>
          <w:sz w:val="18"/>
          <w:szCs w:val="18"/>
          <w:color w:val="auto"/>
        </w:rPr>
      </w:pPr>
    </w:p>
    <w:p>
      <w:pPr>
        <w:jc w:val="both"/>
        <w:ind w:left="660" w:hanging="4"/>
        <w:spacing w:after="0" w:line="259" w:lineRule="auto"/>
        <w:tabs>
          <w:tab w:leader="none" w:pos="119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Acceleration of Equity Awards</w:t>
      </w:r>
      <w:r>
        <w:rPr>
          <w:rFonts w:ascii="Arial" w:cs="Arial" w:eastAsia="Arial" w:hAnsi="Arial"/>
          <w:sz w:val="18"/>
          <w:szCs w:val="18"/>
          <w:color w:val="auto"/>
        </w:rPr>
        <w:t>. The table below sets forth all of your outstanding Equity Awards (as defined in the Employment Agreement) as of the date hereof. Notwithstanding anything to the contrary ion the Employment Agreement or in the applicable equity award agreements, all Equity Awards which would have vested during the twelve (12) months following the Separation Date shall accelerate and vest on the Separation Date as set forth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Vested Shares</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to be</w:t>
            </w:r>
          </w:p>
        </w:tc>
        <w:tc>
          <w:tcPr>
            <w:tcW w:w="17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as of</w:t>
            </w: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Accelerated, on</w:t>
            </w:r>
          </w:p>
        </w:tc>
        <w:tc>
          <w:tcPr>
            <w:tcW w:w="1700" w:type="dxa"/>
            <w:vAlign w:val="bottom"/>
          </w:tcPr>
          <w:p>
            <w:pPr>
              <w:spacing w:after="0"/>
              <w:rPr>
                <w:sz w:val="18"/>
                <w:szCs w:val="18"/>
                <w:color w:val="auto"/>
              </w:rPr>
            </w:pPr>
          </w:p>
        </w:tc>
      </w:tr>
      <w:tr>
        <w:trPr>
          <w:trHeight w:val="216"/>
        </w:trPr>
        <w:tc>
          <w:tcPr>
            <w:tcW w:w="2420" w:type="dxa"/>
            <w:vAlign w:val="bottom"/>
            <w:gridSpan w:val="2"/>
          </w:tcPr>
          <w:p>
            <w:pPr>
              <w:ind w:left="900"/>
              <w:spacing w:after="0"/>
              <w:rPr>
                <w:sz w:val="20"/>
                <w:szCs w:val="20"/>
                <w:color w:val="auto"/>
              </w:rPr>
            </w:pPr>
            <w:r>
              <w:rPr>
                <w:rFonts w:ascii="Arial" w:cs="Arial" w:eastAsia="Arial" w:hAnsi="Arial"/>
                <w:sz w:val="18"/>
                <w:szCs w:val="18"/>
                <w:b w:val="1"/>
                <w:bCs w:val="1"/>
                <w:color w:val="auto"/>
              </w:rPr>
              <w:t>Equity</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Underlying</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Separation</w:t>
            </w:r>
          </w:p>
        </w:tc>
        <w:tc>
          <w:tcPr>
            <w:tcW w:w="16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the Separation</w:t>
            </w:r>
          </w:p>
        </w:tc>
        <w:tc>
          <w:tcPr>
            <w:tcW w:w="1700" w:type="dxa"/>
            <w:vAlign w:val="bottom"/>
          </w:tcPr>
          <w:p>
            <w:pPr>
              <w:jc w:val="right"/>
              <w:ind w:right="510"/>
              <w:spacing w:after="0"/>
              <w:rPr>
                <w:sz w:val="20"/>
                <w:szCs w:val="20"/>
                <w:color w:val="auto"/>
              </w:rPr>
            </w:pPr>
            <w:r>
              <w:rPr>
                <w:rFonts w:ascii="Arial" w:cs="Arial" w:eastAsia="Arial" w:hAnsi="Arial"/>
                <w:sz w:val="18"/>
                <w:szCs w:val="18"/>
                <w:b w:val="1"/>
                <w:bCs w:val="1"/>
                <w:color w:val="auto"/>
              </w:rPr>
              <w:t>End of</w:t>
            </w:r>
          </w:p>
        </w:tc>
      </w:tr>
      <w:tr>
        <w:trPr>
          <w:trHeight w:val="234"/>
        </w:trPr>
        <w:tc>
          <w:tcPr>
            <w:tcW w:w="2420" w:type="dxa"/>
            <w:vAlign w:val="bottom"/>
            <w:gridSpan w:val="2"/>
          </w:tcPr>
          <w:p>
            <w:pPr>
              <w:ind w:left="900"/>
              <w:spacing w:after="0"/>
              <w:rPr>
                <w:sz w:val="20"/>
                <w:szCs w:val="20"/>
                <w:color w:val="auto"/>
              </w:rPr>
            </w:pPr>
            <w:r>
              <w:rPr>
                <w:rFonts w:ascii="Arial" w:cs="Arial" w:eastAsia="Arial" w:hAnsi="Arial"/>
                <w:sz w:val="18"/>
                <w:szCs w:val="18"/>
                <w:b w:val="1"/>
                <w:bCs w:val="1"/>
                <w:color w:val="auto"/>
              </w:rPr>
              <w:t>Award</w:t>
            </w: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Award</w:t>
            </w:r>
          </w:p>
        </w:tc>
        <w:tc>
          <w:tcPr>
            <w:tcW w:w="2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Date of Grant</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w:t>
            </w: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Date</w:t>
            </w:r>
          </w:p>
        </w:tc>
        <w:tc>
          <w:tcPr>
            <w:tcW w:w="1700" w:type="dxa"/>
            <w:vAlign w:val="bottom"/>
          </w:tcPr>
          <w:p>
            <w:pPr>
              <w:jc w:val="right"/>
              <w:ind w:right="550"/>
              <w:spacing w:after="0"/>
              <w:rPr>
                <w:sz w:val="20"/>
                <w:szCs w:val="20"/>
                <w:color w:val="auto"/>
              </w:rPr>
            </w:pPr>
            <w:r>
              <w:rPr>
                <w:rFonts w:ascii="Arial" w:cs="Arial" w:eastAsia="Arial" w:hAnsi="Arial"/>
                <w:sz w:val="18"/>
                <w:szCs w:val="18"/>
                <w:b w:val="1"/>
                <w:bCs w:val="1"/>
                <w:color w:val="auto"/>
              </w:rPr>
              <w:t>Term</w:t>
            </w:r>
          </w:p>
        </w:tc>
      </w:tr>
      <w:tr>
        <w:trPr>
          <w:trHeight w:val="223"/>
        </w:trPr>
        <w:tc>
          <w:tcPr>
            <w:tcW w:w="2300" w:type="dxa"/>
            <w:vAlign w:val="bottom"/>
            <w:tcBorders>
              <w:top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rPr>
              <w:t>2017-86</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March 29, 2017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w:t>
            </w:r>
          </w:p>
        </w:tc>
        <w:tc>
          <w:tcPr>
            <w:tcW w:w="2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2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29, 2027</w:t>
            </w:r>
          </w:p>
        </w:tc>
      </w:tr>
      <w:tr>
        <w:trPr>
          <w:trHeight w:val="230"/>
        </w:trPr>
        <w:tc>
          <w:tcPr>
            <w:tcW w:w="2300" w:type="dxa"/>
            <w:vAlign w:val="bottom"/>
          </w:tcPr>
          <w:p>
            <w:pPr>
              <w:jc w:val="right"/>
              <w:ind w:right="1510"/>
              <w:spacing w:after="0"/>
              <w:rPr>
                <w:sz w:val="20"/>
                <w:szCs w:val="20"/>
                <w:color w:val="auto"/>
              </w:rPr>
            </w:pPr>
            <w:r>
              <w:rPr>
                <w:rFonts w:ascii="Arial" w:cs="Arial" w:eastAsia="Arial" w:hAnsi="Arial"/>
                <w:sz w:val="18"/>
                <w:szCs w:val="18"/>
                <w:color w:val="auto"/>
              </w:rPr>
              <w:t>2014-17</w:t>
            </w:r>
          </w:p>
        </w:tc>
        <w:tc>
          <w:tcPr>
            <w:tcW w:w="12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741,800</w:t>
            </w:r>
          </w:p>
        </w:tc>
        <w:tc>
          <w:tcPr>
            <w:tcW w:w="2180" w:type="dxa"/>
            <w:vAlign w:val="bottom"/>
            <w:gridSpan w:val="2"/>
          </w:tcPr>
          <w:p>
            <w:pPr>
              <w:jc w:val="right"/>
              <w:ind w:right="600"/>
              <w:spacing w:after="0"/>
              <w:rPr>
                <w:sz w:val="20"/>
                <w:szCs w:val="20"/>
                <w:color w:val="auto"/>
              </w:rPr>
            </w:pPr>
            <w:r>
              <w:rPr>
                <w:rFonts w:ascii="Arial" w:cs="Arial" w:eastAsia="Arial" w:hAnsi="Arial"/>
                <w:sz w:val="18"/>
                <w:szCs w:val="18"/>
                <w:color w:val="auto"/>
              </w:rPr>
              <w:t>July 10, 2014</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700,136</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700" w:type="dxa"/>
            <w:vAlign w:val="bottom"/>
          </w:tcPr>
          <w:p>
            <w:pPr>
              <w:jc w:val="right"/>
              <w:spacing w:after="0"/>
              <w:rPr>
                <w:sz w:val="20"/>
                <w:szCs w:val="20"/>
                <w:color w:val="auto"/>
              </w:rPr>
            </w:pPr>
            <w:r>
              <w:rPr>
                <w:rFonts w:ascii="Arial" w:cs="Arial" w:eastAsia="Arial" w:hAnsi="Arial"/>
                <w:sz w:val="18"/>
                <w:szCs w:val="18"/>
                <w:color w:val="auto"/>
              </w:rPr>
              <w:t>July 10, 2024</w:t>
            </w:r>
          </w:p>
        </w:tc>
      </w:tr>
    </w:tbl>
    <w:p>
      <w:pPr>
        <w:spacing w:after="0" w:line="201" w:lineRule="exact"/>
        <w:rPr>
          <w:sz w:val="20"/>
          <w:szCs w:val="20"/>
          <w:color w:val="auto"/>
        </w:rPr>
      </w:pPr>
    </w:p>
    <w:p>
      <w:pPr>
        <w:ind w:left="660" w:hanging="4"/>
        <w:spacing w:after="0" w:line="342" w:lineRule="auto"/>
        <w:tabs>
          <w:tab w:leader="none" w:pos="1175"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Extension of Exercise Period</w:t>
      </w:r>
      <w:r>
        <w:rPr>
          <w:rFonts w:ascii="Arial" w:cs="Arial" w:eastAsia="Arial" w:hAnsi="Arial"/>
          <w:sz w:val="16"/>
          <w:szCs w:val="16"/>
          <w:color w:val="auto"/>
        </w:rPr>
        <w:t>. Pursuant to the terms of your Employment Agreement, the exercise period for all vested Stock Options shall be extended until the end of their respective terms unless earlier terminated in accordance with the terms of the applicable equity award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ind w:left="660" w:hanging="4"/>
        <w:spacing w:after="0" w:line="279" w:lineRule="auto"/>
        <w:tabs>
          <w:tab w:leader="none" w:pos="1306"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Health Benefit</w:t>
      </w:r>
      <w:r>
        <w:rPr>
          <w:rFonts w:ascii="Arial" w:cs="Arial" w:eastAsia="Arial" w:hAnsi="Arial"/>
          <w:sz w:val="17"/>
          <w:szCs w:val="17"/>
          <w:color w:val="auto"/>
        </w:rPr>
        <w:t>. Notwithstanding anything in the contrary in the Employment Agreement, provided that you properly and timely elect to continue your health insurance benefits (including health, dental and/or vision) and remain eligible under COBRA after the Separation Date, the Company pay your applicable COBRA premiums, less any required withholding, for the eighteen (18) months following your Separation Date or until you become eligible under another employer’s health insurance, whichever is earlier (the “</w:t>
      </w:r>
      <w:r>
        <w:rPr>
          <w:rFonts w:ascii="Arial" w:cs="Arial" w:eastAsia="Arial" w:hAnsi="Arial"/>
          <w:sz w:val="17"/>
          <w:szCs w:val="17"/>
          <w:u w:val="single" w:color="auto"/>
          <w:color w:val="auto"/>
        </w:rPr>
        <w:t>Health Benefit</w:t>
      </w:r>
      <w:r>
        <w:rPr>
          <w:rFonts w:ascii="Arial" w:cs="Arial" w:eastAsia="Arial" w:hAnsi="Arial"/>
          <w:sz w:val="17"/>
          <w:szCs w:val="17"/>
          <w:color w:val="auto"/>
        </w:rPr>
        <w:t>”).</w:t>
      </w:r>
    </w:p>
    <w:p>
      <w:pPr>
        <w:spacing w:after="0" w:line="167" w:lineRule="exact"/>
        <w:rPr>
          <w:rFonts w:ascii="Arial" w:cs="Arial" w:eastAsia="Arial" w:hAnsi="Arial"/>
          <w:sz w:val="17"/>
          <w:szCs w:val="17"/>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Agreement</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Upon signing this Agreement, the Company will enter into the consulting agreement set forth in Exhibit A attached hereto (the “</w:t>
      </w:r>
      <w:r>
        <w:rPr>
          <w:rFonts w:ascii="Arial" w:cs="Arial" w:eastAsia="Arial" w:hAnsi="Arial"/>
          <w:sz w:val="16"/>
          <w:szCs w:val="16"/>
          <w:u w:val="single" w:color="auto"/>
          <w:color w:val="auto"/>
        </w:rPr>
        <w:t>Consulting Agreement</w:t>
      </w:r>
      <w:r>
        <w:rPr>
          <w:rFonts w:ascii="Arial" w:cs="Arial" w:eastAsia="Arial" w:hAnsi="Arial"/>
          <w:sz w:val="16"/>
          <w:szCs w:val="16"/>
          <w:color w:val="auto"/>
        </w:rPr>
        <w:t>”) to be effective as of June 1, 2018 that shall provide for your continuation of service to the Company on the terms and subject to the conditions set forth therein.</w:t>
      </w:r>
    </w:p>
    <w:p>
      <w:pPr>
        <w:spacing w:after="0" w:line="12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Release of Claims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consideration for, among other terms, the Separation Benefits, to which you acknowledge you would otherwise not be entitled, you, on behalf of yourself and your heirs, executors, representatives, agents, insurers, administrators, successors and assigns (collectively the “</w:t>
      </w:r>
      <w:r>
        <w:rPr>
          <w:rFonts w:ascii="Arial" w:cs="Arial" w:eastAsia="Arial" w:hAnsi="Arial"/>
          <w:sz w:val="16"/>
          <w:szCs w:val="16"/>
          <w:u w:val="single" w:color="auto"/>
          <w:color w:val="auto"/>
        </w:rPr>
        <w:t>Releasors</w:t>
      </w:r>
      <w:r>
        <w:rPr>
          <w:rFonts w:ascii="Arial" w:cs="Arial" w:eastAsia="Arial" w:hAnsi="Arial"/>
          <w:sz w:val="16"/>
          <w:szCs w:val="16"/>
          <w:color w:val="auto"/>
        </w:rPr>
        <w:t>”) voluntarily release and forever discharge the Company, its affiliated and related entities, its and their respective predecessors, successors and assigns, its and their respective employee benefit plans and fiduciaries of such plans, the Company’s former affiliated professional employer organization, Insperity PEO Services, L.P., and the current and former officers, directors, shareholders, employees, attorneys, insurers, accountants and agents of each of the foregoing in their official and personal capacities (collectively referred to as the “</w:t>
      </w:r>
      <w:r>
        <w:rPr>
          <w:rFonts w:ascii="Arial" w:cs="Arial" w:eastAsia="Arial" w:hAnsi="Arial"/>
          <w:sz w:val="16"/>
          <w:szCs w:val="16"/>
          <w:u w:val="single" w:color="auto"/>
          <w:color w:val="auto"/>
        </w:rPr>
        <w:t>Releasees</w:t>
      </w:r>
      <w:r>
        <w:rPr>
          <w:rFonts w:ascii="Arial" w:cs="Arial" w:eastAsia="Arial" w:hAnsi="Arial"/>
          <w:sz w:val="16"/>
          <w:szCs w:val="16"/>
          <w:color w:val="auto"/>
        </w:rPr>
        <w:t>”) generally from all claims, demands, debts, damages and liabilities of every name and nature, known or unknown (“</w:t>
      </w:r>
      <w:r>
        <w:rPr>
          <w:rFonts w:ascii="Arial" w:cs="Arial" w:eastAsia="Arial" w:hAnsi="Arial"/>
          <w:sz w:val="16"/>
          <w:szCs w:val="16"/>
          <w:u w:val="single" w:color="auto"/>
          <w:color w:val="auto"/>
        </w:rPr>
        <w:t>Claims</w:t>
      </w:r>
      <w:r>
        <w:rPr>
          <w:rFonts w:ascii="Arial" w:cs="Arial" w:eastAsia="Arial" w:hAnsi="Arial"/>
          <w:sz w:val="16"/>
          <w:szCs w:val="16"/>
          <w:color w:val="auto"/>
        </w:rPr>
        <w:t xml:space="preserve">”) that, as of the date when you sign this Agreement, you and the other Releasors have, ever had, now claim to have or ever claimed to have had against any or all of the Releasees. This release includes, without limitation, all Claims: relating to your employment by the Company and the termination of your employment; of wrongful discharge or violation of public policy; of breach of contract; of defamation or other torts; of retaliation or discrimination under federal, state or local law (including, without limitation, Claims of discrimination or retaliation under the Age Discrimination in Employment Act, the Americans with Disabilities Act, Title VII of the Civil Rights Act of 1964, the New York State Human Rights Law, the New York City Human Rights Law, the Pennsylvania Human Relations Act, the Indiana Civil Rights Law and the Pennsylvania Whistleblower Law); under any other federal or state statute (including, without limitation, Claims under the Fair Labor Standards Act and the Family and Medical Leave Act); for wages, bonuses, incentive compensation, commissions, stock, stock options, vacation pay or any other compensation or benefits, either under the New York Labor Law, the Indiana Wage Payment and Wage Claims Acts, or otherwise; and for damages or other remedies of any sort, including, without limitation, compensatory damages, punitive damages, injunctive relief and attorney’s fees; </w:t>
      </w:r>
      <w:r>
        <w:rPr>
          <w:rFonts w:ascii="Arial" w:cs="Arial" w:eastAsia="Arial" w:hAnsi="Arial"/>
          <w:sz w:val="16"/>
          <w:szCs w:val="16"/>
          <w:i w:val="1"/>
          <w:iCs w:val="1"/>
          <w:color w:val="auto"/>
        </w:rPr>
        <w:t>provided</w:t>
      </w:r>
      <w:r>
        <w:rPr>
          <w:rFonts w:ascii="Arial" w:cs="Arial" w:eastAsia="Arial" w:hAnsi="Arial"/>
          <w:sz w:val="16"/>
          <w:szCs w:val="16"/>
          <w:color w:val="auto"/>
        </w:rPr>
        <w:t>, however, that this release shall not affect your vested rights under the Company’s Section 401(k) plan or your rights under this Agreement, and shall not waive any rights that cannot be waived as a matter of law.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Non-Disparagement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agree not to make any disparaging statements concerning the Company, or any of its affiliates, or its or their current or former officers, directors, shareholders, employees or agents, or any of the Company’s or its respective affiliates’ products or services. These non-disparagement obligations shall not in any way affect your obligation to testify truthfully in any legal proceeding.</w:t>
      </w:r>
    </w:p>
    <w:p>
      <w:pPr>
        <w:spacing w:after="0" w:line="17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229" w:lineRule="exact"/>
        <w:rPr>
          <w:rFonts w:ascii="Arial" w:cs="Arial" w:eastAsia="Arial" w:hAnsi="Arial"/>
          <w:sz w:val="18"/>
          <w:szCs w:val="18"/>
          <w:b w:val="1"/>
          <w:bCs w:val="1"/>
          <w:color w:val="auto"/>
        </w:rPr>
      </w:pPr>
    </w:p>
    <w:p>
      <w:pPr>
        <w:jc w:val="both"/>
        <w:ind w:left="660" w:hanging="4"/>
        <w:spacing w:after="0" w:line="259" w:lineRule="auto"/>
        <w:tabs>
          <w:tab w:leader="none" w:pos="1269"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Termination of Payments</w:t>
      </w:r>
      <w:r>
        <w:rPr>
          <w:rFonts w:ascii="Arial" w:cs="Arial" w:eastAsia="Arial" w:hAnsi="Arial"/>
          <w:sz w:val="18"/>
          <w:szCs w:val="18"/>
          <w:color w:val="auto"/>
        </w:rPr>
        <w:t>. If you breach any of your obligations under this Agreement or your Continuing Obligations, in addition to any other legal or equitable remedies it may have for such breach, the Company shall have the right to terminate and recover its payments to you or for your benefit under this Agreement. The termination of such payments in the event of your breach will not affect your obligations under this Agreement or your Continuing Obligations.</w:t>
      </w:r>
    </w:p>
    <w:p>
      <w:pPr>
        <w:spacing w:after="0" w:line="186" w:lineRule="exact"/>
        <w:rPr>
          <w:rFonts w:ascii="Arial" w:cs="Arial" w:eastAsia="Arial" w:hAnsi="Arial"/>
          <w:sz w:val="18"/>
          <w:szCs w:val="18"/>
          <w:color w:val="auto"/>
        </w:rPr>
      </w:pPr>
    </w:p>
    <w:p>
      <w:pPr>
        <w:jc w:val="both"/>
        <w:ind w:left="660" w:hanging="4"/>
        <w:spacing w:after="0" w:line="270" w:lineRule="auto"/>
        <w:tabs>
          <w:tab w:leader="none" w:pos="1320"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Protected Disclosures and Other Protected Actions</w:t>
      </w:r>
      <w:r>
        <w:rPr>
          <w:rFonts w:ascii="Arial" w:cs="Arial" w:eastAsia="Arial" w:hAnsi="Arial"/>
          <w:sz w:val="17"/>
          <w:szCs w:val="17"/>
          <w:color w:val="auto"/>
        </w:rPr>
        <w:t>. Nothing contained in this Agreement or in your Continuing Obligations limits your ability to file a charge or complaint with any federal, state or local governmental agency or commission (a “</w:t>
      </w:r>
      <w:r>
        <w:rPr>
          <w:rFonts w:ascii="Arial" w:cs="Arial" w:eastAsia="Arial" w:hAnsi="Arial"/>
          <w:sz w:val="17"/>
          <w:szCs w:val="17"/>
          <w:u w:val="single" w:color="auto"/>
          <w:color w:val="auto"/>
        </w:rPr>
        <w:t>Government Agency</w:t>
      </w:r>
      <w:r>
        <w:rPr>
          <w:rFonts w:ascii="Arial" w:cs="Arial" w:eastAsia="Arial" w:hAnsi="Arial"/>
          <w:sz w:val="17"/>
          <w:szCs w:val="17"/>
          <w:color w:val="auto"/>
        </w:rPr>
        <w:t xml:space="preserve">”). In addition, nothing contained in this Agreement or your Continuing Obligations limits your ability to communicate with any Government Agency or otherwise participate in any investigation or proceeding that may be conducted by any Government Agency, including your ability to provide documents or other information, without notice to the Company, nor does anything contained in this Agreement apply to truthful testimony in litigation. If you file any charge or complaint with any Government Agency and if the Government Agency pursues any claim on your behalf, or if any other third party pursues any claim on your behalf, you waive any right to monetary or other individualized relief (either individually, or as part of any collective or class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in this Agreement limits any right you may have to receive a whistleblower award or bounty for information provided to the Securities and Exchange Commission.</w:t>
      </w:r>
    </w:p>
    <w:p>
      <w:pPr>
        <w:spacing w:after="0" w:line="181" w:lineRule="exact"/>
        <w:rPr>
          <w:rFonts w:ascii="Arial" w:cs="Arial" w:eastAsia="Arial" w:hAnsi="Arial"/>
          <w:sz w:val="17"/>
          <w:szCs w:val="17"/>
          <w:color w:val="auto"/>
        </w:rPr>
      </w:pPr>
    </w:p>
    <w:p>
      <w:pPr>
        <w:ind w:left="660" w:hanging="4"/>
        <w:spacing w:after="0" w:line="277" w:lineRule="auto"/>
        <w:tabs>
          <w:tab w:leader="none" w:pos="1188"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Absence of Reliance</w:t>
      </w:r>
      <w:r>
        <w:rPr>
          <w:rFonts w:ascii="Arial" w:cs="Arial" w:eastAsia="Arial" w:hAnsi="Arial"/>
          <w:sz w:val="18"/>
          <w:szCs w:val="18"/>
          <w:color w:val="auto"/>
        </w:rPr>
        <w:t>. In signing this Agreement, you are not relying upon any promises or representations made by anyone at or on behalf of the Company or Insperity.</w:t>
      </w:r>
    </w:p>
    <w:p>
      <w:pPr>
        <w:spacing w:after="0" w:line="170" w:lineRule="exact"/>
        <w:rPr>
          <w:rFonts w:ascii="Arial" w:cs="Arial" w:eastAsia="Arial" w:hAnsi="Arial"/>
          <w:sz w:val="18"/>
          <w:szCs w:val="18"/>
          <w:color w:val="auto"/>
        </w:rPr>
      </w:pPr>
    </w:p>
    <w:p>
      <w:pPr>
        <w:jc w:val="both"/>
        <w:ind w:left="660" w:hanging="4"/>
        <w:spacing w:after="0" w:line="279" w:lineRule="auto"/>
        <w:tabs>
          <w:tab w:leader="none" w:pos="1252"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ind w:left="4" w:hanging="4"/>
        <w:spacing w:after="0" w:line="286" w:lineRule="auto"/>
        <w:tabs>
          <w:tab w:leader="none" w:pos="54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waiver of any provision of this Agreement shall be effective unless made in writing and signed by the waiving party. The failure of a party to require the performance of any term or obligation of this Agreement, or the waiver by a party of any breach of this Agreement, shall not prevent any subsequent enforcement of such term or obligation or be deemed a waiver of any subsequent breach.</w:t>
      </w:r>
    </w:p>
    <w:p>
      <w:pPr>
        <w:spacing w:after="0" w:line="165" w:lineRule="exact"/>
        <w:rPr>
          <w:rFonts w:ascii="Arial" w:cs="Arial" w:eastAsia="Arial" w:hAnsi="Arial"/>
          <w:sz w:val="17"/>
          <w:szCs w:val="17"/>
          <w:color w:val="auto"/>
        </w:rPr>
      </w:pPr>
    </w:p>
    <w:p>
      <w:pPr>
        <w:jc w:val="both"/>
        <w:ind w:left="4" w:hanging="4"/>
        <w:spacing w:after="0" w:line="286" w:lineRule="auto"/>
        <w:tabs>
          <w:tab w:leader="none" w:pos="59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Jurisdiction</w:t>
      </w:r>
      <w:r>
        <w:rPr>
          <w:rFonts w:ascii="Arial" w:cs="Arial" w:eastAsia="Arial" w:hAnsi="Arial"/>
          <w:sz w:val="17"/>
          <w:szCs w:val="17"/>
          <w:color w:val="auto"/>
        </w:rPr>
        <w:t>. You and the Company hereby agree that the state and federal courts situated in Indianapolis, Indiana shall have the exclusive jurisdiction to consider any matters related to this Agreement, including without limitation any claim of a violation of this Agreement. With respect to any such court action, you submit to the jurisdiction of such courts and you acknowledge that venue in such courts is proper.</w:t>
      </w:r>
    </w:p>
    <w:p>
      <w:pPr>
        <w:spacing w:after="0" w:line="165" w:lineRule="exact"/>
        <w:rPr>
          <w:rFonts w:ascii="Arial" w:cs="Arial" w:eastAsia="Arial" w:hAnsi="Arial"/>
          <w:sz w:val="17"/>
          <w:szCs w:val="17"/>
          <w:color w:val="auto"/>
        </w:rPr>
      </w:pPr>
    </w:p>
    <w:p>
      <w:pPr>
        <w:jc w:val="both"/>
        <w:ind w:left="4" w:hanging="4"/>
        <w:spacing w:after="0" w:line="257" w:lineRule="auto"/>
        <w:tabs>
          <w:tab w:leader="none" w:pos="59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You agree that it would be difficult to measure any harm caused to the Company that might result from any breach by you of your promises set forth in Section 4 of this Agreement. You further agree that money damages would be an inadequate remedy for any breach of Sections 4 or Section 5. Accordingly, you agree that if you breach, or propose to breach, Section 4 or Section 5, the Company shall be entitled, in addition to all other remedies it may have, to an injunction or other appropriate equitable relief to restrain any such breach, without showing or proving any actual damage to the Company and without the necessity of posting a bond.</w:t>
      </w:r>
    </w:p>
    <w:p>
      <w:pPr>
        <w:spacing w:after="0" w:line="188" w:lineRule="exact"/>
        <w:rPr>
          <w:rFonts w:ascii="Arial" w:cs="Arial" w:eastAsia="Arial" w:hAnsi="Arial"/>
          <w:sz w:val="18"/>
          <w:szCs w:val="18"/>
          <w:color w:val="auto"/>
        </w:rPr>
      </w:pPr>
    </w:p>
    <w:p>
      <w:pPr>
        <w:jc w:val="both"/>
        <w:ind w:left="4" w:hanging="4"/>
        <w:spacing w:after="0" w:line="259" w:lineRule="auto"/>
        <w:tabs>
          <w:tab w:leader="none" w:pos="59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Governing Law; Interpretation</w:t>
      </w:r>
      <w:r>
        <w:rPr>
          <w:rFonts w:ascii="Arial" w:cs="Arial" w:eastAsia="Arial" w:hAnsi="Arial"/>
          <w:sz w:val="18"/>
          <w:szCs w:val="18"/>
          <w:color w:val="auto"/>
        </w:rPr>
        <w:t>. This Agreement shall be interpreted and enforced under the laws of the State of Indiana, without regard to conflict of law principles. In the event of any dispute, this Agreement is intended by the parties to be construed as a whole, to be interpreted in accordance with its fair meaning, and not to be construed strictly for or against either you or the Company or the “drafter” of all or any portion of this Agreement.</w:t>
      </w:r>
    </w:p>
    <w:p>
      <w:pPr>
        <w:spacing w:after="0" w:line="186" w:lineRule="exact"/>
        <w:rPr>
          <w:rFonts w:ascii="Arial" w:cs="Arial" w:eastAsia="Arial" w:hAnsi="Arial"/>
          <w:sz w:val="18"/>
          <w:szCs w:val="18"/>
          <w:color w:val="auto"/>
        </w:rPr>
      </w:pPr>
    </w:p>
    <w:p>
      <w:pPr>
        <w:jc w:val="both"/>
        <w:ind w:left="4" w:hanging="4"/>
        <w:spacing w:after="0" w:line="259" w:lineRule="auto"/>
        <w:tabs>
          <w:tab w:leader="none" w:pos="62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exhibits attached hereto constitute the entire agreement between you and the Company. This Agreement supersedes any previous agreements or understandings between you and the Company, except the Continuing Obligations, the Company’s applicable stock option plan and your equity award agreements (as such documents may be amended by Sections 2(b) and 2(c) above), and any other obligations specifically preserved in this Agreement.</w:t>
      </w:r>
    </w:p>
    <w:p>
      <w:pPr>
        <w:spacing w:after="0" w:line="186" w:lineRule="exact"/>
        <w:rPr>
          <w:rFonts w:ascii="Arial" w:cs="Arial" w:eastAsia="Arial" w:hAnsi="Arial"/>
          <w:sz w:val="18"/>
          <w:szCs w:val="18"/>
          <w:color w:val="auto"/>
        </w:rPr>
      </w:pPr>
    </w:p>
    <w:p>
      <w:pPr>
        <w:jc w:val="both"/>
        <w:ind w:left="4" w:hanging="4"/>
        <w:spacing w:after="0" w:line="288" w:lineRule="auto"/>
        <w:tabs>
          <w:tab w:leader="none" w:pos="529"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Time for Consideration; Effective Date</w:t>
      </w:r>
      <w:r>
        <w:rPr>
          <w:rFonts w:ascii="Arial" w:cs="Arial" w:eastAsia="Arial" w:hAnsi="Arial"/>
          <w:sz w:val="16"/>
          <w:szCs w:val="16"/>
          <w:color w:val="auto"/>
        </w:rPr>
        <w:t>. You acknowledge that you have knowingly and voluntarily entered into this Agreement and that the Company advises you to consult with an attorney before signing this Agreement. You understand and acknowledge that you have been given the opportunity to consider this Agreement for twenty-one (21) days from your receipt of this Agreement before signing it (the “</w:t>
      </w:r>
      <w:r>
        <w:rPr>
          <w:rFonts w:ascii="Arial" w:cs="Arial" w:eastAsia="Arial" w:hAnsi="Arial"/>
          <w:sz w:val="16"/>
          <w:szCs w:val="16"/>
          <w:u w:val="single" w:color="auto"/>
          <w:color w:val="auto"/>
        </w:rPr>
        <w:t>Consideration Period</w:t>
      </w:r>
      <w:r>
        <w:rPr>
          <w:rFonts w:ascii="Arial" w:cs="Arial" w:eastAsia="Arial" w:hAnsi="Arial"/>
          <w:sz w:val="16"/>
          <w:szCs w:val="16"/>
          <w:color w:val="auto"/>
        </w:rPr>
        <w:t>”). To accept this Agreement, you must return a signed original or a signed PDF copy of this Agreement so that it is received by the Company’s General Counsel (elizabeth@assemblybio.com) at or before the expiration of the Consideration Period. If you sign this Agreement before the end of the Consideration Period, you acknowledge that such decision was entirely voluntary and that you had the opportunity to consider this Agreement for the entire Consideration Period. For the period of seven (7) days from the date when you sign this Agreement, you have the right to revoke this Agreement by written notice to the Company’s General Counsel, provided that such notice is delivered so that it is received at or before the expiration of the seven (7) day revocation period. This Agreement shall not become effective or enforceable during the revocation period. This Agreement shall become effective on the first business day following the expiration of the revocation period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38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57" w:name="page58"/>
    <w:bookmarkEnd w:id="57"/>
    <w:p>
      <w:pPr>
        <w:ind w:left="4" w:hanging="4"/>
        <w:spacing w:after="0" w:line="277" w:lineRule="auto"/>
        <w:tabs>
          <w:tab w:leader="none" w:pos="54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separate counterparts. When both counterparts are signed, they shall be treated together as one and the same document.</w:t>
      </w:r>
    </w:p>
    <w:p>
      <w:pPr>
        <w:spacing w:after="0" w:line="170" w:lineRule="exact"/>
        <w:rPr>
          <w:sz w:val="20"/>
          <w:szCs w:val="20"/>
          <w:color w:val="auto"/>
        </w:rPr>
      </w:pPr>
    </w:p>
    <w:p>
      <w:pPr>
        <w:ind w:left="41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Please indicate your agreement to the terms of this Agreement by signing and returning to the Company’s General Counsel the original or a PDF copy of this letter within the time period set forth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ASSEMBLY BIOSCIENCES,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spacing w:after="0"/>
              <w:rPr>
                <w:sz w:val="20"/>
                <w:szCs w:val="20"/>
                <w:color w:val="auto"/>
              </w:rPr>
            </w:pPr>
            <w:r>
              <w:rPr>
                <w:rFonts w:ascii="Arial" w:cs="Arial" w:eastAsia="Arial" w:hAnsi="Arial"/>
                <w:sz w:val="18"/>
                <w:szCs w:val="18"/>
                <w:color w:val="auto"/>
              </w:rPr>
              <w:t>/s/ Derek Small</w:t>
            </w:r>
          </w:p>
        </w:tc>
        <w:tc>
          <w:tcPr>
            <w:tcW w:w="5140" w:type="dxa"/>
            <w:vAlign w:val="bottom"/>
          </w:tcPr>
          <w:p>
            <w:pPr>
              <w:spacing w:after="0"/>
              <w:rPr>
                <w:sz w:val="20"/>
                <w:szCs w:val="20"/>
                <w:color w:val="auto"/>
              </w:rPr>
            </w:pPr>
            <w:r>
              <w:rPr>
                <w:rFonts w:ascii="Arial" w:cs="Arial" w:eastAsia="Arial" w:hAnsi="Arial"/>
                <w:sz w:val="18"/>
                <w:szCs w:val="18"/>
                <w:color w:val="auto"/>
              </w:rPr>
              <w:t>May 31, 2018</w:t>
            </w:r>
          </w:p>
        </w:tc>
      </w:tr>
      <w:tr>
        <w:trPr>
          <w:trHeight w:val="202"/>
        </w:trPr>
        <w:tc>
          <w:tcPr>
            <w:tcW w:w="580" w:type="dxa"/>
            <w:vAlign w:val="bottom"/>
          </w:tcPr>
          <w:p>
            <w:pPr>
              <w:spacing w:after="0"/>
              <w:rPr>
                <w:sz w:val="17"/>
                <w:szCs w:val="17"/>
                <w:color w:val="auto"/>
              </w:rPr>
            </w:pPr>
          </w:p>
        </w:tc>
        <w:tc>
          <w:tcPr>
            <w:tcW w:w="5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Derek Small</w:t>
            </w:r>
          </w:p>
        </w:tc>
        <w:tc>
          <w:tcPr>
            <w:tcW w:w="560" w:type="dxa"/>
            <w:vAlign w:val="bottom"/>
          </w:tcPr>
          <w:p>
            <w:pPr>
              <w:spacing w:after="0"/>
              <w:rPr>
                <w:sz w:val="17"/>
                <w:szCs w:val="17"/>
                <w:color w:val="auto"/>
              </w:rPr>
            </w:pPr>
          </w:p>
        </w:tc>
        <w:tc>
          <w:tcPr>
            <w:tcW w:w="5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Date</w:t>
            </w:r>
          </w:p>
        </w:tc>
      </w:tr>
      <w:tr>
        <w:trPr>
          <w:trHeight w:val="230"/>
        </w:trPr>
        <w:tc>
          <w:tcPr>
            <w:tcW w:w="58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c>
          <w:tcPr>
            <w:tcW w:w="51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are advised to consult with an attorney before signing this Agreement. This is a legal document. Your signature will commit you to its terms. By signing below, you acknowledge that you have carefully read and fully understand all of the provisions of this Agreement and that you are knowingly and voluntarily entering into this Agreement.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/s/ David J. Barrett</w:t>
            </w:r>
          </w:p>
        </w:tc>
        <w:tc>
          <w:tcPr>
            <w:tcW w:w="2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May 31, 2018</w:t>
            </w:r>
          </w:p>
        </w:tc>
      </w:tr>
      <w:tr>
        <w:trPr>
          <w:trHeight w:val="224"/>
        </w:trPr>
        <w:tc>
          <w:tcPr>
            <w:tcW w:w="20" w:type="dxa"/>
            <w:vAlign w:val="bottom"/>
          </w:tcPr>
          <w:p>
            <w:pPr>
              <w:spacing w:after="0"/>
              <w:rPr>
                <w:sz w:val="19"/>
                <w:szCs w:val="19"/>
                <w:color w:val="auto"/>
              </w:rPr>
            </w:pPr>
          </w:p>
        </w:tc>
        <w:tc>
          <w:tcPr>
            <w:tcW w:w="3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J. Barrett</w:t>
            </w:r>
          </w:p>
        </w:tc>
        <w:tc>
          <w:tcPr>
            <w:tcW w:w="22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634"/>
        </w:trPr>
        <w:tc>
          <w:tcPr>
            <w:tcW w:w="20" w:type="dxa"/>
            <w:vAlign w:val="bottom"/>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7</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CONSULTING AGREEMENT</w:t>
      </w:r>
    </w:p>
    <w:p>
      <w:pPr>
        <w:spacing w:after="0" w:line="225" w:lineRule="exact"/>
        <w:rPr>
          <w:sz w:val="20"/>
          <w:szCs w:val="20"/>
          <w:color w:val="auto"/>
        </w:rPr>
      </w:pPr>
    </w:p>
    <w:p>
      <w:pPr>
        <w:jc w:val="both"/>
        <w:ind w:firstLine="610"/>
        <w:spacing w:after="0" w:line="258" w:lineRule="auto"/>
        <w:rPr>
          <w:sz w:val="20"/>
          <w:szCs w:val="20"/>
          <w:color w:val="auto"/>
        </w:rPr>
      </w:pPr>
      <w:r>
        <w:rPr>
          <w:rFonts w:ascii="Arial" w:cs="Arial" w:eastAsia="Arial" w:hAnsi="Arial"/>
          <w:sz w:val="18"/>
          <w:szCs w:val="18"/>
          <w:color w:val="auto"/>
        </w:rPr>
        <w:t>This CONSULTING AGREEMENT (this “</w:t>
      </w:r>
      <w:r>
        <w:rPr>
          <w:rFonts w:ascii="Arial" w:cs="Arial" w:eastAsia="Arial" w:hAnsi="Arial"/>
          <w:sz w:val="18"/>
          <w:szCs w:val="18"/>
          <w:b w:val="1"/>
          <w:bCs w:val="1"/>
          <w:color w:val="auto"/>
        </w:rPr>
        <w:t>Consulting Agreement</w:t>
      </w:r>
      <w:r>
        <w:rPr>
          <w:rFonts w:ascii="Arial" w:cs="Arial" w:eastAsia="Arial" w:hAnsi="Arial"/>
          <w:sz w:val="18"/>
          <w:szCs w:val="18"/>
          <w:color w:val="auto"/>
        </w:rPr>
        <w:t>”) is executed as of May 31, 2018 to be effective as of June 1, 2018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Assembly Biosciences, Inc., a Delaware corporation with its principal place of business at 11711 N. Meridian Street, Suite 301, Carmel, IN 46032 (the “</w:t>
      </w:r>
      <w:r>
        <w:rPr>
          <w:rFonts w:ascii="Arial" w:cs="Arial" w:eastAsia="Arial" w:hAnsi="Arial"/>
          <w:sz w:val="18"/>
          <w:szCs w:val="18"/>
          <w:b w:val="1"/>
          <w:bCs w:val="1"/>
          <w:color w:val="auto"/>
        </w:rPr>
        <w:t>Company</w:t>
      </w:r>
      <w:r>
        <w:rPr>
          <w:rFonts w:ascii="Arial" w:cs="Arial" w:eastAsia="Arial" w:hAnsi="Arial"/>
          <w:sz w:val="18"/>
          <w:szCs w:val="18"/>
          <w:color w:val="auto"/>
        </w:rPr>
        <w:t>”), and David J. Barrett residing at 3290 Creamery Rd., New Hope, PA 18938-5630 (the “</w:t>
      </w:r>
      <w:r>
        <w:rPr>
          <w:rFonts w:ascii="Arial" w:cs="Arial" w:eastAsia="Arial" w:hAnsi="Arial"/>
          <w:sz w:val="18"/>
          <w:szCs w:val="18"/>
          <w:b w:val="1"/>
          <w:bCs w:val="1"/>
          <w:color w:val="auto"/>
        </w:rPr>
        <w:t>Consultant</w:t>
      </w:r>
      <w:r>
        <w:rPr>
          <w:rFonts w:ascii="Arial" w:cs="Arial" w:eastAsia="Arial" w:hAnsi="Arial"/>
          <w:sz w:val="18"/>
          <w:szCs w:val="18"/>
          <w:color w:val="auto"/>
        </w:rPr>
        <w:t>”). This Consulting Agreement is being entered into by the parties pursuant to that certain Separation Agreement dated May 31, 2018 (the “</w:t>
      </w:r>
      <w:r>
        <w:rPr>
          <w:rFonts w:ascii="Arial" w:cs="Arial" w:eastAsia="Arial" w:hAnsi="Arial"/>
          <w:sz w:val="18"/>
          <w:szCs w:val="18"/>
          <w:b w:val="1"/>
          <w:bCs w:val="1"/>
          <w:color w:val="auto"/>
        </w:rPr>
        <w:t>Separation Agreement</w:t>
      </w:r>
      <w:r>
        <w:rPr>
          <w:rFonts w:ascii="Arial" w:cs="Arial" w:eastAsia="Arial" w:hAnsi="Arial"/>
          <w:sz w:val="18"/>
          <w:szCs w:val="18"/>
          <w:color w:val="auto"/>
        </w:rPr>
        <w:t>”) and is Exhibit A to such Separation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jc w:val="both"/>
        <w:ind w:firstLine="610"/>
        <w:spacing w:after="0" w:line="277" w:lineRule="auto"/>
        <w:rPr>
          <w:sz w:val="20"/>
          <w:szCs w:val="20"/>
          <w:color w:val="auto"/>
        </w:rPr>
      </w:pPr>
      <w:r>
        <w:rPr>
          <w:rFonts w:ascii="Arial" w:cs="Arial" w:eastAsia="Arial" w:hAnsi="Arial"/>
          <w:sz w:val="18"/>
          <w:szCs w:val="18"/>
          <w:color w:val="auto"/>
        </w:rPr>
        <w:t>WHEREAS, Company desires to engage Consultant to provide certain strategic advisory services on an independent contractor basis as outlined below, and Consultant wishes to provide such services to Company;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WHEREAS, Company and Consultant desire to establish and document the terms and conditions of such consulting relationship between them.</w:t>
      </w:r>
    </w:p>
    <w:p>
      <w:pPr>
        <w:spacing w:after="0" w:line="248" w:lineRule="exact"/>
        <w:rPr>
          <w:sz w:val="20"/>
          <w:szCs w:val="20"/>
          <w:color w:val="auto"/>
        </w:rPr>
      </w:pPr>
    </w:p>
    <w:p>
      <w:pPr>
        <w:jc w:val="both"/>
        <w:ind w:firstLine="610"/>
        <w:spacing w:after="0" w:line="277" w:lineRule="auto"/>
        <w:rPr>
          <w:sz w:val="20"/>
          <w:szCs w:val="20"/>
          <w:color w:val="auto"/>
        </w:rPr>
      </w:pPr>
      <w:r>
        <w:rPr>
          <w:rFonts w:ascii="Arial" w:cs="Arial" w:eastAsia="Arial" w:hAnsi="Arial"/>
          <w:sz w:val="18"/>
          <w:szCs w:val="18"/>
          <w:color w:val="auto"/>
        </w:rPr>
        <w:t>NOW, THEREFORE, in consideration of the mutual promises and obligations of the parties set forth herein and for other good and valuable consideration, the receipt and legal sufficiency of which are hereby acknowledged, the parties agree as follows:</w:t>
      </w:r>
    </w:p>
    <w:p>
      <w:pPr>
        <w:spacing w:after="0" w:line="166" w:lineRule="exact"/>
        <w:rPr>
          <w:sz w:val="20"/>
          <w:szCs w:val="20"/>
          <w:color w:val="auto"/>
        </w:rPr>
      </w:pPr>
    </w:p>
    <w:p>
      <w:pPr>
        <w:jc w:val="both"/>
        <w:ind w:firstLine="8"/>
        <w:spacing w:after="0" w:line="254" w:lineRule="auto"/>
        <w:tabs>
          <w:tab w:leader="none" w:pos="65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Consultant; Services. </w:t>
      </w:r>
      <w:r>
        <w:rPr>
          <w:rFonts w:ascii="Arial" w:cs="Arial" w:eastAsia="Arial" w:hAnsi="Arial"/>
          <w:sz w:val="18"/>
          <w:szCs w:val="18"/>
          <w:color w:val="auto"/>
        </w:rPr>
        <w:t>Company appoints Consultant and Consultant hereby accepts appointment as consultant to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capacity, Consultant shall perform strategic advisory services and other projects as may be requested from time to time by the Chief Executive Officer and other executive officers of the Company, and agreed to by Consultant, including providing an orderly transition of Consultant’s responsibilities to the Chief Operating Officer and Chief Financial Officer and providing strategic advisory services to the executive officers (the “</w:t>
      </w:r>
      <w:r>
        <w:rPr>
          <w:rFonts w:ascii="Arial" w:cs="Arial" w:eastAsia="Arial" w:hAnsi="Arial"/>
          <w:sz w:val="18"/>
          <w:szCs w:val="18"/>
          <w:b w:val="1"/>
          <w:bCs w:val="1"/>
          <w:color w:val="auto"/>
        </w:rPr>
        <w:t>Services</w:t>
      </w:r>
      <w:r>
        <w:rPr>
          <w:rFonts w:ascii="Arial" w:cs="Arial" w:eastAsia="Arial" w:hAnsi="Arial"/>
          <w:sz w:val="18"/>
          <w:szCs w:val="18"/>
          <w:color w:val="auto"/>
        </w:rPr>
        <w:t>”). Consultant and Company shall work together to delineate the scope of each project and the timeline and deliverables related thereto. During the first six months of this Consulting Agreement (the “</w:t>
      </w:r>
      <w:r>
        <w:rPr>
          <w:rFonts w:ascii="Arial" w:cs="Arial" w:eastAsia="Arial" w:hAnsi="Arial"/>
          <w:sz w:val="18"/>
          <w:szCs w:val="18"/>
          <w:b w:val="1"/>
          <w:bCs w:val="1"/>
          <w:color w:val="auto"/>
        </w:rPr>
        <w:t>Initial Consulting Period”)</w:t>
      </w:r>
      <w:r>
        <w:rPr>
          <w:rFonts w:ascii="Arial" w:cs="Arial" w:eastAsia="Arial" w:hAnsi="Arial"/>
          <w:sz w:val="18"/>
          <w:szCs w:val="18"/>
          <w:color w:val="auto"/>
        </w:rPr>
        <w:t>, Consultant is expected to work at least 30 hours per week in the performance of the Services, which Company and Consultant believe reflects more than 50% of his average weekly service level with the Company over the 36 months prior to the Effective Date. During the twelve months following the Initial Consulting Period, it is anticipated that Consultant will work no more than 10 hours per week for the Company, which is less than 20% of his average weekly service level with the Company over the 36 months prior to the end of the Initial Consulting Period.</w:t>
      </w:r>
    </w:p>
    <w:p>
      <w:pPr>
        <w:spacing w:after="0" w:line="186" w:lineRule="exact"/>
        <w:rPr>
          <w:rFonts w:ascii="Arial" w:cs="Arial" w:eastAsia="Arial" w:hAnsi="Arial"/>
          <w:sz w:val="18"/>
          <w:szCs w:val="18"/>
          <w:b w:val="1"/>
          <w:bCs w:val="1"/>
          <w:color w:val="auto"/>
        </w:rPr>
      </w:pPr>
    </w:p>
    <w:p>
      <w:pPr>
        <w:jc w:val="both"/>
        <w:ind w:firstLine="8"/>
        <w:spacing w:after="0" w:line="291" w:lineRule="auto"/>
        <w:tabs>
          <w:tab w:leader="none" w:pos="718"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Term; Termination. </w:t>
      </w:r>
      <w:r>
        <w:rPr>
          <w:rFonts w:ascii="Arial" w:cs="Arial" w:eastAsia="Arial" w:hAnsi="Arial"/>
          <w:sz w:val="16"/>
          <w:szCs w:val="16"/>
          <w:color w:val="auto"/>
        </w:rPr>
        <w:t>Upon the Separation Agreement becoming effective, this Consulting Agreement will be effective as of the Effective Date and</w:t>
      </w:r>
      <w:r>
        <w:rPr>
          <w:rFonts w:ascii="Arial" w:cs="Arial" w:eastAsia="Arial" w:hAnsi="Arial"/>
          <w:sz w:val="16"/>
          <w:szCs w:val="16"/>
          <w:b w:val="1"/>
          <w:bCs w:val="1"/>
          <w:color w:val="auto"/>
        </w:rPr>
        <w:t xml:space="preserve"> </w:t>
      </w:r>
      <w:r>
        <w:rPr>
          <w:rFonts w:ascii="Arial" w:cs="Arial" w:eastAsia="Arial" w:hAnsi="Arial"/>
          <w:sz w:val="16"/>
          <w:szCs w:val="16"/>
          <w:color w:val="auto"/>
        </w:rPr>
        <w:t>will continue in effect until and through November 30, 2019 (the “</w:t>
      </w:r>
      <w:r>
        <w:rPr>
          <w:rFonts w:ascii="Arial" w:cs="Arial" w:eastAsia="Arial" w:hAnsi="Arial"/>
          <w:sz w:val="16"/>
          <w:szCs w:val="16"/>
          <w:b w:val="1"/>
          <w:bCs w:val="1"/>
          <w:color w:val="auto"/>
        </w:rPr>
        <w:t>Term</w:t>
      </w:r>
      <w:r>
        <w:rPr>
          <w:rFonts w:ascii="Arial" w:cs="Arial" w:eastAsia="Arial" w:hAnsi="Arial"/>
          <w:sz w:val="16"/>
          <w:szCs w:val="16"/>
          <w:color w:val="auto"/>
        </w:rPr>
        <w:t>”). This Consulting Agreement may be terminated at any time by Consultant, with or without Cause (as defined in the Amended and Restated 2014 Stock Incentive Plan, as amended), and without prejudice to any right or remedy Consultant may have due to any failure of the other party to perform their obligations under this Consulting Agreement, upon fifteen (15) days written notice to the other party. The Company may, in addition to any other rights it may have at law or in equity, terminate this Consulting Agreement immediately and without prior notice for Cause or if Consultant refuses to or is unable to perform the Services, including by reason of death or disability (as determined in the reasonable discretion of the Company) or if Consultant is in breach of any material provision of this Consulting Agreement or the Separation Agreement. In the event of a dispute over what constitutes a breach hereunder or a termination for Cause, the parties shall agree to resolve the matter in accordance with Section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jc w:val="both"/>
        <w:ind w:left="-8" w:firstLine="8"/>
        <w:spacing w:after="0" w:line="256" w:lineRule="auto"/>
        <w:tabs>
          <w:tab w:leader="none" w:pos="78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Consultant</w:t>
      </w:r>
      <w:r>
        <w:rPr>
          <w:rFonts w:ascii="Arial" w:cs="Arial" w:eastAsia="Arial" w:hAnsi="Arial"/>
          <w:sz w:val="18"/>
          <w:szCs w:val="18"/>
          <w:color w:val="auto"/>
        </w:rPr>
        <w:t>. Consultant agrees to faithfully, diligently, competently, and to the best of his ability perform the Services;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Consultant will at all times retain sole and absolute discretion and judgment in the manner and means of carrying out the Services. Consultant shall use best efforts to perform the Services in a manner satisfactory to the Company. Without limiting the foregoing, Consultant shall provide Services to Company in accordance with generally accepted professional standards as applied to similar projects performed under similar conditions prevailing in the industry at the time such Services are rendered to the Company. Consultant shall not subcontract any portion of Consultant’s duties or obligations under this Consulting Agreement without the prior written consent of the Company.</w:t>
      </w:r>
    </w:p>
    <w:p>
      <w:pPr>
        <w:spacing w:after="0" w:line="187" w:lineRule="exact"/>
        <w:rPr>
          <w:rFonts w:ascii="Arial" w:cs="Arial" w:eastAsia="Arial" w:hAnsi="Arial"/>
          <w:sz w:val="18"/>
          <w:szCs w:val="18"/>
          <w:b w:val="1"/>
          <w:bCs w:val="1"/>
          <w:color w:val="auto"/>
        </w:rPr>
      </w:pPr>
    </w:p>
    <w:p>
      <w:pPr>
        <w:jc w:val="both"/>
        <w:ind w:left="-8" w:firstLine="8"/>
        <w:spacing w:after="0" w:line="268" w:lineRule="auto"/>
        <w:tabs>
          <w:tab w:leader="none" w:pos="654"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for Others. </w:t>
      </w:r>
      <w:r>
        <w:rPr>
          <w:rFonts w:ascii="Arial" w:cs="Arial" w:eastAsia="Arial" w:hAnsi="Arial"/>
          <w:sz w:val="17"/>
          <w:szCs w:val="17"/>
          <w:color w:val="auto"/>
        </w:rPr>
        <w:t>Subject to the limitations in this Section 4, Consultant will be free to perform consulting services for other persons and entities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During the Term, Consultant will not directly or indirectly, (i) engage in any business for Consultant’s own account that competes with the Business (as defined below) of Company in any geographical area in which Company does business, (ii) enter the employ of, or render any services to, any person engaged in any business that competes with the Business of Company in any geographical area in which Company does business but only to the extent Consultant is being employed or retained to provide services to the competitor in the Business, (iii) acquire a financial interest in, or otherwise become actively involved with, any person engaged in any business that competes with the Business of Company in any geographical area in which Company does business as an individual, partner, shareholder, officer, director, principal, agent, trustee or consultant, or (iv) interfere with business relationships (whether formed before or after the Term with Company) between Company and strategic partner, vendor or suppliers of, or consultants to, Company that were engaged in, or were immediate prospects for engaging in, business with Company before my consulting relationship with Company was terminated. For purposes of this Section 4, “Business” shall mean any business directly or indirectly related to design, development, and marketing of hepatitis B virus, antiviral and/or microbiome therapeutics and technology and any other product or services that the Company may during the Term of this Consulting Agreement be designing, developing and/or marketing and on which Consultant provides Services during the Term of this Consulting Agreement. Notwithstanding the foregoing, Consultant may, directly or indirectly own, solely as an investment, securities of any person engaged in the Business of Company which are publicly traded on a national or regional stock exchange or on the over-the-counter market if Consultant (i) is not a controlling person of, or a member of a group which controls, such person and (ii) does not, directly or indirectly, own 3% or more of any class of securities of such person. Company agrees and acknowledges that Consultant may provide consulting services to third parties and this provision is not intended to unreasonably restrict Consultant’s ability to engage in such other business activities.</w:t>
      </w:r>
    </w:p>
    <w:p>
      <w:pPr>
        <w:spacing w:after="0" w:line="178" w:lineRule="exact"/>
        <w:rPr>
          <w:rFonts w:ascii="Arial" w:cs="Arial" w:eastAsia="Arial" w:hAnsi="Arial"/>
          <w:sz w:val="17"/>
          <w:szCs w:val="17"/>
          <w:b w:val="1"/>
          <w:bCs w:val="1"/>
          <w:color w:val="auto"/>
        </w:rPr>
      </w:pPr>
    </w:p>
    <w:p>
      <w:pPr>
        <w:jc w:val="both"/>
        <w:ind w:left="-8" w:firstLine="8"/>
        <w:spacing w:after="0" w:line="290" w:lineRule="auto"/>
        <w:tabs>
          <w:tab w:leader="none" w:pos="710"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Compensation of Consultant. </w:t>
      </w:r>
      <w:r>
        <w:rPr>
          <w:rFonts w:ascii="Arial" w:cs="Arial" w:eastAsia="Arial" w:hAnsi="Arial"/>
          <w:sz w:val="16"/>
          <w:szCs w:val="16"/>
          <w:color w:val="auto"/>
        </w:rPr>
        <w:t>As compensation for the performance of the Services, the Company will pay Consultant during the Term a monthly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consulting fee as follows: (a) during the Initial Consulting Period, in the amount of Thirty-Eight Thousand Three Hundred Thirty-Three Dollars and 33/100 ($38,333.33) per month; and (b) for the next twelve months following the Initial Consulting Period, no further cash compensation is owed for Services. Such cash compensation is to be paid to Consultant within thirty (30) days after the completion of a given calendar month. Additionally, subject to approval by the Board of Directors of the Company or the Compensation Committee of the Board of Directors, promptly following the Effective Date of this Agreement, Company shall issue Consultant an award of restricted stock unit award for 100,000 shares of common stock, par value $0.001 per share, of the Company, pursuant to a Restricted Stock Unit Award Agreement, substantially in the form of </w:t>
      </w:r>
      <w:r>
        <w:rPr>
          <w:rFonts w:ascii="Arial" w:cs="Arial" w:eastAsia="Arial" w:hAnsi="Arial"/>
          <w:sz w:val="16"/>
          <w:szCs w:val="16"/>
          <w:u w:val="single" w:color="auto"/>
          <w:color w:val="auto"/>
        </w:rPr>
        <w:t>Exhibit 1</w:t>
      </w:r>
      <w:r>
        <w:rPr>
          <w:rFonts w:ascii="Arial" w:cs="Arial" w:eastAsia="Arial" w:hAnsi="Arial"/>
          <w:sz w:val="16"/>
          <w:szCs w:val="16"/>
          <w:color w:val="auto"/>
        </w:rPr>
        <w:t xml:space="preserve"> attached hereto (the “</w:t>
      </w:r>
      <w:r>
        <w:rPr>
          <w:rFonts w:ascii="Arial" w:cs="Arial" w:eastAsia="Arial" w:hAnsi="Arial"/>
          <w:sz w:val="16"/>
          <w:szCs w:val="16"/>
          <w:b w:val="1"/>
          <w:bCs w:val="1"/>
          <w:color w:val="auto"/>
        </w:rPr>
        <w:t>Equity Award Agreement</w:t>
      </w:r>
      <w:r>
        <w:rPr>
          <w:rFonts w:ascii="Arial" w:cs="Arial" w:eastAsia="Arial" w:hAnsi="Arial"/>
          <w:sz w:val="16"/>
          <w:szCs w:val="16"/>
          <w:color w:val="auto"/>
        </w:rPr>
        <w:t>”) under the Company’s Amended and Restated 2014 Stock Incentive Plan, which restricted stock unit award shall vest over eighteen months following the Effective Date as provided in the Equity Award Agreement and shall settle with respect to vested restricted stock units as provided in the Equity Award Agreement.</w:t>
      </w: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61" w:name="page62"/>
    <w:bookmarkEnd w:id="61"/>
    <w:p>
      <w:pPr>
        <w:jc w:val="both"/>
        <w:ind w:left="-8" w:firstLine="8"/>
        <w:spacing w:after="0" w:line="281" w:lineRule="auto"/>
        <w:tabs>
          <w:tab w:leader="none" w:pos="689"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Expenses</w:t>
      </w:r>
      <w:r>
        <w:rPr>
          <w:rFonts w:ascii="Arial" w:cs="Arial" w:eastAsia="Arial" w:hAnsi="Arial"/>
          <w:sz w:val="17"/>
          <w:szCs w:val="17"/>
          <w:color w:val="auto"/>
        </w:rPr>
        <w:t>. Consultant shall be reimbursed for any reasonable expenses incurred while performing Services on behalf of Company, including travel</w:t>
      </w:r>
      <w:r>
        <w:rPr>
          <w:rFonts w:ascii="Arial" w:cs="Arial" w:eastAsia="Arial" w:hAnsi="Arial"/>
          <w:sz w:val="17"/>
          <w:szCs w:val="17"/>
          <w:b w:val="1"/>
          <w:bCs w:val="1"/>
          <w:color w:val="auto"/>
        </w:rPr>
        <w:t xml:space="preserve"> </w:t>
      </w:r>
      <w:r>
        <w:rPr>
          <w:rFonts w:ascii="Arial" w:cs="Arial" w:eastAsia="Arial" w:hAnsi="Arial"/>
          <w:sz w:val="17"/>
          <w:szCs w:val="17"/>
          <w:color w:val="auto"/>
        </w:rPr>
        <w:t>(i.e., airfare, meals and lodging), provided such expenses are approved by Company in advance. All air travel on behalf of Company shall be coach class unless otherwise mutually agreed by the parties. As a condition to receipt of reimbursement, Consultant shall be required to submit to Company reasonable evidence that the amount involved was expended and related to Services provided under this Consulting Agreement.</w:t>
      </w:r>
    </w:p>
    <w:p>
      <w:pPr>
        <w:spacing w:after="0" w:line="164" w:lineRule="exact"/>
        <w:rPr>
          <w:rFonts w:ascii="Arial" w:cs="Arial" w:eastAsia="Arial" w:hAnsi="Arial"/>
          <w:sz w:val="17"/>
          <w:szCs w:val="17"/>
          <w:b w:val="1"/>
          <w:bCs w:val="1"/>
          <w:color w:val="auto"/>
        </w:rPr>
      </w:pPr>
    </w:p>
    <w:p>
      <w:pPr>
        <w:ind w:left="632" w:hanging="632"/>
        <w:spacing w:after="0"/>
        <w:tabs>
          <w:tab w:leader="none" w:pos="6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Independent Contractor Status of Consultant.</w:t>
      </w:r>
    </w:p>
    <w:p>
      <w:pPr>
        <w:spacing w:after="0" w:line="229" w:lineRule="exact"/>
        <w:rPr>
          <w:rFonts w:ascii="Arial" w:cs="Arial" w:eastAsia="Arial" w:hAnsi="Arial"/>
          <w:sz w:val="18"/>
          <w:szCs w:val="18"/>
          <w:b w:val="1"/>
          <w:bCs w:val="1"/>
          <w:color w:val="auto"/>
        </w:rPr>
      </w:pPr>
    </w:p>
    <w:p>
      <w:pPr>
        <w:jc w:val="both"/>
        <w:ind w:left="-8" w:firstLine="618"/>
        <w:spacing w:after="0" w:line="264" w:lineRule="auto"/>
        <w:tabs>
          <w:tab w:leader="none" w:pos="1127"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Consultant's legal status is an independent contractor of Company. Nothing in this Consulting Agreement makes Consultant the agent, partner, joint venturer, employee or legal representative of Company for any purpose whatsoever; nor shall Consultant hold himself out as such. Consultant will have no authority to bind Company in any manner or for any purpose.</w:t>
      </w:r>
    </w:p>
    <w:p>
      <w:pPr>
        <w:spacing w:after="0" w:line="181" w:lineRule="exact"/>
        <w:rPr>
          <w:rFonts w:ascii="Arial" w:cs="Arial" w:eastAsia="Arial" w:hAnsi="Arial"/>
          <w:sz w:val="18"/>
          <w:szCs w:val="18"/>
          <w:b w:val="1"/>
          <w:bCs w:val="1"/>
          <w:color w:val="auto"/>
        </w:rPr>
      </w:pPr>
    </w:p>
    <w:p>
      <w:pPr>
        <w:jc w:val="both"/>
        <w:ind w:left="-8" w:firstLine="618"/>
        <w:spacing w:after="0" w:line="257" w:lineRule="auto"/>
        <w:tabs>
          <w:tab w:leader="none" w:pos="1205"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Consultant will not be an employee of Company for any purpose, including for purposes of the Fair Labor Standards Act's minimum wage and overtime provisions, nor any other provision of federal, state, or local law applicable to employees. Further, except for the Health Benefits provided in the Separation Agreement, Consultant understands and agrees that he will not be entitled to any employee benefits that may be made available by the Company to its employees, including but not limited to vacation pay, sick leave, retirement benefits, social security, workers' compensation, health or disability benefits, and unemployment insurance benefits.</w:t>
      </w:r>
    </w:p>
    <w:p>
      <w:pPr>
        <w:spacing w:after="0" w:line="188" w:lineRule="exact"/>
        <w:rPr>
          <w:rFonts w:ascii="Arial" w:cs="Arial" w:eastAsia="Arial" w:hAnsi="Arial"/>
          <w:sz w:val="18"/>
          <w:szCs w:val="18"/>
          <w:b w:val="1"/>
          <w:bCs w:val="1"/>
          <w:color w:val="auto"/>
        </w:rPr>
      </w:pPr>
    </w:p>
    <w:p>
      <w:pPr>
        <w:jc w:val="both"/>
        <w:ind w:left="-8" w:firstLine="618"/>
        <w:spacing w:after="0" w:line="259" w:lineRule="auto"/>
        <w:tabs>
          <w:tab w:leader="none" w:pos="1171"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Consultant acknowledges that he has not relied on any statements or representations by the Company or its attorneys with respect to the tax treatment of any compensation due under this Consulting Agreement. Consultant understands that the Company will not be responsible for withholding or paying any federal or state income, social security or other taxes in connection with any compensation paid under this Consulting Agreement, and Consultant agrees that he is solely responsible for any such tax payments.</w:t>
      </w:r>
    </w:p>
    <w:p>
      <w:pPr>
        <w:spacing w:after="0" w:line="182" w:lineRule="exact"/>
        <w:rPr>
          <w:rFonts w:ascii="Arial" w:cs="Arial" w:eastAsia="Arial" w:hAnsi="Arial"/>
          <w:sz w:val="18"/>
          <w:szCs w:val="18"/>
          <w:b w:val="1"/>
          <w:bCs w:val="1"/>
          <w:color w:val="auto"/>
        </w:rPr>
      </w:pPr>
    </w:p>
    <w:p>
      <w:pPr>
        <w:jc w:val="both"/>
        <w:ind w:left="-8" w:firstLine="8"/>
        <w:spacing w:after="0" w:line="274" w:lineRule="auto"/>
        <w:tabs>
          <w:tab w:leader="none" w:pos="733"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w:t>
      </w:r>
      <w:r>
        <w:rPr>
          <w:rFonts w:ascii="Arial" w:cs="Arial" w:eastAsia="Arial" w:hAnsi="Arial"/>
          <w:sz w:val="17"/>
          <w:szCs w:val="17"/>
          <w:color w:val="auto"/>
        </w:rPr>
        <w:t>Consultant hereby represents and warrants to Company that (a) Consultant is free to enter into this Consulting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to perform the Services described herein; (b) the execution of this Consulting Agreement and the performance of the Services by Consultant will not result in the breach of any express or implied, oral or written, contract or agreement, to which Consultant is bound (including, without limitation, any non-competition agreement with a current or prior employer); and (c) the execution of this Consulting Agreement and the performance of the Services will not at any time interfere with or violate any third party rights (including, without limitation, the use, disclosure, misappropriation, or infringement of any confidential information, proprietary rights or intellectual property belonging to any other person or entity).</w:t>
      </w:r>
    </w:p>
    <w:p>
      <w:pPr>
        <w:spacing w:after="0" w:line="173" w:lineRule="exact"/>
        <w:rPr>
          <w:rFonts w:ascii="Arial" w:cs="Arial" w:eastAsia="Arial" w:hAnsi="Arial"/>
          <w:sz w:val="17"/>
          <w:szCs w:val="17"/>
          <w:b w:val="1"/>
          <w:bCs w:val="1"/>
          <w:color w:val="auto"/>
        </w:rPr>
      </w:pPr>
    </w:p>
    <w:p>
      <w:pPr>
        <w:jc w:val="both"/>
        <w:ind w:left="-8" w:firstLine="8"/>
        <w:spacing w:after="0" w:line="261" w:lineRule="auto"/>
        <w:tabs>
          <w:tab w:leader="none" w:pos="636"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Indemnification. </w:t>
      </w:r>
      <w:r>
        <w:rPr>
          <w:rFonts w:ascii="Arial" w:cs="Arial" w:eastAsia="Arial" w:hAnsi="Arial"/>
          <w:sz w:val="18"/>
          <w:szCs w:val="18"/>
          <w:color w:val="auto"/>
        </w:rPr>
        <w:t>Consultant shall indemnify and hold Company, its affiliates and their respective directors, officers, agents and employees harmless</w:t>
      </w:r>
      <w:r>
        <w:rPr>
          <w:rFonts w:ascii="Arial" w:cs="Arial" w:eastAsia="Arial" w:hAnsi="Arial"/>
          <w:sz w:val="18"/>
          <w:szCs w:val="18"/>
          <w:b w:val="1"/>
          <w:bCs w:val="1"/>
          <w:color w:val="auto"/>
        </w:rPr>
        <w:t xml:space="preserve"> </w:t>
      </w:r>
      <w:r>
        <w:rPr>
          <w:rFonts w:ascii="Arial" w:cs="Arial" w:eastAsia="Arial" w:hAnsi="Arial"/>
          <w:sz w:val="18"/>
          <w:szCs w:val="18"/>
          <w:color w:val="auto"/>
        </w:rPr>
        <w:t>from and against all claims, demands, losses, damages and judgments, including court costs and attorneys’ fees, arising out of or based upon (i) Consultant’s gross negligence or willful misconduct; and (ii) any breach or alleged breach by Consultant of any representation, warranty, certification, covenant, obligation or other agreement set forth in this Consulting Agreement.</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62" w:name="page63"/>
    <w:bookmarkEnd w:id="62"/>
    <w:p>
      <w:pPr>
        <w:ind w:left="632" w:hanging="632"/>
        <w:spacing w:after="0"/>
        <w:tabs>
          <w:tab w:leader="none" w:pos="6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Intellectual Property</w:t>
      </w:r>
    </w:p>
    <w:p>
      <w:pPr>
        <w:spacing w:after="0" w:line="229" w:lineRule="exact"/>
        <w:rPr>
          <w:rFonts w:ascii="Arial" w:cs="Arial" w:eastAsia="Arial" w:hAnsi="Arial"/>
          <w:sz w:val="18"/>
          <w:szCs w:val="18"/>
          <w:b w:val="1"/>
          <w:bCs w:val="1"/>
          <w:color w:val="auto"/>
        </w:rPr>
      </w:pPr>
    </w:p>
    <w:p>
      <w:pPr>
        <w:jc w:val="both"/>
        <w:ind w:left="-8" w:firstLine="618"/>
        <w:spacing w:after="0" w:line="271" w:lineRule="auto"/>
        <w:tabs>
          <w:tab w:leader="none" w:pos="1127"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Consultant will immediately and fully disclose in writing to the Company all intellectual property and other proprietary information, including without limitation, all inventions, methods, processes, innovations, discoveries, developments, ideas, technologies, computer code and programs, macros, trade secrets, know-how, formulae, designs, patterns, marks, names, improvements, industrial designs, mask works, works of authorship, technical materials relating to the business of the Company conceived or developed by the Consultant during the Term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whether or not any such Intellectual Property is patentable, copyrightable, or otherwise protectable. Notwithstanding the foregoing, this Consulting Agreement shall not be construed to apply to, and shall not create any assignment of any Intellectual Property of Consultant that Consultant developed entirely on his own time without using the Company's equipment, facilities, confidential or trade secret information, except for Intellectual Property that results from any work performed by the Consultant for the Company.</w:t>
      </w:r>
    </w:p>
    <w:p>
      <w:pPr>
        <w:spacing w:after="0" w:line="178" w:lineRule="exact"/>
        <w:rPr>
          <w:rFonts w:ascii="Arial" w:cs="Arial" w:eastAsia="Arial" w:hAnsi="Arial"/>
          <w:sz w:val="17"/>
          <w:szCs w:val="17"/>
          <w:b w:val="1"/>
          <w:bCs w:val="1"/>
          <w:color w:val="auto"/>
        </w:rPr>
      </w:pPr>
    </w:p>
    <w:p>
      <w:pPr>
        <w:jc w:val="both"/>
        <w:ind w:left="-8" w:firstLine="618"/>
        <w:spacing w:after="0" w:line="255" w:lineRule="auto"/>
        <w:tabs>
          <w:tab w:leader="none" w:pos="1137"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Consultant does hereby, and will from time to time immediately upon the conception or development of any Intellectual Properly in the course of Consultant's engagement with the Company assign to the Company all of his right, title and interest in and to all such Intellectual Property (whether or not patentable, registrable, recordable or protectable by copyright and regardless of whether the Company pursues any of the foregoing). If any Intellectual Property falls within the definition of “work made for hire,” as such term is defined in 17 U.S.C. § 101, such Intellectual Property will be considered “work made for hire,” and the copyright of such Intellectual Property will be owned solely and exclusively by the Company. If any Intellectual Property does not fall within such definition of “work made for hire”, then the right, title, and interest in and to such Intellectual Property of Consultant will be assigned to the Company pursuant to the first sentence of this Section 9(b).</w:t>
      </w:r>
    </w:p>
    <w:p>
      <w:pPr>
        <w:spacing w:after="0" w:line="189" w:lineRule="exact"/>
        <w:rPr>
          <w:rFonts w:ascii="Arial" w:cs="Arial" w:eastAsia="Arial" w:hAnsi="Arial"/>
          <w:sz w:val="18"/>
          <w:szCs w:val="18"/>
          <w:b w:val="1"/>
          <w:bCs w:val="1"/>
          <w:color w:val="auto"/>
        </w:rPr>
      </w:pPr>
    </w:p>
    <w:p>
      <w:pPr>
        <w:jc w:val="both"/>
        <w:ind w:left="-8" w:firstLine="618"/>
        <w:spacing w:after="0" w:line="269" w:lineRule="auto"/>
        <w:tabs>
          <w:tab w:leader="none" w:pos="1198"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Consultant will execute and deliver any assignment instruments and do all other things reasonably requested by the Company (both during and after Consultant's engagement with the Company) in order to more fully vest in the Company sole and exclusive right, title, and interest in and to all Intellectual Property. Consultant agrees to cooperate with and provide reasonable assistance to the Company in the preparation of applications for letters patent, copyright, and other forms of protection for Intellectual Property, including but not limited to the execution and delivery of any instruments reasonably requested by the Company (both during and after Consultant's engagement with the Company), in order to protect the Company’s interest in and to all Intellectual Property. If the Company is unable for any reason to secure Consultant's signature on any lawful and necessary document required to apply for or execute any patent, trademark, copyright or other applications with respect to any Intellectual Property (including renewals, extensions, continuations, divisions or continuations in part thereof), Consultant hereby irrevocably designates and appoints the Company and its then current Chief Executive Officer or General Counsel as Consultant's agent and attorney-in-fact to act for and in behalf and instead of Consultant, to execute and file any such application and to do all other lawfully permitted acts to further the prosecution and issuance of patents, trademarks, copyrights or other rights thereon with the same legal force and effect as if executed by Consultant.</w:t>
      </w:r>
    </w:p>
    <w:p>
      <w:pPr>
        <w:spacing w:after="0" w:line="178" w:lineRule="exact"/>
        <w:rPr>
          <w:rFonts w:ascii="Arial" w:cs="Arial" w:eastAsia="Arial" w:hAnsi="Arial"/>
          <w:sz w:val="17"/>
          <w:szCs w:val="17"/>
          <w:b w:val="1"/>
          <w:bCs w:val="1"/>
          <w:color w:val="auto"/>
        </w:rPr>
      </w:pPr>
    </w:p>
    <w:p>
      <w:pPr>
        <w:ind w:left="612" w:hanging="612"/>
        <w:spacing w:after="0"/>
        <w:tabs>
          <w:tab w:leader="none" w:pos="61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p>
    <w:p>
      <w:pPr>
        <w:spacing w:after="0" w:line="229" w:lineRule="exact"/>
        <w:rPr>
          <w:rFonts w:ascii="Arial" w:cs="Arial" w:eastAsia="Arial" w:hAnsi="Arial"/>
          <w:sz w:val="18"/>
          <w:szCs w:val="18"/>
          <w:b w:val="1"/>
          <w:bCs w:val="1"/>
          <w:color w:val="auto"/>
        </w:rPr>
      </w:pPr>
    </w:p>
    <w:p>
      <w:pPr>
        <w:jc w:val="both"/>
        <w:ind w:left="-8" w:firstLine="618"/>
        <w:spacing w:after="0" w:line="268" w:lineRule="auto"/>
        <w:tabs>
          <w:tab w:leader="none" w:pos="1330" w:val="left"/>
        </w:tabs>
        <w:numPr>
          <w:ilvl w:val="1"/>
          <w:numId w:val="58"/>
        </w:numPr>
        <w:rPr>
          <w:rFonts w:ascii="Arial" w:cs="Arial" w:eastAsia="Arial" w:hAnsi="Arial"/>
          <w:sz w:val="17"/>
          <w:szCs w:val="17"/>
          <w:b w:val="1"/>
          <w:bCs w:val="1"/>
          <w:color w:val="auto"/>
        </w:rPr>
      </w:pPr>
      <w:r>
        <w:rPr>
          <w:rFonts w:ascii="Arial" w:cs="Arial" w:eastAsia="Arial" w:hAnsi="Arial"/>
          <w:sz w:val="17"/>
          <w:szCs w:val="17"/>
          <w:color w:val="auto"/>
        </w:rPr>
        <w:t>Consultant acknowledges that during his engagement with Company he will have access to certain highly-sensitive, confidential, and proprietary information belonging to the Company or third parties who may have furnished such information under obligations of confidentiality, relating to and used in the Company's business (collectively,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Consultant acknowledges that, unless otherwise available to the public, Confidential Information includes, but is not limited to, the following categories of information and material, including all copies, notes, or other reproductions or replicas thereof: financial statements and information; budgets, forecasts, and projections; business and strategic plans; marketing, sales, and distribution strategies; research and development projects; records relating to any intellectual property developed by, owned by, controlled, licensed, or maintained by the Company; information related to the Company's inventions, research, products, designs, methods, know-how, formulae, techniques, systems, processes; customer lists; non-public information relating to the Company's customers, suppliers, employees, distributors, or investors; the specific terms of the Company's agreements or arrangements, whether oral or written, with any customer, supplier, vendor, collaborator or contractor with which the Company may be associated from time to time; and any and all information relating to the operation of the Company's business which the Company may from time to time designate as confidential or proprietary or that Consultant reasonably knows should be, or has been, treated by the Company as confidential or proprietary. Confidential Information encompasses all formats in which information is preserved, whether electronic, print, or any other form, including all originals, copies, notes, or other reproductions or replicas thereof.</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63" w:name="page64"/>
    <w:bookmarkEnd w:id="63"/>
    <w:p>
      <w:pPr>
        <w:jc w:val="both"/>
        <w:ind w:left="-8" w:firstLine="618"/>
        <w:spacing w:after="0" w:line="264" w:lineRule="auto"/>
        <w:tabs>
          <w:tab w:leader="none" w:pos="1178"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Consultant agrees that he will maintain the confidentiality of the Confidential Information at all times during and for ten years following the Term and will not, directly or indirectly, use or disclose any Confidential Information for any purpose other than to the extent necessary to perform the Services.</w:t>
      </w:r>
    </w:p>
    <w:p>
      <w:pPr>
        <w:spacing w:after="0" w:line="181" w:lineRule="exact"/>
        <w:rPr>
          <w:rFonts w:ascii="Arial" w:cs="Arial" w:eastAsia="Arial" w:hAnsi="Arial"/>
          <w:sz w:val="18"/>
          <w:szCs w:val="18"/>
          <w:b w:val="1"/>
          <w:bCs w:val="1"/>
          <w:color w:val="auto"/>
        </w:rPr>
      </w:pPr>
    </w:p>
    <w:p>
      <w:pPr>
        <w:jc w:val="both"/>
        <w:ind w:left="-8" w:firstLine="618"/>
        <w:spacing w:after="0" w:line="297" w:lineRule="auto"/>
        <w:tabs>
          <w:tab w:leader="none" w:pos="1171"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Consultant's obligations under this Section 11 will not apply to any information that (i) becomes generally known to the public without any breach of this Consulting Agreement by Consultant or of any similar agreement by any other employee or contractor of the Company, (ii) is disclosed to Consultant by a third party under no obligation of confidentiality to the Company and/or any client of the Company, or (iii) the Consultant is required to disclose by law, provided that Consultant first notifies Company of the existence and terms of such requirement, gives Company a reasonable opportunity to seek a protective order or similar relief to prevent or limit such disclosure, and only discloses that information actually required to be disclosed.</w:t>
      </w:r>
    </w:p>
    <w:p>
      <w:pPr>
        <w:spacing w:after="0" w:line="158" w:lineRule="exact"/>
        <w:rPr>
          <w:rFonts w:ascii="Arial" w:cs="Arial" w:eastAsia="Arial" w:hAnsi="Arial"/>
          <w:sz w:val="16"/>
          <w:szCs w:val="16"/>
          <w:b w:val="1"/>
          <w:bCs w:val="1"/>
          <w:color w:val="auto"/>
        </w:rPr>
      </w:pPr>
    </w:p>
    <w:p>
      <w:pPr>
        <w:jc w:val="both"/>
        <w:ind w:left="-8" w:firstLine="618"/>
        <w:spacing w:after="0" w:line="272" w:lineRule="auto"/>
        <w:tabs>
          <w:tab w:leader="none" w:pos="1191" w:val="left"/>
        </w:tabs>
        <w:numPr>
          <w:ilvl w:val="1"/>
          <w:numId w:val="59"/>
        </w:numPr>
        <w:rPr>
          <w:rFonts w:ascii="Arial" w:cs="Arial" w:eastAsia="Arial" w:hAnsi="Arial"/>
          <w:sz w:val="17"/>
          <w:szCs w:val="17"/>
          <w:b w:val="1"/>
          <w:bCs w:val="1"/>
          <w:color w:val="auto"/>
        </w:rPr>
      </w:pPr>
      <w:r>
        <w:rPr>
          <w:rFonts w:ascii="Arial" w:cs="Arial" w:eastAsia="Arial" w:hAnsi="Arial"/>
          <w:sz w:val="17"/>
          <w:szCs w:val="17"/>
          <w:color w:val="auto"/>
        </w:rPr>
        <w:t>The foregoing notwithstanding, pursuant to the federal Defend Trade Secrets Act of 2016, Consultant shall not be held criminally or civilly liable under any federal or state trade secret law for the disclosure of a trade secret that: (A) is made in confidence to a federal, state or local government official, either directly or indirectly, or to an attorney, and solely for the purpose of reporting or investigating a suspected violation of law; or (B) is made in a complaint or other document filed in a lawsuit or other proceeding, if such filing is made under seal. Nothing in this Consulting Agreement shall limit Consultant’s right to report possible violations of law or regulation with any federal, state or local government agency or to discuss the terms and conditions of Consultant’s engagement by the Company to the extent that such disclosure is protected under applicable provisions of law or regulation, including but not limited to “whistleblower” statutes or other similar provisions that protect such disclosure.</w:t>
      </w:r>
    </w:p>
    <w:p>
      <w:pPr>
        <w:spacing w:after="0" w:line="173" w:lineRule="exact"/>
        <w:rPr>
          <w:rFonts w:ascii="Arial" w:cs="Arial" w:eastAsia="Arial" w:hAnsi="Arial"/>
          <w:sz w:val="17"/>
          <w:szCs w:val="17"/>
          <w:b w:val="1"/>
          <w:bCs w:val="1"/>
          <w:color w:val="auto"/>
        </w:rPr>
      </w:pPr>
    </w:p>
    <w:p>
      <w:pPr>
        <w:jc w:val="both"/>
        <w:ind w:left="-8" w:firstLine="8"/>
        <w:spacing w:after="0" w:line="277" w:lineRule="auto"/>
        <w:tabs>
          <w:tab w:leader="none" w:pos="663"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Property. </w:t>
      </w:r>
      <w:r>
        <w:rPr>
          <w:rFonts w:ascii="Arial" w:cs="Arial" w:eastAsia="Arial" w:hAnsi="Arial"/>
          <w:sz w:val="17"/>
          <w:szCs w:val="17"/>
          <w:color w:val="auto"/>
        </w:rPr>
        <w:t>Upon termination of Consultant's engagement with the Company for any reason, or at any time upon request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will promptly deliver to the Company all Confidential Information in any form along with all personal property belonging to the Company that is in Consultant's possession, custody, or control, including, without limitation, all files, memoranda, designs, correspondence, manuals, programs, data, records, notes, notebooks, reports, papers, equipment, computer software, proposals, or any other files, material, document or possession (whether in hard copy or any electronic format), however obtained, along with any reproductions or copies.</w:t>
      </w:r>
    </w:p>
    <w:p>
      <w:pPr>
        <w:spacing w:after="0" w:line="168" w:lineRule="exact"/>
        <w:rPr>
          <w:rFonts w:ascii="Arial" w:cs="Arial" w:eastAsia="Arial" w:hAnsi="Arial"/>
          <w:sz w:val="17"/>
          <w:szCs w:val="17"/>
          <w:b w:val="1"/>
          <w:bCs w:val="1"/>
          <w:color w:val="auto"/>
        </w:rPr>
      </w:pPr>
    </w:p>
    <w:p>
      <w:pPr>
        <w:jc w:val="both"/>
        <w:ind w:left="-8" w:firstLine="8"/>
        <w:spacing w:after="0" w:line="258" w:lineRule="auto"/>
        <w:tabs>
          <w:tab w:leader="none" w:pos="69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Remedies. </w:t>
      </w:r>
      <w:r>
        <w:rPr>
          <w:rFonts w:ascii="Arial" w:cs="Arial" w:eastAsia="Arial" w:hAnsi="Arial"/>
          <w:sz w:val="18"/>
          <w:szCs w:val="18"/>
          <w:color w:val="auto"/>
        </w:rPr>
        <w:t>Consultant acknowledges and agrees that the breach or threatened breach of Sections 4, 10, 11 and/or 12 of this Consulting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may result in immediate and irreparable injury to Company, which injury may not be subject to redress by monetary damages. Accordingly, Consultant agrees that Company is entitled to enforce this Consulting Agreement by seeking a temporary restraining order, preliminary and permanent injunction and/or any other appropriate equitable relief. Nothing in this Section prohibits the Company from pursuing any other remedies available to it in law or equity, including but not limited to the recovery of monetary damages.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64" w:name="page65"/>
    <w:bookmarkEnd w:id="64"/>
    <w:p>
      <w:pPr>
        <w:jc w:val="both"/>
        <w:ind w:left="-8" w:right="20" w:firstLine="8"/>
        <w:spacing w:after="0" w:line="266" w:lineRule="auto"/>
        <w:tabs>
          <w:tab w:leader="none" w:pos="77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Assignment. </w:t>
      </w:r>
      <w:r>
        <w:rPr>
          <w:rFonts w:ascii="Arial" w:cs="Arial" w:eastAsia="Arial" w:hAnsi="Arial"/>
          <w:sz w:val="18"/>
          <w:szCs w:val="18"/>
          <w:color w:val="auto"/>
        </w:rPr>
        <w:t>Due to the personal nature of the Services to be rendered hereunder, Consultant may not assign this Consulting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assign this Consulting Agreement without the consent of Consultant. Subject to the foregoing, this Consulting Agreement will inure to the benefit of and be binding upon each of the heirs, assigns and successors of the respective parties.</w:t>
      </w:r>
    </w:p>
    <w:p>
      <w:pPr>
        <w:spacing w:after="0" w:line="176" w:lineRule="exact"/>
        <w:rPr>
          <w:rFonts w:ascii="Arial" w:cs="Arial" w:eastAsia="Arial" w:hAnsi="Arial"/>
          <w:sz w:val="18"/>
          <w:szCs w:val="18"/>
          <w:b w:val="1"/>
          <w:bCs w:val="1"/>
          <w:color w:val="auto"/>
        </w:rPr>
      </w:pPr>
    </w:p>
    <w:p>
      <w:pPr>
        <w:jc w:val="both"/>
        <w:ind w:left="-8" w:firstLine="8"/>
        <w:spacing w:after="0" w:line="258" w:lineRule="auto"/>
        <w:tabs>
          <w:tab w:leader="none" w:pos="6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Venue. </w:t>
      </w:r>
      <w:r>
        <w:rPr>
          <w:rFonts w:ascii="Arial" w:cs="Arial" w:eastAsia="Arial" w:hAnsi="Arial"/>
          <w:sz w:val="18"/>
          <w:szCs w:val="18"/>
          <w:color w:val="auto"/>
        </w:rPr>
        <w:t>This Consulting Agreement will be governed by and construed in accordance with the laws of the State of Indiana,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that body of law known as choice of law. Any litigation arising out of or related to this Consulting Agreement will be brought exclusively in any state or federal court in Indianapolis, Indiana. Each party (i) consents to the personal jurisdiction of said courts, (ii) waives any venue or inconvenient forum defense to any proceeding maintained in such courts, and (iii) agrees not to bring any proceeding arising out of or relating to this Consulting Agreement in any other court.</w:t>
      </w:r>
    </w:p>
    <w:p>
      <w:pPr>
        <w:spacing w:after="0" w:line="183" w:lineRule="exact"/>
        <w:rPr>
          <w:rFonts w:ascii="Arial" w:cs="Arial" w:eastAsia="Arial" w:hAnsi="Arial"/>
          <w:sz w:val="18"/>
          <w:szCs w:val="18"/>
          <w:b w:val="1"/>
          <w:bCs w:val="1"/>
          <w:color w:val="auto"/>
        </w:rPr>
      </w:pPr>
    </w:p>
    <w:p>
      <w:pPr>
        <w:ind w:left="632" w:hanging="632"/>
        <w:spacing w:after="0"/>
        <w:tabs>
          <w:tab w:leader="none" w:pos="6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w:t>
      </w:r>
    </w:p>
    <w:p>
      <w:pPr>
        <w:spacing w:after="0" w:line="229" w:lineRule="exact"/>
        <w:rPr>
          <w:rFonts w:ascii="Arial" w:cs="Arial" w:eastAsia="Arial" w:hAnsi="Arial"/>
          <w:sz w:val="18"/>
          <w:szCs w:val="18"/>
          <w:b w:val="1"/>
          <w:bCs w:val="1"/>
          <w:color w:val="auto"/>
        </w:rPr>
      </w:pPr>
    </w:p>
    <w:p>
      <w:pPr>
        <w:jc w:val="both"/>
        <w:ind w:left="-8" w:firstLine="618"/>
        <w:spacing w:after="0" w:line="259" w:lineRule="auto"/>
        <w:tabs>
          <w:tab w:leader="none" w:pos="113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Absence of Debarrment/Exclusion</w:t>
      </w:r>
      <w:r>
        <w:rPr>
          <w:rFonts w:ascii="Arial" w:cs="Arial" w:eastAsia="Arial" w:hAnsi="Arial"/>
          <w:sz w:val="18"/>
          <w:szCs w:val="18"/>
          <w:color w:val="auto"/>
        </w:rPr>
        <w:t>. Consultant has not been debarred, and to the best of Consultant’s knowledge, is not under consideration to be debarred, by the U.S. Food and Drug Administration or comparable foreign equivalent from working in or providing services to any pharmaceutical or biotechnology company under the Generic Drug Enforcement Act of 1992 or comparable foreign law or regulation. Consultant will immediately notify Company if it becomes aware of any such action being taken or threatened to be taken against Consultant.</w:t>
      </w:r>
    </w:p>
    <w:p>
      <w:pPr>
        <w:spacing w:after="0" w:line="186" w:lineRule="exact"/>
        <w:rPr>
          <w:rFonts w:ascii="Arial" w:cs="Arial" w:eastAsia="Arial" w:hAnsi="Arial"/>
          <w:sz w:val="18"/>
          <w:szCs w:val="18"/>
          <w:color w:val="auto"/>
        </w:rPr>
      </w:pPr>
    </w:p>
    <w:p>
      <w:pPr>
        <w:jc w:val="both"/>
        <w:ind w:left="-8" w:firstLine="618"/>
        <w:spacing w:after="0" w:line="267" w:lineRule="auto"/>
        <w:tabs>
          <w:tab w:leader="none" w:pos="1289" w:val="left"/>
        </w:tabs>
        <w:numPr>
          <w:ilvl w:val="1"/>
          <w:numId w:val="61"/>
        </w:numPr>
        <w:rPr>
          <w:rFonts w:ascii="Arial" w:cs="Arial" w:eastAsia="Arial" w:hAnsi="Arial"/>
          <w:sz w:val="17"/>
          <w:szCs w:val="17"/>
          <w:color w:val="auto"/>
        </w:rPr>
      </w:pPr>
      <w:r>
        <w:rPr>
          <w:rFonts w:ascii="Arial" w:cs="Arial" w:eastAsia="Arial" w:hAnsi="Arial"/>
          <w:sz w:val="17"/>
          <w:szCs w:val="17"/>
          <w:u w:val="single" w:color="auto"/>
          <w:color w:val="auto"/>
        </w:rPr>
        <w:t>Anti-Bribery and Corruption Covenant.</w:t>
      </w:r>
      <w:r>
        <w:rPr>
          <w:rFonts w:ascii="Arial" w:cs="Arial" w:eastAsia="Arial" w:hAnsi="Arial"/>
          <w:sz w:val="17"/>
          <w:szCs w:val="17"/>
          <w:color w:val="auto"/>
        </w:rPr>
        <w:t xml:space="preserve"> Consultant shall not violate any applicable anti-bribery and anti-corruption laws or regulations, including the US Foreign Corrupt Practices Act, the UK Bribery Act 2010, the China anti-bribery and corruptions laws or other local laws applicable to your Services (collectively, the “</w:t>
      </w:r>
      <w:r>
        <w:rPr>
          <w:rFonts w:ascii="Arial" w:cs="Arial" w:eastAsia="Arial" w:hAnsi="Arial"/>
          <w:sz w:val="17"/>
          <w:szCs w:val="17"/>
          <w:b w:val="1"/>
          <w:bCs w:val="1"/>
          <w:color w:val="auto"/>
        </w:rPr>
        <w:t>Anti-Bribery Laws</w:t>
      </w:r>
      <w:r>
        <w:rPr>
          <w:rFonts w:ascii="Arial" w:cs="Arial" w:eastAsia="Arial" w:hAnsi="Arial"/>
          <w:sz w:val="17"/>
          <w:szCs w:val="17"/>
          <w:color w:val="auto"/>
        </w:rPr>
        <w:t>”). Consultant shall not make, directly or indirectly, in connection with this Consulting Agreement or any Services or in connection with any other business transaction related to Company, a payment or gift of, or an offer, promise or authorization to give money or anything of value to any (a) (i) director, officer, employee, agent or representative (including anyone elected, nominated, or appointed to be a director, officer, employee, agent or representative) of any Government Entity (as defined below), or anyone otherwise acting in an official capacity on behalf of a Government Entity; (ii) political party, political party official or political party employee; (iii) candidate for public or political office; (iv) any royal or ruling family member; or (v) agent or representative of any of those persons listed in subcategories (i) through (iv) (collectively, “</w:t>
      </w:r>
      <w:r>
        <w:rPr>
          <w:rFonts w:ascii="Arial" w:cs="Arial" w:eastAsia="Arial" w:hAnsi="Arial"/>
          <w:sz w:val="17"/>
          <w:szCs w:val="17"/>
          <w:b w:val="1"/>
          <w:bCs w:val="1"/>
          <w:color w:val="auto"/>
        </w:rPr>
        <w:t>Government Official</w:t>
      </w:r>
      <w:r>
        <w:rPr>
          <w:rFonts w:ascii="Arial" w:cs="Arial" w:eastAsia="Arial" w:hAnsi="Arial"/>
          <w:sz w:val="17"/>
          <w:szCs w:val="17"/>
          <w:color w:val="auto"/>
        </w:rPr>
        <w:t>”); (b) person or entity; or (c) other person or entity while knowing or having reason to believe that some portion or all of the payment or thing of value will be offered, given or promised, directly or indirectly, to a Government Official or another person or entity; for the purpose of: influencing any act or decision of such Government Official or such person or entity in his/her or its official capacity, including a decision to do or omit to do any act in violation of his/her or its lawful duties or proper performance of functions; or inducing such Government Official or such person or entity to use his/her or its influence or position with any Government Entity or other person or entity to influence any act or decision; in order to obtain or retain business for, direct business to, or secure an improper advantage for Company. “</w:t>
      </w:r>
      <w:r>
        <w:rPr>
          <w:rFonts w:ascii="Arial" w:cs="Arial" w:eastAsia="Arial" w:hAnsi="Arial"/>
          <w:sz w:val="17"/>
          <w:szCs w:val="17"/>
          <w:b w:val="1"/>
          <w:bCs w:val="1"/>
          <w:color w:val="auto"/>
        </w:rPr>
        <w:t>Government Entity</w:t>
      </w:r>
      <w:r>
        <w:rPr>
          <w:rFonts w:ascii="Arial" w:cs="Arial" w:eastAsia="Arial" w:hAnsi="Arial"/>
          <w:sz w:val="17"/>
          <w:szCs w:val="17"/>
          <w:color w:val="auto"/>
        </w:rPr>
        <w:t>” means (i) any national, state, regional or local government (including, in each case, any agency, department or subdivision of such government), and any government agency or department; (ii) any political party; (iii) any entity or business that is owned or controlled by any of those bodies listed in subcategory (i) or (ii); or (iv) any international organization, such as the United Nations or the World Bank. Consultant shall when requested by Company from time to time, provide a certification in form and substance satisfactory to Company, signed by Consultant, certifying that Consultant is in compliance with this Section 16(b). A violation of this Section 16(b) shall constitute a material breach of this Consulting Agreement by Consultant.</w:t>
      </w:r>
    </w:p>
    <w:p>
      <w:pPr>
        <w:spacing w:after="0" w:line="189" w:lineRule="exact"/>
        <w:rPr>
          <w:rFonts w:ascii="Arial" w:cs="Arial" w:eastAsia="Arial" w:hAnsi="Arial"/>
          <w:sz w:val="17"/>
          <w:szCs w:val="17"/>
          <w:color w:val="auto"/>
        </w:rPr>
      </w:pPr>
    </w:p>
    <w:p>
      <w:pPr>
        <w:jc w:val="both"/>
        <w:ind w:left="-8" w:firstLine="618"/>
        <w:spacing w:after="0" w:line="259" w:lineRule="auto"/>
        <w:tabs>
          <w:tab w:leader="none" w:pos="1144"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Insider Trading</w:t>
      </w:r>
      <w:r>
        <w:rPr>
          <w:rFonts w:ascii="Arial" w:cs="Arial" w:eastAsia="Arial" w:hAnsi="Arial"/>
          <w:sz w:val="18"/>
          <w:szCs w:val="18"/>
          <w:color w:val="auto"/>
        </w:rPr>
        <w:t>. Consultant acknowledges that the Company is an issuer with securities registered pursuant to U.S. Securities Act of 1933, as amended and that the disclosure of non-public information regarding the Company or any of its subsidiaries by Consultant or trading in the securities of the Company while in the possession of material nonpublic information is a material breach of the terms of this Consulting Agreement and may subject the Company and/or Consultant to liability.</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65" w:name="page66"/>
    <w:bookmarkEnd w:id="65"/>
    <w:p>
      <w:pPr>
        <w:ind w:left="632" w:hanging="632"/>
        <w:spacing w:after="0"/>
        <w:tabs>
          <w:tab w:leader="none" w:pos="63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1132" w:hanging="522"/>
        <w:spacing w:after="0"/>
        <w:tabs>
          <w:tab w:leader="none" w:pos="113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The provisions of Sections 2, 4 and 6-17 will survive the termination of this Consulting Agreement for any reason.</w:t>
      </w:r>
    </w:p>
    <w:p>
      <w:pPr>
        <w:spacing w:after="0" w:line="225" w:lineRule="exact"/>
        <w:rPr>
          <w:rFonts w:ascii="Arial" w:cs="Arial" w:eastAsia="Arial" w:hAnsi="Arial"/>
          <w:sz w:val="18"/>
          <w:szCs w:val="18"/>
          <w:b w:val="1"/>
          <w:bCs w:val="1"/>
          <w:color w:val="auto"/>
        </w:rPr>
      </w:pPr>
    </w:p>
    <w:p>
      <w:pPr>
        <w:jc w:val="both"/>
        <w:ind w:left="-8" w:firstLine="618"/>
        <w:spacing w:after="0" w:line="264" w:lineRule="auto"/>
        <w:tabs>
          <w:tab w:leader="none" w:pos="1209"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Should any provision of this Consulting Agreement or the application thereof, to any extent, be held invalid or unenforceable, the remainder of this Consulting Agreement and the application thereof other than those provisions held invalid or unenforceable, shall not be affected thereby and shall continue valid and enforceable to the fullest extent permitted by law or equity.</w:t>
      </w:r>
    </w:p>
    <w:p>
      <w:pPr>
        <w:spacing w:after="0" w:line="181" w:lineRule="exact"/>
        <w:rPr>
          <w:rFonts w:ascii="Arial" w:cs="Arial" w:eastAsia="Arial" w:hAnsi="Arial"/>
          <w:sz w:val="18"/>
          <w:szCs w:val="18"/>
          <w:b w:val="1"/>
          <w:bCs w:val="1"/>
          <w:color w:val="auto"/>
        </w:rPr>
      </w:pPr>
    </w:p>
    <w:p>
      <w:pPr>
        <w:ind w:left="-8" w:right="20" w:firstLine="618"/>
        <w:spacing w:after="0" w:line="277" w:lineRule="auto"/>
        <w:tabs>
          <w:tab w:leader="none" w:pos="131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No waiver by either party of any breach of this Consulting Agreement shall be construed as a waiver of any succeeding breach of this Consulting Agreement.</w:t>
      </w:r>
    </w:p>
    <w:p>
      <w:pPr>
        <w:spacing w:after="0" w:line="170" w:lineRule="exact"/>
        <w:rPr>
          <w:rFonts w:ascii="Arial" w:cs="Arial" w:eastAsia="Arial" w:hAnsi="Arial"/>
          <w:sz w:val="18"/>
          <w:szCs w:val="18"/>
          <w:b w:val="1"/>
          <w:bCs w:val="1"/>
          <w:color w:val="auto"/>
        </w:rPr>
      </w:pPr>
    </w:p>
    <w:p>
      <w:pPr>
        <w:jc w:val="both"/>
        <w:ind w:left="-8" w:firstLine="618"/>
        <w:spacing w:after="0" w:line="286" w:lineRule="auto"/>
        <w:tabs>
          <w:tab w:leader="none" w:pos="1331" w:val="left"/>
        </w:tabs>
        <w:numPr>
          <w:ilvl w:val="1"/>
          <w:numId w:val="62"/>
        </w:numPr>
        <w:rPr>
          <w:rFonts w:ascii="Arial" w:cs="Arial" w:eastAsia="Arial" w:hAnsi="Arial"/>
          <w:sz w:val="17"/>
          <w:szCs w:val="17"/>
          <w:b w:val="1"/>
          <w:bCs w:val="1"/>
          <w:color w:val="auto"/>
        </w:rPr>
      </w:pPr>
      <w:r>
        <w:rPr>
          <w:rFonts w:ascii="Arial" w:cs="Arial" w:eastAsia="Arial" w:hAnsi="Arial"/>
          <w:sz w:val="17"/>
          <w:szCs w:val="17"/>
          <w:color w:val="auto"/>
        </w:rPr>
        <w:t>This Consulting Agreement may be executed in one or more counterparts, each of which shall be deemed an original and all of which together shall constitute one and the same agreement. Any facsimile, PDF reproduction of original signatures or other electronic transmission of a signed counterpart shall be deemed to be an original counterpart and any signature appearing thereon shall be deemed to be an original signature.</w:t>
      </w:r>
    </w:p>
    <w:p>
      <w:pPr>
        <w:spacing w:after="0" w:line="165" w:lineRule="exact"/>
        <w:rPr>
          <w:rFonts w:ascii="Arial" w:cs="Arial" w:eastAsia="Arial" w:hAnsi="Arial"/>
          <w:sz w:val="17"/>
          <w:szCs w:val="17"/>
          <w:b w:val="1"/>
          <w:bCs w:val="1"/>
          <w:color w:val="auto"/>
        </w:rPr>
      </w:pPr>
    </w:p>
    <w:p>
      <w:pPr>
        <w:jc w:val="both"/>
        <w:ind w:left="-8" w:firstLine="618"/>
        <w:spacing w:after="0" w:line="264" w:lineRule="auto"/>
        <w:tabs>
          <w:tab w:leader="none" w:pos="1378"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This Consulting Agreement, together with the Separation Agreement and the documents referenced therein, represents the entire and integrated agreement between the parties and supersedes all prior negotiations, representations or agreements, either written or oral regarding the subject matter thereof.</w:t>
      </w:r>
    </w:p>
    <w:p>
      <w:pPr>
        <w:spacing w:after="0" w:line="181" w:lineRule="exact"/>
        <w:rPr>
          <w:rFonts w:ascii="Arial" w:cs="Arial" w:eastAsia="Arial" w:hAnsi="Arial"/>
          <w:sz w:val="18"/>
          <w:szCs w:val="18"/>
          <w:b w:val="1"/>
          <w:bCs w:val="1"/>
          <w:color w:val="auto"/>
        </w:rPr>
      </w:pPr>
    </w:p>
    <w:p>
      <w:pPr>
        <w:ind w:left="1152" w:hanging="542"/>
        <w:spacing w:after="0"/>
        <w:tabs>
          <w:tab w:leader="none" w:pos="1152"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This Consulting Agreement may be amended only by a written instrument signed by both Company and Consultant.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66" w:name="page67"/>
    <w:bookmarkEnd w:id="66"/>
    <w:p>
      <w:pPr>
        <w:ind w:left="620"/>
        <w:spacing w:after="0"/>
        <w:rPr>
          <w:sz w:val="20"/>
          <w:szCs w:val="20"/>
          <w:color w:val="auto"/>
        </w:rPr>
      </w:pPr>
      <w:r>
        <w:rPr>
          <w:rFonts w:ascii="Arial" w:cs="Arial" w:eastAsia="Arial" w:hAnsi="Arial"/>
          <w:sz w:val="18"/>
          <w:szCs w:val="18"/>
          <w:color w:val="auto"/>
        </w:rPr>
        <w:t>IN WI'INESS WHEREOF, the parties hereto have executed this Consulting Agreement to be effective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CONSULTANT:</w:t>
            </w:r>
          </w:p>
        </w:tc>
        <w:tc>
          <w:tcPr>
            <w:tcW w:w="2600" w:type="dxa"/>
            <w:vAlign w:val="bottom"/>
          </w:tcPr>
          <w:p>
            <w:pPr>
              <w:spacing w:after="0"/>
              <w:rPr>
                <w:sz w:val="20"/>
                <w:szCs w:val="20"/>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ASSEMBLY BIOSCIENCES, INC.</w:t>
            </w: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color w:val="auto"/>
              </w:rPr>
              <w:t>/s/ David J. Barrett</w:t>
            </w:r>
          </w:p>
        </w:tc>
        <w:tc>
          <w:tcPr>
            <w:tcW w:w="2600" w:type="dxa"/>
            <w:vAlign w:val="bottom"/>
          </w:tcPr>
          <w:p>
            <w:pPr>
              <w:spacing w:after="0"/>
              <w:rPr>
                <w:sz w:val="24"/>
                <w:szCs w:val="24"/>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By: /s/ Derek A. Small</w:t>
            </w:r>
          </w:p>
        </w:tc>
      </w:tr>
      <w:tr>
        <w:trPr>
          <w:trHeight w:val="195"/>
        </w:trPr>
        <w:tc>
          <w:tcPr>
            <w:tcW w:w="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J. Barrett</w:t>
            </w:r>
          </w:p>
        </w:tc>
        <w:tc>
          <w:tcPr>
            <w:tcW w:w="2600" w:type="dxa"/>
            <w:vAlign w:val="bottom"/>
            <w:tcBorders>
              <w:top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Derek A. Small</w:t>
            </w: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40" w:type="dxa"/>
            <w:vAlign w:val="bottom"/>
            <w:gridSpan w:val="3"/>
          </w:tcPr>
          <w:p>
            <w:pPr>
              <w:jc w:val="center"/>
              <w:ind w:right="2690"/>
              <w:spacing w:after="0"/>
              <w:rPr>
                <w:sz w:val="20"/>
                <w:szCs w:val="20"/>
                <w:color w:val="auto"/>
              </w:rPr>
            </w:pPr>
            <w:r>
              <w:rPr>
                <w:rFonts w:ascii="Arial" w:cs="Arial" w:eastAsia="Arial" w:hAnsi="Arial"/>
                <w:sz w:val="18"/>
                <w:szCs w:val="18"/>
                <w:color w:val="auto"/>
                <w:w w:val="90"/>
              </w:rPr>
              <w:t>[Signature Page to Consulting Agreement]</w:t>
            </w:r>
          </w:p>
        </w:tc>
      </w:tr>
      <w:tr>
        <w:trPr>
          <w:trHeight w:val="648"/>
        </w:trPr>
        <w:tc>
          <w:tcPr>
            <w:tcW w:w="20" w:type="dxa"/>
            <w:vAlign w:val="bottom"/>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8</w:t>
            </w:r>
          </w:p>
        </w:tc>
        <w:tc>
          <w:tcPr>
            <w:tcW w:w="5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67" w:name="page68"/>
    <w:bookmarkEnd w:id="67"/>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2014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NOTICE</w:t>
      </w:r>
    </w:p>
    <w:p>
      <w:pPr>
        <w:spacing w:after="0" w:line="211" w:lineRule="exact"/>
        <w:rPr>
          <w:sz w:val="20"/>
          <w:szCs w:val="20"/>
          <w:color w:val="auto"/>
        </w:rPr>
      </w:pPr>
    </w:p>
    <w:p>
      <w:pPr>
        <w:spacing w:after="0"/>
        <w:tabs>
          <w:tab w:leader="none" w:pos="8080" w:val="left"/>
          <w:tab w:leader="none" w:pos="10300" w:val="left"/>
        </w:tabs>
        <w:rPr>
          <w:sz w:val="20"/>
          <w:szCs w:val="20"/>
          <w:color w:val="auto"/>
        </w:rPr>
      </w:pPr>
      <w:r>
        <w:rPr>
          <w:rFonts w:ascii="Arial" w:cs="Arial" w:eastAsia="Arial" w:hAnsi="Arial"/>
          <w:sz w:val="18"/>
          <w:szCs w:val="18"/>
          <w:color w:val="auto"/>
        </w:rPr>
        <w:t>David J. Barrett</w:t>
      </w:r>
      <w:r>
        <w:rPr>
          <w:sz w:val="20"/>
          <w:szCs w:val="20"/>
          <w:color w:val="auto"/>
        </w:rPr>
        <w:tab/>
      </w:r>
      <w:r>
        <w:rPr>
          <w:rFonts w:ascii="Arial" w:cs="Arial" w:eastAsia="Arial" w:hAnsi="Arial"/>
          <w:sz w:val="18"/>
          <w:szCs w:val="18"/>
          <w:color w:val="auto"/>
        </w:rPr>
        <w:t>Grant Number</w:t>
      </w:r>
      <w:r>
        <w:rPr>
          <w:sz w:val="20"/>
          <w:szCs w:val="20"/>
          <w:color w:val="auto"/>
        </w:rPr>
        <w:tab/>
      </w:r>
      <w:r>
        <w:rPr>
          <w:rFonts w:ascii="Arial" w:cs="Arial" w:eastAsia="Arial" w:hAnsi="Arial"/>
          <w:sz w:val="16"/>
          <w:szCs w:val="16"/>
          <w:u w:val="single" w:color="auto"/>
          <w:color w:val="auto"/>
        </w:rPr>
        <w:t>2018-RSU-286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3290 Creamery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Hope, Pennsylvania 18938</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Upon your Consulting Agreement dated June 1, 2018 becoming effective, you have been granted Restricted Stock Units (“</w:t>
      </w:r>
      <w:r>
        <w:rPr>
          <w:rFonts w:ascii="Arial" w:cs="Arial" w:eastAsia="Arial" w:hAnsi="Arial"/>
          <w:sz w:val="18"/>
          <w:szCs w:val="18"/>
          <w:u w:val="single" w:color="auto"/>
          <w:color w:val="auto"/>
        </w:rPr>
        <w:t>RSUs</w:t>
      </w:r>
      <w:r>
        <w:rPr>
          <w:rFonts w:ascii="Arial" w:cs="Arial" w:eastAsia="Arial" w:hAnsi="Arial"/>
          <w:sz w:val="18"/>
          <w:szCs w:val="18"/>
          <w:color w:val="auto"/>
        </w:rPr>
        <w:t>”) of Assembly Biosciences, Inc. (the “</w:t>
      </w:r>
      <w:r>
        <w:rPr>
          <w:rFonts w:ascii="Arial" w:cs="Arial" w:eastAsia="Arial" w:hAnsi="Arial"/>
          <w:sz w:val="18"/>
          <w:szCs w:val="18"/>
          <w:u w:val="single" w:color="auto"/>
          <w:color w:val="auto"/>
        </w:rPr>
        <w:t>Company</w:t>
      </w:r>
      <w:r>
        <w:rPr>
          <w:rFonts w:ascii="Arial" w:cs="Arial" w:eastAsia="Arial" w:hAnsi="Arial"/>
          <w:sz w:val="18"/>
          <w:szCs w:val="18"/>
          <w:color w:val="auto"/>
        </w:rPr>
        <w:t>”),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Effective Date:</w:t>
            </w:r>
          </w:p>
        </w:tc>
        <w:tc>
          <w:tcPr>
            <w:tcW w:w="7960" w:type="dxa"/>
            <w:vAlign w:val="bottom"/>
            <w:gridSpan w:val="3"/>
          </w:tcPr>
          <w:p>
            <w:pPr>
              <w:ind w:left="1120"/>
              <w:spacing w:after="0"/>
              <w:rPr>
                <w:sz w:val="20"/>
                <w:szCs w:val="20"/>
                <w:color w:val="auto"/>
              </w:rPr>
            </w:pPr>
            <w:r>
              <w:rPr>
                <w:rFonts w:ascii="Arial" w:cs="Arial" w:eastAsia="Arial" w:hAnsi="Arial"/>
                <w:sz w:val="18"/>
                <w:szCs w:val="18"/>
                <w:color w:val="auto"/>
              </w:rPr>
              <w:t>June 1, 2018, or if later, the date the Consulting Agreement becomes effective.</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Total Number of RSUs Granted:</w:t>
            </w:r>
          </w:p>
        </w:tc>
        <w:tc>
          <w:tcPr>
            <w:tcW w:w="4480" w:type="dxa"/>
            <w:vAlign w:val="bottom"/>
            <w:gridSpan w:val="2"/>
          </w:tcPr>
          <w:p>
            <w:pPr>
              <w:ind w:left="1120"/>
              <w:spacing w:after="0"/>
              <w:rPr>
                <w:sz w:val="20"/>
                <w:szCs w:val="20"/>
                <w:color w:val="auto"/>
              </w:rPr>
            </w:pPr>
            <w:r>
              <w:rPr>
                <w:rFonts w:ascii="Arial" w:cs="Arial" w:eastAsia="Arial" w:hAnsi="Arial"/>
                <w:sz w:val="18"/>
                <w:szCs w:val="18"/>
                <w:color w:val="auto"/>
              </w:rPr>
              <w:t>100,000</w:t>
            </w:r>
          </w:p>
        </w:tc>
        <w:tc>
          <w:tcPr>
            <w:tcW w:w="3480" w:type="dxa"/>
            <w:vAlign w:val="bottom"/>
          </w:tcPr>
          <w:p>
            <w:pPr>
              <w:spacing w:after="0"/>
              <w:rPr>
                <w:sz w:val="24"/>
                <w:szCs w:val="24"/>
                <w:color w:val="auto"/>
              </w:rPr>
            </w:pP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Vesting Schedule:</w:t>
            </w:r>
          </w:p>
        </w:tc>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4"/>
        </w:trPr>
        <w:tc>
          <w:tcPr>
            <w:tcW w:w="3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Shares of Common</w:t>
            </w:r>
          </w:p>
        </w:tc>
      </w:tr>
      <w:tr>
        <w:trPr>
          <w:trHeight w:val="234"/>
        </w:trPr>
        <w:tc>
          <w:tcPr>
            <w:tcW w:w="3460" w:type="dxa"/>
            <w:vAlign w:val="bottom"/>
          </w:tcPr>
          <w:p>
            <w:pPr>
              <w:spacing w:after="0"/>
              <w:rPr>
                <w:sz w:val="20"/>
                <w:szCs w:val="20"/>
                <w:color w:val="auto"/>
              </w:rPr>
            </w:pPr>
          </w:p>
        </w:tc>
        <w:tc>
          <w:tcPr>
            <w:tcW w:w="4480" w:type="dxa"/>
            <w:vAlign w:val="bottom"/>
            <w:gridSpan w:val="2"/>
          </w:tcPr>
          <w:p>
            <w:pPr>
              <w:ind w:left="1120"/>
              <w:spacing w:after="0"/>
              <w:rPr>
                <w:sz w:val="20"/>
                <w:szCs w:val="20"/>
                <w:color w:val="auto"/>
              </w:rPr>
            </w:pPr>
            <w:r>
              <w:rPr>
                <w:rFonts w:ascii="Arial" w:cs="Arial" w:eastAsia="Arial" w:hAnsi="Arial"/>
                <w:sz w:val="18"/>
                <w:szCs w:val="18"/>
                <w:b w:val="1"/>
                <w:bCs w:val="1"/>
                <w:color w:val="auto"/>
              </w:rPr>
              <w:t>Vesting Date</w:t>
            </w:r>
          </w:p>
        </w:tc>
        <w:tc>
          <w:tcPr>
            <w:tcW w:w="3480" w:type="dxa"/>
            <w:vAlign w:val="bottom"/>
          </w:tcPr>
          <w:p>
            <w:pPr>
              <w:jc w:val="right"/>
              <w:ind w:right="510"/>
              <w:spacing w:after="0"/>
              <w:rPr>
                <w:sz w:val="20"/>
                <w:szCs w:val="20"/>
                <w:color w:val="auto"/>
              </w:rPr>
            </w:pPr>
            <w:r>
              <w:rPr>
                <w:rFonts w:ascii="Arial" w:cs="Arial" w:eastAsia="Arial" w:hAnsi="Arial"/>
                <w:sz w:val="18"/>
                <w:szCs w:val="18"/>
                <w:b w:val="1"/>
                <w:bCs w:val="1"/>
                <w:color w:val="auto"/>
              </w:rPr>
              <w:t>Stock</w:t>
            </w:r>
          </w:p>
        </w:tc>
      </w:tr>
      <w:tr>
        <w:trPr>
          <w:trHeight w:val="216"/>
        </w:trPr>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August 31, 2018</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r>
      <w:tr>
        <w:trPr>
          <w:trHeight w:val="216"/>
        </w:trPr>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November 30, 2018</w:t>
            </w:r>
          </w:p>
        </w:tc>
        <w:tc>
          <w:tcPr>
            <w:tcW w:w="3480" w:type="dxa"/>
            <w:vAlign w:val="bottom"/>
          </w:tcPr>
          <w:p>
            <w:pPr>
              <w:jc w:val="right"/>
              <w:spacing w:after="0"/>
              <w:rPr>
                <w:sz w:val="20"/>
                <w:szCs w:val="20"/>
                <w:color w:val="auto"/>
              </w:rPr>
            </w:pPr>
            <w:r>
              <w:rPr>
                <w:rFonts w:ascii="Arial" w:cs="Arial" w:eastAsia="Arial" w:hAnsi="Arial"/>
                <w:sz w:val="18"/>
                <w:szCs w:val="18"/>
                <w:color w:val="auto"/>
              </w:rPr>
              <w:t>16,666</w:t>
            </w:r>
          </w:p>
        </w:tc>
      </w:tr>
      <w:tr>
        <w:trPr>
          <w:trHeight w:val="216"/>
        </w:trPr>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February 28, 2019</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r>
      <w:tr>
        <w:trPr>
          <w:trHeight w:val="216"/>
        </w:trPr>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May 31,2019</w:t>
            </w:r>
          </w:p>
        </w:tc>
        <w:tc>
          <w:tcPr>
            <w:tcW w:w="3480" w:type="dxa"/>
            <w:vAlign w:val="bottom"/>
          </w:tcPr>
          <w:p>
            <w:pPr>
              <w:jc w:val="right"/>
              <w:spacing w:after="0"/>
              <w:rPr>
                <w:sz w:val="20"/>
                <w:szCs w:val="20"/>
                <w:color w:val="auto"/>
              </w:rPr>
            </w:pPr>
            <w:r>
              <w:rPr>
                <w:rFonts w:ascii="Arial" w:cs="Arial" w:eastAsia="Arial" w:hAnsi="Arial"/>
                <w:sz w:val="18"/>
                <w:szCs w:val="18"/>
                <w:color w:val="auto"/>
              </w:rPr>
              <w:t>16,667</w:t>
            </w:r>
          </w:p>
        </w:tc>
      </w:tr>
      <w:tr>
        <w:trPr>
          <w:trHeight w:val="216"/>
        </w:trPr>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August 31, 2019</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16,667</w:t>
            </w:r>
          </w:p>
        </w:tc>
      </w:tr>
      <w:tr>
        <w:trPr>
          <w:trHeight w:val="216"/>
        </w:trPr>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November 30, 2019</w:t>
            </w:r>
          </w:p>
        </w:tc>
        <w:tc>
          <w:tcPr>
            <w:tcW w:w="3480" w:type="dxa"/>
            <w:vAlign w:val="bottom"/>
          </w:tcPr>
          <w:p>
            <w:pPr>
              <w:jc w:val="right"/>
              <w:spacing w:after="0"/>
              <w:rPr>
                <w:sz w:val="20"/>
                <w:szCs w:val="20"/>
                <w:color w:val="auto"/>
              </w:rPr>
            </w:pPr>
            <w:r>
              <w:rPr>
                <w:rFonts w:ascii="Arial" w:cs="Arial" w:eastAsia="Arial" w:hAnsi="Arial"/>
                <w:sz w:val="18"/>
                <w:szCs w:val="18"/>
                <w:color w:val="auto"/>
              </w:rPr>
              <w:t>16,667</w:t>
            </w:r>
          </w:p>
        </w:tc>
      </w:tr>
      <w:tr>
        <w:trPr>
          <w:trHeight w:val="216"/>
        </w:trPr>
        <w:tc>
          <w:tcPr>
            <w:tcW w:w="3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418"/>
        </w:trPr>
        <w:tc>
          <w:tcPr>
            <w:tcW w:w="3460" w:type="dxa"/>
            <w:vAlign w:val="bottom"/>
          </w:tcPr>
          <w:p>
            <w:pPr>
              <w:spacing w:after="0"/>
              <w:rPr>
                <w:sz w:val="24"/>
                <w:szCs w:val="24"/>
                <w:color w:val="auto"/>
              </w:rPr>
            </w:pPr>
          </w:p>
        </w:tc>
        <w:tc>
          <w:tcPr>
            <w:tcW w:w="7960" w:type="dxa"/>
            <w:vAlign w:val="bottom"/>
            <w:gridSpan w:val="3"/>
          </w:tcPr>
          <w:p>
            <w:pPr>
              <w:ind w:left="1120"/>
              <w:spacing w:after="0"/>
              <w:rPr>
                <w:sz w:val="20"/>
                <w:szCs w:val="20"/>
                <w:color w:val="auto"/>
              </w:rPr>
            </w:pPr>
            <w:r>
              <w:rPr>
                <w:rFonts w:ascii="Arial" w:cs="Arial" w:eastAsia="Arial" w:hAnsi="Arial"/>
                <w:sz w:val="18"/>
                <w:szCs w:val="18"/>
                <w:color w:val="auto"/>
                <w:w w:val="96"/>
              </w:rPr>
              <w:t>RSUs will vest in accordance with the schedule set forth above and will be fully vested on</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120"/>
              <w:spacing w:after="0"/>
              <w:rPr>
                <w:sz w:val="20"/>
                <w:szCs w:val="20"/>
                <w:color w:val="auto"/>
              </w:rPr>
            </w:pPr>
            <w:r>
              <w:rPr>
                <w:rFonts w:ascii="Arial" w:cs="Arial" w:eastAsia="Arial" w:hAnsi="Arial"/>
                <w:sz w:val="18"/>
                <w:szCs w:val="18"/>
                <w:color w:val="auto"/>
                <w:w w:val="94"/>
              </w:rPr>
              <w:t>November 30, 2019, assuming your Continuous Service to the Company or its Subsidiaries</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120"/>
              <w:spacing w:after="0"/>
              <w:rPr>
                <w:sz w:val="20"/>
                <w:szCs w:val="20"/>
                <w:color w:val="auto"/>
              </w:rPr>
            </w:pPr>
            <w:r>
              <w:rPr>
                <w:rFonts w:ascii="Arial" w:cs="Arial" w:eastAsia="Arial" w:hAnsi="Arial"/>
                <w:sz w:val="18"/>
                <w:szCs w:val="18"/>
                <w:color w:val="auto"/>
                <w:w w:val="92"/>
              </w:rPr>
              <w:t>through each Vesting Date and otherwise in accordance with the terms and conditions of the</w:t>
            </w:r>
          </w:p>
        </w:tc>
      </w:tr>
      <w:tr>
        <w:trPr>
          <w:trHeight w:val="216"/>
        </w:trPr>
        <w:tc>
          <w:tcPr>
            <w:tcW w:w="3460" w:type="dxa"/>
            <w:vAlign w:val="bottom"/>
          </w:tcPr>
          <w:p>
            <w:pPr>
              <w:spacing w:after="0"/>
              <w:rPr>
                <w:sz w:val="18"/>
                <w:szCs w:val="18"/>
                <w:color w:val="auto"/>
              </w:rPr>
            </w:pPr>
          </w:p>
        </w:tc>
        <w:tc>
          <w:tcPr>
            <w:tcW w:w="7960" w:type="dxa"/>
            <w:vAlign w:val="bottom"/>
            <w:gridSpan w:val="3"/>
          </w:tcPr>
          <w:p>
            <w:pPr>
              <w:ind w:left="1120"/>
              <w:spacing w:after="0"/>
              <w:rPr>
                <w:sz w:val="20"/>
                <w:szCs w:val="20"/>
                <w:color w:val="auto"/>
              </w:rPr>
            </w:pPr>
            <w:r>
              <w:rPr>
                <w:rFonts w:ascii="Arial" w:cs="Arial" w:eastAsia="Arial" w:hAnsi="Arial"/>
                <w:sz w:val="18"/>
                <w:szCs w:val="18"/>
                <w:color w:val="auto"/>
                <w:w w:val="91"/>
              </w:rPr>
              <w:t>Plan (as defined below) and the attached Restricted Stock Unit Agreement. Immediately prior</w:t>
            </w:r>
          </w:p>
        </w:tc>
      </w:tr>
      <w:tr>
        <w:trPr>
          <w:trHeight w:val="230"/>
        </w:trPr>
        <w:tc>
          <w:tcPr>
            <w:tcW w:w="3460" w:type="dxa"/>
            <w:vAlign w:val="bottom"/>
          </w:tcPr>
          <w:p>
            <w:pPr>
              <w:spacing w:after="0"/>
              <w:rPr>
                <w:sz w:val="20"/>
                <w:szCs w:val="20"/>
                <w:color w:val="auto"/>
              </w:rPr>
            </w:pPr>
          </w:p>
        </w:tc>
        <w:tc>
          <w:tcPr>
            <w:tcW w:w="7960" w:type="dxa"/>
            <w:vAlign w:val="bottom"/>
            <w:gridSpan w:val="3"/>
          </w:tcPr>
          <w:p>
            <w:pPr>
              <w:ind w:left="1120"/>
              <w:spacing w:after="0"/>
              <w:rPr>
                <w:sz w:val="20"/>
                <w:szCs w:val="20"/>
                <w:color w:val="auto"/>
              </w:rPr>
            </w:pPr>
            <w:r>
              <w:rPr>
                <w:rFonts w:ascii="Arial" w:cs="Arial" w:eastAsia="Arial" w:hAnsi="Arial"/>
                <w:sz w:val="18"/>
                <w:szCs w:val="18"/>
                <w:color w:val="auto"/>
                <w:w w:val="97"/>
              </w:rPr>
              <w:t>to the occurrence of a Corporate Transaction, all unvested RSUs shall immediately vest.</w:t>
            </w:r>
          </w:p>
        </w:tc>
      </w:tr>
      <w:tr>
        <w:trPr>
          <w:trHeight w:val="418"/>
        </w:trPr>
        <w:tc>
          <w:tcPr>
            <w:tcW w:w="3460" w:type="dxa"/>
            <w:vAlign w:val="bottom"/>
          </w:tcPr>
          <w:p>
            <w:pPr>
              <w:spacing w:after="0"/>
              <w:rPr>
                <w:sz w:val="20"/>
                <w:szCs w:val="20"/>
                <w:color w:val="auto"/>
              </w:rPr>
            </w:pPr>
            <w:r>
              <w:rPr>
                <w:rFonts w:ascii="Arial" w:cs="Arial" w:eastAsia="Arial" w:hAnsi="Arial"/>
                <w:sz w:val="18"/>
                <w:szCs w:val="18"/>
                <w:color w:val="auto"/>
              </w:rPr>
              <w:t>Payment Date:</w:t>
            </w:r>
          </w:p>
        </w:tc>
        <w:tc>
          <w:tcPr>
            <w:tcW w:w="7960" w:type="dxa"/>
            <w:vAlign w:val="bottom"/>
            <w:gridSpan w:val="3"/>
          </w:tcPr>
          <w:p>
            <w:pPr>
              <w:ind w:left="1120"/>
              <w:spacing w:after="0"/>
              <w:rPr>
                <w:sz w:val="20"/>
                <w:szCs w:val="20"/>
                <w:color w:val="auto"/>
              </w:rPr>
            </w:pPr>
            <w:r>
              <w:rPr>
                <w:rFonts w:ascii="Arial" w:cs="Arial" w:eastAsia="Arial" w:hAnsi="Arial"/>
                <w:sz w:val="18"/>
                <w:szCs w:val="18"/>
                <w:color w:val="auto"/>
                <w:w w:val="95"/>
              </w:rPr>
              <w:t>Vested RSUs shall be settled as follows: 33,332 RSUs on the first to occur of a Corporate</w:t>
            </w:r>
          </w:p>
        </w:tc>
      </w:tr>
      <w:tr>
        <w:trPr>
          <w:trHeight w:val="230"/>
        </w:trPr>
        <w:tc>
          <w:tcPr>
            <w:tcW w:w="3460" w:type="dxa"/>
            <w:vAlign w:val="bottom"/>
          </w:tcPr>
          <w:p>
            <w:pPr>
              <w:spacing w:after="0"/>
              <w:rPr>
                <w:sz w:val="20"/>
                <w:szCs w:val="20"/>
                <w:color w:val="auto"/>
              </w:rPr>
            </w:pPr>
          </w:p>
        </w:tc>
        <w:tc>
          <w:tcPr>
            <w:tcW w:w="7960" w:type="dxa"/>
            <w:vAlign w:val="bottom"/>
            <w:gridSpan w:val="3"/>
          </w:tcPr>
          <w:p>
            <w:pPr>
              <w:ind w:left="1120"/>
              <w:spacing w:after="0"/>
              <w:rPr>
                <w:sz w:val="20"/>
                <w:szCs w:val="20"/>
                <w:color w:val="auto"/>
              </w:rPr>
            </w:pPr>
            <w:r>
              <w:rPr>
                <w:rFonts w:ascii="Arial" w:cs="Arial" w:eastAsia="Arial" w:hAnsi="Arial"/>
                <w:sz w:val="18"/>
                <w:szCs w:val="18"/>
                <w:color w:val="auto"/>
              </w:rPr>
              <w:t>Transaction and January 15, 2019; 33,334 RSUs on the first to occur of a Corporate</w:t>
            </w:r>
          </w:p>
        </w:tc>
      </w:tr>
    </w:tbl>
    <w:p>
      <w:pPr>
        <w:ind w:left="4580" w:right="80"/>
        <w:spacing w:after="0" w:line="269" w:lineRule="auto"/>
        <w:rPr>
          <w:sz w:val="20"/>
          <w:szCs w:val="20"/>
          <w:color w:val="auto"/>
        </w:rPr>
      </w:pPr>
      <w:r>
        <w:rPr>
          <w:rFonts w:ascii="Arial" w:cs="Arial" w:eastAsia="Arial" w:hAnsi="Arial"/>
          <w:sz w:val="17"/>
          <w:szCs w:val="17"/>
          <w:color w:val="auto"/>
        </w:rPr>
        <w:t>Transaction and July 15, 2019; and 33,334 RSUs on the first to occur of a Corporate Transaction and January 15, 2020 (each such settlement date, a “</w:t>
      </w:r>
      <w:r>
        <w:rPr>
          <w:rFonts w:ascii="Arial" w:cs="Arial" w:eastAsia="Arial" w:hAnsi="Arial"/>
          <w:sz w:val="17"/>
          <w:szCs w:val="17"/>
          <w:u w:val="single" w:color="auto"/>
          <w:color w:val="auto"/>
        </w:rPr>
        <w:t>Payment Date</w:t>
      </w:r>
      <w:r>
        <w:rPr>
          <w:rFonts w:ascii="Arial" w:cs="Arial" w:eastAsia="Arial" w:hAnsi="Arial"/>
          <w:sz w:val="17"/>
          <w:szCs w:val="17"/>
          <w:color w:val="auto"/>
        </w:rPr>
        <w:t>”). For the avoidance of doubt, upon the occurrence of a Corporate Transaction, all RSUs that have not been settled as of such date shall be settled. The Company shall deliver, to you, one Share (as defined in the Plan) in respect of each vested RSU. Delivery shall be made as soon as practicable following the applicable Payment Date and in no event later than 30 days following the applicable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ind w:right="160"/>
        <w:spacing w:after="0" w:line="279" w:lineRule="auto"/>
        <w:rPr>
          <w:sz w:val="20"/>
          <w:szCs w:val="20"/>
          <w:color w:val="auto"/>
        </w:rPr>
      </w:pPr>
      <w:r>
        <w:rPr>
          <w:rFonts w:ascii="Arial" w:cs="Arial" w:eastAsia="Arial" w:hAnsi="Arial"/>
          <w:sz w:val="17"/>
          <w:szCs w:val="17"/>
          <w:color w:val="auto"/>
        </w:rPr>
        <w:t>By your signature or your electronic acceptance of the RSUs and the signature of the Company’s representative below, you and the Company agree that the RSUs are granted under and governed by the terms and conditions of the Assembly Biosciences, Inc. Amended and Restated 2014 Stock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and the Restricted Stock Unit Agreement, both of which are attached and made a part of this document. Capitalized terms used in this Notice of Restricted Stock Unit Award and not otherwise defined herein shall have the meaning assigned to such term in the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Dated: June 1, 2018</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GRANTEE:</w:t>
            </w:r>
          </w:p>
        </w:tc>
        <w:tc>
          <w:tcPr>
            <w:tcW w:w="6260" w:type="dxa"/>
            <w:vAlign w:val="bottom"/>
            <w:gridSpan w:val="2"/>
          </w:tcPr>
          <w:p>
            <w:pPr>
              <w:ind w:left="560"/>
              <w:spacing w:after="0"/>
              <w:rPr>
                <w:sz w:val="20"/>
                <w:szCs w:val="20"/>
                <w:color w:val="auto"/>
              </w:rPr>
            </w:pPr>
            <w:r>
              <w:rPr>
                <w:rFonts w:ascii="Arial" w:cs="Arial" w:eastAsia="Arial" w:hAnsi="Arial"/>
                <w:sz w:val="18"/>
                <w:szCs w:val="18"/>
                <w:b w:val="1"/>
                <w:bCs w:val="1"/>
                <w:color w:val="auto"/>
              </w:rPr>
              <w:t>ASSEMBLY BIOSCIENCES, INC.</w:t>
            </w:r>
          </w:p>
        </w:tc>
      </w:tr>
      <w:tr>
        <w:trPr>
          <w:trHeight w:val="432"/>
        </w:trPr>
        <w:tc>
          <w:tcPr>
            <w:tcW w:w="5160" w:type="dxa"/>
            <w:vAlign w:val="bottom"/>
            <w:gridSpan w:val="2"/>
          </w:tcPr>
          <w:p>
            <w:pPr>
              <w:spacing w:after="0"/>
              <w:rPr>
                <w:sz w:val="20"/>
                <w:szCs w:val="20"/>
                <w:color w:val="auto"/>
              </w:rPr>
            </w:pPr>
            <w:r>
              <w:rPr>
                <w:rFonts w:ascii="Arial" w:cs="Arial" w:eastAsia="Arial" w:hAnsi="Arial"/>
                <w:sz w:val="18"/>
                <w:szCs w:val="18"/>
                <w:color w:val="auto"/>
              </w:rPr>
              <w:t>/s/ David J. Barrett</w:t>
            </w:r>
          </w:p>
        </w:tc>
        <w:tc>
          <w:tcPr>
            <w:tcW w:w="1120" w:type="dxa"/>
            <w:vAlign w:val="bottom"/>
          </w:tcPr>
          <w:p>
            <w:pPr>
              <w:ind w:left="56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Derek A. Small</w:t>
            </w:r>
          </w:p>
        </w:tc>
      </w:tr>
      <w:tr>
        <w:trPr>
          <w:trHeight w:val="210"/>
        </w:trPr>
        <w:tc>
          <w:tcPr>
            <w:tcW w:w="2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J. Barrett</w:t>
            </w:r>
          </w:p>
        </w:tc>
        <w:tc>
          <w:tcPr>
            <w:tcW w:w="1120" w:type="dxa"/>
            <w:vAlign w:val="bottom"/>
          </w:tcPr>
          <w:p>
            <w:pPr>
              <w:ind w:left="560"/>
              <w:spacing w:after="0"/>
              <w:rPr>
                <w:sz w:val="20"/>
                <w:szCs w:val="20"/>
                <w:color w:val="auto"/>
              </w:rPr>
            </w:pPr>
            <w:r>
              <w:rPr>
                <w:rFonts w:ascii="Arial" w:cs="Arial" w:eastAsia="Arial" w:hAnsi="Arial"/>
                <w:sz w:val="18"/>
                <w:szCs w:val="18"/>
                <w:color w:val="auto"/>
              </w:rPr>
              <w:t>Name:</w:t>
            </w:r>
          </w:p>
        </w:tc>
        <w:tc>
          <w:tcPr>
            <w:tcW w:w="5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Derek A. Small</w:t>
            </w: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120" w:type="dxa"/>
            <w:vAlign w:val="bottom"/>
          </w:tcPr>
          <w:p>
            <w:pPr>
              <w:ind w:left="560"/>
              <w:spacing w:after="0"/>
              <w:rPr>
                <w:sz w:val="20"/>
                <w:szCs w:val="20"/>
                <w:color w:val="auto"/>
              </w:rPr>
            </w:pPr>
            <w:r>
              <w:rPr>
                <w:rFonts w:ascii="Arial" w:cs="Arial" w:eastAsia="Arial" w:hAnsi="Arial"/>
                <w:sz w:val="18"/>
                <w:szCs w:val="18"/>
                <w:color w:val="auto"/>
              </w:rPr>
              <w:t>Title:</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642"/>
        </w:trPr>
        <w:tc>
          <w:tcPr>
            <w:tcW w:w="2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ASSEMBLY BIOSCIENCES,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AMENDED AND RESTATED 2014 STOCK INCENTIVE PLAN</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THIS RESTRICTED STOCK UNIT AWARD AGREEMENT (this “</w:t>
      </w:r>
      <w:r>
        <w:rPr>
          <w:rFonts w:ascii="Arial" w:cs="Arial" w:eastAsia="Arial" w:hAnsi="Arial"/>
          <w:sz w:val="18"/>
          <w:szCs w:val="18"/>
          <w:u w:val="single" w:color="auto"/>
          <w:color w:val="auto"/>
        </w:rPr>
        <w:t>Award Agreement</w:t>
      </w:r>
      <w:r>
        <w:rPr>
          <w:rFonts w:ascii="Arial" w:cs="Arial" w:eastAsia="Arial" w:hAnsi="Arial"/>
          <w:sz w:val="18"/>
          <w:szCs w:val="18"/>
          <w:color w:val="auto"/>
        </w:rPr>
        <w:t>”) is made and entered into by and between Assembly Biosciences,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individual named in the Restricted Stock Unit Award Notice (the “</w:t>
      </w:r>
      <w:r>
        <w:rPr>
          <w:rFonts w:ascii="Arial" w:cs="Arial" w:eastAsia="Arial" w:hAnsi="Arial"/>
          <w:sz w:val="18"/>
          <w:szCs w:val="18"/>
          <w:u w:val="single" w:color="auto"/>
          <w:color w:val="auto"/>
        </w:rPr>
        <w:t>Grantee</w:t>
      </w:r>
      <w:r>
        <w:rPr>
          <w:rFonts w:ascii="Arial" w:cs="Arial" w:eastAsia="Arial" w:hAnsi="Arial"/>
          <w:sz w:val="18"/>
          <w:szCs w:val="18"/>
          <w:color w:val="auto"/>
        </w:rPr>
        <w:t>”) under the Company’s Amended and Restated 2014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The Award Notice also establishes the Effective Date of the Award, the number of Restricted Stock Units awarded, vesting conditions, and the Payment Date of the Award.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Grantee is expected to provide valuable services to the Company;</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WHEREAS, the Company considers it desirable and in the best interests of the Company that the Grantee be given an opportunity to acquire a proprietary interest in the Company as an incentive to advance the interests of the Company and to perform future services that will contribute materially to the successful operation of the Company; and</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the Company, acting through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or (ii) the Committee appointed by the Board under the Plan (the “</w:t>
      </w:r>
      <w:r>
        <w:rPr>
          <w:rFonts w:ascii="Arial" w:cs="Arial" w:eastAsia="Arial" w:hAnsi="Arial"/>
          <w:sz w:val="18"/>
          <w:szCs w:val="18"/>
          <w:u w:val="single" w:color="auto"/>
          <w:color w:val="auto"/>
        </w:rPr>
        <w:t>Committee</w:t>
      </w:r>
      <w:r>
        <w:rPr>
          <w:rFonts w:ascii="Arial" w:cs="Arial" w:eastAsia="Arial" w:hAnsi="Arial"/>
          <w:sz w:val="18"/>
          <w:szCs w:val="18"/>
          <w:color w:val="auto"/>
        </w:rPr>
        <w:t>”), desires to grant the Grantee a Restricted Stock Unit Award measured in shares of common stock of the Company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 in accordance with the Plan. Capitalized terms used herein which are not otherwise defined herein shall have the meanings ascribed to them under the Plan.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premises, it is agreed by and between the parties as follows:</w:t>
      </w:r>
    </w:p>
    <w:p>
      <w:pPr>
        <w:spacing w:after="0" w:line="225" w:lineRule="exact"/>
        <w:rPr>
          <w:sz w:val="20"/>
          <w:szCs w:val="20"/>
          <w:color w:val="auto"/>
        </w:rPr>
      </w:pPr>
    </w:p>
    <w:p>
      <w:pPr>
        <w:ind w:right="140" w:firstLine="656"/>
        <w:spacing w:after="0" w:line="255" w:lineRule="auto"/>
        <w:tabs>
          <w:tab w:leader="none" w:pos="123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 Award</w:t>
      </w:r>
      <w:r>
        <w:rPr>
          <w:rFonts w:ascii="Arial" w:cs="Arial" w:eastAsia="Arial" w:hAnsi="Arial"/>
          <w:sz w:val="18"/>
          <w:szCs w:val="18"/>
          <w:color w:val="auto"/>
        </w:rPr>
        <w:t>. The Company awards the Grantee Restricted Stock Units in a number that is specified in the Award Notice provided to the Grantee. The Award is subject to the vesting, payment and other provisions of this Award Agreement, the Award Notice and the Plan. Each Restricted Stock Unit represents one (1) Share of Common Stock of the Company. The Company will account for the Restricted Stock Units in a bookkeeping account on the Grantee’s behalf until they become payable or are forfeited. The number of Restricted Stock Units shall be adjusted if the Common Stock is split, combined, if stock dividends are paid on Common Stock, or upon a similar event in the same manner that the Common Stock is adjusted.</w:t>
      </w:r>
    </w:p>
    <w:p>
      <w:pPr>
        <w:spacing w:after="0" w:line="193" w:lineRule="exact"/>
        <w:rPr>
          <w:rFonts w:ascii="Arial" w:cs="Arial" w:eastAsia="Arial" w:hAnsi="Arial"/>
          <w:sz w:val="18"/>
          <w:szCs w:val="18"/>
          <w:color w:val="auto"/>
        </w:rPr>
      </w:pPr>
    </w:p>
    <w:p>
      <w:pPr>
        <w:ind w:firstLine="656"/>
        <w:spacing w:after="0" w:line="259" w:lineRule="auto"/>
        <w:tabs>
          <w:tab w:leader="none" w:pos="1233"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For each Restricted Stock Unit that is granted and credited to the Grantee’s account, the Grantee’s account will also be credited with a Dividend Equivalent Rights in an amount equal to any cash dividends paid by the Company upon one Share of Common Stock after the Effective Date and before the Payment Date (as provided in the Award Notice) for the Restricted Stock Unit, subject to the vesting and other provisions of this Award Agreement and the Award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ind w:right="80" w:firstLine="656"/>
        <w:spacing w:after="0" w:line="312" w:lineRule="auto"/>
        <w:tabs>
          <w:tab w:leader="none" w:pos="123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The Restricted Stock Units (and Dividend Equivalent Rights associated with the Restricted Stock Units) shall be unvested and shall be subject to the restrictions set forth in this Award Agreement and the Award Notice. Unless sooner forfeited in accordance with Section 5, the Restricted Stock Units and Dividend Equivalent Rights associated with the Restricted Stock Unit shall vest as set forth in the Grantee’s Award Notice.</w:t>
      </w:r>
    </w:p>
    <w:p>
      <w:pPr>
        <w:spacing w:after="0" w:line="146" w:lineRule="exact"/>
        <w:rPr>
          <w:rFonts w:ascii="Arial" w:cs="Arial" w:eastAsia="Arial" w:hAnsi="Arial"/>
          <w:sz w:val="16"/>
          <w:szCs w:val="16"/>
          <w:color w:val="auto"/>
        </w:rPr>
      </w:pPr>
    </w:p>
    <w:p>
      <w:pPr>
        <w:ind w:right="120" w:firstLine="656"/>
        <w:spacing w:after="0" w:line="259" w:lineRule="auto"/>
        <w:tabs>
          <w:tab w:leader="none" w:pos="123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Settlement of Vested Restricted Stock Units and Restricted Dividend Equivalents</w:t>
      </w:r>
      <w:r>
        <w:rPr>
          <w:rFonts w:ascii="Arial" w:cs="Arial" w:eastAsia="Arial" w:hAnsi="Arial"/>
          <w:sz w:val="18"/>
          <w:szCs w:val="18"/>
          <w:color w:val="auto"/>
        </w:rPr>
        <w:t>. If any of the Restricted Stock Units vest on a Vesting Date, the Company shall settle such Restricted Stock Units (the “</w:t>
      </w:r>
      <w:r>
        <w:rPr>
          <w:rFonts w:ascii="Arial" w:cs="Arial" w:eastAsia="Arial" w:hAnsi="Arial"/>
          <w:sz w:val="18"/>
          <w:szCs w:val="18"/>
          <w:u w:val="single" w:color="auto"/>
          <w:color w:val="auto"/>
        </w:rPr>
        <w:t>Vested Restricted Stock Units</w:t>
      </w:r>
      <w:r>
        <w:rPr>
          <w:rFonts w:ascii="Arial" w:cs="Arial" w:eastAsia="Arial" w:hAnsi="Arial"/>
          <w:sz w:val="18"/>
          <w:szCs w:val="18"/>
          <w:color w:val="auto"/>
        </w:rPr>
        <w:t>”) and Dividend Equivalent Rights attributable to such Vested Restricted Stock Units (“</w:t>
      </w:r>
      <w:r>
        <w:rPr>
          <w:rFonts w:ascii="Arial" w:cs="Arial" w:eastAsia="Arial" w:hAnsi="Arial"/>
          <w:sz w:val="18"/>
          <w:szCs w:val="18"/>
          <w:u w:val="single" w:color="auto"/>
          <w:color w:val="auto"/>
        </w:rPr>
        <w:t>Vested Dividend Equivalents</w:t>
      </w:r>
      <w:r>
        <w:rPr>
          <w:rFonts w:ascii="Arial" w:cs="Arial" w:eastAsia="Arial" w:hAnsi="Arial"/>
          <w:sz w:val="18"/>
          <w:szCs w:val="18"/>
          <w:color w:val="auto"/>
        </w:rPr>
        <w:t>”) on the Payment Date established in the Award Notice (the “</w:t>
      </w:r>
      <w:r>
        <w:rPr>
          <w:rFonts w:ascii="Arial" w:cs="Arial" w:eastAsia="Arial" w:hAnsi="Arial"/>
          <w:sz w:val="18"/>
          <w:szCs w:val="18"/>
          <w:u w:val="single" w:color="auto"/>
          <w:color w:val="auto"/>
        </w:rPr>
        <w:t>Payment Date</w:t>
      </w:r>
      <w:r>
        <w:rPr>
          <w:rFonts w:ascii="Arial" w:cs="Arial" w:eastAsia="Arial" w:hAnsi="Arial"/>
          <w:sz w:val="18"/>
          <w:szCs w:val="18"/>
          <w:color w:val="auto"/>
        </w:rPr>
        <w:t>”) by delivering to the Grantee (a) shares of Common Stock of the Company and (b) cash, determined as follows:</w:t>
      </w:r>
    </w:p>
    <w:p>
      <w:pPr>
        <w:spacing w:after="0" w:line="187" w:lineRule="exact"/>
        <w:rPr>
          <w:sz w:val="20"/>
          <w:szCs w:val="20"/>
          <w:color w:val="auto"/>
        </w:rPr>
      </w:pPr>
    </w:p>
    <w:p>
      <w:pPr>
        <w:ind w:left="980" w:hanging="324"/>
        <w:spacing w:after="0" w:line="25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Number of Shares of Common Stock</w:t>
      </w:r>
      <w:r>
        <w:rPr>
          <w:rFonts w:ascii="Arial" w:cs="Arial" w:eastAsia="Arial" w:hAnsi="Arial"/>
          <w:sz w:val="18"/>
          <w:szCs w:val="18"/>
          <w:color w:val="auto"/>
        </w:rPr>
        <w:t>. The Company will determine the value as of the Payment Date of the Vested Restricted Stock Units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Vested Dividend Equivalent Rights (together, the “</w:t>
      </w:r>
      <w:r>
        <w:rPr>
          <w:rFonts w:ascii="Arial" w:cs="Arial" w:eastAsia="Arial" w:hAnsi="Arial"/>
          <w:sz w:val="18"/>
          <w:szCs w:val="18"/>
          <w:u w:val="single" w:color="auto"/>
          <w:color w:val="auto"/>
        </w:rPr>
        <w:t>Total Amount</w:t>
      </w:r>
      <w:r>
        <w:rPr>
          <w:rFonts w:ascii="Arial" w:cs="Arial" w:eastAsia="Arial" w:hAnsi="Arial"/>
          <w:sz w:val="18"/>
          <w:szCs w:val="18"/>
          <w:color w:val="auto"/>
        </w:rPr>
        <w:t>”). For this purpose, the Vested Dividend Equivalents shall be valued at their original value and shall not be increased or decreased by an interest or earnings factor. The Total Amount will be divided by the value of one (1) Common Share of the Company as of the Vesting Date, and the resulting whole number (without remainder) shall be the number of shares of Common Stock that will be delivered to the Grantee, and</w:t>
      </w:r>
    </w:p>
    <w:p>
      <w:pPr>
        <w:spacing w:after="0" w:line="18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remainder resulting from the division in (a) above to determine the number of shares of Common Stock will be the dollar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cash payable to the Grantee, and such amount shall be paid to the Grantee by check.</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Vested Restricted Stock Units and Vested Dividend Equivalents will be settled by the Company within thirty (30) days of the applicable Payment Date.</w:t>
      </w:r>
    </w:p>
    <w:p>
      <w:pPr>
        <w:spacing w:after="0" w:line="170" w:lineRule="exact"/>
        <w:rPr>
          <w:sz w:val="20"/>
          <w:szCs w:val="20"/>
          <w:color w:val="auto"/>
        </w:rPr>
      </w:pPr>
    </w:p>
    <w:p>
      <w:pPr>
        <w:ind w:right="160" w:firstLine="656"/>
        <w:spacing w:after="0" w:line="312" w:lineRule="auto"/>
        <w:tabs>
          <w:tab w:leader="none" w:pos="1233"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Forfeiture of Restricted Stock Units (and Dividend Equivalent Rights Attributable to Restricted Stock Units)</w:t>
      </w:r>
      <w:r>
        <w:rPr>
          <w:rFonts w:ascii="Arial" w:cs="Arial" w:eastAsia="Arial" w:hAnsi="Arial"/>
          <w:sz w:val="16"/>
          <w:szCs w:val="16"/>
          <w:color w:val="auto"/>
        </w:rPr>
        <w:t>. In the event of termination of Continuous Service of the Grantee from the Company for any reason (including Disability), any Restricted Stock Units and Dividend Equivalent Rights attributable to such Restricted Stock Units that were not already vested on the termination of Continuous Service shall be forfeited on that date.</w:t>
      </w:r>
    </w:p>
    <w:p>
      <w:pPr>
        <w:spacing w:after="0" w:line="146" w:lineRule="exact"/>
        <w:rPr>
          <w:rFonts w:ascii="Arial" w:cs="Arial" w:eastAsia="Arial" w:hAnsi="Arial"/>
          <w:sz w:val="16"/>
          <w:szCs w:val="16"/>
          <w:color w:val="auto"/>
        </w:rPr>
      </w:pPr>
    </w:p>
    <w:p>
      <w:pPr>
        <w:ind w:right="20" w:firstLine="656"/>
        <w:spacing w:after="0" w:line="264" w:lineRule="auto"/>
        <w:tabs>
          <w:tab w:leader="none" w:pos="123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Certain Tax Matters</w:t>
      </w:r>
      <w:r>
        <w:rPr>
          <w:rFonts w:ascii="Arial" w:cs="Arial" w:eastAsia="Arial" w:hAnsi="Arial"/>
          <w:sz w:val="18"/>
          <w:szCs w:val="18"/>
          <w:color w:val="auto"/>
        </w:rPr>
        <w:t>. The Grantee acknowledges that the Grantee understands the federal, state and local income, employment and foreign (if applicable) tax consequences of the Restricted Stock Unit Award, and the issuance, vesting and forfeiture provisions relating to the Restricted Stock Unit Award.</w:t>
      </w:r>
    </w:p>
    <w:p>
      <w:pPr>
        <w:spacing w:after="0" w:line="181" w:lineRule="exact"/>
        <w:rPr>
          <w:rFonts w:ascii="Arial" w:cs="Arial" w:eastAsia="Arial" w:hAnsi="Arial"/>
          <w:sz w:val="18"/>
          <w:szCs w:val="18"/>
          <w:color w:val="auto"/>
        </w:rPr>
      </w:pPr>
    </w:p>
    <w:p>
      <w:pPr>
        <w:ind w:right="260" w:firstLine="656"/>
        <w:spacing w:after="0" w:line="279" w:lineRule="auto"/>
        <w:tabs>
          <w:tab w:leader="none" w:pos="1233"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Rights Prior to Vesting</w:t>
      </w:r>
      <w:r>
        <w:rPr>
          <w:rFonts w:ascii="Arial" w:cs="Arial" w:eastAsia="Arial" w:hAnsi="Arial"/>
          <w:sz w:val="17"/>
          <w:szCs w:val="17"/>
          <w:color w:val="auto"/>
        </w:rPr>
        <w:t>. The Restricted Stock Units and Dividend Equivalent Rights represent a right to payment from the Company if the conditions of this Award Agreement are met and do not give the Grantee ownership of any Common Stock prior to delivery as provided in Section 4. No assets have been set aside by the Company or otherwise to pay the amounts promised by this Award Agreement, the right to payment is unsecured, and the Grantee is a general creditor of the Company for payment under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left="-656" w:right="80" w:firstLine="656"/>
        <w:spacing w:after="0" w:line="308" w:lineRule="auto"/>
        <w:tabs>
          <w:tab w:leader="none" w:pos="577"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w:t>
      </w:r>
      <w:r>
        <w:rPr>
          <w:rFonts w:ascii="Arial" w:cs="Arial" w:eastAsia="Arial" w:hAnsi="Arial"/>
          <w:sz w:val="17"/>
          <w:szCs w:val="17"/>
          <w:color w:val="auto"/>
        </w:rPr>
        <w:t>. The Grantee represents and warrants to the Company that the Grantee has read this Award Agreement carefully, and to the extent believed necessary, has discussed this Award Agreement and its impact and limitations upon the Grantee with counsel.</w:t>
      </w:r>
    </w:p>
    <w:p>
      <w:pPr>
        <w:spacing w:after="0" w:line="146" w:lineRule="exact"/>
        <w:rPr>
          <w:rFonts w:ascii="Arial" w:cs="Arial" w:eastAsia="Arial" w:hAnsi="Arial"/>
          <w:sz w:val="17"/>
          <w:szCs w:val="17"/>
          <w:color w:val="auto"/>
        </w:rPr>
      </w:pPr>
    </w:p>
    <w:p>
      <w:pPr>
        <w:ind w:left="-656" w:right="100" w:firstLine="656"/>
        <w:spacing w:after="0" w:line="264" w:lineRule="auto"/>
        <w:tabs>
          <w:tab w:leader="none" w:pos="57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The right to payment under this Award Agreement may not be sold, exchanged, transferred, pledged, hypothecated, encumbered or otherwise disposed of except as provided in the Plan. The Company shall have the right to assign to any of its affiliates any of its rights, or to delegate to any of its affiliates any of its obligations under this Award Agreement.</w:t>
      </w:r>
    </w:p>
    <w:p>
      <w:pPr>
        <w:spacing w:after="0" w:line="181" w:lineRule="exact"/>
        <w:rPr>
          <w:rFonts w:ascii="Arial" w:cs="Arial" w:eastAsia="Arial" w:hAnsi="Arial"/>
          <w:sz w:val="18"/>
          <w:szCs w:val="18"/>
          <w:color w:val="auto"/>
        </w:rPr>
      </w:pPr>
    </w:p>
    <w:p>
      <w:pPr>
        <w:ind w:left="624" w:hanging="624"/>
        <w:spacing w:after="0"/>
        <w:tabs>
          <w:tab w:leader="none" w:pos="624"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shall have the meanings set forth below:</w:t>
      </w:r>
    </w:p>
    <w:p>
      <w:pPr>
        <w:spacing w:after="0" w:line="225" w:lineRule="exact"/>
        <w:rPr>
          <w:sz w:val="20"/>
          <w:szCs w:val="20"/>
          <w:color w:val="auto"/>
        </w:rPr>
      </w:pPr>
    </w:p>
    <w:p>
      <w:pPr>
        <w:ind w:left="-656" w:right="180" w:firstLine="656"/>
        <w:spacing w:after="0" w:line="264" w:lineRule="auto"/>
        <w:tabs>
          <w:tab w:leader="none" w:pos="6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has the meaning assigned to such term in the Plan. Notwithstanding the foregoing, a Corporate Transaction shall not be deemed to have occurred unless such transaction also constitutes a “change in the ownership” of the Company or a “change in the ownership of a substantial portion of the Company’s assets” for purposes of Section 409A of the Code.</w:t>
      </w:r>
    </w:p>
    <w:p>
      <w:pPr>
        <w:spacing w:after="0" w:line="181" w:lineRule="exact"/>
        <w:rPr>
          <w:sz w:val="20"/>
          <w:szCs w:val="20"/>
          <w:color w:val="auto"/>
        </w:rPr>
      </w:pPr>
    </w:p>
    <w:p>
      <w:pPr>
        <w:ind w:left="624" w:hanging="624"/>
        <w:spacing w:after="0"/>
        <w:tabs>
          <w:tab w:leader="none" w:pos="62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w:t>
      </w:r>
    </w:p>
    <w:p>
      <w:pPr>
        <w:spacing w:after="0" w:line="225" w:lineRule="exact"/>
        <w:rPr>
          <w:sz w:val="20"/>
          <w:szCs w:val="20"/>
          <w:color w:val="auto"/>
        </w:rPr>
      </w:pPr>
    </w:p>
    <w:p>
      <w:pPr>
        <w:ind w:left="-656" w:firstLine="656"/>
        <w:spacing w:after="0" w:line="257" w:lineRule="auto"/>
        <w:tabs>
          <w:tab w:leader="none" w:pos="64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parties intend that this Award Agreement will be administered in accordance with Section 409A of the Code. To the extent that any provision of this Award Agreement is ambiguous as to its compliance with Section 409A of the Code, the provision shall be read in such a manner so that all payments hereunder comply with Section 409A of the Code. The parties agree that this Award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8" w:lineRule="exact"/>
        <w:rPr>
          <w:rFonts w:ascii="Arial" w:cs="Arial" w:eastAsia="Arial" w:hAnsi="Arial"/>
          <w:sz w:val="18"/>
          <w:szCs w:val="18"/>
          <w:color w:val="auto"/>
        </w:rPr>
      </w:pPr>
    </w:p>
    <w:p>
      <w:pPr>
        <w:ind w:left="-656" w:right="200" w:firstLine="656"/>
        <w:spacing w:after="0" w:line="264" w:lineRule="auto"/>
        <w:tabs>
          <w:tab w:leader="none" w:pos="65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Grantee or any other person if any provisions of this Award Agreement or the Award Notice are determined to constitute deferred compensation subject to Section 409A of the Code but do not satisfy an exemption from, or the conditions of, such Section.</w:t>
      </w:r>
    </w:p>
    <w:p>
      <w:pPr>
        <w:spacing w:after="0" w:line="181" w:lineRule="exact"/>
        <w:rPr>
          <w:sz w:val="20"/>
          <w:szCs w:val="20"/>
          <w:color w:val="auto"/>
        </w:rPr>
      </w:pPr>
    </w:p>
    <w:p>
      <w:pPr>
        <w:ind w:left="-656" w:right="580" w:firstLine="656"/>
        <w:spacing w:after="0" w:line="277" w:lineRule="auto"/>
        <w:tabs>
          <w:tab w:leader="none" w:pos="62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Award Agreement shall inure to the benefit of and be binding upon the parties hereto and their respective heirs, executors, administrators, successors and assigns.</w:t>
      </w:r>
    </w:p>
    <w:p>
      <w:pPr>
        <w:spacing w:after="0" w:line="170" w:lineRule="exact"/>
        <w:rPr>
          <w:rFonts w:ascii="Arial" w:cs="Arial" w:eastAsia="Arial" w:hAnsi="Arial"/>
          <w:sz w:val="18"/>
          <w:szCs w:val="18"/>
          <w:color w:val="auto"/>
        </w:rPr>
      </w:pPr>
    </w:p>
    <w:p>
      <w:pPr>
        <w:ind w:left="-656" w:right="40" w:firstLine="656"/>
        <w:spacing w:after="0" w:line="277" w:lineRule="auto"/>
        <w:tabs>
          <w:tab w:leader="none" w:pos="62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All terms used in this Award Agreement shall be deemed to refer to the masculine, feminine, neuter, singular or plural as the context may require.</w:t>
      </w:r>
    </w:p>
    <w:p>
      <w:pPr>
        <w:spacing w:after="0" w:line="170" w:lineRule="exact"/>
        <w:rPr>
          <w:rFonts w:ascii="Arial" w:cs="Arial" w:eastAsia="Arial" w:hAnsi="Arial"/>
          <w:sz w:val="18"/>
          <w:szCs w:val="18"/>
          <w:color w:val="auto"/>
        </w:rPr>
      </w:pPr>
    </w:p>
    <w:p>
      <w:pPr>
        <w:ind w:left="-656" w:right="160" w:firstLine="656"/>
        <w:spacing w:after="0" w:line="264" w:lineRule="auto"/>
        <w:tabs>
          <w:tab w:leader="none" w:pos="622"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Terms and Conditions of Plan</w:t>
      </w:r>
      <w:r>
        <w:rPr>
          <w:rFonts w:ascii="Arial" w:cs="Arial" w:eastAsia="Arial" w:hAnsi="Arial"/>
          <w:sz w:val="18"/>
          <w:szCs w:val="18"/>
          <w:color w:val="auto"/>
        </w:rPr>
        <w:t>. The terms and conditions included in the Plan and the Award Notice are incorporated by reference herein, and to the extent that any conflict may exist between any term or provision of this Award Agreement and any term or provision of the Plan as in effect from time to time, such term or provision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398780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4"/>
          </w:cols>
          <w:pgMar w:left="896" w:top="909" w:right="279" w:bottom="1440" w:gutter="0" w:footer="0" w:header="0"/>
        </w:sectPr>
      </w:pPr>
    </w:p>
    <w:bookmarkStart w:id="72" w:name="page73"/>
    <w:bookmarkEnd w:id="72"/>
    <w:p>
      <w:pPr>
        <w:ind w:right="180" w:firstLine="656"/>
        <w:spacing w:after="0" w:line="259" w:lineRule="auto"/>
        <w:tabs>
          <w:tab w:leader="none" w:pos="127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Certain Remedies</w:t>
      </w:r>
      <w:r>
        <w:rPr>
          <w:rFonts w:ascii="Arial" w:cs="Arial" w:eastAsia="Arial" w:hAnsi="Arial"/>
          <w:sz w:val="18"/>
          <w:szCs w:val="18"/>
          <w:color w:val="auto"/>
        </w:rPr>
        <w:t>. Without intending to limit the remedies available to the Company, the Grantee agrees that damages at law will be an insufficient remedy in the event the Grantee violates the terms of this Award Agreement. The Grantee agrees that the Company may apply for and have injunctive or other equitable relief in any court of competent jurisdiction to restrain the breach or threatened breach of, or otherwise specifically to enforce, any of the provisions hereof.</w:t>
      </w:r>
    </w:p>
    <w:p>
      <w:pPr>
        <w:spacing w:after="0" w:line="186" w:lineRule="exact"/>
        <w:rPr>
          <w:rFonts w:ascii="Arial" w:cs="Arial" w:eastAsia="Arial" w:hAnsi="Arial"/>
          <w:sz w:val="18"/>
          <w:szCs w:val="18"/>
          <w:color w:val="auto"/>
        </w:rPr>
      </w:pPr>
    </w:p>
    <w:p>
      <w:pPr>
        <w:jc w:val="both"/>
        <w:ind w:right="200" w:firstLine="656"/>
        <w:spacing w:after="0" w:line="342" w:lineRule="auto"/>
        <w:tabs>
          <w:tab w:leader="none" w:pos="1278"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waiver by either party of compliance with any provision of this Award Agreement by the other party shall not operate or be construed as a waiver of any other provision of this Award Agreement, or of any subsequent breach by such party of a provision of this Award Agreement.</w:t>
      </w:r>
    </w:p>
    <w:p>
      <w:pPr>
        <w:spacing w:after="0" w:line="124" w:lineRule="exact"/>
        <w:rPr>
          <w:sz w:val="20"/>
          <w:szCs w:val="20"/>
          <w:color w:val="auto"/>
        </w:rPr>
      </w:pPr>
    </w:p>
    <w:p>
      <w:pPr>
        <w:ind w:left="660"/>
        <w:spacing w:after="0"/>
        <w:tabs>
          <w:tab w:leader="none" w:pos="1260" w:val="left"/>
          <w:tab w:leader="none" w:pos="65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u w:val="single" w:color="auto"/>
          <w:color w:val="auto"/>
        </w:rPr>
        <w:t>No Restriction on Right of Company to Effect Corporate Changes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Neither the Plan nor this Award Agreement shall affect in any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3868420</wp:posOffset>
            </wp:positionH>
            <wp:positionV relativeFrom="paragraph">
              <wp:posOffset>-10160</wp:posOffset>
            </wp:positionV>
            <wp:extent cx="2571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right or power of the Company or its stockholders to make or authorize any or all adjustments, recapitalizations, reorganizations or other changes in the capital structure or business of the Company, or any merger or consolidation of the Company, or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the assets or business of the Company, or any other corporate act or proceeding, whether of a similar character or otherwise.</w:t>
      </w:r>
    </w:p>
    <w:p>
      <w:pPr>
        <w:spacing w:after="0" w:line="163" w:lineRule="exact"/>
        <w:rPr>
          <w:sz w:val="20"/>
          <w:szCs w:val="20"/>
          <w:color w:val="auto"/>
        </w:rPr>
      </w:pPr>
    </w:p>
    <w:p>
      <w:pPr>
        <w:ind w:right="20" w:firstLine="656"/>
        <w:spacing w:after="0" w:line="254" w:lineRule="auto"/>
        <w:tabs>
          <w:tab w:leader="none" w:pos="127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Award Agreement (including the Award Notice, and the Plan which are incorporated herein by reference and all additional riders incorporated herein) sets forth all of the promises, agreements, conditions and understandings between the parties hereto with respect to the Award, and there are no promises, agreements, conditions, understandings, warranties or representations, oral or written, express or implied, between them with respect to the Restricted Stock Unit Award other than as set forth therein or herein. This Award Agreement supersedes and replaces any and all prior agreements between the parties hereto with respect to Restricted Stock Units and Dividend Equivalent Rights. This Award Agreement is, and is intended by the parties to be, an integration of any and all prior agreements or understandings, oral or written, with respect to Restricted Stock Units and Dividend Equivalent Rights. No modification, amendment or waiver of any of the provisions of this Award Agreement shall be effective unless approved in writing by both parties.</w:t>
      </w:r>
    </w:p>
    <w:p>
      <w:pPr>
        <w:spacing w:after="0" w:line="192" w:lineRule="exact"/>
        <w:rPr>
          <w:rFonts w:ascii="Arial" w:cs="Arial" w:eastAsia="Arial" w:hAnsi="Arial"/>
          <w:sz w:val="18"/>
          <w:szCs w:val="18"/>
          <w:color w:val="auto"/>
        </w:rPr>
      </w:pPr>
    </w:p>
    <w:p>
      <w:pPr>
        <w:ind w:right="60" w:firstLine="656"/>
        <w:spacing w:after="0" w:line="342" w:lineRule="auto"/>
        <w:tabs>
          <w:tab w:leader="none" w:pos="1278"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Invalid or Unenforceable Provision</w:t>
      </w:r>
      <w:r>
        <w:rPr>
          <w:rFonts w:ascii="Arial" w:cs="Arial" w:eastAsia="Arial" w:hAnsi="Arial"/>
          <w:sz w:val="16"/>
          <w:szCs w:val="16"/>
          <w:color w:val="auto"/>
        </w:rPr>
        <w:t>. The invalidity or unenforceability of any particular provision of this Award Agreement shall not affect the other provisions hereof, and this Award Agreement shall be construed in all respects as if such invalid or unenforceable provision was omitted.</w:t>
      </w:r>
    </w:p>
    <w:p>
      <w:pPr>
        <w:spacing w:after="0" w:line="123" w:lineRule="exact"/>
        <w:rPr>
          <w:rFonts w:ascii="Arial" w:cs="Arial" w:eastAsia="Arial" w:hAnsi="Arial"/>
          <w:sz w:val="16"/>
          <w:szCs w:val="16"/>
          <w:color w:val="auto"/>
        </w:rPr>
      </w:pPr>
    </w:p>
    <w:p>
      <w:pPr>
        <w:ind w:right="60" w:firstLine="656"/>
        <w:spacing w:after="0" w:line="277" w:lineRule="auto"/>
        <w:tabs>
          <w:tab w:leader="none" w:pos="1278"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Award Agreement shall be construed and enforced in accordance with the laws of Delaware, without giving effect to principles of conflicts of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73" w:name="page74"/>
    <w:bookmarkEnd w:id="73"/>
    <w:p>
      <w:pPr>
        <w:ind w:left="624" w:hanging="624"/>
        <w:spacing w:after="0"/>
        <w:tabs>
          <w:tab w:leader="none" w:pos="624"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6" w:right="20" w:firstLine="1305"/>
        <w:spacing w:after="0" w:line="264" w:lineRule="auto"/>
        <w:tabs>
          <w:tab w:leader="none" w:pos="12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Neither the granting or vesting of the Restricted Stock Units and Dividend Equivalent Rights nor any other provision of this Award Agreement shall be construed as conferring upon the Grantee any right to continue in the services of the Company, or as interfering with or restricting in any way the right of the Company to terminate such services at any time.</w:t>
      </w:r>
    </w:p>
    <w:p>
      <w:pPr>
        <w:spacing w:after="0" w:line="181" w:lineRule="exact"/>
        <w:rPr>
          <w:rFonts w:ascii="Arial" w:cs="Arial" w:eastAsia="Arial" w:hAnsi="Arial"/>
          <w:sz w:val="18"/>
          <w:szCs w:val="18"/>
          <w:color w:val="auto"/>
        </w:rPr>
      </w:pPr>
    </w:p>
    <w:p>
      <w:pPr>
        <w:ind w:left="-656" w:right="180" w:firstLine="1305"/>
        <w:spacing w:after="0" w:line="302" w:lineRule="auto"/>
        <w:tabs>
          <w:tab w:leader="none" w:pos="1297" w:val="left"/>
        </w:tabs>
        <w:numPr>
          <w:ilvl w:val="1"/>
          <w:numId w:val="74"/>
        </w:numPr>
        <w:rPr>
          <w:rFonts w:ascii="Arial" w:cs="Arial" w:eastAsia="Arial" w:hAnsi="Arial"/>
          <w:sz w:val="16"/>
          <w:szCs w:val="16"/>
          <w:color w:val="auto"/>
        </w:rPr>
      </w:pPr>
      <w:r>
        <w:rPr>
          <w:rFonts w:ascii="Arial" w:cs="Arial" w:eastAsia="Arial" w:hAnsi="Arial"/>
          <w:sz w:val="16"/>
          <w:szCs w:val="16"/>
          <w:color w:val="auto"/>
        </w:rPr>
        <w:t>The Company, the Board (or the Committee) and any employees or agents thereof are relieved from any liability for the non-issuance or non-transfer, or any delay in the issuance or transfer, of any Common Stock which results from the inability of the Company to obtain, or in any delay in obtaining, from each regulatory body having jurisdiction all requisite authority to issue or transfer the Common Stock in satisfaction of this Award Agreement if counsel for the Company deems such authorization necessary for the lawful issuance or transfer of any of the Common Stock.</w:t>
      </w:r>
    </w:p>
    <w:p>
      <w:pPr>
        <w:spacing w:after="0" w:line="154" w:lineRule="exact"/>
        <w:rPr>
          <w:rFonts w:ascii="Arial" w:cs="Arial" w:eastAsia="Arial" w:hAnsi="Arial"/>
          <w:sz w:val="16"/>
          <w:szCs w:val="16"/>
          <w:color w:val="auto"/>
        </w:rPr>
      </w:pPr>
    </w:p>
    <w:p>
      <w:pPr>
        <w:ind w:left="1304" w:hanging="655"/>
        <w:spacing w:after="0"/>
        <w:tabs>
          <w:tab w:leader="none" w:pos="1304" w:val="left"/>
        </w:tabs>
        <w:numPr>
          <w:ilvl w:val="1"/>
          <w:numId w:val="74"/>
        </w:numPr>
        <w:rPr>
          <w:rFonts w:ascii="Arial" w:cs="Arial" w:eastAsia="Arial" w:hAnsi="Arial"/>
          <w:sz w:val="17"/>
          <w:szCs w:val="17"/>
          <w:color w:val="auto"/>
        </w:rPr>
      </w:pPr>
      <w:r>
        <w:rPr>
          <w:rFonts w:ascii="Arial" w:cs="Arial" w:eastAsia="Arial" w:hAnsi="Arial"/>
          <w:sz w:val="17"/>
          <w:szCs w:val="17"/>
          <w:color w:val="auto"/>
        </w:rPr>
        <w:t>No Common Stock shall be sold or otherwise disposed of in violation of any federal or state securities law or regulations.</w:t>
      </w:r>
    </w:p>
    <w:p>
      <w:pPr>
        <w:spacing w:after="0" w:line="236" w:lineRule="exact"/>
        <w:rPr>
          <w:rFonts w:ascii="Arial" w:cs="Arial" w:eastAsia="Arial" w:hAnsi="Arial"/>
          <w:sz w:val="17"/>
          <w:szCs w:val="17"/>
          <w:color w:val="auto"/>
        </w:rPr>
      </w:pPr>
    </w:p>
    <w:p>
      <w:pPr>
        <w:ind w:left="-656" w:firstLine="1305"/>
        <w:spacing w:after="0" w:line="277" w:lineRule="auto"/>
        <w:tabs>
          <w:tab w:leader="none" w:pos="129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decisions of the Board (or the Committee) with respect to the interpretation, construction and application of the Plan and/or this Award Agreement shall be conclusive and binding upon the Grantee and all other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391795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A. Small, certify that:</w:t>
      </w:r>
    </w:p>
    <w:p>
      <w:pPr>
        <w:spacing w:after="0" w:line="225" w:lineRule="exact"/>
        <w:rPr>
          <w:sz w:val="20"/>
          <w:szCs w:val="20"/>
          <w:color w:val="auto"/>
        </w:rPr>
      </w:pPr>
    </w:p>
    <w:p>
      <w:pPr>
        <w:ind w:left="280" w:hanging="272"/>
        <w:spacing w:after="0"/>
        <w:tabs>
          <w:tab w:leader="none" w:pos="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Assembly Biosciences,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00"/>
        <w:spacing w:after="0" w:line="264" w:lineRule="auto"/>
        <w:tabs>
          <w:tab w:leader="none" w:pos="107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00"/>
        <w:spacing w:after="0" w:line="264" w:lineRule="auto"/>
        <w:tabs>
          <w:tab w:leader="none" w:pos="1142"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00"/>
        <w:spacing w:after="0" w:line="308" w:lineRule="auto"/>
        <w:tabs>
          <w:tab w:leader="none" w:pos="1153"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00"/>
        <w:spacing w:after="0" w:line="264" w:lineRule="auto"/>
        <w:tabs>
          <w:tab w:leader="none" w:pos="1086"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33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800"/>
        <w:spacing w:after="0" w:line="277" w:lineRule="auto"/>
        <w:tabs>
          <w:tab w:leader="none" w:pos="106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20"/>
        <w:spacing w:after="0" w:line="277" w:lineRule="auto"/>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ind w:left="57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Derek A. Small</w:t>
            </w: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Derek A. Small</w:t>
            </w:r>
          </w:p>
        </w:tc>
      </w:tr>
      <w:tr>
        <w:trPr>
          <w:trHeight w:val="216"/>
        </w:trPr>
        <w:tc>
          <w:tcPr>
            <w:tcW w:w="628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Graham Cooper, certify that:</w:t>
      </w:r>
    </w:p>
    <w:p>
      <w:pPr>
        <w:spacing w:after="0" w:line="225" w:lineRule="exact"/>
        <w:rPr>
          <w:sz w:val="20"/>
          <w:szCs w:val="20"/>
          <w:color w:val="auto"/>
        </w:rPr>
      </w:pPr>
    </w:p>
    <w:p>
      <w:pPr>
        <w:ind w:left="280" w:hanging="272"/>
        <w:spacing w:after="0"/>
        <w:tabs>
          <w:tab w:leader="none" w:pos="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Assembly Biosciences, Inc.;</w:t>
      </w:r>
    </w:p>
    <w:p>
      <w:pPr>
        <w:spacing w:after="0" w:line="225" w:lineRule="exact"/>
        <w:rPr>
          <w:rFonts w:ascii="Arial" w:cs="Arial" w:eastAsia="Arial" w:hAnsi="Arial"/>
          <w:sz w:val="18"/>
          <w:szCs w:val="18"/>
          <w:color w:val="auto"/>
        </w:rPr>
      </w:pPr>
    </w:p>
    <w:p>
      <w:pPr>
        <w:ind w:firstLine="8"/>
        <w:spacing w:after="0" w:line="342" w:lineRule="auto"/>
        <w:tabs>
          <w:tab w:leader="none" w:pos="338"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3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28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800"/>
        <w:spacing w:after="0" w:line="264" w:lineRule="auto"/>
        <w:tabs>
          <w:tab w:leader="none" w:pos="1078"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00"/>
        <w:spacing w:after="0" w:line="264" w:lineRule="auto"/>
        <w:tabs>
          <w:tab w:leader="none" w:pos="1142"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00"/>
        <w:spacing w:after="0" w:line="308" w:lineRule="auto"/>
        <w:tabs>
          <w:tab w:leader="none" w:pos="1153" w:val="left"/>
        </w:tabs>
        <w:numPr>
          <w:ilvl w:val="1"/>
          <w:numId w:val="7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00"/>
        <w:spacing w:after="0" w:line="264" w:lineRule="auto"/>
        <w:tabs>
          <w:tab w:leader="none" w:pos="1086"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3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800"/>
        <w:spacing w:after="0" w:line="277" w:lineRule="auto"/>
        <w:tabs>
          <w:tab w:leader="none" w:pos="106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20"/>
        <w:spacing w:after="0" w:line="277" w:lineRule="auto"/>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2018</w:t>
      </w:r>
    </w:p>
    <w:p>
      <w:pPr>
        <w:spacing w:after="0" w:line="225"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Graham Cooper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Graham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Assembly Biosciences, Inc. (the Company) for the period ended June 30, 2018 as filed with the Securities and Exchange Commission on or about the date hereof (the Report), I, Derek A. Small, Chief Executive Officer, hereby certify, pursuant to 18 U.S.C. Section 1350, as adopted pursuant to Section 906 of the Sarbanes-Oxley Act of 2002, that, to my knowledge:</w:t>
      </w:r>
    </w:p>
    <w:p>
      <w:pPr>
        <w:spacing w:after="0" w:line="181" w:lineRule="exact"/>
        <w:rPr>
          <w:sz w:val="20"/>
          <w:szCs w:val="20"/>
          <w:color w:val="auto"/>
        </w:rPr>
      </w:pPr>
    </w:p>
    <w:p>
      <w:pPr>
        <w:ind w:left="1200" w:hanging="400"/>
        <w:spacing w:after="0"/>
        <w:tabs>
          <w:tab w:leader="none" w:pos="12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spacing w:after="0" w:line="277" w:lineRule="auto"/>
        <w:tabs>
          <w:tab w:leader="none" w:pos="12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Derek A. Small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Derek A.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Assembly Biosciences, Inc. (the Company) for the period ended June 30, 2018 as filed with the Securities and Exchange Commission on or about the date hereof (the Report), I, Graham Cooper, Chief Financial Officer, hereby certify, pursuant to 18 U.S.C. Section 1350, as adopted pursuant to Section 906 of the Sarbanes-Oxley Act of 2002, that, to my knowledge:</w:t>
      </w:r>
    </w:p>
    <w:p>
      <w:pPr>
        <w:spacing w:after="0" w:line="181" w:lineRule="exact"/>
        <w:rPr>
          <w:sz w:val="20"/>
          <w:szCs w:val="20"/>
          <w:color w:val="auto"/>
        </w:rPr>
      </w:pPr>
    </w:p>
    <w:p>
      <w:pPr>
        <w:ind w:left="1200" w:hanging="400"/>
        <w:spacing w:after="0"/>
        <w:tabs>
          <w:tab w:leader="none" w:pos="12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spacing w:after="0" w:line="277" w:lineRule="auto"/>
        <w:tabs>
          <w:tab w:leader="none" w:pos="128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Graham Cooper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Chief Operating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decimal"/>
      <w:start w:val="5"/>
    </w:lvl>
  </w:abstractNum>
  <w:abstractNum w:abstractNumId="9">
    <w:nsid w:val="725A06FB"/>
    <w:multiLevelType w:val="hybridMultilevel"/>
    <w:lvl w:ilvl="0">
      <w:lvlJc w:val="left"/>
      <w:lvlText w:val="&amp;"/>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2"/>
    </w:lvl>
  </w:abstractNum>
  <w:abstractNum w:abstractNumId="43">
    <w:nsid w:val="10233C99"/>
    <w:multiLevelType w:val="hybridMultilevel"/>
    <w:lvl w:ilvl="0">
      <w:lvlJc w:val="left"/>
      <w:lvlText w:val="(%1)"/>
      <w:numFmt w:val="lowerLetter"/>
      <w:start w:val="1"/>
    </w:lvl>
  </w:abstractNum>
  <w:abstractNum w:abstractNumId="44">
    <w:nsid w:val="3F6AB60F"/>
    <w:multiLevelType w:val="hybridMultilevel"/>
    <w:lvl w:ilvl="0">
      <w:lvlJc w:val="left"/>
      <w:lvlText w:val="(%1)"/>
      <w:numFmt w:val="lowerLetter"/>
      <w:start w:val="35"/>
    </w:lvl>
  </w:abstractNum>
  <w:abstractNum w:abstractNumId="45">
    <w:nsid w:val="61574095"/>
    <w:multiLevelType w:val="hybridMultilevel"/>
    <w:lvl w:ilvl="0">
      <w:lvlJc w:val="left"/>
      <w:lvlText w:val="(%1)"/>
      <w:numFmt w:val="lowerLetter"/>
      <w:start w:val="2"/>
    </w:lvl>
  </w:abstractNum>
  <w:abstractNum w:abstractNumId="46">
    <w:nsid w:val="7E0C57B1"/>
    <w:multiLevelType w:val="hybridMultilevel"/>
    <w:lvl w:ilvl="0">
      <w:lvlJc w:val="left"/>
      <w:lvlText w:val="(%1)"/>
      <w:numFmt w:val="lowerLetter"/>
      <w:start w:val="3"/>
    </w:lvl>
  </w:abstractNum>
  <w:abstractNum w:abstractNumId="47">
    <w:nsid w:val="77AE35EB"/>
    <w:multiLevelType w:val="hybridMultilevel"/>
    <w:lvl w:ilvl="0">
      <w:lvlJc w:val="left"/>
      <w:lvlText w:val="%1"/>
      <w:numFmt w:val="decimal"/>
      <w:start w:val="1"/>
    </w:lvl>
    <w:lvl w:ilvl="1">
      <w:lvlJc w:val="left"/>
      <w:lvlText w:val="(%2)"/>
      <w:numFmt w:val="lowerLetter"/>
      <w:start w:val="4"/>
    </w:lvl>
  </w:abstractNum>
  <w:abstractNum w:abstractNumId="48">
    <w:nsid w:val="579BE4F1"/>
    <w:multiLevelType w:val="hybridMultilevel"/>
    <w:lvl w:ilvl="0">
      <w:lvlJc w:val="left"/>
      <w:lvlText w:val="%1."/>
      <w:numFmt w:val="decimal"/>
      <w:start w:val="3"/>
    </w:lvl>
    <w:lvl w:ilvl="1">
      <w:lvlJc w:val="left"/>
      <w:lvlText w:val="%2"/>
      <w:numFmt w:val="lowerLetter"/>
      <w:start w:val="1"/>
    </w:lvl>
  </w:abstractNum>
  <w:abstractNum w:abstractNumId="49">
    <w:nsid w:val="310C50B3"/>
    <w:multiLevelType w:val="hybridMultilevel"/>
    <w:lvl w:ilvl="0">
      <w:lvlJc w:val="left"/>
      <w:lvlText w:val="%1."/>
      <w:numFmt w:val="decimal"/>
      <w:start w:val="4"/>
    </w:lvl>
  </w:abstractNum>
  <w:abstractNum w:abstractNumId="50">
    <w:nsid w:val="5FF87E05"/>
    <w:multiLevelType w:val="hybridMultilevel"/>
    <w:lvl w:ilvl="0">
      <w:lvlJc w:val="left"/>
      <w:lvlText w:val="%1."/>
      <w:numFmt w:val="decimal"/>
      <w:start w:val="5"/>
    </w:lvl>
  </w:abstractNum>
  <w:abstractNum w:abstractNumId="51">
    <w:nsid w:val="2F305DEF"/>
    <w:multiLevelType w:val="hybridMultilevel"/>
    <w:lvl w:ilvl="0">
      <w:lvlJc w:val="left"/>
      <w:lvlText w:val="%1."/>
      <w:numFmt w:val="decimal"/>
      <w:start w:val="6"/>
    </w:lvl>
    <w:lvl w:ilvl="1">
      <w:lvlJc w:val="left"/>
      <w:lvlText w:val="(%2)"/>
      <w:numFmt w:val="lowerLetter"/>
      <w:start w:val="1"/>
    </w:lvl>
  </w:abstractNum>
  <w:abstractNum w:abstractNumId="52">
    <w:nsid w:val="25A70BF7"/>
    <w:multiLevelType w:val="hybridMultilevel"/>
    <w:lvl w:ilvl="0">
      <w:lvlJc w:val="left"/>
      <w:lvlText w:val="(%1)"/>
      <w:numFmt w:val="lowerLetter"/>
      <w:start w:val="5"/>
    </w:lvl>
  </w:abstractNum>
  <w:abstractNum w:abstractNumId="53">
    <w:nsid w:val="1DBABF00"/>
    <w:multiLevelType w:val="hybridMultilevel"/>
    <w:lvl w:ilvl="0">
      <w:lvlJc w:val="left"/>
      <w:lvlText w:val="(%1)"/>
      <w:numFmt w:val="lowerLetter"/>
      <w:start w:val="1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1."/>
      <w:numFmt w:val="decimal"/>
      <w:start w:val="3"/>
    </w:lvl>
  </w:abstractNum>
  <w:abstractNum w:abstractNumId="56">
    <w:nsid w:val="1381823A"/>
    <w:multiLevelType w:val="hybridMultilevel"/>
    <w:lvl w:ilvl="0">
      <w:lvlJc w:val="left"/>
      <w:lvlText w:val="%1."/>
      <w:numFmt w:val="decimal"/>
      <w:start w:val="6"/>
    </w:lvl>
    <w:lvl w:ilvl="1">
      <w:lvlJc w:val="left"/>
      <w:lvlText w:val="(%2)"/>
      <w:numFmt w:val="lowerLetter"/>
      <w:start w:val="1"/>
    </w:lvl>
  </w:abstractNum>
  <w:abstractNum w:abstractNumId="57">
    <w:nsid w:val="5DB70AE5"/>
    <w:multiLevelType w:val="hybridMultilevel"/>
    <w:lvl w:ilvl="0">
      <w:lvlJc w:val="left"/>
      <w:lvlText w:val="%1."/>
      <w:numFmt w:val="decimal"/>
      <w:start w:val="10"/>
    </w:lvl>
    <w:lvl w:ilvl="1">
      <w:lvlJc w:val="left"/>
      <w:lvlText w:val="(%2)"/>
      <w:numFmt w:val="lowerLetter"/>
      <w:start w:val="1"/>
    </w:lvl>
  </w:abstractNum>
  <w:abstractNum w:abstractNumId="58">
    <w:nsid w:val="100F8FCA"/>
    <w:multiLevelType w:val="hybridMultilevel"/>
    <w:lvl w:ilvl="0">
      <w:lvlJc w:val="left"/>
      <w:lvlText w:val="%1"/>
      <w:numFmt w:val="decimal"/>
      <w:start w:val="1"/>
    </w:lvl>
    <w:lvl w:ilvl="1">
      <w:lvlJc w:val="left"/>
      <w:lvlText w:val="(%2)"/>
      <w:numFmt w:val="lowerLetter"/>
      <w:start w:val="2"/>
    </w:lvl>
  </w:abstractNum>
  <w:abstractNum w:abstractNumId="59">
    <w:nsid w:val="6590700B"/>
    <w:multiLevelType w:val="hybridMultilevel"/>
    <w:lvl w:ilvl="0">
      <w:lvlJc w:val="left"/>
      <w:lvlText w:val="%1."/>
      <w:numFmt w:val="decimal"/>
      <w:start w:val="12"/>
    </w:lvl>
    <w:lvl w:ilvl="1">
      <w:lvlJc w:val="left"/>
      <w:lvlText w:val="%2"/>
      <w:numFmt w:val="lowerLetter"/>
      <w:start w:val="1"/>
    </w:lvl>
  </w:abstractNum>
  <w:abstractNum w:abstractNumId="60">
    <w:nsid w:val="15014ACB"/>
    <w:multiLevelType w:val="hybridMultilevel"/>
    <w:lvl w:ilvl="0">
      <w:lvlJc w:val="left"/>
      <w:lvlText w:val="%1."/>
      <w:numFmt w:val="decimal"/>
      <w:start w:val="14"/>
    </w:lvl>
    <w:lvl w:ilvl="1">
      <w:lvlJc w:val="left"/>
      <w:lvlText w:val="(%2)"/>
      <w:numFmt w:val="lowerLetter"/>
      <w:start w:val="1"/>
    </w:lvl>
  </w:abstractNum>
  <w:abstractNum w:abstractNumId="61">
    <w:nsid w:val="5F5E7FD0"/>
    <w:multiLevelType w:val="hybridMultilevel"/>
    <w:lvl w:ilvl="0">
      <w:lvlJc w:val="left"/>
      <w:lvlText w:val="%1."/>
      <w:numFmt w:val="decimal"/>
      <w:start w:val="17"/>
    </w:lvl>
    <w:lvl w:ilvl="1">
      <w:lvlJc w:val="left"/>
      <w:lvlText w:val="(%2)"/>
      <w:numFmt w:val="lowerLetter"/>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3"/>
    </w:lvl>
  </w:abstractNum>
  <w:abstractNum w:abstractNumId="64">
    <w:nsid w:val="6B94764"/>
    <w:multiLevelType w:val="hybridMultilevel"/>
    <w:lvl w:ilvl="0">
      <w:lvlJc w:val="left"/>
      <w:lvlText w:val="(%1)"/>
      <w:numFmt w:val="lowerLetter"/>
      <w:start w:val="1"/>
    </w:lvl>
  </w:abstractNum>
  <w:abstractNum w:abstractNumId="65">
    <w:nsid w:val="42C296BD"/>
    <w:multiLevelType w:val="hybridMultilevel"/>
    <w:lvl w:ilvl="0">
      <w:lvlJc w:val="left"/>
      <w:lvlText w:val="%1."/>
      <w:numFmt w:val="decimal"/>
      <w:start w:val="5"/>
    </w:lvl>
  </w:abstractNum>
  <w:abstractNum w:abstractNumId="66">
    <w:nsid w:val="168E121F"/>
    <w:multiLevelType w:val="hybridMultilevel"/>
    <w:lvl w:ilvl="0">
      <w:lvlJc w:val="left"/>
      <w:lvlText w:val="%1."/>
      <w:numFmt w:val="decimal"/>
      <w:start w:val="8"/>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decimal"/>
      <w:start w:val="11"/>
    </w:lvl>
  </w:abstractNum>
  <w:abstractNum w:abstractNumId="69">
    <w:nsid w:val="5DC79EA8"/>
    <w:multiLevelType w:val="hybridMultilevel"/>
    <w:lvl w:ilvl="0">
      <w:lvlJc w:val="left"/>
      <w:lvlText w:val="(%1)"/>
      <w:numFmt w:val="lowerLetter"/>
      <w:start w:val="1"/>
    </w:lvl>
  </w:abstractNum>
  <w:abstractNum w:abstractNumId="70">
    <w:nsid w:val="540A471C"/>
    <w:multiLevelType w:val="hybridMultilevel"/>
    <w:lvl w:ilvl="0">
      <w:lvlJc w:val="left"/>
      <w:lvlText w:val="%1."/>
      <w:numFmt w:val="decimal"/>
      <w:start w:val="12"/>
    </w:lvl>
  </w:abstractNum>
  <w:abstractNum w:abstractNumId="71">
    <w:nsid w:val="7BD3EE7B"/>
    <w:multiLevelType w:val="hybridMultilevel"/>
    <w:lvl w:ilvl="0">
      <w:lvlJc w:val="left"/>
      <w:lvlText w:val="%1."/>
      <w:numFmt w:val="decimal"/>
      <w:start w:val="15"/>
    </w:lvl>
  </w:abstractNum>
  <w:abstractNum w:abstractNumId="72">
    <w:nsid w:val="51D9C564"/>
    <w:multiLevelType w:val="hybridMultilevel"/>
    <w:lvl w:ilvl="0">
      <w:lvlJc w:val="left"/>
      <w:lvlText w:val="%1."/>
      <w:numFmt w:val="decimal"/>
      <w:start w:val="16"/>
    </w:lvl>
  </w:abstractNum>
  <w:abstractNum w:abstractNumId="73">
    <w:nsid w:val="613EFDC5"/>
    <w:multiLevelType w:val="hybridMultilevel"/>
    <w:lvl w:ilvl="0">
      <w:lvlJc w:val="left"/>
      <w:lvlText w:val="%1."/>
      <w:numFmt w:val="decimal"/>
      <w:start w:val="19"/>
    </w:lvl>
    <w:lvl w:ilvl="1">
      <w:lvlJc w:val="left"/>
      <w:lvlText w:val="(%2)"/>
      <w:numFmt w:val="lowerLetter"/>
      <w:start w:val="1"/>
    </w:lvl>
  </w:abstractNum>
  <w:abstractNum w:abstractNumId="74">
    <w:nsid w:val="BF72B14"/>
    <w:multiLevelType w:val="hybridMultilevel"/>
    <w:lvl w:ilvl="0">
      <w:lvlJc w:val="left"/>
      <w:lvlText w:val="%1."/>
      <w:numFmt w:val="decimal"/>
      <w:start w:val="1"/>
    </w:lvl>
    <w:lvl w:ilvl="1">
      <w:lvlJc w:val="left"/>
      <w:lvlText w:val="%2."/>
      <w:numFmt w:val="lowerLetter"/>
      <w:start w:val="1"/>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83" Type="http://schemas.openxmlformats.org/officeDocument/2006/relationships/hyperlink" Target="http://www.sec.gov/Archives/edgar/data/1426800/000114420418032371/tv495357_ex3-1.htm" TargetMode="External"/><Relationship Id="rId84" Type="http://schemas.openxmlformats.org/officeDocument/2006/relationships/hyperlink" Target="http://www.sec.gov/Archives/edgar/data/1426800/000114420418032371/tv495357_ex10-1.htm" TargetMode="External"/><Relationship Id="rId85" Type="http://schemas.openxmlformats.org/officeDocument/2006/relationships/hyperlink" Target="http://www.sec.gov/Archives/edgar/data/1426800/000114420418032371/tv495357_ex10-2.htm" TargetMode="External"/><Relationship Id="rId86" Type="http://schemas.openxmlformats.org/officeDocument/2006/relationships/hyperlink" Target="http://www.sec.gov/Archives/edgar/data/1426800/000114420418032371/tv495357_ex10-3.htm" TargetMode="External"/><Relationship Id="rId87" Type="http://schemas.openxmlformats.org/officeDocument/2006/relationships/hyperlink" Target="http://www.sec.gov/Archives/edgar/data/1426800/000114420418032371/tv495357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2019-12-28T20:00:39Z</dcterms:created>
  <dcterms:modified xsi:type="dcterms:W3CDTF">2019-12-28T20:00:39Z</dcterms:modified>
</cp:coreProperties>
</file>