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77" w:lineRule="exact"/>
        <w:rPr>
          <w:sz w:val="24"/>
          <w:szCs w:val="24"/>
          <w:color w:val="auto"/>
        </w:rPr>
      </w:pPr>
    </w:p>
    <w:p>
      <w:pPr>
        <w:ind w:left="4320" w:right="3740" w:hanging="4312"/>
        <w:spacing w:after="0" w:line="233" w:lineRule="auto"/>
        <w:tabs>
          <w:tab w:leader="none" w:pos="45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2020</w:t>
      </w:r>
    </w:p>
    <w:p>
      <w:pPr>
        <w:ind w:left="5560"/>
        <w:spacing w:after="0" w:line="233" w:lineRule="auto"/>
        <w:rPr>
          <w:rFonts w:ascii="MS PGothic" w:cs="MS PGothic" w:eastAsia="MS PGothic" w:hAnsi="MS PGothic"/>
          <w:sz w:val="14"/>
          <w:szCs w:val="14"/>
          <w:color w:val="auto"/>
        </w:rPr>
      </w:pPr>
      <w:r>
        <w:rPr>
          <w:rFonts w:ascii="Arial" w:cs="Arial" w:eastAsia="Arial" w:hAnsi="Arial"/>
          <w:sz w:val="14"/>
          <w:szCs w:val="14"/>
          <w:color w:val="auto"/>
        </w:rPr>
        <w:t>or</w:t>
      </w:r>
    </w:p>
    <w:p>
      <w:pPr>
        <w:spacing w:after="0" w:line="3" w:lineRule="exact"/>
        <w:rPr>
          <w:sz w:val="24"/>
          <w:szCs w:val="24"/>
          <w:color w:val="auto"/>
        </w:rPr>
      </w:pPr>
    </w:p>
    <w:p>
      <w:pPr>
        <w:ind w:left="3920" w:right="3460" w:hanging="3912"/>
        <w:spacing w:after="0" w:line="258" w:lineRule="auto"/>
        <w:tabs>
          <w:tab w:leader="none" w:pos="473"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w:t>
      </w:r>
      <w:r>
        <w:rPr>
          <w:rFonts w:ascii="Arial" w:cs="Arial" w:eastAsia="Arial" w:hAnsi="Arial"/>
          <w:sz w:val="14"/>
          <w:szCs w:val="14"/>
          <w:b w:val="1"/>
          <w:bCs w:val="1"/>
          <w:color w:val="auto"/>
        </w:rPr>
        <w:t>: 001-35005</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ASSEMBLY BIOSCIENCES,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specified in its charter)</w:t>
      </w:r>
    </w:p>
    <w:p>
      <w:pPr>
        <w:sectPr>
          <w:pgSz w:w="11900" w:h="16838" w:orient="portrait"/>
          <w:cols w:equalWidth="0" w:num="1">
            <w:col w:w="11240"/>
          </w:cols>
          <w:pgMar w:left="320" w:top="414" w:right="339" w:bottom="1440" w:gutter="0" w:footer="0" w:header="0"/>
        </w:sectPr>
      </w:pPr>
    </w:p>
    <w:p>
      <w:pPr>
        <w:spacing w:after="0" w:line="39"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(State or Other Jurisdiction of</w:t>
      </w:r>
    </w:p>
    <w:p>
      <w:pPr>
        <w:ind w:left="17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20-8729264</w:t>
      </w:r>
    </w:p>
    <w:p>
      <w:pPr>
        <w:jc w:val="center"/>
        <w:ind w:right="2120"/>
        <w:spacing w:after="0" w:line="226" w:lineRule="auto"/>
        <w:rPr>
          <w:sz w:val="20"/>
          <w:szCs w:val="20"/>
          <w:color w:val="auto"/>
        </w:rPr>
      </w:pPr>
      <w:r>
        <w:rPr>
          <w:rFonts w:ascii="Arial" w:cs="Arial" w:eastAsia="Arial" w:hAnsi="Arial"/>
          <w:sz w:val="14"/>
          <w:szCs w:val="14"/>
          <w:color w:val="auto"/>
        </w:rPr>
        <w:t>(I.R.S. Employer</w:t>
      </w:r>
    </w:p>
    <w:p>
      <w:pPr>
        <w:jc w:val="center"/>
        <w:ind w:right="2120"/>
        <w:spacing w:after="0"/>
        <w:rPr>
          <w:sz w:val="20"/>
          <w:szCs w:val="20"/>
          <w:color w:val="auto"/>
        </w:rPr>
      </w:pPr>
      <w:r>
        <w:rPr>
          <w:rFonts w:ascii="Arial" w:cs="Arial" w:eastAsia="Arial" w:hAnsi="Arial"/>
          <w:sz w:val="13"/>
          <w:szCs w:val="13"/>
          <w:color w:val="auto"/>
        </w:rPr>
        <w:t>Identification No.)</w:t>
      </w:r>
    </w:p>
    <w:p>
      <w:pPr>
        <w:spacing w:after="0" w:line="51" w:lineRule="exact"/>
        <w:rPr>
          <w:sz w:val="24"/>
          <w:szCs w:val="24"/>
          <w:color w:val="auto"/>
        </w:rPr>
      </w:pPr>
    </w:p>
    <w:p>
      <w:pPr>
        <w:sectPr>
          <w:pgSz w:w="11900" w:h="16838" w:orient="portrait"/>
          <w:cols w:equalWidth="0" w:num="2">
            <w:col w:w="7320" w:space="720"/>
            <w:col w:w="3200"/>
          </w:cols>
          <w:pgMar w:left="320" w:top="414" w:right="339" w:bottom="1440" w:gutter="0" w:footer="0" w:header="0"/>
          <w:type w:val="continuous"/>
        </w:sectPr>
      </w:pPr>
    </w:p>
    <w:p>
      <w:pPr>
        <w:ind w:left="4500"/>
        <w:spacing w:after="0"/>
        <w:rPr>
          <w:sz w:val="20"/>
          <w:szCs w:val="20"/>
          <w:color w:val="auto"/>
        </w:rPr>
      </w:pPr>
      <w:r>
        <w:rPr>
          <w:rFonts w:ascii="Arial" w:cs="Arial" w:eastAsia="Arial" w:hAnsi="Arial"/>
          <w:sz w:val="13"/>
          <w:szCs w:val="13"/>
          <w:b w:val="1"/>
          <w:bCs w:val="1"/>
          <w:color w:val="auto"/>
        </w:rPr>
        <w:t>331 Oyster Point Blvd., Fourth Floor</w:t>
      </w:r>
    </w:p>
    <w:p>
      <w:pPr>
        <w:spacing w:after="0" w:line="15" w:lineRule="exact"/>
        <w:rPr>
          <w:sz w:val="24"/>
          <w:szCs w:val="24"/>
          <w:color w:val="auto"/>
        </w:rPr>
      </w:pPr>
    </w:p>
    <w:p>
      <w:pPr>
        <w:ind w:left="4440"/>
        <w:spacing w:after="0"/>
        <w:rPr>
          <w:sz w:val="20"/>
          <w:szCs w:val="20"/>
          <w:color w:val="auto"/>
        </w:rPr>
      </w:pPr>
      <w:r>
        <w:rPr>
          <w:rFonts w:ascii="Arial" w:cs="Arial" w:eastAsia="Arial" w:hAnsi="Arial"/>
          <w:sz w:val="12"/>
          <w:szCs w:val="12"/>
          <w:b w:val="1"/>
          <w:bCs w:val="1"/>
          <w:color w:val="auto"/>
        </w:rPr>
        <w:t>South San Francisco, California 94080</w:t>
      </w:r>
    </w:p>
    <w:p>
      <w:pPr>
        <w:spacing w:after="0" w:line="11" w:lineRule="exact"/>
        <w:rPr>
          <w:sz w:val="24"/>
          <w:szCs w:val="24"/>
          <w:color w:val="auto"/>
        </w:rPr>
      </w:pPr>
    </w:p>
    <w:p>
      <w:pPr>
        <w:ind w:left="4460"/>
        <w:spacing w:after="0"/>
        <w:rPr>
          <w:sz w:val="20"/>
          <w:szCs w:val="20"/>
          <w:color w:val="auto"/>
        </w:rPr>
      </w:pPr>
      <w:r>
        <w:rPr>
          <w:rFonts w:ascii="Arial" w:cs="Arial" w:eastAsia="Arial" w:hAnsi="Arial"/>
          <w:sz w:val="13"/>
          <w:szCs w:val="13"/>
          <w:color w:val="auto"/>
        </w:rPr>
        <w:t>(Address of Principal Executive Offices)</w:t>
      </w:r>
    </w:p>
    <w:p>
      <w:pPr>
        <w:sectPr>
          <w:pgSz w:w="11900" w:h="16838" w:orient="portrait"/>
          <w:cols w:equalWidth="0" w:num="1">
            <w:col w:w="11240"/>
          </w:cols>
          <w:pgMar w:left="320" w:top="414" w:right="339" w:bottom="1440" w:gutter="0" w:footer="0" w:header="0"/>
          <w:type w:val="continuous"/>
        </w:sectPr>
      </w:pPr>
    </w:p>
    <w:p>
      <w:pPr>
        <w:spacing w:after="0" w:line="51" w:lineRule="exact"/>
        <w:rPr>
          <w:sz w:val="24"/>
          <w:szCs w:val="24"/>
          <w:color w:val="auto"/>
        </w:rPr>
      </w:pPr>
    </w:p>
    <w:p>
      <w:pPr>
        <w:ind w:left="36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(833) 509-4583</w:t>
      </w:r>
    </w:p>
    <w:p>
      <w:pPr>
        <w:spacing w:after="0" w:line="59"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jc w:val="center"/>
              <w:ind w:left="634"/>
              <w:spacing w:after="0"/>
              <w:rPr>
                <w:sz w:val="20"/>
                <w:szCs w:val="20"/>
                <w:color w:val="auto"/>
              </w:rPr>
            </w:pPr>
            <w:r>
              <w:rPr>
                <w:rFonts w:ascii="Arial" w:cs="Arial" w:eastAsia="Arial" w:hAnsi="Arial"/>
                <w:sz w:val="13"/>
                <w:szCs w:val="13"/>
                <w:b w:val="1"/>
                <w:bCs w:val="1"/>
                <w:color w:val="auto"/>
                <w:w w:val="86"/>
              </w:rPr>
              <w:t>Title of Each Class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7"/>
              </w:rPr>
              <w:t>Trading Symbol(s)</w:t>
            </w:r>
          </w:p>
        </w:tc>
        <w:tc>
          <w:tcPr>
            <w:tcW w:w="3600" w:type="dxa"/>
            <w:vAlign w:val="bottom"/>
          </w:tcPr>
          <w:p>
            <w:pPr>
              <w:jc w:val="center"/>
              <w:ind w:right="254"/>
              <w:spacing w:after="0"/>
              <w:rPr>
                <w:sz w:val="20"/>
                <w:szCs w:val="20"/>
                <w:color w:val="auto"/>
              </w:rPr>
            </w:pPr>
            <w:r>
              <w:rPr>
                <w:rFonts w:ascii="Arial" w:cs="Arial" w:eastAsia="Arial" w:hAnsi="Arial"/>
                <w:sz w:val="13"/>
                <w:szCs w:val="13"/>
                <w:b w:val="1"/>
                <w:bCs w:val="1"/>
                <w:color w:val="auto"/>
                <w:w w:val="85"/>
              </w:rPr>
              <w:t>Name of Exchange on which Registered</w:t>
            </w:r>
          </w:p>
        </w:tc>
      </w:tr>
      <w:tr>
        <w:trPr>
          <w:trHeight w:val="154"/>
        </w:trPr>
        <w:tc>
          <w:tcPr>
            <w:tcW w:w="3260" w:type="dxa"/>
            <w:vAlign w:val="bottom"/>
            <w:tcBorders>
              <w:top w:val="single" w:sz="8" w:color="auto"/>
            </w:tcBorders>
          </w:tcPr>
          <w:p>
            <w:pPr>
              <w:jc w:val="center"/>
              <w:ind w:left="634"/>
              <w:spacing w:after="0"/>
              <w:rPr>
                <w:sz w:val="20"/>
                <w:szCs w:val="20"/>
                <w:color w:val="auto"/>
              </w:rPr>
            </w:pPr>
            <w:r>
              <w:rPr>
                <w:rFonts w:ascii="Arial" w:cs="Arial" w:eastAsia="Arial" w:hAnsi="Arial"/>
                <w:sz w:val="13"/>
                <w:szCs w:val="13"/>
                <w:color w:val="auto"/>
                <w:w w:val="87"/>
              </w:rPr>
              <w:t>Common Stock, $0.001 Par Value</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ASMB</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tcPr>
          <w:p>
            <w:pPr>
              <w:jc w:val="center"/>
              <w:ind w:right="254"/>
              <w:spacing w:after="0"/>
              <w:rPr>
                <w:sz w:val="20"/>
                <w:szCs w:val="20"/>
                <w:color w:val="auto"/>
              </w:rPr>
            </w:pPr>
            <w:r>
              <w:rPr>
                <w:rFonts w:ascii="Arial" w:cs="Arial" w:eastAsia="Arial" w:hAnsi="Arial"/>
                <w:sz w:val="13"/>
                <w:szCs w:val="13"/>
                <w:color w:val="auto"/>
                <w:w w:val="88"/>
              </w:rPr>
              <w:t>The Nasdaq Global Select Market</w:t>
            </w:r>
          </w:p>
        </w:tc>
      </w:tr>
      <w:tr>
        <w:trPr>
          <w:trHeight w:val="206"/>
        </w:trPr>
        <w:tc>
          <w:tcPr>
            <w:tcW w:w="3260" w:type="dxa"/>
            <w:vAlign w:val="bottom"/>
          </w:tcPr>
          <w:p>
            <w:pPr>
              <w:spacing w:after="0"/>
              <w:rPr>
                <w:sz w:val="17"/>
                <w:szCs w:val="17"/>
                <w:color w:val="auto"/>
              </w:rPr>
            </w:pPr>
          </w:p>
        </w:tc>
        <w:tc>
          <w:tcPr>
            <w:tcW w:w="438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4"/>
                <w:szCs w:val="14"/>
                <w:color w:val="auto"/>
                <w:w w:val="91"/>
              </w:rPr>
              <w:t>None</w:t>
            </w:r>
          </w:p>
        </w:tc>
        <w:tc>
          <w:tcPr>
            <w:tcW w:w="3600" w:type="dxa"/>
            <w:vAlign w:val="bottom"/>
          </w:tcPr>
          <w:p>
            <w:pPr>
              <w:spacing w:after="0"/>
              <w:rPr>
                <w:sz w:val="17"/>
                <w:szCs w:val="17"/>
                <w:color w:val="auto"/>
              </w:rPr>
            </w:pPr>
          </w:p>
        </w:tc>
      </w:tr>
      <w:tr>
        <w:trPr>
          <w:trHeight w:val="232"/>
        </w:trPr>
        <w:tc>
          <w:tcPr>
            <w:tcW w:w="7640" w:type="dxa"/>
            <w:vAlign w:val="bottom"/>
            <w:gridSpan w:val="6"/>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36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61" w:lineRule="exact"/>
        <w:tabs>
          <w:tab w:leader="none" w:pos="808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9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120" w:val="left"/>
          <w:tab w:leader="none" w:pos="75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82" w:lineRule="exact"/>
        <w:rPr>
          <w:sz w:val="24"/>
          <w:szCs w:val="24"/>
          <w:color w:val="auto"/>
        </w:rPr>
      </w:pPr>
    </w:p>
    <w:p>
      <w:pPr>
        <w:jc w:val="both"/>
        <w:spacing w:after="0" w:line="251"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2020, was $756.9 million. Such aggregate market value was computed by reference to the closing price of the common stock as reported on the Nasdaq Global Select Market on June 30, 2020. For purposes of making this calculation only, the registrant has defined affiliates as including only (1) directors, (2) executive officers and (3) certain stockholders, if any, that hold greater than 10% of the voting stock of the registrant, in each case, as of June 30, 2020.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2021, there were 38,246,092 shares of the registrant’s common stock, $0.001 par value per share, outstanding.</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Part III of this Annual Report on Form 10-K incorporates information by reference to portions of the definitive proxy statement for the Company’s Annual Meeting of Stockholders to be held in 2021, to be filed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9180" w:type="dxa"/>
            <w:vAlign w:val="bottom"/>
          </w:tcPr>
          <w:p>
            <w:pPr>
              <w:ind w:left="3320"/>
              <w:spacing w:after="0"/>
              <w:rPr>
                <w:sz w:val="20"/>
                <w:szCs w:val="20"/>
                <w:color w:val="auto"/>
              </w:rPr>
            </w:pPr>
            <w:r>
              <w:rPr>
                <w:rFonts w:ascii="Arial" w:cs="Arial" w:eastAsia="Arial" w:hAnsi="Arial"/>
                <w:sz w:val="18"/>
                <w:szCs w:val="18"/>
                <w:b w:val="1"/>
                <w:bCs w:val="1"/>
                <w:color w:val="auto"/>
              </w:rPr>
              <w:t>ASSEMBLY BIOSCIENCES, INC.</w:t>
            </w:r>
          </w:p>
        </w:tc>
        <w:tc>
          <w:tcPr>
            <w:tcW w:w="11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91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9"/>
        </w:trPr>
        <w:tc>
          <w:tcPr>
            <w:tcW w:w="940" w:type="dxa"/>
            <w:vAlign w:val="bottom"/>
            <w:tcBorders>
              <w:bottom w:val="single" w:sz="8" w:color="CFF0FC"/>
            </w:tcBorders>
          </w:tcPr>
          <w:p>
            <w:pPr>
              <w:spacing w:after="0"/>
              <w:rPr>
                <w:sz w:val="24"/>
                <w:szCs w:val="24"/>
                <w:color w:val="auto"/>
              </w:rPr>
            </w:pPr>
          </w:p>
        </w:tc>
        <w:tc>
          <w:tcPr>
            <w:tcW w:w="9180" w:type="dxa"/>
            <w:vAlign w:val="bottom"/>
            <w:tcBorders>
              <w:bottom w:val="single" w:sz="8" w:color="CFF0FC"/>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23"/>
        </w:trPr>
        <w:tc>
          <w:tcPr>
            <w:tcW w:w="940" w:type="dxa"/>
            <w:vAlign w:val="bottom"/>
            <w:shd w:val="clear" w:color="auto" w:fill="CFF0FC"/>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9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918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shd w:val="clear" w:color="auto" w:fill="CFF0FC"/>
          </w:tcPr>
          <w:p>
            <w:pPr>
              <w:spacing w:after="0"/>
              <w:rPr>
                <w:rFonts w:ascii="Arial" w:cs="Arial" w:eastAsia="Arial" w:hAnsi="Arial"/>
                <w:sz w:val="18"/>
                <w:szCs w:val="18"/>
                <w:color w:val="0000EE"/>
              </w:rPr>
            </w:pPr>
            <w:hyperlink w:anchor="page21">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1B.</w:t>
              </w:r>
            </w:hyperlink>
          </w:p>
        </w:tc>
        <w:tc>
          <w:tcPr>
            <w:tcW w:w="918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Unresolved Staff Comments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Properties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918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w:t>
              </w:r>
            </w:hyperlink>
          </w:p>
        </w:tc>
        <w:tc>
          <w:tcPr>
            <w:tcW w:w="9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6.</w:t>
              </w:r>
            </w:hyperlink>
          </w:p>
        </w:tc>
        <w:tc>
          <w:tcPr>
            <w:tcW w:w="9180" w:type="dxa"/>
            <w:vAlign w:val="bottom"/>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Selected Financial Data</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7.</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Financial Condition and Results of Operation</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8.</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Financial Statements and Supplementary Data</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9.</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shd w:val="clear" w:color="auto" w:fill="CFF0FC"/>
          </w:tcPr>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9B.</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40" w:type="dxa"/>
            <w:vAlign w:val="bottom"/>
            <w:shd w:val="clear" w:color="auto" w:fill="CFF0FC"/>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III</w:t>
              </w:r>
            </w:hyperlink>
          </w:p>
        </w:tc>
        <w:tc>
          <w:tcPr>
            <w:tcW w:w="9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6"/>
        </w:trPr>
        <w:tc>
          <w:tcPr>
            <w:tcW w:w="94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Directors, Executive Officers and Corporate Governance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shd w:val="clear" w:color="auto" w:fill="CFF0FC"/>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11.</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Executive Compensation</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Security Ownership of Certain Beneficial Owners and Management and Related Stockholder Matters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shd w:val="clear" w:color="auto" w:fill="CFF0FC"/>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9180" w:type="dxa"/>
            <w:vAlign w:val="bottom"/>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Principal Accounting Fees and Services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shd w:val="clear" w:color="auto" w:fill="CFF0FC"/>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9180" w:type="dxa"/>
            <w:vAlign w:val="bottom"/>
            <w:shd w:val="clear" w:color="auto" w:fill="CFF0FC"/>
          </w:tcPr>
          <w:p>
            <w:pPr>
              <w:ind w:left="2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Exhibits, Financial Statement Schedules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0" w:type="dxa"/>
            <w:vAlign w:val="bottom"/>
          </w:tcPr>
          <w:p>
            <w:pPr>
              <w:spacing w:after="0"/>
              <w:rPr>
                <w:rFonts w:ascii="Arial" w:cs="Arial" w:eastAsia="Arial" w:hAnsi="Arial"/>
                <w:sz w:val="18"/>
                <w:szCs w:val="18"/>
                <w:color w:val="0000EE"/>
              </w:rPr>
            </w:pPr>
            <w:hyperlink w:anchor="page61">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9180" w:type="dxa"/>
            <w:vAlign w:val="bottom"/>
          </w:tcPr>
          <w:p>
            <w:pPr>
              <w:ind w:left="20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Form 10-K Summary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120" w:type="dxa"/>
            <w:vAlign w:val="bottom"/>
            <w:gridSpan w:val="2"/>
            <w:shd w:val="clear" w:color="auto" w:fill="CFF0FC"/>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Financial Statements</w:t>
              </w:r>
            </w:hyperlink>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Throughout this Annual Report on Form 10-K, the “Company,” “Assembly,” “we,” “us,” and “our,” except where the context requires otherwise, refer to Assembly Biosciences, Inc. and its consolidated subsidiaries, and “our board of directors” refers to the board of directors of Assembly Biosciences,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contains “forward-looking statements” that are subject to certain risks and uncertainties, including, without limitation, those set forth in Part I, Item 1A under the heading “Risk Factors,” that could cause actual results to materially differ. The forward-looking statements in this Annual Report on Form 10-K include, among other things, statements about:</w:t>
      </w:r>
    </w:p>
    <w:p>
      <w:pPr>
        <w:spacing w:after="0" w:line="143"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clinical trials involving our chronic hepatitis B virus (HBV) therapeutic product candidates in the currently anticipated timeframes;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studies may not warrant further development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19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and commercialization of our HBV product candidates will be dependent on, and subject to, our collaboration agreement governing our activity in the China territory;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financial resources necessary to continue our clinical studies and fund business operations; and</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that the COVID-19 pandemic may have on our business and operations, including initiation and continuation of our clinical studies or timing of discussions with regulatory authorities.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biotechnology company advancing a novel class of oral therapeutic candidates for the treatment of chronic hepatitis B virus (HBV) infection. According to the World Health Organization (WHO), approximately 270 million people worldwide are chronically infected with HBV. Our research and development programs are pursuing multiple drug candidates designed to inhibit the HBV replication cycle and block the generation of covalently closed circular DNA (cccDNA), with the aim of discovering and developing finite and curative therapies for patients with HBV. We have discovered several novel core inhibitors, which are small molecules that directly target and allosterically modulate the HBV core (HBc) protein in a way that affects assembly and stability of HBV nucleocapsids.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ongoing COVID-19 pandemic has affected certain aspects of our business. As further detailed below, those effects have been primarily limited to where and how our employees work in our labs and offices. To date, our current and future planned clinical trials and pre-clinical studies have not been subject to significant impact as a result of the COVID-19 pandemic.</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discovering and developing finite and curative therapies for HBV. Our Microbiome program had been developing a novel class of oral live microbial biotherapeutics candidates designed to treat disorders associated with the microbiome.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Background</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is a leading global cause of chronic liver disease and liver transplants. The WHO estimates that approximately 270 million people worldwide are infected with HBV and 887,000 people died in 2015 as a result of HBV, mostly from complications, including cirrhosis and hepatocellular carcinoma. HBV is a global epidemic and infects more than twice the number of people infected with hepatitis C virus and HIV infections combined, according to the WHO as of the end of 2019. Of the approximately 270 million people living with HBV infection, only approximately 30 million were aware of their infection, and only approximately 5 million of those diagnosed received treatment. Few treated patients exhibit cure, defined herein as sustained viral suppression (more than six months) of HBV DNA (less than the lower limit of quantification (LLOQ)) after a finite duration of therapy.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new mechanisms used to treat chronic HBV approved in 25 years. Current therapeutic options for HBV include:</w:t>
      </w:r>
    </w:p>
    <w:p>
      <w:pPr>
        <w:spacing w:after="0" w:line="181" w:lineRule="exact"/>
        <w:rPr>
          <w:sz w:val="20"/>
          <w:szCs w:val="20"/>
          <w:color w:val="auto"/>
        </w:rPr>
      </w:pPr>
    </w:p>
    <w:p>
      <w:pPr>
        <w:jc w:val="both"/>
        <w:ind w:left="880" w:hanging="440"/>
        <w:spacing w:after="0" w:line="25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Direct Acting Antiviral medications (Nucelos(t)ide analog reverse transcriptase inhibitors (NrtIs)). </w:t>
      </w:r>
      <w:r>
        <w:rPr>
          <w:rFonts w:ascii="Arial" w:cs="Arial" w:eastAsia="Arial" w:hAnsi="Arial"/>
          <w:sz w:val="18"/>
          <w:szCs w:val="18"/>
          <w:color w:val="auto"/>
        </w:rPr>
        <w:t>Several antiviral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lamivudine (Epivir®), adefovir (Hepsera®), telbivudine (Tyzeka®), tenofovir alafenamide (Vemlidy®), tenofovir disoproxil fumarate (Viread®) and entecavir (Baraclude®)—effectively reduce circulating virus levels by inhibiting reverse transcription. Chronic therapy with these agents can result in reduced liver inflammation and fibrosis. Unfortunately, these are rarely curative, even after years of therapy, and viral replication resumes when therapy is stopped.</w:t>
      </w:r>
    </w:p>
    <w:p>
      <w:pPr>
        <w:spacing w:after="0" w:line="142" w:lineRule="exact"/>
        <w:rPr>
          <w:rFonts w:ascii="Arial" w:cs="Arial" w:eastAsia="Arial" w:hAnsi="Arial"/>
          <w:sz w:val="18"/>
          <w:szCs w:val="18"/>
          <w:color w:val="auto"/>
        </w:rPr>
      </w:pPr>
    </w:p>
    <w:p>
      <w:pPr>
        <w:jc w:val="both"/>
        <w:ind w:left="880" w:hanging="440"/>
        <w:spacing w:after="0" w:line="26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Pegylated Interferon alfa (Peg-IFNα or interferon). </w:t>
      </w:r>
      <w:r>
        <w:rPr>
          <w:rFonts w:ascii="Arial" w:cs="Arial" w:eastAsia="Arial" w:hAnsi="Arial"/>
          <w:sz w:val="18"/>
          <w:szCs w:val="18"/>
          <w:color w:val="auto"/>
        </w:rPr>
        <w:t>This synthetic version of a substance produced by the body to fight infection is used</w:t>
      </w:r>
      <w:r>
        <w:rPr>
          <w:rFonts w:ascii="Arial" w:cs="Arial" w:eastAsia="Arial" w:hAnsi="Arial"/>
          <w:sz w:val="18"/>
          <w:szCs w:val="18"/>
          <w:b w:val="1"/>
          <w:bCs w:val="1"/>
          <w:color w:val="auto"/>
        </w:rPr>
        <w:t xml:space="preserve"> </w:t>
      </w:r>
      <w:r>
        <w:rPr>
          <w:rFonts w:ascii="Arial" w:cs="Arial" w:eastAsia="Arial" w:hAnsi="Arial"/>
          <w:sz w:val="18"/>
          <w:szCs w:val="18"/>
          <w:color w:val="auto"/>
        </w:rPr>
        <w:t>mainly for people infected with HBV who do not want to undergo long-term treatment (e.g., patients who might want to become pregnant within a few years). It is administered by injection. Cure rates are relatively low and side effects may be severe, including flu-like symptoms and depression.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goal is to discover and develop finite and curative therapies for those chronically infected with HBV. Our efforts to forge a new and differentiated path to develop finite and curative therapies for chronic HBV infection are inspired by the millions living with this condition worldwide. While we have learned that combination therapy of our first-generation core inhibitor product candidate, vebicorvir (VBR), with NrtIs alone will not result in a finite and curative treatment, we believe that a regimen of core inhibitors in combination with NrtI therapy will be the antiviral backbone of future finite and curative therapies. As a result, our business strategy is focused on three parallel paths:</w:t>
      </w:r>
    </w:p>
    <w:p>
      <w:pPr>
        <w:spacing w:after="0" w:line="147" w:lineRule="exact"/>
        <w:rPr>
          <w:sz w:val="20"/>
          <w:szCs w:val="20"/>
          <w:color w:val="auto"/>
        </w:rPr>
      </w:pPr>
    </w:p>
    <w:p>
      <w:pPr>
        <w:ind w:left="880" w:right="20" w:hanging="440"/>
        <w:spacing w:after="0" w:line="30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and advancing VBR, ABI-H2158 (2158) and ABI-H3733 (3733), our current clinical-stage core inhibitor product candidates, and identifying and selecting a fourth-generation core inhibitor product candidate with a profile superior to 2158 and 3733;</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Assessing core inhibitors in multi-drug combination studies, adding non-overlapping mechanisms of action to the core inhibitor + NrtI backbone; and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Discovering and developing additional compounds beyond core inhibitors, including a cccDNA disruptor and a number of other recently initiated novel pre-clinical programs.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respect to our core inhibitor pipeline, we have concise, data-driven development plans to enable selection of the optimal core inhibitor to advance for finite and curative combination therapies for HBV. We intend to complement our core inhibitor programs with additional new mechanisms of action discovered and developed internally as well as externally through collaborations, licenses, partnerships and other types of business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Primary Focus: Targeting HBV Core Protein to Achieve a Cure</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HBV is a DNA virus that infects hepatocytes and establishes a reservoir of cccDNA, a unique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highly conserved viral structural protein that has no human homologue and is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 Our pipeline therefore offers the potential for both first-in-class and best-in-class compounds that target critical steps involved in cccDNA generation and the HBV viral replication cycle. We believe that our approach of targeting viral core protein and its related functions provides a promising foundation for finite and curative HBV treatment regimens.</w:t>
      </w:r>
    </w:p>
    <w:p>
      <w:pPr>
        <w:spacing w:after="0" w:line="1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benchmark for therapeutic agents aiming to decrease cccDNA levels is the use of several key viral antigens as surrogate biomarkers of active cccDNA. The same biomarkers can be used in both primary human hepatocyte cells and patients. On this basis, our core inhibitors have shown preclinical proof of principle. In a variety of cell culture models, core inhibitors have demonstrated the ability to reduce production of viral HBV DNA levels as well as the surrogate markers for cccDNA establishment: HBV e antigen (HBeAg), HBV core related antigen (HBcrAg), and viral pre-genomic RNA (pgRNA).</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pursuit of our goal of developing finite and curative therapies for patients with chronic HBV infection, we plan on advancing the optimal core inhibitor in our portfolio for use as an anti-viral backbone with NrtI. While we have three candidates in clinical studies and are working towards identifying a fourth-generation candidate later this year, we will follow a disciplined, data-driven approach to identify the optimal candidate(s) to produce potentially higher cure rates than are currently obtainable for patients with chronic HBV infection under the current standard of 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Inhibitor Product Candidates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clinical strategy encompasses testing core inhibitors first as a monotherapy in Phase 1, as required by regulatory agencies, to demonstrate their intrinsic antiviral activity and safety and subsequently in Phase 2 in combination with NrtI and potentially other classes of HBV therapies.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i w:val="1"/>
          <w:iCs w:val="1"/>
          <w:color w:val="auto"/>
        </w:rPr>
        <w:t>Vebicorvir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VBR, our lead core inhibitor product candidate, is licensed from Indiana University. The conduct of the Phase 2 studies, Study 201 and 202 and our open-label extension study, Study 211, are all complete. We presented interim updates on our clinical studies at a variety of conferences, including at the European Association for the Study of the Liver’s (EASL) Digital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August 2020 and the American Association for the Study of Liver Diseases (AASLD) Annual Meeting in November 2020.</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most recently completed study for VBR, Study 211, involved transitioning patients who met the requisite stopping criteria, as determined with our lead investigators and the U.S. Food and Drug Administration (FDA), off of therapy to test for sustained virologic response (SVR). SVR refers to sustained viral suppression (more than six months) of HBV DNA below LLOQ and would be consistent with a successful finite treatment for HBV. In November 2020, it became clear that patients who stopped therapy in Study 211 had not achieved meaningful SVR rates as 39 of 41 patients relapsed, meaning they had detectable HBV. We continue to analyze Study 211 data and intend to submit more detailed findings to a future medical meeting; however, it is clear that combination therapy of VBR plus NrtI alone is not sufficient to cure HBV. Based on these results, we terminated Study 211 prior to its completion.</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off-treatment results in Study 211, the Phase 2 studies demonstrated on-treatment that subjects receiving VBR plus NrtI achieved faster and deeper suppression of viral replication compared to placebo. Based on this data, we believed that the addition of VBR to NrtI therapy could potentially help two patient populations as a chronic suppressive treatment (CST): (1) treatment-naïve patients, for whom addition of VBR to NrtI could lead to faster and deeper viral suppression and (2) partially virologically suppressed patients who continue to have viral levels above LLOQ by commercial assays, for whom the addition of VBR to NrtI could suppress viral levels below what could be achieved by NrtI alone.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preparation for registrational studies for VBR in CST in 2020, we held a number of discussions with leading viral hepatitis experts regarding use of VBR as a CST. In addition, we initiated an additional Phase 2 study of VBR, Study 205, to evaluate treatment intensification with VBR in patients with chronic HBV infection who are only partially virologically suppressed on NrtI.</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half of 2020, we also held an End-of-Phase 2 meeting with the National Medical Products Administration, Center for Drug Evaluation, China, and reached agreement on a Phase 3 registrational program for CST use of VBR plus NrtI. We also had discussions with the FDA regarding the same Phase 3 registrational program.</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we recently decided to not move forward with the global registrational studies for VBR as a chronic suppressive treatment (CST) with NrtI. The decision was made to focus on the greatest unmet medical need of patients, which lies predominantly in cure, rather than CST. As a result, we also expect to terminate Study 205, as we focus our efforts with VBR moving forward in combination with NrtI and additional mechanisms targeting finite and curative combination therapy.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second-generation core inhibitor product candidate, 2158, was internally discovered and developed and is chemically distinct from VBR.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the final data from dose-ranging cohorts of the Phase 1b portion of the Phase 1a/1b dose-ranging clinical study at EASL in August 2020. Based on data from the Phase 1b dose-ranging study, we initiated a Phase 2 clinical study in June 2020 using a 300 mg daily dose of 2158. This study is being conducted in approximately ten countries in Asia, North America and Europe. We expect interim data from this study in the second half of 2021. While we will continue to monitor the situation closely, at this time, we do not expect our timelines for this study to be significantly impacted by the COVID-19 pandemic.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third core inhibitor product candidate, 3733, has completed Investigational New Drug (IND) enabling studies. 3733 has a novel chemical scaffold separate from both VBR and 2158. We presented a preclinical profile of this candidate in the first quarter of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In the first quarter of 2020, we initiated a Phase 1a clinical study to evaluate safety, tolerability and pharmacokinetics (PK) following single ascending dose and multiple ascending dose administration of 3733 in healthy subjects in New Zealand. Conduct for the study was completed in the fourth quarter of 2020 and preliminary data indicate that 3733 was generally well-tolerated and had favorable PK.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selecting a fourth-generation core inhibitor candidate, which we anticipate in the first half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Inhibitor Collaboration and License Agreements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Indiana University Research and Technology Corporation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are obligated to make milestone payments based upon the successful accomplishment of clinical and regulatory milestones. The aggregate amount of all performance milestone payments under the IURTC License Agreement, should all performance milestones through development be met, is $0.8 million, with a portion related to the first performance milestone having been paid. Under the IURTC License Agreement, we are also obligated to pay IURTC royalties based on net sales of the licensed technology ranging from 0.5% to 1.75%. In addition, under the IURTC License Agreement, we pay annual diligence maintenance fees of $0.1 million. Milestone payments received by IURTC are fully creditable against the annual diligence maintenance fee for the year in which the milestone payments are received.</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IURTC License Agreement may be terminated by us, with or without cause, upon 90 days advance written notice, by IURTC upon our material breach with 60 days advance written notice or by IURTC, in certain cases, upon our insolvency or bankruptcy immediately upon written notice.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BeiGene, Ltd.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we entered into a Collaboration Agreement with BeiGene, granting BeiGene an exclusive, royalty-bearing license to develop and commercialize products containing VBR, 2158 and 3733 (the BeiGene Agreement) in the People’s Republic of China, Hong Kong, Taiwan and Macau (the Territory).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BeiGene Agreement, we and BeiGene will collaborate on development activities with respect to the licensed products in accordance with a mutually agreed upon development plan.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BeiGene paid us an upfront amount of $40.0 million, and we are eligible to receive up to approximately $500.0 million in milestone payments, comprised of up to $113.8 million in development and regulatory and $385.0 million in net sales milestone payments. In addition, we are eligible to receive tiered royalties at percentages ranging from the mid-teens to the low 30s of net sales. BeiGene has also agreed to pay all development and regulatory costs up to an aggregate of $45.0 million in the Territory for VBR, 2158 and 3733. Following this initial investment, we and BeiGene will share development costs for the Territory equally.</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after 2158 and 3733 reach the end of Phase 2 clinical trials, we and BeiGene are unable to mutually agree on the terms of a Phase 3 global study, BeiGene may elect to terminate the BeiGene Agreement solely as it relates to that compound, as applicable. Such a termination would result in us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Multi-Drug Combination Studies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core inhibitors and NrtI will be central to finite and curative therapies for chronic HBV infection. Therefore, as we continue to develop and advance our current and future core inhibitors through clinical studies, we plan to conduct multi-drug combination studies in parallel that add additional drugs (or compounds) with non-overlapping mechanisms of action to the core inhibitor + NrtI antiviral backbone. Specifically, we plan on only incorporating our current and future core inhibitors that have demonstrated they are well-tolerated and effective in clinical studies in dual combination with NrtI. As the 300 mg daily dose of VBR has been observed to be well-tolerated in all studies conducted to date, with no serious adverse effects or dose-limiting toxicities identified and no pattern of treatment-emergent clinical or laboratory abnormalities observed and has progressed beyond dual combination studies, we currently have two triple combination studies planned to study VBR in combination with NrtI and a third mechanism of action.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entered into a Clinical Trial Agreement with Arbutus Biopharma Corporation (Arbutus), pursuant to which we and Arbutus will conduct a randomized, multi-center, open-label Phase 2 clinical trial to explore the safety, PK and antiviral activity of the triple combination of VBR, NrtI and AB-729 compared to the double combinations of VBR plus NrtI and AB-729 plus NrtI in virologically suppressed patients. This clinical study is projected to initiate in the first half of 2021.</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second triple combination study evaluates VBR and NrtI in combination with interferon in treatment-naïve HBeAg positive subjects and was initiated in the first quarter of 2021.</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above studies, we expect to continue to pursue additional multi-drug combinations that include other or additional non-overlapping mechanisms of action to the core inhibitor + NrtI antiviral backbone.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Beyond Core Inhibitors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development and advancement of our core inhibitor portfolio and our current and future multi-drug combination studies, our research and development team is working on discovering and developing a potent fourth-generation core inhibitor, cccDNA disruptors and small molecules targeting novel undisclosed targets to add to the core inhibitor + NrtI antiviral backbone to achieve cure. In November 2020, we entered into an exclusive, two-year collaboration and option agreement with Door Pharmaceuticals (Door Pharma) focused on the development of a novel class of HBV inhibitors. Door Pharma’s discovery platform targets functions of core protein distinct from viral assembly and have the potential to interfere with viral nucleic acid including intra-nuclear cccDNA, providing a strong complement to our current portfolio. Together with Door Pharma, we are working on identifying cccDNA disruptors, which will be aimed at inhibiting different intra-nuclear steps in the viral replication cycle that complement the activity of our core inhibitors.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will be granted an exclusive option to license compounds arising from the collaboration and will be responsible for the continued development and commercialization of optioned compounds.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regard to our HBV patent estate, we co-own with and exclusively license from Indiana University two issued U.S. patents and related foreign patents and patent applications that relate to compositions of matter and methods of using VBR. The issued U.S. patents are expected to expire in 2035 and 2036. In addition, we own a pending U.S. patent application and related foreign applications directed to a process for preparing VBR; any patents issuing therefrom are expected to expire in 2038. Finally, we own an international (PCT) patent application directed to formulations of VBR; any patents issuing therefrom are expected to expire in 2040.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pending U.S. patent application and related foreign applications that relate to compositions of matter and methods of using 2158; any patents issuing therefrom are expected to expire in 2038.</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PCT patent application that relates to compositions of matter and methods of using 3733; any patents issuing therefrom are expected to expire in 2039.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Microbiome Program</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termination of the Research, Development, Collaboration and License Agreement between the Company and Allergan Pharmaceuticals International Limited, which was acquired by AbbVie, Inc. in May 2020, we began an extensive process to identify strategic alternatives to continue the development of the Microbiome program upon the return of the related intellectual property rights. This process did not result in us receiving any bids on any portion of the Microbiome program, including our facility in Groton, Connecticut.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in December 2020, we and our Board of Directors (the Board) decided to wind down our Microbiome program as of January 31, 2021, including our facility in Groton, Connecticut, to prioritize and focus our resources on our HBV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85" w:lineRule="exact"/>
        <w:rPr>
          <w:sz w:val="20"/>
          <w:szCs w:val="20"/>
          <w:color w:val="auto"/>
        </w:rPr>
      </w:pPr>
    </w:p>
    <w:p>
      <w:pPr>
        <w:ind w:left="880" w:right="2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in compliance with the FDA’s good laboratory practice (GLP) regulations and applicable requirements for the humane use of laboratory animals or other applicable requirements;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site before each trial may be initiated;</w:t>
      </w:r>
    </w:p>
    <w:p>
      <w:pPr>
        <w:spacing w:after="0" w:line="19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good clinical practices (GCP), and any additional requirements for the protection of human research patients and their health information, to establish the safety and efficacy of the proposed drug for each indication;</w:t>
      </w:r>
    </w:p>
    <w:p>
      <w:pPr>
        <w:spacing w:after="0" w:line="143"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and</w:t>
      </w:r>
    </w:p>
    <w:p>
      <w:pPr>
        <w:spacing w:after="0" w:line="143"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i w:val="1"/>
          <w:iCs w:val="1"/>
          <w:color w:val="auto"/>
        </w:rPr>
        <w:t>Nonclinical studies and IND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Clinical studies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studies must be submitted within specific timeframes to the National Institutes of Health for public dissemination at www.clinicaltrials.gov.</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studies are typically conducted in three sequential phases, which may overlap or be combined:</w:t>
      </w:r>
    </w:p>
    <w:p>
      <w:pPr>
        <w:spacing w:after="0" w:line="185" w:lineRule="exact"/>
        <w:rPr>
          <w:sz w:val="20"/>
          <w:szCs w:val="20"/>
          <w:color w:val="auto"/>
        </w:rPr>
      </w:pPr>
    </w:p>
    <w:p>
      <w:pPr>
        <w:ind w:left="880" w:hanging="440"/>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or patients with the target disease or condition and tested for safety,</w:t>
      </w:r>
      <w:r>
        <w:rPr>
          <w:rFonts w:ascii="Arial" w:cs="Arial" w:eastAsia="Arial" w:hAnsi="Arial"/>
          <w:sz w:val="17"/>
          <w:szCs w:val="17"/>
          <w:i w:val="1"/>
          <w:iCs w:val="1"/>
          <w:color w:val="auto"/>
        </w:rPr>
        <w:t xml:space="preserve"> </w:t>
      </w:r>
      <w:r>
        <w:rPr>
          <w:rFonts w:ascii="Arial" w:cs="Arial" w:eastAsia="Arial" w:hAnsi="Arial"/>
          <w:sz w:val="17"/>
          <w:szCs w:val="17"/>
          <w:color w:val="auto"/>
        </w:rPr>
        <w:t>dosage tolerance, absorption, metabolism, distribution, excretion and, if possible, to gain an early indication of its effectiveness.</w:t>
      </w:r>
    </w:p>
    <w:p>
      <w:pPr>
        <w:spacing w:after="0" w:line="105" w:lineRule="exact"/>
        <w:rPr>
          <w:rFonts w:ascii="Arial" w:cs="Arial" w:eastAsia="Arial" w:hAnsi="Arial"/>
          <w:sz w:val="17"/>
          <w:szCs w:val="17"/>
          <w:color w:val="auto"/>
        </w:rPr>
      </w:pPr>
    </w:p>
    <w:p>
      <w:pPr>
        <w:ind w:left="880" w:right="20" w:hanging="440"/>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drug is administered to a limited patient population to identify possible adverse effects and safety risks, to preliminarily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the efficacy of the product for specific targeted diseases and to determine dosage tolerance and optimal dosage.</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in adequate and well-controlled clinical studies to generate sufficient data</w:t>
      </w:r>
      <w:r>
        <w:rPr>
          <w:rFonts w:ascii="Arial" w:cs="Arial" w:eastAsia="Arial" w:hAnsi="Arial"/>
          <w:sz w:val="18"/>
          <w:szCs w:val="18"/>
          <w:i w:val="1"/>
          <w:iCs w:val="1"/>
          <w:color w:val="auto"/>
        </w:rPr>
        <w:t xml:space="preserve"> </w:t>
      </w:r>
      <w:r>
        <w:rPr>
          <w:rFonts w:ascii="Arial" w:cs="Arial" w:eastAsia="Arial" w:hAnsi="Arial"/>
          <w:sz w:val="18"/>
          <w:szCs w:val="18"/>
          <w:color w:val="auto"/>
        </w:rPr>
        <w:t>to statistically confirm the efficacy and safety of the product for approval, to establish the overall risk-benefit profile of the product and to provide adequate information for the labeling of the product.</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suspected adverse reactions,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Marketing approval</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$2.9 million and the sponsor of an approved NDA is also subject to an annual program fee currently set at $0.3 million through September 30, 2021. These fees are typically adjusted on October 1 each year.</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i w:val="1"/>
          <w:iCs w:val="1"/>
          <w:color w:val="auto"/>
        </w:rPr>
        <w:t>Fast track designation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 In 2018 and 2020, the FDA granted fast track designation to VBR and 2158, respectively, for the treatment of patients with chronic HBV infection.</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Priority review</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 A fast track designated product candidate would ordinarily meet the FDA’s criteria for priority review.</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Accelerated approval</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Breakthrough therapy designation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i w:val="1"/>
          <w:iCs w:val="1"/>
          <w:color w:val="auto"/>
        </w:rPr>
        <w:t>Orphan drugs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or BLA. After the FDA grants orphan drug designation, the identity of the product and its potential orphan use are disclosed publicly by the FDA. Orphan drug designation does not shorten the duration of the regulatory review and approval process. The first NDA or BLA applicant to receive FDA approval for a particular active moiety to treat a particular disease with FDA orphan drug designation is entitled to a seven-year exclusive marketing period in the United States for that product and indication. During the seven-year exclusivity period, the FDA may not approve any other applications to market the same drug for the same orphan indication,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NDA/BLA application user fee.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Pediatric information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spacing w:after="0" w:line="161"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207"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Drug Samples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and Regulations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secure coverage and reimbursement for any product that might be approved for sale, we may need to conduct expensive pharmacoeconomic studies in order to demonstrate the medical necessity and cost-effectiveness of the product, in addition to the trials required to obtain FDA or other comparable regulatory approvals. Our product candidates may not be considered medically necessary or cost-effective. A payor’s decision to provide coverage for a drug product does not imply that an adequate reimbursement rate will be approved. Companies may also need to provide discounts to purchasers, private health plans or government healthcare programs. Third-party reimbursement may not be sufficient to enable us to maintain price levels high enough to realize an appropriate return on our investment in product development.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drug candidates that we are developing and could adversely affect our net revenue and results. Even if favorable coverage and reimbursement status is attained for one or more products for which we may receive regulatory approval, less favorable coverage policies and reimbursement rates may be implemented in the future.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In particular, in the United States, the Affordable Care Act (ACA) and its amendment, the Health Care and Education Reconciliation Act, contains provisions that may reduce the profitability of drug products, including, for example,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line="308" w:lineRule="auto"/>
        <w:rPr>
          <w:sz w:val="20"/>
          <w:szCs w:val="20"/>
          <w:color w:val="auto"/>
        </w:rPr>
      </w:pPr>
      <w:r>
        <w:rPr>
          <w:rFonts w:ascii="Arial" w:cs="Arial" w:eastAsia="Arial" w:hAnsi="Arial"/>
          <w:sz w:val="17"/>
          <w:szCs w:val="17"/>
          <w:color w:val="auto"/>
        </w:rPr>
        <w:t>increased rebates for drugs sold to Medicaid programs, extension of Medicaid rebates to Medicaid managed care plans, mandatory discounts for certain Medicare Part D beneficiaries and annual fees based on pharmaceutical companies’ share of sales to federal health care programs.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85"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under the Bipartisan Budget Act of 2018 (BBA);</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and teaching hospitals;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its enactment, there have been many judicial, Presidential, and Congressional challenges to numerous aspects of the ACA. For example, former President Trump issued several executive orders and other directives designed to delay, circumvent, or loosen certain requirements or implementation of certain requirements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For example, the Tax Cuts and Jobs Act, signed into law in 2017, effectively repealed the individual health insurance mandate, which is considered a key component of the ACA, and the U.S. Supreme Court recently heard oral arguments regarding the constitutionality of the ACA and the individual mandate, with a decision expected during the current term in 2021. Further, the Trump Administration’s 2020 federal spending package permanently eliminated, effective January 1, 2020, the ACA-mandated “Cadillac” tax on certain high-cost employer-sponsored insurance plans and, on January 1, 2021, eliminated the health insurer tax. Moreover, the BBA, among other things, amended the ACA to close the coverage gap in most Medicare drug plans, commonly referred to as the “donut hole”.</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2030, with the exception of a temporary suspension from May 1, 2020 through March 2021, unless additional Congressional action is taken.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the Trump Administration issued several executive orders related to prescription drug pricing and sent “principles” for drug pricing to Congress. In addition, in September 2020, the FDA issued a final rule that sets up a legal framework for allowing the importation of certain prescription drugs from Canada, and the Centers for Medicare &amp; Medicaid Services (CMS) issued guidance that addresses the treatment of certain imported drugs under the Medicaid Drug Rebate Program. In November 2020, the Trump Administration and the U.S. Department of Health and Human Services (HHS) announced regulations tying certain Medicare Part B drug prices to international drug prices, modifying certain federal Anti-Kickback Statute (AKS) safe harbors, including removing safe harbor protection for rebates negotiated between drug manufacturers and pharmacy benefit managers (PBMs) or health plan sponsors in Medicare Part D, and making further changes to the rules implementing the Stark Law, other AKS safe harbors and the beneficiary inducements provision in the civil monetary penalties law. On November 20, 2020, CMS issued an interim final rule implementing President Trump’s Most Favored Nation executive order, which would tie Medicare Part B payments for certain physician-administered drugs to the lowest price paid in other economically advanced countries. However, on December 28, 2020, the United States District Court in Northern California issued a nationwide preliminary injunction against implementation of the interim final rule, and CMS announced that the Most Favored Nation Model will not be implemented without further rulemaking. There also have been legal challenges to the modified AKS safe harbor for drug rebates, which delayed implementation of the modified safe harbor until January 1, 2023, pending HHS’s review, and gave the Biden Administration until April 1, 2021 to decide whether to defend the rebate rule in court. The Biden Administration also has issued a final rule to delay the effective date of other provisions of the rebate rule that were scheduled to take effect on January 29, 2021 to March 22, 2021. The likelihood of implementation of any of the other Trump Administration reform initiatives is uncertain, particularly in light of the change in presidential administrations.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Accordingly, the ultimate content, timing or effect of healthcare reform legislation on the United States healthcare industry is unclear.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and security provisions of the Health Insurance Portability and Accountability Act (HIPAA), federal transparency requirements and similar state laws, each as amended. The laws that may affect our ability to operate include:</w:t>
      </w:r>
    </w:p>
    <w:p>
      <w:pPr>
        <w:spacing w:after="0" w:line="137" w:lineRule="exact"/>
        <w:rPr>
          <w:sz w:val="20"/>
          <w:szCs w:val="20"/>
          <w:color w:val="auto"/>
        </w:rPr>
      </w:pPr>
    </w:p>
    <w:p>
      <w:pPr>
        <w:jc w:val="both"/>
        <w:ind w:left="880" w:hanging="440"/>
        <w:spacing w:after="0" w:line="25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54" w:lineRule="exact"/>
        <w:rPr>
          <w:rFonts w:ascii="Arial" w:cs="Arial" w:eastAsia="Arial" w:hAnsi="Arial"/>
          <w:sz w:val="18"/>
          <w:szCs w:val="18"/>
          <w:color w:val="auto"/>
        </w:rPr>
      </w:pPr>
    </w:p>
    <w:p>
      <w:pPr>
        <w:jc w:val="both"/>
        <w:ind w:left="880" w:hanging="440"/>
        <w:spacing w:after="0" w:line="279"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jc w:val="both"/>
        <w:ind w:left="880"/>
        <w:spacing w:after="0" w:line="257" w:lineRule="auto"/>
        <w:rPr>
          <w:sz w:val="20"/>
          <w:szCs w:val="20"/>
          <w:color w:val="auto"/>
        </w:rPr>
      </w:pPr>
      <w:r>
        <w:rPr>
          <w:rFonts w:ascii="Arial" w:cs="Arial" w:eastAsia="Arial" w:hAnsi="Arial"/>
          <w:sz w:val="18"/>
          <w:szCs w:val="18"/>
          <w:color w:val="auto"/>
        </w:rPr>
        <w:t>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47" w:lineRule="exact"/>
        <w:rPr>
          <w:sz w:val="20"/>
          <w:szCs w:val="20"/>
          <w:color w:val="auto"/>
        </w:rPr>
      </w:pPr>
    </w:p>
    <w:p>
      <w:pPr>
        <w:jc w:val="both"/>
        <w:ind w:left="880" w:hanging="440"/>
        <w:spacing w:after="0" w:line="25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54" w:lineRule="exact"/>
        <w:rPr>
          <w:rFonts w:ascii="Arial" w:cs="Arial" w:eastAsia="Arial" w:hAnsi="Arial"/>
          <w:sz w:val="18"/>
          <w:szCs w:val="18"/>
          <w:color w:val="auto"/>
        </w:rPr>
      </w:pPr>
    </w:p>
    <w:p>
      <w:pPr>
        <w:jc w:val="both"/>
        <w:ind w:left="88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129" w:lineRule="exact"/>
        <w:rPr>
          <w:rFonts w:ascii="Arial" w:cs="Arial" w:eastAsia="Arial" w:hAnsi="Arial"/>
          <w:sz w:val="18"/>
          <w:szCs w:val="18"/>
          <w:color w:val="auto"/>
        </w:rPr>
      </w:pPr>
    </w:p>
    <w:p>
      <w:pPr>
        <w:jc w:val="both"/>
        <w:ind w:left="880" w:hanging="440"/>
        <w:spacing w:after="0" w:line="273"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and</w:t>
      </w:r>
    </w:p>
    <w:p>
      <w:pPr>
        <w:spacing w:after="0" w:line="137"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General Data Protection Regulation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began taking enforcement action against violators beginning July 1, 2020. While there is currently an exception for protected health information that is subject to HIPAA and clinical trial regulations, as currently written, the CCPA may impact our business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Johnson &amp; Johnson, Roche, Gilead Sciences Inc., GlaxoSmithKline plc, Enanta Pharmaceuticals, Inc., HEC Pharma, Arbutus, Vir Bio and Aligos Therapeutics,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rely on third-party manufacturers to supply the quantities of VBR, 2158 and 3733 used in our clinical and nonclinical studies. We currently have no plans to establish any manufacturing facilities for our product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139 total employees and contracts with a number of temporary contractors, consultants and contract research organizations. Our employees are spread across facilities in South San Francisco, California, Groton, Connecticut and a small facility in China. We also have a small number of remote employees spread across the United States. During 2020, we increased our headcount by adding 51 new employees. The new employees were hired to support, extend and grow our clinical and preclinical pipeline, with new hires in clinical development and operations, research, manufacturing and general and administrative functions, including expanding our corporate development team. Following the wind-down of our Microbiome program on January 31, 2021, we had 95 total employees, with one employee remaining in Groton, Connecticut to manage the shutdown of that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7"/>
          <w:szCs w:val="17"/>
          <w:color w:val="auto"/>
        </w:rPr>
        <w:t>While we wound down our Microbiome program in early 2021, we expect to continue to add employees to support our HBV programs in 2021, with a focus on continuing to build out our clinical team to support ongoing and planned clinical development studies and building out our preclinical research and development team under our new Chief Scientific Officer, who joined us in May 2020. We continually evaluate our needs and make strategic choices regarding whether to hire internal teams or outsource certain functions to contract research organizations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compete with both large and small companies in our industry for a limited number of qualified applicants to fill highly specialized needs. We generally target our base salaries and annual performance-based cash bonuses at the 50</w:t>
      </w:r>
      <w:r>
        <w:rPr>
          <w:rFonts w:ascii="Arial" w:cs="Arial" w:eastAsia="Arial" w:hAnsi="Arial"/>
          <w:sz w:val="13"/>
          <w:szCs w:val="13"/>
          <w:color w:val="auto"/>
        </w:rPr>
        <w:t>th</w:t>
      </w:r>
      <w:r>
        <w:rPr>
          <w:rFonts w:ascii="Arial" w:cs="Arial" w:eastAsia="Arial" w:hAnsi="Arial"/>
          <w:sz w:val="16"/>
          <w:szCs w:val="16"/>
          <w:color w:val="auto"/>
        </w:rPr>
        <w:t xml:space="preserve"> percentile of our peers and our long-term equity incentive compensation, which all employees receive, between the 50</w:t>
      </w:r>
      <w:r>
        <w:rPr>
          <w:rFonts w:ascii="Arial" w:cs="Arial" w:eastAsia="Arial" w:hAnsi="Arial"/>
          <w:sz w:val="13"/>
          <w:szCs w:val="13"/>
          <w:color w:val="auto"/>
        </w:rPr>
        <w:t>th</w:t>
      </w:r>
      <w:r>
        <w:rPr>
          <w:rFonts w:ascii="Arial" w:cs="Arial" w:eastAsia="Arial" w:hAnsi="Arial"/>
          <w:sz w:val="16"/>
          <w:szCs w:val="16"/>
          <w:color w:val="auto"/>
        </w:rPr>
        <w:t xml:space="preserve"> and 75</w:t>
      </w:r>
      <w:r>
        <w:rPr>
          <w:rFonts w:ascii="Arial" w:cs="Arial" w:eastAsia="Arial" w:hAnsi="Arial"/>
          <w:sz w:val="13"/>
          <w:szCs w:val="13"/>
          <w:color w:val="auto"/>
        </w:rPr>
        <w:t>th</w:t>
      </w:r>
      <w:r>
        <w:rPr>
          <w:rFonts w:ascii="Arial" w:cs="Arial" w:eastAsia="Arial" w:hAnsi="Arial"/>
          <w:sz w:val="16"/>
          <w:szCs w:val="16"/>
          <w:color w:val="auto"/>
        </w:rPr>
        <w:t xml:space="preserve"> percentiles of our peers. In certain circumstances, we offer compensation above these levels, based on a candidate’s experience, criticality, amount of responsibility and either individual or Company-wide performance. Both annual 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an employee stock purchase plan; and paid family leave.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Shortly after the counties in the San Francisco Bay Area implemented a shelter-in-place order, followed quickly by California’s similar statewide order, we established a COVID-19 Task Force (the Task Force) that has held regular meetings since it was established. The Task Force, in conjunction with our Human Resources department, has taken the following actions in our effort to curb the pandemic:</w:t>
      </w:r>
    </w:p>
    <w:p>
      <w:pPr>
        <w:spacing w:after="0" w:line="143" w:lineRule="exact"/>
        <w:rPr>
          <w:sz w:val="20"/>
          <w:szCs w:val="20"/>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Drafting and distributing comprehensive COVID-19 office and exposure policies, and lab and safety protocols, each of which have been modified as federal, state and local governments have updated their guidance;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all employees who are able to do so to work remotely;</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Holding Company-wide virtual Town Hall meetings at least monthly to foster a sense of community given that the majority of our employees worked remotely;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cleaning protocols at U.S. office and lab facilities;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all employees with cloth face coverings and increasing availability of personal protective equipment to lab employees;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all work-related domestic and international travel;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masks to be worn at all Company locations.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Task Force will continue to hold regular meetings to discuss and update internal guidance and protocols until we determine that meetings are no longer necessary.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right="60"/>
        <w:spacing w:after="0" w:line="453" w:lineRule="auto"/>
        <w:rPr>
          <w:sz w:val="20"/>
          <w:szCs w:val="20"/>
          <w:color w:val="auto"/>
        </w:rPr>
      </w:pPr>
      <w:r>
        <w:rPr>
          <w:rFonts w:ascii="Arial" w:cs="Arial" w:eastAsia="Arial" w:hAnsi="Arial"/>
          <w:sz w:val="18"/>
          <w:szCs w:val="18"/>
          <w:color w:val="auto"/>
        </w:rPr>
        <w:t xml:space="preserve">Our principal executive office is at 331 Oyster Point Blvd., Fourth Floor, South San Francisco, California 94080. Our telephone number is (833) 409-4583. </w:t>
      </w:r>
      <w:r>
        <w:rPr>
          <w:rFonts w:ascii="Arial" w:cs="Arial" w:eastAsia="Arial" w:hAnsi="Arial"/>
          <w:sz w:val="18"/>
          <w:szCs w:val="18"/>
          <w:b w:val="1"/>
          <w:bCs w:val="1"/>
          <w:color w:val="auto"/>
        </w:rPr>
        <w:t>Available Information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is not a part of, and should not be construed as being incorporated by reference, into this report.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filed with the SEC by us and by our officers, directors and significant shareholders are available for review on the SEC’s website at www.sec.gov.</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other information in this report, including our consolidated financial statements and notes thereto, and in our other filings with the Securities and Exchange Commission.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no approved products and depend on the future success of our HBV program.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spread of COVID-19 could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contract research organizations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the laboratories of our CROs to maintain normal workflows. Even if we are able to timely collect clinical data while the outbreak is ongoing, COVID-19 may negatively affect the quality, completeness, integrity, interpretability and cost of obtaining such clinical study data.</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COVID-19 pandemic, governments around the world implemented significant measures to control the spread of the virus, including quarantines, travel restrictions, stay-at-home orders and business shutdowns. While governments have relaxed these measures as cases numbers go down, periodic surges in COVID-19 cases have, and may in the future, prompted many governments to reimplement these restrictions, including in Europe and the United States. We continue to take precautionary measures intended to minimize our employees’ potential exposure to the virus, including temporarily requiring all employees who are able to do so to work remotely and suspending all non-essential business travel worldwide for our employees. Requiring all employees to work remotely may disrupt our operations, increase the risk of a cybersecurity incident or otherwise negatively affect our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out-licensing,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fail to demonstrate the level of safety and efficacy necessary for product approval.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in humans. To meet these requirements, we must conduct extensive nonclinical testing and sufficient, well-controlled clinical studies.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results of nonclinical studies may not be representative of disease behavior in a clinical setting and thus may not be predictive of the outcomes of our clinical studies. In addition, the results of early clinical studies of product candidates may not be predictive of the results of later-stage clinical studies.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85"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cGMP for use in clinical studies due to manufacturing challenges, delays or interruptions in the supply chain;</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patients completing participation in a trial or return for post-treatment follow-up for any reason, including, product side effects or disease progression;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CROs to conduct some of this testing due to our lack of suitable facilities and resources.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have sufficient facilities or resources to conduct all of our anticipated nonclinical and clinical testing internally. As a result, we contract with CROs to conduct a significant portion of the nonclinical and clinical testing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the event CROs fail to perform their duties in such a fashion or we are unable to retain or continue with CROs on acceptable terms, we may not be able to complete our clinical studies and may fail to obtain regulatory approval for our product candidates.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programs. If the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 or trial.</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VBR, 2158 and 3733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not be 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not be able to do because the number of potential manufacturers is limited, and the FDA must evaluate and approve any new or replacement contractor.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ind w:left="880" w:right="2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in order to manufacture our product candidates, and if any third-party manufacturer makes improvements in the manufacturing process for our product candidates, we may not own, or may have to share, the intellectual property rights to the innovation.</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designations for VBR and 2158 may not result in faster development, regulatory review or approval.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Both VBR and 2158 have received Fast Track designation for the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VBR.</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license agreement with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w:t>
      </w:r>
    </w:p>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7"/>
          <w:szCs w:val="17"/>
          <w:color w:val="auto"/>
        </w:rPr>
        <w:t>Regulators globally are imposing greater monetary fines for privacy violations. The GDPR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California recently enacted the CCPA, which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The uncertainty surrounding the implementation of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and trade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10"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natural disasters or outbreaks of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Any patent applications that we own or license may fail to result in issued patents. In addition, the U.S. Patent and Trademark Office (the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6"/>
          <w:szCs w:val="16"/>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7"/>
          <w:szCs w:val="17"/>
          <w:color w:val="auto"/>
        </w:rPr>
        <w:t>In China, although the government has recently increased the lower and upper limits on penalties on producers of counterfeit and substandard pharmaceuticals, these penalties have not eliminated counterfeit pharmaceuticals.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(the Court of Chancery)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studies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lease office space for corporate and administrative functions and laboratory space in South San Francisco, California under a sub-sublease that expires in December 2023. Prior to moving into the South San Francisco office and laboratory space in February 2019, we leased office and laboratory space in San Francisco, California under a sublease that expired on February 28, 2019. The leased location in San Francisco, California supported both the HBV and Microbiome programs. We also conducted research, development and small-scale manufacturing activities for the Microbiome program at office and laboratory space in Groton, Connecticut under a lease that expires in March 2021. We also lease office space that was used for administrative functions in Carmel, Indiana under a lease agreement that expires in August 2023. In February 2021, we subleased substantially all of the office space under this lease.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leased facilities are adequate for our current needs and that additional space will be available in the future on commercially reasonable terms as needed.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under the symbol “ASMB” and is quoted on The Nasdaq Global Select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22, 2021, there were 67 stockholders of record, which excludes stockholders whose shares were held in nominee or street name by brokers.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dividends and do not anticipate paying any dividends on our common stock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included under the heading “Comparative Stock Performance Graph” in this Item 5 of Part II of this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graph comparing the total cumulative returns of our common stock, the Nasdaq Composite Index and the Nasdaq Biotechnology Index.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graph assumes $100 was invested in our common stock and each of the indices on December 31, 2015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166370</wp:posOffset>
            </wp:positionV>
            <wp:extent cx="5349240"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invested on December 31, 2015 in stock or index, including reinvestment of dividends.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12/31/2015</w:t>
            </w:r>
          </w:p>
        </w:tc>
        <w:tc>
          <w:tcPr>
            <w:tcW w:w="20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12/31/2016</w:t>
            </w: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12/31/2017</w:t>
            </w: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12/31/2018</w:t>
            </w:r>
          </w:p>
        </w:tc>
        <w:tc>
          <w:tcPr>
            <w:tcW w:w="2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12/31/2019</w:t>
            </w:r>
          </w:p>
        </w:tc>
        <w:tc>
          <w:tcPr>
            <w:tcW w:w="2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12/31/2020</w:t>
            </w:r>
          </w:p>
        </w:tc>
        <w:tc>
          <w:tcPr>
            <w:tcW w:w="100" w:type="dxa"/>
            <w:vAlign w:val="bottom"/>
            <w:tcBorders>
              <w:bottom w:val="single" w:sz="8" w:color="CFF0FC"/>
            </w:tcBorders>
          </w:tcPr>
          <w:p>
            <w:pPr>
              <w:spacing w:after="0"/>
              <w:rPr>
                <w:sz w:val="20"/>
                <w:szCs w:val="20"/>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Assembly Biosciences, Inc.</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602.53</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272.44</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Nasdaq Composite</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179.19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shd w:val="clear" w:color="auto" w:fill="CFF0FC"/>
          </w:tcPr>
          <w:p>
            <w:pPr>
              <w:spacing w:after="0"/>
              <w:rPr>
                <w:sz w:val="19"/>
                <w:szCs w:val="19"/>
                <w:color w:val="auto"/>
              </w:rPr>
            </w:pPr>
          </w:p>
        </w:tc>
      </w:tr>
      <w:tr>
        <w:trPr>
          <w:trHeight w:val="662"/>
        </w:trPr>
        <w:tc>
          <w:tcPr>
            <w:tcW w:w="47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9620" w:type="dxa"/>
            <w:vAlign w:val="bottom"/>
            <w:gridSpan w:val="7"/>
          </w:tcPr>
          <w:p>
            <w:pPr>
              <w:spacing w:after="0"/>
              <w:rPr>
                <w:sz w:val="20"/>
                <w:szCs w:val="20"/>
                <w:color w:val="auto"/>
              </w:rPr>
            </w:pPr>
            <w:r>
              <w:rPr>
                <w:rFonts w:ascii="Arial" w:cs="Arial" w:eastAsia="Arial" w:hAnsi="Arial"/>
                <w:sz w:val="18"/>
                <w:szCs w:val="18"/>
                <w:color w:val="auto"/>
                <w:w w:val="94"/>
              </w:rPr>
              <w:t>The following table sets forth the indicated information as of December 31, 2020 with respect to our equity compensation plans.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41"/>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24"/>
                <w:szCs w:val="24"/>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future</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exercise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of</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options,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warrants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rights</w:t>
            </w:r>
            <w:r>
              <w:rPr>
                <w:rFonts w:ascii="Arial" w:cs="Arial" w:eastAsia="Arial" w:hAnsi="Arial"/>
                <w:sz w:val="15"/>
                <w:szCs w:val="15"/>
                <w:b w:val="1"/>
                <w:bCs w:val="1"/>
                <w:color w:val="auto"/>
                <w:w w:val="90"/>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column (a))</w:t>
            </w:r>
          </w:p>
        </w:tc>
        <w:tc>
          <w:tcPr>
            <w:tcW w:w="360" w:type="dxa"/>
            <w:vAlign w:val="bottom"/>
          </w:tcPr>
          <w:p>
            <w:pPr>
              <w:spacing w:after="0"/>
              <w:rPr>
                <w:sz w:val="18"/>
                <w:szCs w:val="18"/>
                <w:color w:val="auto"/>
              </w:rPr>
            </w:pP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20"/>
                <w:szCs w:val="20"/>
                <w:color w:val="auto"/>
              </w:rPr>
            </w:pP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5,515,752</w:t>
            </w:r>
          </w:p>
        </w:tc>
        <w:tc>
          <w:tcPr>
            <w:tcW w:w="460" w:type="dxa"/>
            <w:vAlign w:val="bottom"/>
            <w:tcBorders>
              <w:top w:val="single" w:sz="8" w:color="CFF0FC"/>
            </w:tcBorders>
            <w:shd w:val="clear" w:color="auto" w:fill="CFF0FC"/>
          </w:tcPr>
          <w:p>
            <w:pPr>
              <w:jc w:val="right"/>
              <w:ind w:right="84"/>
              <w:spacing w:after="0"/>
              <w:rPr>
                <w:sz w:val="20"/>
                <w:szCs w:val="20"/>
                <w:color w:val="auto"/>
              </w:rPr>
            </w:pPr>
            <w:r>
              <w:rPr>
                <w:rFonts w:ascii="Arial" w:cs="Arial" w:eastAsia="Arial" w:hAnsi="Arial"/>
                <w:sz w:val="15"/>
                <w:szCs w:val="15"/>
                <w:color w:val="auto"/>
              </w:rPr>
              <w:t>(2)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2,355,332</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r>
      <w:tr>
        <w:trPr>
          <w:trHeight w:val="229"/>
        </w:trPr>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2,067,708</w:t>
            </w:r>
          </w:p>
        </w:tc>
        <w:tc>
          <w:tcPr>
            <w:tcW w:w="46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24,020</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7,583,460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2,379,352</w:t>
            </w:r>
          </w:p>
        </w:tc>
        <w:tc>
          <w:tcPr>
            <w:tcW w:w="36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308"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spacing w:after="0" w:line="119" w:lineRule="exact"/>
        <w:rPr>
          <w:rFonts w:ascii="Arial" w:cs="Arial" w:eastAsia="Arial" w:hAnsi="Arial"/>
          <w:sz w:val="17"/>
          <w:szCs w:val="17"/>
          <w:color w:val="auto"/>
        </w:rPr>
      </w:pPr>
    </w:p>
    <w:p>
      <w:pPr>
        <w:jc w:val="both"/>
        <w:ind w:left="440" w:hanging="432"/>
        <w:spacing w:after="0" w:line="291"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number includes the following: 363,161 shares subject to stock options granted under the 2010 Equity Incentive Plan (2010 Plan); 2,453,335 shares subject to outstanding awards granted under the Assembly Biosciences, Inc. Amended and Restated 2014 Stock Incentive Plan (2014 Plan), of which 2,296,823 were subject to outstanding stock options and 156,512 were subject to outstanding RSUs; 2,269,503 shares subject to outstanding awards granted under the Assembly Biosciences, Inc. 2018 Stock Incentive Plan, as amended (2018 Plan), of which 1,608,912 were subject to outstanding stock options, 624,106 were subject to outstanding RSUs and 36,485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2018 Employee Stock Purchase Plan (2018 ESPP).</w:t>
      </w:r>
    </w:p>
    <w:p>
      <w:pPr>
        <w:spacing w:after="0" w:line="125" w:lineRule="exact"/>
        <w:rPr>
          <w:rFonts w:ascii="Arial" w:cs="Arial" w:eastAsia="Arial" w:hAnsi="Arial"/>
          <w:sz w:val="16"/>
          <w:szCs w:val="16"/>
          <w:color w:val="auto"/>
        </w:rPr>
      </w:pPr>
    </w:p>
    <w:p>
      <w:pPr>
        <w:jc w:val="both"/>
        <w:ind w:left="440" w:hanging="432"/>
        <w:spacing w:after="0" w:line="259"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number includes: no shares under the 2010 Plan, which has been frozen; 85,968 shares available for issuance under the 2014 Plan; 2,037,029 shares available for issuance under the 2018 Plan and; 232,335 shares reserved for issuance under the 2018 ESPP. As of February 22, 2021, assuming each participant purchases the maximum number of shares in the current offering period, no more than 51,000 shares are subject to purchase in the current offering, which ends on May 14, 2021.</w:t>
      </w:r>
    </w:p>
    <w:p>
      <w:pPr>
        <w:spacing w:after="0" w:line="146"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number includes 791,028 shares subject to outstanding awards granted under the 2017 Inducement Award Plan (2017 Inducement Plan), of which 779,778 were subject to outstanding stock options and 11,250 were subject to outstanding RSUs; 500,000 shares subject to stock options granted under the 2019 Inducement Award Plan (2019 Inducement Plan).</w:t>
      </w:r>
    </w:p>
    <w:p>
      <w:pPr>
        <w:spacing w:after="0" w:line="143" w:lineRule="exact"/>
        <w:rPr>
          <w:rFonts w:ascii="Arial" w:cs="Arial" w:eastAsia="Arial" w:hAnsi="Arial"/>
          <w:sz w:val="18"/>
          <w:szCs w:val="18"/>
          <w:color w:val="auto"/>
        </w:rPr>
      </w:pPr>
    </w:p>
    <w:p>
      <w:pPr>
        <w:ind w:left="440" w:hanging="432"/>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number includes: 700 shares available for issuance under the 2017 Inducement Plan and no shares under the 2019 Inducement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2018, our stockholders approved the 2018 ESPP. The 2018 ESPP provides for the purchase by employees of up to an aggregate of 400,000 shares of the Company’s common stock. Eligible employees can purchase shares of our common stock at the end of a predetermined offering period at 85% of the lower of the fair market value at the beginning or end of the offering period.</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outstanding equity compensation arrangements that have not been approved by our stockholders consist of the 2017 Inducement Plan, the 2019 Inducement Plan and warrants to purchase shares of our common stock issued to one consultant. In April 2017, our board of directors adopted the 2017 Inducement Plan and reserved 800,000 shares of our common stock for issuance under the Inducement Plan, and in August 2019, our board of directors adopted the 2019 Inducement Plan and reserved 500,000 shares of our common stock for issuance under the 2019 Inducement Award Plan. The only persons eligible to receive grants of awards under the either the 2017 Inducement Plan or the 2019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selected balance sheet data for the years ended December 31, 2020 and 2019 and the statement of operations data for the years ended December 31, 2020, 2019 and 2018 should be read in conjunction with Part II, Item 7 “Management’s Discussion and Analysis of Financial Condition and Results of Operations” and in conjunction with the consolidated financial statements, related notes and other financial information included elsewhere in this Annual Report. The selected consolidated results of operation data for the years ended December 31, 2017 and 2016 and the balance sheet data for the years ended December 31, 2018, 2017 and 2016 have been derived from audited consolidated financial statements not included herein. Our historical results are not necessarily indicative of the results to be expected in the future.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 in thousands except for per share amounts)</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283,254</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339,907</w:t>
            </w:r>
          </w:p>
        </w:tc>
        <w:tc>
          <w:tcPr>
            <w:tcW w:w="12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268,045</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169,303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98,119</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79,878</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79,105</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15,963</w:t>
            </w:r>
          </w:p>
        </w:tc>
        <w:tc>
          <w:tcPr>
            <w:tcW w:w="12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14,804</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9,019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45,278</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(64,776)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(92,735)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(52,227)</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(45,278)</w:t>
            </w:r>
          </w:p>
        </w:tc>
      </w:tr>
      <w:tr>
        <w:trPr>
          <w:trHeight w:val="229"/>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(expenses) benefit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r>
      <w:tr>
        <w:trPr>
          <w:trHeight w:val="26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(97,634)</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(42,809)</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00" w:type="dxa"/>
            <w:vAlign w:val="bottom"/>
            <w:tcBorders>
              <w:bottom w:val="single" w:sz="8" w:color="CFF0FC"/>
            </w:tcBorders>
          </w:tcPr>
          <w:p>
            <w:pPr>
              <w:spacing w:after="0"/>
              <w:rPr>
                <w:sz w:val="22"/>
                <w:szCs w:val="22"/>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 marketable securities, net of tax</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Basic and dilutive loss per share</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total assets from $98.1 million as of December 31, 2016 to $169.3 million as of December 31, 2017 was primarily due to a capital raise of $64.8 million in net proceeds in November 2017 and receipt from Allergan of an upfront payment of $50.0 million in February 2017. The increase in total assets from $169.3 million as of December 31, 2017 to $268.0 million as of December 31, 2018 was primarily due to a capital raise of $155.4 million in net proceeds to us in July 2018. The increase in total assets from $268.0 million as of December 31, 2018 to $339.9 million as of December 31, 2019 is primarily due to a capital raise of $134.7 million in net proceeds in December 2019. The decrease in total assets from $339.9 million as of December 31, 2019 to $283.3 million as of December 31, 2020 is primarily due to cash used in operations. Our operating expenses have increased year over year primarily due to increases in research and development activities and an increase in our total headcount. See Part II, Item 7 “Management’s Discussion and Analysis of Financial Condition and Results of Operations” for a discussion on results of operations and financing activities since 2018.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biotechnology company advancing a novel class of oral therapeutic candidates for the treatment of chronic hepatitis B virus (HBV) infection. According to the World Health Organization (WHO), approximately 270 million people worldwide are chronically infected with HBV. Our research and development programs are pursuing multiple drug candidates designed to inhibit the HBV replication cycle and block the generation of covalently closed circular DNA (cccDNA), with the aim of discovering and developing finite and curative therapies for patients with HBV. We have discovered several novel core inhibitors, which are small molecules that directly target and allosterically modulate the HBV core (HBc) protein in a way that affects assembly and stability of HBV nucleocapsids.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ongoing COVID-19 pandemic has affected certain aspects of our business. As further detailed below, those effects have been primarily limited to where and how our employees work in our labs and offices. To date, our current and future planned clinical trials and pre-clinical studies have not been subject to significant impact as a result of the COVID-19 pandemic.</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discovering and developing finite and curative therapies for HBV. Our Microbiome program had been developing a novel class of oral live microbial biotherapeutics candidates designed to treat disorders associated with the microbiome.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Focus: Targeting HBV Core Protein to Achieve a Cure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HBV is a DNA virus that infects hepatocytes and establishes a reservoir of cccDNA, a unique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highly conserved viral structural protein that has no human homologue and is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Vebicorvir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Vebicorvir (VBR), our lead core inhibitor product candidate, is licensed from Indiana University. The conduct of the Phase 2 studies, Study 201 and 202 and our open-label extension study, Study 211, are all complete. We presented interim updates on our clinical studies at a variety of conferences, including at the European Association for the Study of the Liver’s (EASL) Digital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August 2020 and the American Association for the Study of Liver Diseases (AASLD) Annual Meeting in November 2020.</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most recently completed study for VBR, Study 211, involved transitioning patients who met the requisite stopping criteria, as determined with our lead investigators and the U.S. Food and Drug Administration (FDA), off of therapy to test for sustained virologic response (SVR). SVR refers to sustained viral suppression (more than six months) of HBV DNA below the lower limit of quantification (LLOQ) and would be consistent with a successful finite treatment for HBV. In November 2020, it became clear that patients who stopped therapy in Study 211 had not achieved meaningful SVR rates as 39 of 41 patients relapsed, meaning they had detectable HBV. We continue to collect and analyze Study 211 data and intend to submit more detailed findings to a future medical meeting; however, it is clear that combination therapy of VBR plus nucelos(t)ide analog reverse transcriptase inhibitors (NrtI) alone is not sufficient to cure HBV. Based on these results, we terminated Study 211 prior to its completion.</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recently decided to not move forward with the global registrational studies for VBR as a chronic suppressive treatment (CST) with NrtI. The decision was made to focus on the greatest unmet medical need of patients, which lies predominantly in cure, rather than CST. As a result, we also expect to terminate Study 205, as we focus our efforts with VBR moving forward in combination with NrtI and additional mechanisms targeting finite and curative combination therapy.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second-generation core inhibitor product candidate, ABI-H2158 (2158), was internally discovered and developed and is chemically distinct from VBR.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the final data from dose-ranging cohorts of the Phase 1b portion of the Phase 1a/1b dose-ranging clinical study at EASL in August 2020. Based on data from the Phase 1b dose-ranging study, we initiated a Phase 2 clinical study in June 2020 using a 300 mg daily dose of 2158. This study is being conducted in approximately ten countries in Asia, North America and Europe. We expect interim data from this study in the second half of 2021. While we will continue to monitor the situation closely, at this time, we do not expect our timelines for this study to be significantly impacted by the COVID-19 pandemic.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third core inhibitor product candidate, ABI-H3733 (3733), has completed Investigational New Drug (IND) enabling studies. 3733 has a novel chemical scaffold separate from both VBR and 2158. We presented a preclinical profile of this candidate in the first quarter of 2019.</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initiated a Phase 1a clinical study to evaluate safety, tolerability and pharmacokinetics (PK) following single ascending dose and multiple ascending dose administration of 3733 in healthy subjects in New Zealand. Conduct for the study was completed in the fourth quarter of 2020 and preliminary data indicate that 3733 was generally well-tolerated and had favorable PK.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selecting a fourth-generation core inhibitor candidate, which we anticipate in the first half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Multi-Drug Combination Studies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core inhibitors and NrtI will be central to finite and curative therapies for chronic HBV infection. Therefore, as we continue to develop and advance our current and future core inhibitors through clinical studies, we plan to conduct multi-drug combination studies in parallel that add additional drugs (or compounds) with non-overlapping mechanisms of action to the core inhibitor + NrtI antiviral backbone. Specifically, we plan on only incorporating our current and future core inhibitors that have demonstrated they are well-tolerated and effective in clinical studies in dual combination with NrtI. As the 300 mg daily dose of VBR has been observed to be well-tolerated in all studies conducted to date, with no serious adverse effects or dose-limiting toxicities identified and no pattern of treatment-emergent clinical or laboratory abnormalities observed and has progressed beyond dual combination studies, we currently have two triple combination studies planned to study VBR in combination with NrtI and a third mechanism of action.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Beyond Core Inhibitors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development and advancement of our core inhibitor portfolio and our current and future multi-drug combination studies, our research and development team is working on discovering and developing a potent fourth-generation core inhibitor, cccDNA disruptors and small molecules targeting novel undisclosed targets to add to the core inhibitor + NrtI antiviral backbone to achieve cure.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Groton, Connecticut and a small office in China.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jc w:val="both"/>
        <w:spacing w:after="0" w:line="275" w:lineRule="auto"/>
        <w:rPr>
          <w:sz w:val="20"/>
          <w:szCs w:val="20"/>
          <w:color w:val="auto"/>
        </w:rPr>
      </w:pPr>
      <w:r>
        <w:rPr>
          <w:rFonts w:ascii="Arial" w:cs="Arial" w:eastAsia="Arial" w:hAnsi="Arial"/>
          <w:sz w:val="17"/>
          <w:szCs w:val="17"/>
          <w:color w:val="auto"/>
        </w:rPr>
        <w:t>raising capital. We have generated significant losses to date, and we expect to continue to generate losses as we continue to develop our product candidates. As of December 31, 2020, we had an accumulated deficit of $501.6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target validation, lead optimization and the development of our product candidates, which include:</w:t>
      </w:r>
    </w:p>
    <w:p>
      <w:pPr>
        <w:spacing w:after="0" w:line="143"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and development, nonclinical and clinical activities on our behalf and the cost of consultants, and contract manufacturing organizations (CMOs) that manufacture all of our drug substance and the drug product used in our HBV program;</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nonclinical and, in the case of our Microbiome program, early stage clinical study materials;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related to our license agreements;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rendered.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and we allocate internal employee-related and infrastructure costs, as well as certain third-party costs, to each of our programs based on the personnel resources allocated to such program. Our research and development expenses, by major program, are outlined in the table below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HBV</w:t>
            </w:r>
            <w:r>
              <w:rPr>
                <w:rFonts w:ascii="Arial" w:cs="Arial" w:eastAsia="Arial" w:hAnsi="Arial"/>
                <w:sz w:val="15"/>
                <w:szCs w:val="15"/>
                <w:color w:val="auto"/>
              </w:rPr>
              <w:t>(1)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49,416</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Microbiome</w:t>
            </w:r>
            <w:r>
              <w:rPr>
                <w:rFonts w:ascii="Arial" w:cs="Arial" w:eastAsia="Arial" w:hAnsi="Arial"/>
                <w:sz w:val="15"/>
                <w:szCs w:val="15"/>
                <w:color w:val="auto"/>
              </w:rPr>
              <w:t>(2)</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23,325</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106,823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right="20" w:hanging="432"/>
        <w:spacing w:after="0" w:line="258"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Expenses presented for HBV include reimbursement of expenses of $0.2 million under the Clinical Trial Collaboration Agreement (Arbutus Agreement) with Arbutus Biopharma Corporation (Arbutus), as discussed in Note 9 to the Consolidated Financial Statements.</w:t>
      </w:r>
    </w:p>
    <w:p>
      <w:pPr>
        <w:spacing w:after="0" w:line="1" w:lineRule="exact"/>
        <w:rPr>
          <w:rFonts w:ascii="Arial" w:cs="Arial" w:eastAsia="Arial" w:hAnsi="Arial"/>
          <w:sz w:val="15"/>
          <w:szCs w:val="15"/>
          <w:color w:val="auto"/>
        </w:rPr>
      </w:pPr>
    </w:p>
    <w:p>
      <w:pPr>
        <w:jc w:val="both"/>
        <w:ind w:left="440" w:hanging="432"/>
        <w:spacing w:after="0" w:line="255"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Expenses presented for Microbiome do not reflect reimbursement of expenses under the Research, Development, Collaboration and License Agreement (Allergan Agreement) with Allergan Pharmaceuticals International Limited (Allergan), as discussed in Note 9 to the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The successful discovery and development of our product candidates is highly uncertain. As such, at this time, we cannot reasonably estimate, or know the nature, timing and estimated costs, of the efforts that will be necessary to complete the remainder of their development. We are also unable to predict when, if ever, material net cash inflows will commence from our product candidates. This is due to the numerous risks and uncertainties associated with developing medicines, including the uncertainty of:</w:t>
      </w:r>
    </w:p>
    <w:p>
      <w:pPr>
        <w:spacing w:after="0" w:line="160"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progress and success of our clinical trials and research discovery team in identifying new product candidates;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 sufficient to advance additional product candidates into clinical development;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the outcome of any of these variables or variables discussed in “Item 1A. Risk Factors” with respect to the development of any of our product candidates would significantly change the costs and timing associated with the development of that product candidate.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studies.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exchange listing and U.S. Securities and Exchange Commission (SEC) requirements, insurance, and investor relations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 and available-for-sale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We evaluate our estimates and judgments, including those described in greater detail below, on an ongoing basis. We base our estimates on historical experience and on various other factors that we believe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Accounts Receivable from Collaboration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analyze our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as collaboration revenue and on a separate line item from revenue recognized from contracts with customers, if any, in our consolidated statements of operations and comprehensive loss.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collaborative arrangements, we are reimbursed for a portion of our research and development expenses or participate in the cost-sharing of such research and development expenses. Such reimbursements and cost-sharing arrangements are reflected as a reduction of research and development expense our consolidated statements of operations and comprehensive loss, as we do not consider performing these activities for reimbursement to be a part of our ongoing major or central operations.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arrangements or transactions between arrangement participants determined to be within the scope of the contracts with customers accounting standard, we evaluate the term of the arrangement and recognize revenue when the customer obtains control of promised goods or services in a contract for an amount that reflects the consideration we expect to receive in exchange for those goods or services. For contracts with customers, we apply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we satisfy each performance obligation.</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provided standard indemnification and protection of licensed intellectual property for our customers. These provisions are part of assurance that the licenses meet the agreements, representations and are not obligations to provide goods or services.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only apply the five-step model to contracts when it is probable we will collect the consideration we are entitled to in exchange for the goods or services it transfers to the customer. As part of the accounting for contracts with customers, we must develop assumptions that require judgment to determine the standalone selling price of each performance obligation identified in the contract. We then allocate the total transaction price to each performance obligation based on the estimated standalone selling prices of each performance obligation. We recognize the amount of the transaction price that is allocated to the respective performance obligation when the performance obligation is satisfied or as it is satisfied as revenue.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Upfront License Fees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 license to our intellectual property is determined to be distinct from the other performance obligations identified in the arrangement, we recognize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we utilize judgment to assess the nature of the combined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Service Payments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Allergan Agreement, we were reimbursed at a certain percentage for performing research and development services based on hours worked by our employees at a fixed contractual rate per hour and third-party pass-through costs we incurred on a quarterly basis. Research and development service payments were included in the transaction price in the reporting period we concluded it was probable that recording revenue in the period would not result in a significant reversal in amounts recognized in future periods. Accounts receivable were recorded when the right to the research and development service payment consideration became unconditional. We recorded the full reimbursed portion of these expenses accounted for under the contract with customer accounting standard as collaboration revenue in our consolidated statements of operations as we consider performing research and development services to be a part of our ongoing and central operations.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Depending on facts and circumstances, we may record revenues from certain milestones in a reporting period before the milestone is achieved if we conclude that achievement of the milestone is probable and that recognition of revenue related to the milestone will not result in a significant reversal in amounts recognized in future periods. We record a corresponding contract asset when this conclusion is reached. Milestone payments that have not been included in the transaction price to date are fully constrained. We re-evaluate the probability of achievement of such milestones and any related constraint each reporting period. We adjust our estimate of the overall transaction price, including the amount of collaborative revenue that was recorded, if necessary.</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 may be required to pay us sales-based milestone payments or royalties on future sales of commercial products. We recognize revenues related to sales-based milestone and royalty payments upon the later to occur of (1) achievement of the collaborator’s underlying sales or (2) satisfaction of any performance obligation(s) related to these sales, in each case assuming our licensed intellectual property is deemed to be the predominant item to which the sales-based milestones and/or royalties relate.</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receive payments from our customer based on billing schedules established in each contract. Upfront payments and fees are recorded as deferred revenue upon receipt or when due until we perform our obligations under the arrangement. If the related performance obligation is expected to be satisfied within the next 12 months, these amounts will be classified in current liabilities. We recognize a contract asset relating to our conditional right to consideration that is not subject to a constraint. Amounts are recorded as accounts receivable when our right to consideration is unconditional.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net contract asset or liability is presented for each contract with a customer.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be required to exercise considerable judgment in estimating revenue to be recognized. Judgment is required in identifying performance obligations, estimating the transaction price, estimating the standalone selling prices of identified performance obligations, which may include forecasted revenue, development timelines, reimbursement rates for personnel and other research and development costs, discount rates and probabilities of technical and regulatory success, and estimating the progress towards satisfaction of performance obligations.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1, 2018, we adopted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amended (Accounting Standards Codification Topic 606) (ASC 606) using the modified retrospective method applied to those contracts which were not completed as of January 1, 2018. We also elected to use the practical expedient that allows an entity to expense the incremental cost of obtaining a contract as an expense when incurred if the amortization period of the asset that an entity otherwise would have recognized is less than one year. Results for the year ended December 31, 2018 are presented under ASC 606, while prior period amounts are not adjusted and continue to be reported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accordance with historic accounting under the previous revenue recognition accounting standard. As of the adoption date of ASC 606, we had only one contract with a customer, Allergan, that had not been completed. Based on our analysis, we concluded there was no significant change in applying ASC 606 to our agreement with Allergan and no amounts have been recognized within “accumulated deficit” in the consolidated balance sheet related to the adoption of the new standard.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and indefinite-lived intangible assets are reviewed for impairment at least annually in the fourth quarter and more frequently if events or other changes in circumstances indicate that the carrying amount of the assets may not be recoverable. Impairment of goodwill and indefinite-lived intangibles is determined to exist when the fair value is less than the carrying value of the net assets being tested.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We determined that we have only one operating segment and reporting unit. Accordingly, our review of goodwill impairment indicators is performed at the entity-wide level. In performing each annual impairment assessment and any interim impairment assessment, we determine if we should qualitatively assess whether it is more likely than not that the fair value of goodwill is less than its carrying amount (the qualitative impairment test). Some of the factors considered in the assessment include general macroeconomic conditions, conditions specific to the industry and market, cost factors, the overall financial performance and whether there have been sustained declines in our share price. If we conclude it is more likely than not that the fair value of the reporting unit is less than its carrying amount, or elect not to use the qualitative impairment test, a quantitative impairment test is performed. Effective January 1, 2020, we early adopted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 which simplifies how an entity is required to test goodwill for impairment by eliminating Step 2 from the goodwill impairment test. Under this accounting standard, annual or interim quantitative impairment testing is performed by comparing the estimated fair value of the reporting unit to its carrying value. An impairment charge is recognized for the amount by which the carrying amount exceeds the reporting unit’s fair value, not to exceed the carrying value of goodwill. We use our market capitalization as an indicator of fair value. We believe that since our reporting unit is publicly traded, the ability of a controlling stockholder to benefit from synergies and other intangible assets that arise from control might cause the fair value of our reporting unit as a whole to exceed our market capitalization. However, we believe that the fair value measurement need not be based solely on the quoted market price of an individual share of our common stock, but also can consider the impact of a control premium in measuring the fair value of its reporting unit. The control premium utilized is based on control premiums observed in recent acquisitions of entities similar to us that were made on a non-minority basis. Should our market capitalization be less than our total stockholders’ equity as of our annual test date or as of any interim impairment testing date, we would also consider market comparables, recent trends in our stock price over a reasonable period and, if appropriate, use an income approach (discounted cash flow) to determine whether the fair value of our reporting unit is greater than our carrying amount. If we were to use an income approach, we would establish a fair value by estimating the present value of our projected future cash flows expected to be generated from our business. The discount rate applied to the projected future cash flows to arrive at the present value would be intended to reflect all risks of ownership and the associated risks of realizing the stream of projected future cash flows. Our discounted cash flow methodology would consider projections of financial performance for a period of several years combined with an estimated residual value. The most significant assumptions we would use in a discounted cash flow methodology are the discount rate, the residual value and expected future revenues, gross margins and operating costs, along with considering any implied control premium. In 2020, we elected to bypass the qualitative goodwill impairment assessment. As of October 1, 2020, we have determined through a quantitative impairment test that the fair value significantly exceeded the carrying value of our single reporting unit, and concluded that goodwill was not impaired. In November 2020, after our public announcement that it became clear that patients who stopped therapy in Study 211 had not achieved meaningful SVR rates as 39 of 41 patients relapsed, our stock price declined 152% closing on November 5 at $15.90 and opening on November 6 at $6.30. Due to a sustained decline in our stock price during the remainder of the fourth quarter of 2020, we determined these factors were an indication of a triggering event of impairment and an interim goodwill impairment test was performed as of December 31, 2020. However, our interim quantitative impairment test still determined the fair value exceeded the carrying value of our single reporting unit and concluded that goodwill was still not impaired. We did not recognize any goodwill impairment in any of the years presented.</w:t>
      </w:r>
    </w:p>
    <w:p>
      <w:pPr>
        <w:spacing w:after="0" w:line="3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Indefinite-Lived Intangible Asset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indefinite-lived intangible asset consists of in-process research and development (IPR&amp;D) projects acquired in a business combination that are used in research and development activities but have not yet reached technological feasibility, regardless of whether they have alternative future use. The primary basis for determining the technological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7"/>
          <w:szCs w:val="17"/>
          <w:color w:val="auto"/>
        </w:rPr>
        <w:t>feasibility or completion of these projects is obtaining regulatory approval to market the underlying products in an applicable geographic region. We classify in-process research and development acquired in a business combination as an indefinite-lived intangible asset until the completion or abandonment of the associated research and development efforts. Upon completion of the associated research and development efforts, we perform a final test for impairment and will determine the useful life of the technology and begin amortizing the assets to reflect their use over their remaining lives. Upon permanent abandonment, we would write off the remaining carrying amount of the associated IPR&amp;D intangible asset.</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performing each annual impairment assessment and any interim impairment assessment, we determine if we should qualitatively assess whether it is more likely than not that the fair value of our IPR&amp;D asset is less than its carrying amount (the qualitative impairment test). If we conclude that is the case, or elect not to use qualitative impairment test, we would proceed with quantitatively determining the fair value of the IPR&amp;D asset and comparing its fair value to its carrying value to determine the amount of impairment, if any (the quantitative impairment test).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the qualitative impairment test, we consider the results of the most recent quantitative impairment test and identify the most relevant drivers of the fair value for the IPR&amp;D asset. The most relevant drivers of fair value we have identified are consistent with the assumptions used in the quantitative estimate of the IPR&amp;D asset discussed below. Using these drivers, we identify events and circumstances that may have an effect on the fair value of the IPR&amp;D asset since the last time the IPR&amp;D’s fair value was quantitatively determined. We then weigh these factors to determine and conclude if it is not more likely than not that the IPR&amp;D asset is impaired. If it is more likely than not that the IPR&amp;D asset is impaired we proceed with quantitatively determining the fair value of the IPR&amp;D asset.</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income approach to determine the fair value of our IPR&amp;D asset. This approach calculates fair value by estimating the after-tax cash flows attributable to an in-process project over its useful life and then discounting these after-tax cash flows back to a present value. This estimate includes significant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number of patients who will be diagnosed and treated and our competitive position in the marketplace, and appropriate discount and tax rates. Any impairment to be recorded is calculated as the difference between the fair value of the IPR&amp;D asset as of the date of the assessment with the carrying value of the IPR&amp;D asset on our consolidated balance sheet.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our 2020 impairment test, we performed a qualitative test and concluded it was more-likely-than-not that the fair value of our IPR&amp;D asset exceeded its carrying value and no further testing was required. This was based on a decrease in the probability of success based on the impact of the Study 211 and dual combination VBR and NrtI therapy’s ability to serve as a finite and curative therapy for chronic HBV infection offset by an increase in the probability of success of 2158 and 3733 based on their advancement into Phase 2 and Phase 1 trials during 2020, respectively and the significance of the future net cash flows from potential drug sales for a finite and curative therapy for chronic HBV infection as primarily driven by the number of patients who will be diagnosed and treated and our competitive position in the marketplace. We did not recognize any IPR&amp;D impairment in any of the years presented.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asset purchases outside of business combinations, we expense any purchased research and development assets as of the acquisition date if they have no alternative future uses.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and Accruals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as well as research and development and costs incurred under our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 Assets acquired as part of an asset acquisition that are used in research and development or are IPR&amp;D are immediately expensed as research and development unless there is an alternative future use in other research and development projects.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44"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CROs and other service providers in connection with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CMOs in connection with the production of clinical trial materials;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2020 and 2019.</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and may continue to enter into license agreements to access and utilize certain technology. In each case, we evaluate if the license agreement results in the acquisition of an asset or a business. To date, none of our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We assess whether such contingent consideration meets the definition of a derivative and to date we have determined that such contingent consideration are not derivatives.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restructuring charges related to reorganization plans that have been committed to by us and when liabilities have been incurred. In connection with these activities, we record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we have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recognition of restructuring charges requires us to make certain judgments and estimates regarding the nature, timing and amount of costs associated with the planned reorganization plan. To the extent the actual results differ from its estimates and assumptions, we may be required to revise the estimates of future accrued restructuring liabilities, requiring the recognition of additional restructuring charges or the reduction of accrued restructuring liabilities previously recognized. Such changes to previously estimated amounts may be material to our consolidated financial statements. Changes in the estimates of the restructuring charges are recorded in the period in which the change is determined.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each reporting period, we evaluate the remaining accrued restructuring balances to ensure that no excess accruals are retained and the utilization of the provisions are for their intended purpose in accordance with developed restructuring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contractual and commercial obligations under our operating lease commitments and licenses. The following table summarizes our future contractual obligations and commercial commitments at December 31, 2020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b w:val="1"/>
                <w:bCs w:val="1"/>
                <w:color w:val="auto"/>
                <w:w w:val="90"/>
              </w:rPr>
              <w:t>Payments Due By Period</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50"/>
              <w:spacing w:after="0" w:line="205" w:lineRule="exact"/>
              <w:rPr>
                <w:sz w:val="20"/>
                <w:szCs w:val="20"/>
                <w:color w:val="auto"/>
              </w:rPr>
            </w:pPr>
            <w:r>
              <w:rPr>
                <w:rFonts w:ascii="Arial" w:cs="Arial" w:eastAsia="Arial" w:hAnsi="Arial"/>
                <w:sz w:val="18"/>
                <w:szCs w:val="18"/>
                <w:b w:val="1"/>
                <w:bCs w:val="1"/>
                <w:color w:val="auto"/>
                <w:w w:val="85"/>
              </w:rPr>
              <w:t>Less than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2"/>
              </w:rPr>
              <w:t>More than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3-5 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5 years</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milestone, royalty and other contingent fees associated with certain collaboration and license agreements have not been included in the above table of contractual obligations, because we cannot reasonably estimate if or when they will occur. The milestone payments included in the table of contractual obligations above are payments we believe are reasonably likely to occur during the indicated time periods. We enter into contracts in the normal course of business with CROs for clinical trials and CMO’s for clinical supply manufacturing and with vendors for preclinical research studies and other services and products for operating purposes, which generally provide for termination within 30 days of notice, and therefore, are cancelable contracts and not included in the table above. Further, we anticipate that our operating lease obligations will be higher than projected as we renew existing real estate leases that expire in 2020 and enter into new or expanded real estate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we had an accumulated deficit of $501.6 million primarily as a result of research and development expenses and general and administrative expenses. While we may in the future generate revenue from a variety of sources, including license fees, milestone payments, research and development payments in connection with strategic partnerships and/or product sales, our product candidates are in the clinical stage of development and may never be successfully developed or commercialized. Accordingly, we expect to continue to incur substantial losses from operations for the foreseeable future and there can be no assurance that we will ever generate significant revenues.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820" w:type="dxa"/>
            <w:vAlign w:val="bottom"/>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79,105</w:t>
            </w:r>
          </w:p>
        </w:tc>
        <w:tc>
          <w:tcPr>
            <w:tcW w:w="26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15,963</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63,142</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396%</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Collaboration revenue for the year ended December 31, 2020 includes the remaining deferred revenue balance of $37.0 million and reimbursements incurred under the Allergan Agreement, for which AbbVie Inc. gave written notice of termination in June 2020 following its acquisition of Allergan, and $31.0 million recognized for the transfer of the VBR License upon entering into the Collaboration Agreement with BeiGene (BeiGene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2020 vs. 2019</w:t>
            </w:r>
          </w:p>
        </w:tc>
        <w:tc>
          <w:tcPr>
            <w:tcW w:w="240" w:type="dxa"/>
            <w:vAlign w:val="bottom"/>
            <w:tcBorders>
              <w:bottom w:val="single" w:sz="8" w:color="CCEC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 vs. 2019</w:t>
            </w:r>
          </w:p>
        </w:tc>
        <w:tc>
          <w:tcPr>
            <w:tcW w:w="2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CFF"/>
          </w:tcPr>
          <w:p>
            <w:pPr>
              <w:spacing w:after="0"/>
              <w:rPr>
                <w:sz w:val="20"/>
                <w:szCs w:val="20"/>
                <w:color w:val="auto"/>
              </w:rPr>
            </w:pPr>
            <w:r>
              <w:rPr>
                <w:rFonts w:ascii="Arial" w:cs="Arial" w:eastAsia="Arial" w:hAnsi="Arial"/>
                <w:sz w:val="18"/>
                <w:szCs w:val="18"/>
                <w:color w:val="auto"/>
              </w:rPr>
              <w:t>HBV</w:t>
            </w:r>
            <w:r>
              <w:rPr>
                <w:rFonts w:ascii="Arial" w:cs="Arial" w:eastAsia="Arial" w:hAnsi="Arial"/>
                <w:sz w:val="15"/>
                <w:szCs w:val="15"/>
                <w:color w:val="auto"/>
              </w:rPr>
              <w:t>(1)</w:t>
            </w:r>
          </w:p>
        </w:tc>
        <w:tc>
          <w:tcPr>
            <w:tcW w:w="1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71,957</w:t>
            </w: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57,534</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14,423</w:t>
            </w:r>
          </w:p>
        </w:tc>
        <w:tc>
          <w:tcPr>
            <w:tcW w:w="240" w:type="dxa"/>
            <w:vAlign w:val="bottom"/>
            <w:shd w:val="clear" w:color="auto" w:fill="CCECFF"/>
          </w:tcPr>
          <w:p>
            <w:pPr>
              <w:spacing w:after="0"/>
              <w:rPr>
                <w:sz w:val="19"/>
                <w:szCs w:val="19"/>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Microbiome</w:t>
            </w:r>
            <w:r>
              <w:rPr>
                <w:rFonts w:ascii="Arial" w:cs="Arial" w:eastAsia="Arial" w:hAnsi="Arial"/>
                <w:sz w:val="15"/>
                <w:szCs w:val="15"/>
                <w:color w:val="auto"/>
              </w:rPr>
              <w:t>(2)</w:t>
            </w:r>
          </w:p>
        </w:tc>
        <w:tc>
          <w:tcPr>
            <w:tcW w:w="1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34,866</w:t>
            </w:r>
          </w:p>
        </w:tc>
        <w:tc>
          <w:tcPr>
            <w:tcW w:w="2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800" w:type="dxa"/>
            <w:vAlign w:val="bottom"/>
            <w:tcBorders>
              <w:bottom w:val="single" w:sz="8" w:color="CCECFF"/>
            </w:tcBorders>
            <w:gridSpan w:val="3"/>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106,823</w:t>
            </w:r>
          </w:p>
        </w:tc>
        <w:tc>
          <w:tcPr>
            <w:tcW w:w="24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85,757</w:t>
            </w:r>
          </w:p>
        </w:tc>
        <w:tc>
          <w:tcPr>
            <w:tcW w:w="2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21,066</w:t>
            </w:r>
          </w:p>
        </w:tc>
        <w:tc>
          <w:tcPr>
            <w:tcW w:w="1800" w:type="dxa"/>
            <w:vAlign w:val="bottom"/>
            <w:tcBorders>
              <w:bottom w:val="single" w:sz="8" w:color="CCECFF"/>
            </w:tcBorders>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40" w:hanging="432"/>
        <w:spacing w:after="0" w:line="258"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Expenses presented for HBV include reimbursement of expenses of $0.2 million under the Arbutus Agreement, as discussed in Note 9 to the Consolidated Financial Statements.</w:t>
      </w:r>
    </w:p>
    <w:p>
      <w:pPr>
        <w:spacing w:after="0" w:line="1" w:lineRule="exact"/>
        <w:rPr>
          <w:rFonts w:ascii="Arial" w:cs="Arial" w:eastAsia="Arial" w:hAnsi="Arial"/>
          <w:sz w:val="15"/>
          <w:szCs w:val="15"/>
          <w:color w:val="auto"/>
        </w:rPr>
      </w:pPr>
    </w:p>
    <w:p>
      <w:pPr>
        <w:ind w:left="440" w:hanging="432"/>
        <w:spacing w:after="0" w:line="260"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Agreement as discussed in Note 9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-567055</wp:posOffset>
            </wp:positionV>
            <wp:extent cx="28975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expenses were $106.8 million for the year ended December 31, 2020 compared to $85.8 million for the year ended December 31, 2019. The increase was due to an increase of $14.4 million in research and development expenses related to the HBV program and an increase of $6.6 million in research and development expenses related to the Microbiome program. These increases were primarily due to increases in clinical activities, chemistry and manufacturing control activities to support VBR, 2158, 3733 and Microbiome clinical trials and increased salary and benefits due to additional employees. In December 2020, we and our Board of Directors determined that it was in our best interest to wind down the Microbiome program, enabling us to prioritize resources and focus on the advancement of our pipeline of novel core inhibitors for chronic HBV infection. We expect to complete the wind-down of the Microbiome program in early 2021. Microbiome expenses for the year ended December 31, 2020 includes $5.5 million in restructuring costs related to the wind-down, which consists of $3.9 million in employee severance and related benefits and $1.6 million in asset impairment and other costs. Refer to Note 6 to the Consolidated Financial Statements for additional information. Research and development expenses include non-cash stock-based compensation expenses of $11.4 million for both the years ended December 31, 2020 and 2019.</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 in our general and administrative expenses (in thousands, except for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37,058</w:t>
            </w:r>
          </w:p>
        </w:tc>
        <w:tc>
          <w:tcPr>
            <w:tcW w:w="26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32,919</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4,139</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General and administrative expenses were $37.1 million for the year ended December 31, 2020, compared to $32.9 million for the year ended December 31, 2019. The increase in general and administrative expenses was primarily due to an increase of $3.1 million in professional expenses mostly attributable to the amortized incremental contract costs associated with entering into the BeiGene Agreement, $1.3 million in stock-based compensation expense, $0.5 million in equipment rental and $0.3 million in recruitment costs due to an increase in headcount partially offset by a decrease of $0.9 million in travel related expenses due to state and local laws restricting travel in response to the COVID-19 pandemic. General and administrative expenses includes non-cash stock-based compensation expense of $10.5 million and $9.2 million for the years ended December 31, 2020 and 2019, respectively. Stock-based compensation expense for the year ended December 31, 2020 includes the reversal of previously recognized expense of $1.7 million related to forfeited awards resulting from the departure of one of our former officers during the period, while stock-based compensation expense for the year ended December 31, 2019 includes the reversal of previously recognized expense of $3.6 million related to forfeited awards resulting from another our former officers during the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t>Interest and Other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interest and other income (in thousands, except for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Interest and other income</w:t>
            </w:r>
          </w:p>
        </w:tc>
        <w:tc>
          <w:tcPr>
            <w:tcW w:w="860" w:type="dxa"/>
            <w:vAlign w:val="bottom"/>
            <w:shd w:val="clear" w:color="auto" w:fill="CCECFF"/>
          </w:tcPr>
          <w:p>
            <w:pPr>
              <w:jc w:val="right"/>
              <w:ind w:right="7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2,624</w:t>
            </w:r>
          </w:p>
        </w:tc>
        <w:tc>
          <w:tcPr>
            <w:tcW w:w="26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4,305</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(1,681)</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income was $2.6 million for the year ended December 31, 2020 compared to $4.3 million for the same period in 2019. Interest income for the years ended December 31, 2020 and 2019 was primarily related to interest income earned on marketable securities, corporate bonds and money market funds and the decrease is a result of lower balances and lower yields carried in 2020.</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(Expense)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 in our income tax benefit (in thousands, except for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9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Income tax benefit</w:t>
            </w:r>
          </w:p>
        </w:tc>
        <w:tc>
          <w:tcPr>
            <w:tcW w:w="960" w:type="dxa"/>
            <w:vAlign w:val="bottom"/>
            <w:shd w:val="clear" w:color="auto" w:fill="CCECFF"/>
          </w:tcPr>
          <w:p>
            <w:pPr>
              <w:jc w:val="right"/>
              <w:ind w:right="80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CFF"/>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940" w:type="dxa"/>
            <w:vAlign w:val="bottom"/>
            <w:shd w:val="clear" w:color="auto" w:fill="CCECFF"/>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 for the year ended December 31, 2020 was nominal compared to an income tax benefit for year ended December 31, 2019 of $0.8 million. The income tax benefit in the prior year is primarily due to a change in our state and local effective tax rate and recording the impact of certain indefinite-lived deferred tax asset carryforwards.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820" w:type="dxa"/>
            <w:vAlign w:val="bottom"/>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15,963</w:t>
            </w:r>
          </w:p>
        </w:tc>
        <w:tc>
          <w:tcPr>
            <w:tcW w:w="26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14,804</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we generated $16.0 million of collaboration revenue, which included the amortization of deferred revenue and reimbursement revenue in each case incurred under the Allergan Agreement, an increase of $1.2 million from $14.8 million for the same period in 2018. The increase was based on increased research efforts performed during 2019 for our Microbiome program.</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1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CFF"/>
            </w:tcBorders>
            <w:vMerge w:val="continue"/>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2019 vs. 2018</w:t>
            </w:r>
          </w:p>
        </w:tc>
        <w:tc>
          <w:tcPr>
            <w:tcW w:w="280" w:type="dxa"/>
            <w:vAlign w:val="bottom"/>
            <w:tcBorders>
              <w:bottom w:val="single" w:sz="8" w:color="CCEC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 vs. 2018</w:t>
            </w:r>
          </w:p>
        </w:tc>
        <w:tc>
          <w:tcPr>
            <w:tcW w:w="18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CFF"/>
          </w:tcPr>
          <w:p>
            <w:pPr>
              <w:spacing w:after="0"/>
              <w:rPr>
                <w:sz w:val="20"/>
                <w:szCs w:val="20"/>
                <w:color w:val="auto"/>
              </w:rPr>
            </w:pPr>
            <w:r>
              <w:rPr>
                <w:rFonts w:ascii="Arial" w:cs="Arial" w:eastAsia="Arial" w:hAnsi="Arial"/>
                <w:sz w:val="18"/>
                <w:szCs w:val="18"/>
                <w:color w:val="auto"/>
              </w:rPr>
              <w:t>HBV</w:t>
            </w:r>
            <w:r>
              <w:rPr>
                <w:rFonts w:ascii="Arial" w:cs="Arial" w:eastAsia="Arial" w:hAnsi="Arial"/>
                <w:sz w:val="15"/>
                <w:szCs w:val="15"/>
                <w:color w:val="auto"/>
              </w:rPr>
              <w:t>(1)</w:t>
            </w:r>
          </w:p>
        </w:tc>
        <w:tc>
          <w:tcPr>
            <w:tcW w:w="1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57,534</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49,416</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8,118</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w:t>
            </w:r>
            <w:r>
              <w:rPr>
                <w:rFonts w:ascii="Arial" w:cs="Arial" w:eastAsia="Arial" w:hAnsi="Arial"/>
                <w:sz w:val="15"/>
                <w:szCs w:val="15"/>
                <w:color w:val="auto"/>
              </w:rPr>
              <w:t>(2)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2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23,325</w:t>
            </w:r>
          </w:p>
        </w:tc>
        <w:tc>
          <w:tcPr>
            <w:tcW w:w="2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800" w:type="dxa"/>
            <w:vAlign w:val="bottom"/>
            <w:tcBorders>
              <w:bottom w:val="single" w:sz="8" w:color="CCECFF"/>
            </w:tcBorders>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85,757</w:t>
            </w:r>
          </w:p>
        </w:tc>
        <w:tc>
          <w:tcPr>
            <w:tcW w:w="2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72,741</w:t>
            </w:r>
          </w:p>
        </w:tc>
        <w:tc>
          <w:tcPr>
            <w:tcW w:w="2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13,016</w:t>
            </w:r>
          </w:p>
        </w:tc>
        <w:tc>
          <w:tcPr>
            <w:tcW w:w="1800" w:type="dxa"/>
            <w:vAlign w:val="bottom"/>
            <w:tcBorders>
              <w:bottom w:val="single" w:sz="8" w:color="CCECFF"/>
            </w:tcBorders>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firstLine="8"/>
        <w:spacing w:after="0" w:line="277" w:lineRule="auto"/>
        <w:tabs>
          <w:tab w:leader="none" w:pos="2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Agreement as discussed in Note 9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-302260</wp:posOffset>
            </wp:positionV>
            <wp:extent cx="2888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7"/>
          <w:szCs w:val="17"/>
          <w:color w:val="auto"/>
        </w:rPr>
        <w:t>Research and development expenses were $85.8 million for the year ended December 31, 2019 compared to $72.7 million for the year ended December 31, 2018. The increase was due to an increase of $8.1 million in research and development expenses related to the HBV program and an increase of $4.9 million in research and development expenses related to the Microbiome program. These increases were primarily due to increases in clinical activities, chemistry and manufacturing control activities to support VBR, 2158 and Microbiome clinical trials and increased salary and benefits due to additional employees. Research and development expenses include non-cash stock based compensation expenses of $11.4 million for the year ended December 31, 2019, a decrease of $0.4 million from $11.8 million for the year ended December 31, 2018.</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 in our general and administrative expenses (in thousands, except for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32,919</w:t>
            </w:r>
          </w:p>
        </w:tc>
        <w:tc>
          <w:tcPr>
            <w:tcW w:w="26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rPr>
              <w:t>34,798</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(1,879)</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were $32.9 million for the year ended December 31, 2019, compared to $34.8 million for the year ended December 31, 2018. The increase in general and administrative expenses was primarily due to an increase of $3.5 million in employee related expenses due to the addition of employees in executive management, finance and human resources. This increase also includes a one-time expense of $1.7 million for severance packages in conjunction with the relocation of our corporate headquarters to South San Francisco, California effective January 1, 2020, the departure of one of our former executives, $0.9 million in rent expenses for our new office in South San Francisco and $0.3 million in professional expenses.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expense was $9.2 million for the year ended December 31, 2019, a decrease of $7.5 million from $16.7 million for the year ended December 31, 2018. The decrease was primarily due to a $4.3 million one-time expense related to the departure and transition to consultant of one of our former executive officers in 2018 coupled with the reversal of previously recognized expense of $3.6 million related to forfeited awards resulting from the departure of one of our former executive officers in 2019.</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and Other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interest and other income (in thousands, except for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Interest and other income</w:t>
            </w:r>
          </w:p>
        </w:tc>
        <w:tc>
          <w:tcPr>
            <w:tcW w:w="860" w:type="dxa"/>
            <w:vAlign w:val="bottom"/>
            <w:shd w:val="clear" w:color="auto" w:fill="CCECFF"/>
          </w:tcPr>
          <w:p>
            <w:pPr>
              <w:jc w:val="right"/>
              <w:ind w:right="7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4,305</w:t>
            </w:r>
          </w:p>
        </w:tc>
        <w:tc>
          <w:tcPr>
            <w:tcW w:w="26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3,083</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income was $4.3 million for the year ended December 31, 2019 compared to $3.1 million for the same period in 2018. Interest income for the years ended December 31, 2019 and 2018 was primarily related to interest income earned on marketable securities, corporate bonds and money market funds, and the increase is a result of higher balances carried in 2019.</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(Expense)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 in our income tax benefit (in thousands, except for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80" w:type="dxa"/>
            <w:vAlign w:val="bottom"/>
            <w:tcBorders>
              <w:bottom w:val="single" w:sz="8" w:color="CCECFF"/>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180" w:type="dxa"/>
            <w:vAlign w:val="bottom"/>
            <w:tcBorders>
              <w:bottom w:val="single" w:sz="8" w:color="CCECFF"/>
            </w:tcBorders>
          </w:tcPr>
          <w:p>
            <w:pPr>
              <w:spacing w:after="0"/>
              <w:rPr>
                <w:sz w:val="13"/>
                <w:szCs w:val="13"/>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1,873</w:t>
            </w:r>
          </w:p>
        </w:tc>
        <w:tc>
          <w:tcPr>
            <w:tcW w:w="2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170%</w:t>
            </w:r>
          </w:p>
        </w:tc>
      </w:tr>
      <w:tr>
        <w:trPr>
          <w:trHeight w:val="432"/>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9"/>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jc w:val="both"/>
        <w:spacing w:after="0" w:line="311" w:lineRule="auto"/>
        <w:rPr>
          <w:sz w:val="20"/>
          <w:szCs w:val="20"/>
          <w:color w:val="auto"/>
        </w:rPr>
      </w:pPr>
      <w:r>
        <w:rPr>
          <w:rFonts w:ascii="Arial" w:cs="Arial" w:eastAsia="Arial" w:hAnsi="Arial"/>
          <w:sz w:val="16"/>
          <w:szCs w:val="16"/>
          <w:color w:val="auto"/>
        </w:rPr>
        <w:t>Income tax benefit for the year ended December 31, 2019 was $0.8 million compared to an income tax expense for year ended December 31, 2018 of $1.1 million. The income tax benefit in 2019 is primarily due to a change in our state and local effective tax rate and recording the impact of certain indefinite-lived deferred tax asset carryforwards. The income tax expense recognized in 2018 is primarily due to a change in our state and local effective tax 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2020 principally with debt prior to our initial public offering, and thereafter with equity financing, raising an aggregate of $551.8 million in net proceeds from public offerings and private placements from inception to December 31, 2020. Additionally, in February 2017, we received a $50.0 million upfront payment in connection with the execution of the Allergan Agreement and in July 2020, we received a $40.0 million upfront payment in connection with the execution of the BeiGene Agreement.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2018, we sold to various investors an aggregate of 4,600,000 shares of common stock in a public offering at $36.00 per share, which included the exercise in full by the underwriters of their option to purchase 600,000 additional shares of common stock. We received aggregate net proceeds of $155.4 million from the offering and the option exercise, after deducting underwriting discounts and commissions and offering expenses payable.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we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We received aggregate net proceeds of $134.7 million from the offering and the option exercise, after deducting underwriting discounts and commissions and offering expenses payable.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we sold an aggregate of 892,840 shares of common stock through “at-the-market” offerings (2020 ATM), resulting in net proceeds of $5.5 million.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660" w:type="dxa"/>
            <w:vAlign w:val="bottom"/>
          </w:tcPr>
          <w:p>
            <w:pPr>
              <w:spacing w:after="0"/>
              <w:rPr>
                <w:sz w:val="20"/>
                <w:szCs w:val="20"/>
                <w:color w:val="auto"/>
              </w:rPr>
            </w:pPr>
            <w:r>
              <w:rPr>
                <w:rFonts w:ascii="Arial" w:cs="Arial" w:eastAsia="Arial" w:hAnsi="Arial"/>
                <w:sz w:val="18"/>
                <w:szCs w:val="18"/>
                <w:color w:val="auto"/>
                <w:w w:val="97"/>
              </w:rPr>
              <w:t>A summary of our cash flows for the periods presented was as follows (in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(50,318)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(135,397)</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159,793</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(40,562)</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$63.0 million for the year ended December 31, 2020. This was primarily due to $62.2 million of net loss and a decrease of $30.3 million of operating assets and liabilities, which were offset by a $21.9 million non-cash expense recorded for stock-based compensation, $5.2 million of amortization of operating lease right-of-use assets, $1.8 million in non-cash expense for acquired IPR&amp;D and $0.7 million of depreciation and amortization expense.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$84.1 million for the year ended December 31, 2019. This was primarily due to $97.6 million of net loss, a decrease of $9.5 million of operating assets and liabilities, $0.8 million of deferred income tax benefit and $1.7 million of amortization of discount on marketable securities, which were offset by a $20.6 million non-cash expense recorded for stock-based compensation, $4.5 million of amortization of operating lease right-of-use assets and $0.5 million of depreciation and amortization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Net cash used in operating activities was $65.0 million for the year ended December 31, 2018. This was primarily due to $90.8 million of net loss, a decrease of $4.2 million of operating assets and liabilities and $0.2 million of amortization of discount on marketable securities, which were offset by a $28.5 million non-cash expense recorded for stock-based compensation, $0.6 million of depreciation and amortization expense and $1.1 million of deferred income tax expenses.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2020 was $68.1 million primarily due to a purchase of $193.2 million marketable securities, $0.5 million of fixed assets and $1.8 million of IPR&amp;D, which were offset by $221.6 million for the redemption of marketable securities and $41.9 million for the sale of marketable securities.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$50.3 million primarily due to a purchase of $281.3 million marketable securities and $1.6 million of fixed assets, which were offset by $203.9 million for the redemption of marketable securities and $28.7 million for the sale of marketable securities.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used in investing activities for the year ended December 31, 2018 was $135.4 million primarily due to a purchase of $183.9 million marketable securities and $0.3 million of fixed assets and construction in progress, which were offset by $48.9 million for the redemption of marketable securities.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$7.6 million resulting from the net proceeds of $5.5 million from the sale of 892,840 shares of our common stock under the 2020 ATM, $1.5 million from the exercise of stock options to purchase 175,579 shares of common stock and $0.7 million from the issuance of 86,812 shares of common stock under our 2018 ESPP.</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for the year ended December 31, 2019 was $139.6 million resulting from the net proceeds of $134.7 million from our public offering of 6,287,878 shares of common stock and 2,424,242 pre-funded warrants to purchase 2,424,242 shares of common stock at a public offering price of $16.499, including 1,136,363 shares of common stock purchased by the underwriters pursuant to their 30-day option to purchase additional shares, $4.2 million from the exercise of stock options to purchase 585,292 shares of common stock and $0.7 million from the issuance of 59,370 shares of common stock under our 2018 ESPP.</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2018 was $159.8 million, resulting from the net proceeds of $155.4 million from our public offering of 4,600,000 shares of common stock, including 600,000 shares of common stock purchased by the underwriters pursuant to their 30-day option to purchase additional shares, and $4.0 million from the exercise of stock options to purchase 775,224 shares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our expenses related to HBV program to remain flat in 2021 but to generally increase over time in connection with our ongoing activities, particularly as we continue the research, development and clinical studies of our product candidates and pursue our intellectual property strategy. Accordingly, 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December 2020. We expect to continue to raise capital when and as needed and at the time and in the manner most advantageous to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43" w:lineRule="exact"/>
        <w:rPr>
          <w:sz w:val="20"/>
          <w:szCs w:val="20"/>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1940"/>
        <w:spacing w:after="0" w:line="453" w:lineRule="auto"/>
        <w:rPr>
          <w:sz w:val="20"/>
          <w:szCs w:val="20"/>
          <w:color w:val="auto"/>
        </w:rPr>
      </w:pPr>
      <w:r>
        <w:rPr>
          <w:rFonts w:ascii="Arial" w:cs="Arial" w:eastAsia="Arial" w:hAnsi="Arial"/>
          <w:sz w:val="18"/>
          <w:szCs w:val="18"/>
          <w:color w:val="auto"/>
        </w:rPr>
        <w:t xml:space="preserve">See Note 2 of notes to the consolidated financial statements for a discussion of recent accounting standards and pronouncements. </w:t>
      </w:r>
      <w:r>
        <w:rPr>
          <w:rFonts w:ascii="Arial" w:cs="Arial" w:eastAsia="Arial" w:hAnsi="Arial"/>
          <w:sz w:val="18"/>
          <w:szCs w:val="18"/>
          <w:b w:val="1"/>
          <w:bCs w:val="1"/>
          <w:color w:val="auto"/>
        </w:rPr>
        <w:t>Cautionary Statement</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a highly competitive environment that involves a number of risks, some of which are beyond our control. The following statement highlights some of these risks. For more detail, see “Item 1A. Risk Factors.”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contained in this Form 10-K that are not historical facts, are or might constitute forward-looking statements under the safe harbor provisions of the Private Securities Litigation Reform Act of 1995. Although we believe the expectations reflected in such forward-looking statements are based on reasonable assumptions, our expectations might not be attained. Forward-looking statements involve known and unknown risks that could cause actual results to differ materially from expected results. Factors that could cause actual results to differ materially from our expectations expressed in the report include, among others: risks related to the costs, timing, regulatory review and results of our nonclinical studies and clinical studies; our ability to obtain FDA approval of our product candidates; our anticipated capital expenditures, our estimates regarding our capital requirements, and our need for future capital; our liquidity and working capital requirements; our expectations regarding our revenues, expenses and other results of operations; the unpredictability of the size of the markets for, and market acceptance of, any of our products; our ability to sell any approved products and the price we are able realize; our ability to establish and maintain collaborations on favorable terms; our ability to obtain future funding on acceptable terms; our ability to hire and retain necessary employees and to staff our operations appropriately; our ability to compete in our industry and innovation by our competitors; our ability to stay abreast of and comply with new or modified laws and regulations that currently apply or become applicable to our business; estimates and estimate methodologies used in preparing our financial statements; the future trading prices of our common stock and the impact of securities analysts’ reports on these prices; and the risks set out in our filings with the SEC.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U.S. interest rates.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believe that our cash and equivalents have significant risk of default or illiquidity. Under our current investment policies, we invest our cash and cash equivalents in money market funds which invest in short-term U.S. Treasury securities with insignificant rates of return. We also invest our cash and cash equivalents in readily marketable, high-quality securities that are diversified and structured to minimize market risks. Our exposure to market risk for changes in interest rates relates primarily to our investments in marketable securities. Marketable securities held in our investment portfolio are subject to changes in market value in response to changes in interest rates and liquidity. A significant change in market interest rates could have a material impact on interest income earned from our investment portfolio. Changes in interest rates may affect the fair value of our investment portfolio; however, we will not recognize such gains or losses in our statement of operations and comprehensive income (loss) unless the investments are sold.</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believe our cash and equivalents do not contain excessive risk, we cannot provide absolute assurance that in the future our investments will not be subject to adverse changes in market value. In addition, we maintain significant amounts of cash and equivalents at one or more financial institutions that are in excess of federally insured limits.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study costs. We do not believe that inflation has had a material effect on our results of operations during 2020, 2019 or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on page F-1.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2020,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 13a-15(b). Based upon that evaluation, our Chief Executive Officer and Chief Financial Officer concluded that our disclosure controls and procedures for the fiscal year ending as of December 31, 2020 were effective at reasonable assurance levels.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our Chief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2020.</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independent registered public accounting firm, Ernst &amp; Young LLP has issued an opinion on the effectiveness of our internal control over financial reporting as of December 31, 2020. The report of Ernst &amp; Young LLP is included with the financial statements appended to this Form 10-K pursuant to Item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fourth quarter of 2020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2020 and is incorporated in this Annual Report on Form 10-K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for the table regarding equity compensation plans, which is included in Part II, Item 5 of this Annual Report on Form 10-K, the information required by this item will be contained in the Proxy Statement and is incorporated into this Annual Report on Form 10-K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gridSpan w:val="6"/>
            <w:vMerge w:val="continue"/>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jc w:val="right"/>
              <w:ind w:right="574"/>
              <w:spacing w:after="0" w:line="169"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auto"/>
            </w:tcBorders>
            <w:gridSpan w:val="7"/>
          </w:tcPr>
          <w:p>
            <w:pPr>
              <w:spacing w:after="0" w:line="169" w:lineRule="exact"/>
              <w:rPr>
                <w:rFonts w:ascii="Arial" w:cs="Arial" w:eastAsia="Arial" w:hAnsi="Arial"/>
                <w:sz w:val="18"/>
                <w:szCs w:val="18"/>
                <w:color w:val="0000EE"/>
                <w:w w:val="97"/>
              </w:rPr>
            </w:pPr>
            <w:hyperlink r:id="rId75">
              <w:r>
                <w:rPr>
                  <w:rFonts w:ascii="Arial" w:cs="Arial" w:eastAsia="Arial" w:hAnsi="Arial"/>
                  <w:sz w:val="18"/>
                  <w:szCs w:val="18"/>
                  <w:color w:val="0000EE"/>
                  <w:w w:val="97"/>
                </w:rPr>
                <w:t>Fifth Amended and Restated Certificate of Incorporation dated June 11,</w:t>
              </w:r>
            </w:hyperlink>
          </w:p>
        </w:tc>
        <w:tc>
          <w:tcPr>
            <w:tcW w:w="8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06/01/2018</w:t>
            </w:r>
          </w:p>
        </w:tc>
        <w:tc>
          <w:tcPr>
            <w:tcW w:w="6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75">
              <w:r>
                <w:rPr>
                  <w:rFonts w:ascii="Arial" w:cs="Arial" w:eastAsia="Arial" w:hAnsi="Arial"/>
                  <w:sz w:val="18"/>
                  <w:szCs w:val="18"/>
                  <w:color w:val="0000EE"/>
                  <w:w w:val="88"/>
                </w:rPr>
                <w:t>2020.</w:t>
              </w:r>
            </w:hyperlink>
          </w:p>
        </w:tc>
        <w:tc>
          <w:tcPr>
            <w:tcW w:w="114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jc w:val="right"/>
              <w:ind w:right="574"/>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5680" w:type="dxa"/>
            <w:vAlign w:val="bottom"/>
            <w:gridSpan w:val="9"/>
          </w:tcPr>
          <w:p>
            <w:pPr>
              <w:spacing w:after="0"/>
              <w:rPr>
                <w:rFonts w:ascii="Arial" w:cs="Arial" w:eastAsia="Arial" w:hAnsi="Arial"/>
                <w:sz w:val="18"/>
                <w:szCs w:val="18"/>
                <w:u w:val="single" w:color="auto"/>
                <w:color w:val="0000EE"/>
                <w:w w:val="99"/>
              </w:rPr>
            </w:pPr>
            <w:hyperlink r:id="rId76">
              <w:r>
                <w:rPr>
                  <w:rFonts w:ascii="Arial" w:cs="Arial" w:eastAsia="Arial" w:hAnsi="Arial"/>
                  <w:sz w:val="18"/>
                  <w:szCs w:val="18"/>
                  <w:u w:val="single" w:color="auto"/>
                  <w:color w:val="0000EE"/>
                  <w:w w:val="99"/>
                </w:rPr>
                <w:t>Amended and Restated Bylaws as amended through January 22, 2021.</w:t>
              </w:r>
            </w:hyperlink>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01/27/2021</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ind w:right="574"/>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5680" w:type="dxa"/>
            <w:vAlign w:val="bottom"/>
            <w:gridSpan w:val="9"/>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Specimen of Common Stock Certificate.</w:t>
              </w:r>
            </w:hyperlink>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S-3</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12/30/2015</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right"/>
              <w:ind w:right="574"/>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5680" w:type="dxa"/>
            <w:vAlign w:val="bottom"/>
            <w:gridSpan w:val="9"/>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Form of Pre-Funded Warrant.</w:t>
              </w:r>
            </w:hyperlink>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12/16/2019</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right"/>
              <w:ind w:right="574"/>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5680" w:type="dxa"/>
            <w:vAlign w:val="bottom"/>
            <w:gridSpan w:val="9"/>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Description of Securities.</w:t>
              </w:r>
            </w:hyperlink>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980" w:type="dxa"/>
            <w:vAlign w:val="bottom"/>
          </w:tcPr>
          <w:p>
            <w:pPr>
              <w:jc w:val="right"/>
              <w:ind w:right="574"/>
              <w:spacing w:after="0" w:line="190" w:lineRule="exact"/>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6"/>
                <w:szCs w:val="16"/>
                <w:color w:val="auto"/>
              </w:rPr>
            </w:pPr>
          </w:p>
        </w:tc>
        <w:tc>
          <w:tcPr>
            <w:tcW w:w="5680" w:type="dxa"/>
            <w:vAlign w:val="bottom"/>
            <w:gridSpan w:val="9"/>
          </w:tcPr>
          <w:p>
            <w:pPr>
              <w:spacing w:after="0" w:line="190"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Sub-Sublease, dated as of July 18, 2018, between Prothena Biosciences, Inc.,</w:t>
              </w:r>
            </w:hyperlink>
          </w:p>
        </w:tc>
        <w:tc>
          <w:tcPr>
            <w:tcW w:w="1300" w:type="dxa"/>
            <w:vAlign w:val="bottom"/>
            <w:gridSpan w:val="2"/>
          </w:tcPr>
          <w:p>
            <w:pPr>
              <w:jc w:val="center"/>
              <w:ind w:right="60"/>
              <w:spacing w:after="0" w:line="190"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88"/>
              </w:rPr>
              <w:t>11/08/2018</w:t>
            </w:r>
          </w:p>
        </w:tc>
        <w:tc>
          <w:tcPr>
            <w:tcW w:w="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60" w:type="dxa"/>
            <w:vAlign w:val="bottom"/>
            <w:tcBorders>
              <w:top w:val="single" w:sz="8" w:color="0000EE"/>
            </w:tcBorders>
            <w:gridSpan w:val="7"/>
          </w:tcPr>
          <w:p>
            <w:pPr>
              <w:spacing w:after="0"/>
              <w:rPr>
                <w:rFonts w:ascii="Arial" w:cs="Arial" w:eastAsia="Arial" w:hAnsi="Arial"/>
                <w:sz w:val="18"/>
                <w:szCs w:val="18"/>
                <w:u w:val="single" w:color="auto"/>
                <w:color w:val="0000EE"/>
                <w:w w:val="95"/>
              </w:rPr>
            </w:pPr>
            <w:hyperlink r:id="rId79">
              <w:r>
                <w:rPr>
                  <w:rFonts w:ascii="Arial" w:cs="Arial" w:eastAsia="Arial" w:hAnsi="Arial"/>
                  <w:sz w:val="18"/>
                  <w:szCs w:val="18"/>
                  <w:u w:val="single" w:color="auto"/>
                  <w:color w:val="0000EE"/>
                  <w:w w:val="95"/>
                </w:rPr>
                <w:t>as Sub-Sublandlord, and Assembly Biosciences, Inc., as Sub-Subtenant.</w:t>
              </w:r>
            </w:hyperlink>
          </w:p>
        </w:tc>
        <w:tc>
          <w:tcPr>
            <w:tcW w:w="12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jc w:val="right"/>
              <w:ind w:right="474"/>
              <w:spacing w:after="0" w:line="190" w:lineRule="exact"/>
              <w:rPr>
                <w:sz w:val="20"/>
                <w:szCs w:val="20"/>
                <w:color w:val="auto"/>
              </w:rPr>
            </w:pPr>
            <w:r>
              <w:rPr>
                <w:rFonts w:ascii="Arial" w:cs="Arial" w:eastAsia="Arial" w:hAnsi="Arial"/>
                <w:sz w:val="18"/>
                <w:szCs w:val="18"/>
                <w:color w:val="auto"/>
                <w:w w:val="95"/>
              </w:rPr>
              <w:t>10.2*</w:t>
            </w:r>
          </w:p>
        </w:tc>
        <w:tc>
          <w:tcPr>
            <w:tcW w:w="60" w:type="dxa"/>
            <w:vAlign w:val="bottom"/>
          </w:tcPr>
          <w:p>
            <w:pPr>
              <w:spacing w:after="0"/>
              <w:rPr>
                <w:sz w:val="16"/>
                <w:szCs w:val="16"/>
                <w:color w:val="auto"/>
              </w:rPr>
            </w:pPr>
          </w:p>
        </w:tc>
        <w:tc>
          <w:tcPr>
            <w:tcW w:w="550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Exclusive License Agreement dated September 3, 2013 by and between The</w:t>
              </w:r>
            </w:hyperlink>
          </w:p>
        </w:tc>
        <w:tc>
          <w:tcPr>
            <w:tcW w:w="180" w:type="dxa"/>
            <w:vAlign w:val="bottom"/>
            <w:gridSpan w:val="3"/>
          </w:tcPr>
          <w:p>
            <w:pPr>
              <w:spacing w:after="0"/>
              <w:rPr>
                <w:sz w:val="16"/>
                <w:szCs w:val="16"/>
                <w:color w:val="auto"/>
              </w:rPr>
            </w:pPr>
          </w:p>
        </w:tc>
        <w:tc>
          <w:tcPr>
            <w:tcW w:w="1300" w:type="dxa"/>
            <w:vAlign w:val="bottom"/>
            <w:gridSpan w:val="2"/>
          </w:tcPr>
          <w:p>
            <w:pPr>
              <w:jc w:val="center"/>
              <w:ind w:right="60"/>
              <w:spacing w:after="0" w:line="190"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88"/>
              </w:rPr>
              <w:t>11/17/2014</w:t>
            </w:r>
          </w:p>
        </w:tc>
        <w:tc>
          <w:tcPr>
            <w:tcW w:w="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8"/>
              </w:rPr>
              <w:t>10.29</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Indiana University Research and Technology Corporation and Assembly</w:t>
              </w:r>
            </w:hyperlink>
          </w:p>
        </w:tc>
        <w:tc>
          <w:tcPr>
            <w:tcW w:w="44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80" w:type="dxa"/>
            <w:vAlign w:val="bottom"/>
            <w:gridSpan w:val="9"/>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Pharmaceuticals, Inc.</w:t>
              </w:r>
            </w:hyperlink>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540" w:type="dxa"/>
            <w:vAlign w:val="bottom"/>
            <w:tcBorders>
              <w:top w:val="single" w:sz="8" w:color="0000EE"/>
            </w:tcBorders>
            <w:gridSpan w:val="2"/>
          </w:tcPr>
          <w:p>
            <w:pPr>
              <w:spacing w:after="0"/>
              <w:rPr>
                <w:sz w:val="24"/>
                <w:szCs w:val="24"/>
                <w:color w:val="auto"/>
              </w:rPr>
            </w:pPr>
          </w:p>
        </w:tc>
        <w:tc>
          <w:tcPr>
            <w:tcW w:w="3600" w:type="dxa"/>
            <w:vAlign w:val="bottom"/>
          </w:tcPr>
          <w:p>
            <w:pPr>
              <w:jc w:val="right"/>
              <w:ind w:right="399"/>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80" w:type="dxa"/>
            <w:vAlign w:val="bottom"/>
            <w:gridSpan w:val="21"/>
            <w:vMerge w:val="restart"/>
          </w:tcPr>
          <w:p>
            <w:pPr>
              <w:ind w:left="2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line="169"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gridSpan w:val="25"/>
          </w:tcPr>
          <w:p>
            <w:pPr>
              <w:spacing w:after="0" w:line="169" w:lineRule="exact"/>
              <w:rPr>
                <w:rFonts w:ascii="Arial" w:cs="Arial" w:eastAsia="Arial" w:hAnsi="Arial"/>
                <w:sz w:val="18"/>
                <w:szCs w:val="18"/>
                <w:color w:val="0000EE"/>
              </w:rPr>
            </w:pPr>
            <w:hyperlink r:id="rId83">
              <w:r>
                <w:rPr>
                  <w:rFonts w:ascii="Arial" w:cs="Arial" w:eastAsia="Arial" w:hAnsi="Arial"/>
                  <w:sz w:val="18"/>
                  <w:szCs w:val="18"/>
                  <w:color w:val="0000EE"/>
                </w:rPr>
                <w:t>Amendment No. 1 to Exclusive License Agreement, by and between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Assembly Biosciences, Inc. and the Indiana University Research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Technology Corporation.</w:t>
              </w:r>
            </w:hyperlink>
          </w:p>
        </w:tc>
        <w:tc>
          <w:tcPr>
            <w:tcW w:w="3140" w:type="dxa"/>
            <w:vAlign w:val="bottom"/>
            <w:tcBorders>
              <w:top w:val="single" w:sz="8" w:color="0000EE"/>
            </w:tcBorders>
            <w:gridSpan w:val="11"/>
          </w:tcPr>
          <w:p>
            <w:pPr>
              <w:spacing w:after="0"/>
              <w:rPr>
                <w:sz w:val="17"/>
                <w:szCs w:val="17"/>
                <w:color w:val="auto"/>
              </w:rPr>
            </w:pPr>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Amendment No. 2 to Exclusive License Agreement, by and between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Assembly Biosciences, Inc. and the Indiana University Research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Technology Corporation.</w:t>
              </w:r>
            </w:hyperlink>
          </w:p>
        </w:tc>
        <w:tc>
          <w:tcPr>
            <w:tcW w:w="3140" w:type="dxa"/>
            <w:vAlign w:val="bottom"/>
            <w:tcBorders>
              <w:top w:val="single" w:sz="8" w:color="0000EE"/>
            </w:tcBorders>
            <w:gridSpan w:val="11"/>
          </w:tcPr>
          <w:p>
            <w:pPr>
              <w:spacing w:after="0"/>
              <w:rPr>
                <w:sz w:val="17"/>
                <w:szCs w:val="17"/>
                <w:color w:val="auto"/>
              </w:rPr>
            </w:pPr>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Collaboration Agreement, dated as of July 17, 2020, by and between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Assembly Biosciences, Inc. and BeiGene, Ltd.</w:t>
              </w:r>
            </w:hyperlink>
          </w:p>
        </w:tc>
        <w:tc>
          <w:tcPr>
            <w:tcW w:w="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Employment Agreement, dated August 6, 2019, between Assembly</w:t>
              </w:r>
            </w:hyperlink>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6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Biosciences, Inc. and John G. McHutchison, A.O., M.D.</w:t>
              </w:r>
            </w:hyperlink>
          </w:p>
        </w:tc>
        <w:tc>
          <w:tcPr>
            <w:tcW w:w="7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Employment Agreement, dated September 30, 2019, between Assembly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w w:val="95"/>
              </w:rPr>
            </w:pPr>
            <w:hyperlink r:id="rId87">
              <w:r>
                <w:rPr>
                  <w:rFonts w:ascii="Arial" w:cs="Arial" w:eastAsia="Arial" w:hAnsi="Arial"/>
                  <w:sz w:val="18"/>
                  <w:szCs w:val="18"/>
                  <w:u w:val="single" w:color="auto"/>
                  <w:color w:val="0000EE"/>
                  <w:w w:val="95"/>
                </w:rPr>
                <w:t>Biosciences, Inc. and Thomas J. Russo, effective as of October 28, 2019.</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6"/>
                <w:szCs w:val="16"/>
                <w:color w:val="auto"/>
              </w:rPr>
            </w:pPr>
          </w:p>
        </w:tc>
        <w:tc>
          <w:tcPr>
            <w:tcW w:w="52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Amendment No. 1 to Employment Agreement, dated February 26, 2020,</w:t>
              </w:r>
            </w:hyperlink>
          </w:p>
        </w:tc>
        <w:tc>
          <w:tcPr>
            <w:tcW w:w="3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between Assembly Biosciences, Inc. and Thomas J. Russo.</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50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Employment Agreement, dated October 22, 2019, between Assembly</w:t>
              </w:r>
            </w:hyperlink>
          </w:p>
        </w:tc>
        <w:tc>
          <w:tcPr>
            <w:tcW w:w="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Biosciences, Inc. and Luisa M. Stamm, M.D., Ph.D. effective as of</w:t>
              </w:r>
            </w:hyperlink>
          </w:p>
        </w:tc>
        <w:tc>
          <w:tcPr>
            <w:tcW w:w="7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November 6, 2019.</w:t>
              </w:r>
            </w:hyperlink>
          </w:p>
        </w:tc>
        <w:tc>
          <w:tcPr>
            <w:tcW w:w="42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5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Amendment No. 1 to Employment Agreement, dated February 26, 2020,</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w w:val="98"/>
              </w:rPr>
            </w:pPr>
            <w:hyperlink r:id="rId90">
              <w:r>
                <w:rPr>
                  <w:rFonts w:ascii="Arial" w:cs="Arial" w:eastAsia="Arial" w:hAnsi="Arial"/>
                  <w:sz w:val="18"/>
                  <w:szCs w:val="18"/>
                  <w:u w:val="single" w:color="auto"/>
                  <w:color w:val="0000EE"/>
                  <w:w w:val="98"/>
                </w:rPr>
                <w:t>between Assembly Biosciences, Inc. and Luisa M. Stamm, M.D., Ph.D.</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rPr>
            </w:pPr>
            <w:hyperlink w:anchor="page106">
              <w:r>
                <w:rPr>
                  <w:rFonts w:ascii="Arial" w:cs="Arial" w:eastAsia="Arial" w:hAnsi="Arial"/>
                  <w:sz w:val="18"/>
                  <w:szCs w:val="18"/>
                  <w:color w:val="0000EE"/>
                </w:rPr>
                <w:t>Employment Agreement, dated March 23, 2020, between Assembly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w w:val="97"/>
              </w:rPr>
            </w:pPr>
            <w:hyperlink w:anchor="page106">
              <w:r>
                <w:rPr>
                  <w:rFonts w:ascii="Arial" w:cs="Arial" w:eastAsia="Arial" w:hAnsi="Arial"/>
                  <w:sz w:val="18"/>
                  <w:szCs w:val="18"/>
                  <w:u w:val="single" w:color="auto"/>
                  <w:color w:val="0000EE"/>
                  <w:w w:val="97"/>
                </w:rPr>
                <w:t>Biosciences, Inc. and Jason A. Okazaki, effective as of March 26, 2020.</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6"/>
                <w:szCs w:val="16"/>
                <w:color w:val="auto"/>
              </w:rPr>
            </w:pPr>
          </w:p>
        </w:tc>
        <w:tc>
          <w:tcPr>
            <w:tcW w:w="4680" w:type="dxa"/>
            <w:vAlign w:val="bottom"/>
            <w:tcBorders>
              <w:bottom w:val="single" w:sz="8" w:color="0000EE"/>
            </w:tcBorders>
            <w:gridSpan w:val="12"/>
          </w:tcPr>
          <w:p>
            <w:pPr>
              <w:spacing w:after="0" w:line="190"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Employment Agreement, dated May 1, 2020, between Assembly</w:t>
              </w:r>
            </w:hyperlink>
          </w:p>
        </w:tc>
        <w:tc>
          <w:tcPr>
            <w:tcW w:w="9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Biosciences, Inc. and William E. Delaney IV, Ph.D., effective as of May 27,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2020.</w:t>
              </w:r>
            </w:hyperlink>
          </w:p>
        </w:tc>
        <w:tc>
          <w:tcPr>
            <w:tcW w:w="9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2010 Equity Incentive Plan</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w w:val="95"/>
              </w:rPr>
            </w:pPr>
            <w:hyperlink r:id="rId92">
              <w:r>
                <w:rPr>
                  <w:rFonts w:ascii="Arial" w:cs="Arial" w:eastAsia="Arial" w:hAnsi="Arial"/>
                  <w:sz w:val="18"/>
                  <w:szCs w:val="18"/>
                  <w:color w:val="0000EE"/>
                  <w:w w:val="95"/>
                </w:rPr>
                <w:t>Assembly Biosciences, Inc. Amended and Restated 2014 Stock Incentive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Plan.</w:t>
              </w:r>
            </w:hyperlink>
          </w:p>
        </w:tc>
        <w:tc>
          <w:tcPr>
            <w:tcW w:w="4900" w:type="dxa"/>
            <w:vAlign w:val="bottom"/>
            <w:tcBorders>
              <w:top w:val="single" w:sz="8" w:color="0000EE"/>
            </w:tcBorders>
            <w:gridSpan w:val="19"/>
          </w:tcPr>
          <w:p>
            <w:pPr>
              <w:spacing w:after="0"/>
              <w:rPr>
                <w:sz w:val="17"/>
                <w:szCs w:val="17"/>
                <w:color w:val="auto"/>
              </w:rPr>
            </w:pP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0"/>
                <w:szCs w:val="20"/>
                <w:color w:val="auto"/>
              </w:rPr>
            </w:pPr>
          </w:p>
        </w:tc>
        <w:tc>
          <w:tcPr>
            <w:tcW w:w="5600" w:type="dxa"/>
            <w:vAlign w:val="bottom"/>
            <w:gridSpan w:val="26"/>
          </w:tcPr>
          <w:p>
            <w:pPr>
              <w:spacing w:after="0"/>
              <w:rPr>
                <w:rFonts w:ascii="Arial" w:cs="Arial" w:eastAsia="Arial" w:hAnsi="Arial"/>
                <w:sz w:val="18"/>
                <w:szCs w:val="18"/>
                <w:u w:val="single" w:color="auto"/>
                <w:color w:val="0000EE"/>
                <w:w w:val="93"/>
              </w:rPr>
            </w:pPr>
            <w:hyperlink r:id="rId93">
              <w:r>
                <w:rPr>
                  <w:rFonts w:ascii="Arial" w:cs="Arial" w:eastAsia="Arial" w:hAnsi="Arial"/>
                  <w:sz w:val="18"/>
                  <w:szCs w:val="18"/>
                  <w:u w:val="single" w:color="auto"/>
                  <w:color w:val="0000EE"/>
                  <w:w w:val="93"/>
                </w:rPr>
                <w:t>Omnibus Amendment to Assembly Biosciences, Inc. Stock Incentive Plans.</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Form of Notice of Stock Option Grant and Stock Option Agreement under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Amended and Restated 2014 Stock Incentive Plan.</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Award Agreement under the Amended and Restated 2014 Stock Incentive</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Plan.</w:t>
              </w:r>
            </w:hyperlink>
          </w:p>
        </w:tc>
        <w:tc>
          <w:tcPr>
            <w:tcW w:w="5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Assembly Biosciences, Inc. 2017 Inducement Award Plan.</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Form of Notice of Stock Option Grant and Stock Option Agreement under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the 2017 Inducement Award Plan.</w:t>
              </w:r>
            </w:hyperlink>
          </w:p>
        </w:tc>
        <w:tc>
          <w:tcPr>
            <w:tcW w:w="2900" w:type="dxa"/>
            <w:vAlign w:val="bottom"/>
            <w:tcBorders>
              <w:top w:val="single" w:sz="8" w:color="0000EE"/>
            </w:tcBorders>
            <w:gridSpan w:val="16"/>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2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Award Agreement under the 2017 Inducement Award Plan.</w:t>
              </w:r>
            </w:hyperlink>
          </w:p>
        </w:tc>
        <w:tc>
          <w:tcPr>
            <w:tcW w:w="4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c>
          <w:tcPr>
            <w:tcW w:w="5600" w:type="dxa"/>
            <w:vAlign w:val="bottom"/>
            <w:gridSpan w:val="26"/>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Assembly Biosciences, Inc. 2018 Stock Incentive Plan.</w:t>
              </w:r>
            </w:hyperlink>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w w:val="92"/>
              </w:rPr>
            </w:pPr>
            <w:hyperlink r:id="rId100">
              <w:r>
                <w:rPr>
                  <w:rFonts w:ascii="Arial" w:cs="Arial" w:eastAsia="Arial" w:hAnsi="Arial"/>
                  <w:sz w:val="18"/>
                  <w:szCs w:val="18"/>
                  <w:u w:val="single" w:color="auto"/>
                  <w:color w:val="0000EE"/>
                  <w:w w:val="92"/>
                </w:rPr>
                <w:t>Amendment No. 1 to Assembly Biosciences, Inc. 2018 Stock Incentive Plan</w:t>
              </w:r>
            </w:hyperlink>
            <w:r>
              <w:rPr>
                <w:rFonts w:ascii="Arial" w:cs="Arial" w:eastAsia="Arial" w:hAnsi="Arial"/>
                <w:sz w:val="18"/>
                <w:szCs w:val="18"/>
                <w:u w:val="single" w:color="auto"/>
                <w:color w:val="000000"/>
                <w:w w:val="92"/>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w w:val="92"/>
              </w:rPr>
            </w:pPr>
            <w:hyperlink r:id="rId101">
              <w:r>
                <w:rPr>
                  <w:rFonts w:ascii="Arial" w:cs="Arial" w:eastAsia="Arial" w:hAnsi="Arial"/>
                  <w:sz w:val="18"/>
                  <w:szCs w:val="18"/>
                  <w:u w:val="single" w:color="auto"/>
                  <w:color w:val="0000EE"/>
                  <w:w w:val="92"/>
                </w:rPr>
                <w:t>Amendment No. 3 to Assembly Biosciences, Inc. 2018 Stock Incentive Plan.</w:t>
              </w:r>
            </w:hyperlink>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6"/>
                <w:szCs w:val="16"/>
                <w:color w:val="auto"/>
              </w:rPr>
            </w:pPr>
          </w:p>
        </w:tc>
        <w:tc>
          <w:tcPr>
            <w:tcW w:w="5600" w:type="dxa"/>
            <w:vAlign w:val="bottom"/>
            <w:gridSpan w:val="26"/>
          </w:tcPr>
          <w:p>
            <w:pPr>
              <w:spacing w:after="0" w:line="190"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Form of Notice of Stock Option Grant and Stock Option Agreement under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the 2018 Stock Incentive Plan.</w:t>
              </w:r>
            </w:hyperlink>
          </w:p>
        </w:tc>
        <w:tc>
          <w:tcPr>
            <w:tcW w:w="3140" w:type="dxa"/>
            <w:vAlign w:val="bottom"/>
            <w:tcBorders>
              <w:top w:val="single" w:sz="8" w:color="0000EE"/>
            </w:tcBorders>
            <w:gridSpan w:val="17"/>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6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Award Agreement under the 2018 Stock Incentive Plan.</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10"/>
            <w:shd w:val="clear" w:color="auto" w:fill="0000EE"/>
          </w:tcPr>
          <w:p>
            <w:pPr>
              <w:spacing w:after="0" w:line="20" w:lineRule="exact"/>
              <w:rPr>
                <w:sz w:val="1"/>
                <w:szCs w:val="1"/>
                <w:color w:val="auto"/>
              </w:rPr>
            </w:pPr>
          </w:p>
        </w:tc>
        <w:tc>
          <w:tcPr>
            <w:tcW w:w="150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60" w:type="dxa"/>
            <w:vAlign w:val="bottom"/>
          </w:tcPr>
          <w:p>
            <w:pPr>
              <w:spacing w:after="0"/>
              <w:rPr>
                <w:sz w:val="17"/>
                <w:szCs w:val="17"/>
                <w:color w:val="auto"/>
              </w:rPr>
            </w:pPr>
          </w:p>
        </w:tc>
        <w:tc>
          <w:tcPr>
            <w:tcW w:w="55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of Stock Appreciation Right Award Agreement for Non-U.S. Grantees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0" w:type="dxa"/>
            <w:vAlign w:val="bottom"/>
            <w:gridSpan w:val="26"/>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under the Assembly Biosciences, Inc. 2018 Stock Incentive Plan.</w:t>
              </w:r>
            </w:hyperlink>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0"/>
                <w:szCs w:val="20"/>
                <w:color w:val="auto"/>
              </w:rPr>
            </w:pPr>
          </w:p>
        </w:tc>
        <w:tc>
          <w:tcPr>
            <w:tcW w:w="5600" w:type="dxa"/>
            <w:vAlign w:val="bottom"/>
            <w:gridSpan w:val="26"/>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Assembly Biosciences, Inc. 2018 Employee Stock Purchase Plan.</w:t>
              </w:r>
            </w:hyperlink>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4740" w:type="dxa"/>
            <w:vAlign w:val="bottom"/>
            <w:gridSpan w:val="13"/>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03/04/2020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8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10/4/2010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6/6/2016</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9/17/2014</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11/01/2017</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05/21/2019</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06/16/2020</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10/12/2018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640" w:space="80"/>
            <w:col w:w="4520"/>
          </w:cols>
          <w:pgMar w:left="320" w:top="104"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vMerge w:val="restart"/>
          </w:tcPr>
          <w:p>
            <w:pPr>
              <w:ind w:left="2020"/>
              <w:spacing w:after="0"/>
              <w:rPr>
                <w:sz w:val="20"/>
                <w:szCs w:val="20"/>
                <w:color w:val="auto"/>
              </w:rPr>
            </w:pPr>
            <w:r>
              <w:rPr>
                <w:rFonts w:ascii="Arial" w:cs="Arial" w:eastAsia="Arial" w:hAnsi="Arial"/>
                <w:sz w:val="14"/>
                <w:szCs w:val="14"/>
                <w:b w:val="1"/>
                <w:bCs w:val="1"/>
                <w:color w:val="auto"/>
              </w:rPr>
              <w:t>Description of Document</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vMerge w:val="continue"/>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10.28#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80" w:type="dxa"/>
            <w:vAlign w:val="bottom"/>
            <w:tcBorders>
              <w:top w:val="single" w:sz="8" w:color="auto"/>
            </w:tcBorders>
            <w:gridSpan w:val="9"/>
          </w:tcPr>
          <w:p>
            <w:pPr>
              <w:spacing w:after="0" w:line="195" w:lineRule="exact"/>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Assembly Biosciences, Inc. 2019 Inducement Award Plan</w:t>
              </w:r>
            </w:hyperlink>
            <w:r>
              <w:rPr>
                <w:rFonts w:ascii="Arial" w:cs="Arial" w:eastAsia="Arial" w:hAnsi="Arial"/>
                <w:sz w:val="18"/>
                <w:szCs w:val="18"/>
                <w:u w:val="single" w:color="auto"/>
                <w:color w:val="000000"/>
              </w:rPr>
              <w:t>.</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10-Q</w:t>
            </w:r>
          </w:p>
        </w:tc>
        <w:tc>
          <w:tcPr>
            <w:tcW w:w="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6"/>
                <w:szCs w:val="16"/>
                <w:color w:val="auto"/>
              </w:rPr>
            </w:pPr>
          </w:p>
        </w:tc>
        <w:tc>
          <w:tcPr>
            <w:tcW w:w="538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Notice of Stock Option Grant and Stock Option Agreement under</w:t>
              </w:r>
            </w:hyperlink>
          </w:p>
        </w:tc>
        <w:tc>
          <w:tcPr>
            <w:tcW w:w="300" w:type="dxa"/>
            <w:vAlign w:val="bottom"/>
            <w:gridSpan w:val="2"/>
          </w:tcPr>
          <w:p>
            <w:pPr>
              <w:spacing w:after="0"/>
              <w:rPr>
                <w:sz w:val="16"/>
                <w:szCs w:val="16"/>
                <w:color w:val="auto"/>
              </w:rPr>
            </w:pPr>
          </w:p>
        </w:tc>
        <w:tc>
          <w:tcPr>
            <w:tcW w:w="1300" w:type="dxa"/>
            <w:vAlign w:val="bottom"/>
            <w:gridSpan w:val="2"/>
          </w:tcPr>
          <w:p>
            <w:pPr>
              <w:jc w:val="center"/>
              <w:ind w:right="60"/>
              <w:spacing w:after="0" w:line="190"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5"/>
              </w:rPr>
              <w:t>10.5</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the 2019 Inducement Award Plan.</w:t>
              </w:r>
            </w:hyperlink>
          </w:p>
        </w:tc>
        <w:tc>
          <w:tcPr>
            <w:tcW w:w="322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0"/>
                <w:szCs w:val="20"/>
                <w:color w:val="auto"/>
              </w:rPr>
            </w:pPr>
          </w:p>
        </w:tc>
        <w:tc>
          <w:tcPr>
            <w:tcW w:w="5680" w:type="dxa"/>
            <w:vAlign w:val="bottom"/>
            <w:gridSpan w:val="11"/>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Assembly Biosciences, Inc. 2020 Inducement Award Plan.</w:t>
              </w:r>
            </w:hyperlink>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10.31#</w:t>
            </w:r>
          </w:p>
        </w:tc>
        <w:tc>
          <w:tcPr>
            <w:tcW w:w="60" w:type="dxa"/>
            <w:vAlign w:val="bottom"/>
          </w:tcPr>
          <w:p>
            <w:pPr>
              <w:spacing w:after="0"/>
              <w:rPr>
                <w:sz w:val="16"/>
                <w:szCs w:val="16"/>
                <w:color w:val="auto"/>
              </w:rPr>
            </w:pPr>
          </w:p>
        </w:tc>
        <w:tc>
          <w:tcPr>
            <w:tcW w:w="538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Form of Notice of Stock Option Grant and Stock Option Agreement under</w:t>
              </w:r>
            </w:hyperlink>
          </w:p>
        </w:tc>
        <w:tc>
          <w:tcPr>
            <w:tcW w:w="300" w:type="dxa"/>
            <w:vAlign w:val="bottom"/>
            <w:gridSpan w:val="2"/>
          </w:tcPr>
          <w:p>
            <w:pPr>
              <w:spacing w:after="0"/>
              <w:rPr>
                <w:sz w:val="16"/>
                <w:szCs w:val="16"/>
                <w:color w:val="auto"/>
              </w:rPr>
            </w:pPr>
          </w:p>
        </w:tc>
        <w:tc>
          <w:tcPr>
            <w:tcW w:w="1300" w:type="dxa"/>
            <w:vAlign w:val="bottom"/>
            <w:gridSpan w:val="2"/>
          </w:tcPr>
          <w:p>
            <w:pPr>
              <w:jc w:val="center"/>
              <w:ind w:right="60"/>
              <w:spacing w:after="0" w:line="190"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the 2020 Inducement Award Plan.</w:t>
              </w:r>
            </w:hyperlink>
          </w:p>
        </w:tc>
        <w:tc>
          <w:tcPr>
            <w:tcW w:w="322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60" w:type="dxa"/>
            <w:vAlign w:val="bottom"/>
          </w:tcPr>
          <w:p>
            <w:pPr>
              <w:spacing w:after="0"/>
              <w:rPr>
                <w:sz w:val="17"/>
                <w:szCs w:val="17"/>
                <w:color w:val="auto"/>
              </w:rPr>
            </w:pPr>
          </w:p>
        </w:tc>
        <w:tc>
          <w:tcPr>
            <w:tcW w:w="5680" w:type="dxa"/>
            <w:vAlign w:val="bottom"/>
            <w:gridSpan w:val="1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Form of Restricted Stock Unit Award Notice and Restricted Stock Unit</w:t>
              </w:r>
            </w:hyperlink>
          </w:p>
        </w:tc>
        <w:tc>
          <w:tcPr>
            <w:tcW w:w="13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5"/>
              </w:rPr>
              <w:t>10.5</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Award Agreement under the 2020 Inducement Award Plan.</w:t>
              </w:r>
            </w:hyperlink>
          </w:p>
        </w:tc>
        <w:tc>
          <w:tcPr>
            <w:tcW w:w="560" w:type="dxa"/>
            <w:vAlign w:val="bottom"/>
            <w:gridSpan w:val="7"/>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19"/>
                <w:szCs w:val="19"/>
                <w:color w:val="auto"/>
              </w:rPr>
            </w:pPr>
          </w:p>
        </w:tc>
        <w:tc>
          <w:tcPr>
            <w:tcW w:w="5680" w:type="dxa"/>
            <w:vAlign w:val="bottom"/>
            <w:gridSpan w:val="11"/>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Assembly Biosciences, Inc. 2020 Corporate Bonus Plan.</w:t>
              </w:r>
            </w:hyperlink>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02/11/2020</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List of Subsidiaries of Assembly Biosciences, Inc.</w:t>
              </w:r>
            </w:hyperlink>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Consent of Independent Registered Public Accounting Firm.</w:t>
              </w:r>
            </w:hyperlink>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00"/>
              </w:rPr>
              <w: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5680" w:type="dxa"/>
            <w:vAlign w:val="bottom"/>
            <w:gridSpan w:val="11"/>
          </w:tcPr>
          <w:p>
            <w:pPr>
              <w:spacing w:after="0" w:line="190"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Certification of the Chief Executive Officer Pursuant to Section 302 of the</w:t>
              </w:r>
            </w:hyperlink>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Sarbanes-Oxley Act of 2002.</w:t>
              </w:r>
            </w:hyperlink>
          </w:p>
        </w:tc>
        <w:tc>
          <w:tcPr>
            <w:tcW w:w="32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Certification of the Chief Financial Officer Pursuant to Section 302 of the</w:t>
              </w:r>
            </w:hyperlink>
          </w:p>
        </w:tc>
        <w:tc>
          <w:tcPr>
            <w:tcW w:w="36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80" w:type="dxa"/>
            <w:vAlign w:val="bottom"/>
            <w:gridSpan w:val="1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Sarbanes-Oxley Act of 2002.</w:t>
              </w:r>
            </w:hyperlink>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680" w:type="dxa"/>
            <w:vAlign w:val="bottom"/>
            <w:gridSpan w:val="11"/>
          </w:tcPr>
          <w:p>
            <w:pPr>
              <w:spacing w:after="0" w:line="196" w:lineRule="exact"/>
              <w:rPr>
                <w:rFonts w:ascii="Arial" w:cs="Arial" w:eastAsia="Arial" w:hAnsi="Arial"/>
                <w:sz w:val="18"/>
                <w:szCs w:val="18"/>
                <w:color w:val="0000EE"/>
                <w:w w:val="97"/>
              </w:rPr>
            </w:pPr>
            <w:hyperlink w:anchor="page143">
              <w:r>
                <w:rPr>
                  <w:rFonts w:ascii="Arial" w:cs="Arial" w:eastAsia="Arial" w:hAnsi="Arial"/>
                  <w:sz w:val="18"/>
                  <w:szCs w:val="18"/>
                  <w:color w:val="0000EE"/>
                  <w:w w:val="97"/>
                </w:rPr>
                <w:t>Certification of the Chief Executive Officer Pursuant to 18 U.S.C. Section</w:t>
              </w:r>
            </w:hyperlink>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0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80" w:type="dxa"/>
            <w:vAlign w:val="bottom"/>
            <w:gridSpan w:val="11"/>
          </w:tcPr>
          <w:p>
            <w:pPr>
              <w:spacing w:after="0"/>
              <w:rPr>
                <w:rFonts w:ascii="Arial" w:cs="Arial" w:eastAsia="Arial" w:hAnsi="Arial"/>
                <w:sz w:val="18"/>
                <w:szCs w:val="18"/>
                <w:color w:val="0000EE"/>
                <w:w w:val="91"/>
              </w:rPr>
            </w:pPr>
            <w:hyperlink w:anchor="page143">
              <w:r>
                <w:rPr>
                  <w:rFonts w:ascii="Arial" w:cs="Arial" w:eastAsia="Arial" w:hAnsi="Arial"/>
                  <w:sz w:val="18"/>
                  <w:szCs w:val="18"/>
                  <w:u w:val="single" w:color="auto"/>
                  <w:color w:val="0000EE"/>
                  <w:w w:val="91"/>
                </w:rPr>
                <w:t>1350 as Adopted Pursuant to Section 906 of the Sarbanes-Oxley Act of 2002</w:t>
              </w:r>
              <w:r>
                <w:rPr>
                  <w:rFonts w:ascii="Arial" w:cs="Arial" w:eastAsia="Arial" w:hAnsi="Arial"/>
                  <w:sz w:val="18"/>
                  <w:szCs w:val="18"/>
                  <w:color w:val="0000EE"/>
                  <w:w w:val="91"/>
                </w:rPr>
                <w:t>.</w:t>
              </w:r>
            </w:hyperlink>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6"/>
                <w:szCs w:val="16"/>
                <w:color w:val="auto"/>
              </w:rPr>
            </w:pPr>
          </w:p>
        </w:tc>
        <w:tc>
          <w:tcPr>
            <w:tcW w:w="5300" w:type="dxa"/>
            <w:vAlign w:val="bottom"/>
            <w:tcBorders>
              <w:bottom w:val="single" w:sz="8" w:color="0000EE"/>
            </w:tcBorders>
            <w:gridSpan w:val="5"/>
          </w:tcPr>
          <w:p>
            <w:pPr>
              <w:spacing w:after="0" w:line="190"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Certification of the Chief Financial Officer Pursuant to 18 U.S.C. Section</w:t>
              </w:r>
            </w:hyperlink>
          </w:p>
        </w:tc>
        <w:tc>
          <w:tcPr>
            <w:tcW w:w="380" w:type="dxa"/>
            <w:vAlign w:val="bottom"/>
            <w:gridSpan w:val="6"/>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80" w:type="dxa"/>
            <w:vAlign w:val="bottom"/>
            <w:gridSpan w:val="11"/>
          </w:tcPr>
          <w:p>
            <w:pPr>
              <w:spacing w:after="0"/>
              <w:rPr>
                <w:rFonts w:ascii="Arial" w:cs="Arial" w:eastAsia="Arial" w:hAnsi="Arial"/>
                <w:sz w:val="18"/>
                <w:szCs w:val="18"/>
                <w:color w:val="0000EE"/>
                <w:w w:val="91"/>
              </w:rPr>
            </w:pPr>
            <w:hyperlink w:anchor="page144">
              <w:r>
                <w:rPr>
                  <w:rFonts w:ascii="Arial" w:cs="Arial" w:eastAsia="Arial" w:hAnsi="Arial"/>
                  <w:sz w:val="18"/>
                  <w:szCs w:val="18"/>
                  <w:u w:val="single" w:color="auto"/>
                  <w:color w:val="0000EE"/>
                  <w:w w:val="91"/>
                </w:rPr>
                <w:t>1350 as Adopted Pursuant to Section 906 of the Sarbanes-Oxley Act of 2002</w:t>
              </w:r>
              <w:r>
                <w:rPr>
                  <w:rFonts w:ascii="Arial" w:cs="Arial" w:eastAsia="Arial" w:hAnsi="Arial"/>
                  <w:sz w:val="18"/>
                  <w:szCs w:val="18"/>
                  <w:color w:val="0000EE"/>
                  <w:w w:val="91"/>
                </w:rPr>
                <w:t>.</w:t>
              </w:r>
            </w:hyperlink>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Definitions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5240" w:hanging="1032"/>
        <w:spacing w:after="0" w:line="26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8" w:lineRule="exact"/>
        <w:rPr>
          <w:sz w:val="20"/>
          <w:szCs w:val="20"/>
          <w:color w:val="auto"/>
        </w:rPr>
      </w:pPr>
    </w:p>
    <w:p>
      <w:pPr>
        <w:ind w:left="440" w:hanging="432"/>
        <w:spacing w:after="0" w:line="273"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information in this exhibit has been omitted and filed separately with the Securities and Exchange Commission pursuant to a confidential treatment request.</w:t>
      </w:r>
    </w:p>
    <w:p>
      <w:pPr>
        <w:spacing w:after="0" w:line="2"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schedules to this exhibit have been omitted pursuant to Item 601(a)(5) of Regulation S-K.</w:t>
      </w:r>
    </w:p>
    <w:p>
      <w:pPr>
        <w:spacing w:after="0" w:line="50" w:lineRule="exact"/>
        <w:rPr>
          <w:sz w:val="20"/>
          <w:szCs w:val="20"/>
          <w:color w:val="auto"/>
        </w:rPr>
      </w:pPr>
    </w:p>
    <w:p>
      <w:pPr>
        <w:ind w:left="440" w:hanging="432"/>
        <w:spacing w:after="0" w:line="258"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that are both not material and would likely cause competitive harm to the registrant if publicly disclosed have been omitted pursuant to Item 601(b)(10)(iv) of Regulation S-K.</w:t>
      </w:r>
    </w:p>
    <w:p>
      <w:pPr>
        <w:spacing w:after="0" w:line="1"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8"/>
          <w:szCs w:val="18"/>
          <w:color w:val="auto"/>
        </w:rPr>
        <w:t>Represents management contracts or compensatory plans or arrangements.</w:t>
      </w:r>
    </w:p>
    <w:p>
      <w:pPr>
        <w:spacing w:after="0" w:line="9" w:lineRule="exact"/>
        <w:rPr>
          <w:sz w:val="20"/>
          <w:szCs w:val="20"/>
          <w:color w:val="auto"/>
        </w:rPr>
      </w:pPr>
    </w:p>
    <w:p>
      <w:pPr>
        <w:jc w:val="both"/>
        <w:ind w:left="440" w:hanging="432"/>
        <w:spacing w:after="0" w:line="253"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Annual Report on Form 10-K are to be deemed furnished and shall not be deemed “filed” with the SEC and are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Section 13 or 15(d) of the Securities Exchange Act, the Registrant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60" w:type="dxa"/>
            <w:vAlign w:val="bottom"/>
            <w:gridSpan w:val="2"/>
          </w:tcPr>
          <w:p>
            <w:pPr>
              <w:ind w:left="242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February 25, 2021</w:t>
            </w:r>
          </w:p>
        </w:tc>
        <w:tc>
          <w:tcPr>
            <w:tcW w:w="8060" w:type="dxa"/>
            <w:vAlign w:val="bottom"/>
            <w:gridSpan w:val="2"/>
          </w:tcPr>
          <w:p>
            <w:pPr>
              <w:ind w:left="2420"/>
              <w:spacing w:after="0"/>
              <w:rPr>
                <w:sz w:val="20"/>
                <w:szCs w:val="20"/>
                <w:color w:val="auto"/>
              </w:rPr>
            </w:pPr>
            <w:r>
              <w:rPr>
                <w:rFonts w:ascii="Arial" w:cs="Arial" w:eastAsia="Arial" w:hAnsi="Arial"/>
                <w:sz w:val="18"/>
                <w:szCs w:val="18"/>
                <w:color w:val="auto"/>
              </w:rPr>
              <w:t>By:   /s/ John G. McHutchison, A.O., M.D.</w:t>
            </w:r>
          </w:p>
        </w:tc>
      </w:tr>
      <w:tr>
        <w:trPr>
          <w:trHeight w:val="20"/>
        </w:trPr>
        <w:tc>
          <w:tcPr>
            <w:tcW w:w="3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95"/>
        </w:trPr>
        <w:tc>
          <w:tcPr>
            <w:tcW w:w="3180" w:type="dxa"/>
            <w:vAlign w:val="bottom"/>
          </w:tcPr>
          <w:p>
            <w:pPr>
              <w:spacing w:after="0"/>
              <w:rPr>
                <w:sz w:val="16"/>
                <w:szCs w:val="16"/>
                <w:color w:val="auto"/>
              </w:rPr>
            </w:pPr>
          </w:p>
        </w:tc>
        <w:tc>
          <w:tcPr>
            <w:tcW w:w="8060" w:type="dxa"/>
            <w:vAlign w:val="bottom"/>
            <w:gridSpan w:val="2"/>
          </w:tcPr>
          <w:p>
            <w:pPr>
              <w:ind w:left="2420"/>
              <w:spacing w:after="0" w:line="195" w:lineRule="exact"/>
              <w:rPr>
                <w:sz w:val="20"/>
                <w:szCs w:val="20"/>
                <w:color w:val="auto"/>
              </w:rPr>
            </w:pPr>
            <w:r>
              <w:rPr>
                <w:rFonts w:ascii="Arial" w:cs="Arial" w:eastAsia="Arial" w:hAnsi="Arial"/>
                <w:sz w:val="18"/>
                <w:szCs w:val="18"/>
                <w:color w:val="auto"/>
              </w:rPr>
              <w:t>Name:John G. McHutchison, A.O., M.D.</w:t>
            </w:r>
          </w:p>
        </w:tc>
      </w:tr>
      <w:tr>
        <w:trPr>
          <w:trHeight w:val="230"/>
        </w:trPr>
        <w:tc>
          <w:tcPr>
            <w:tcW w:w="3180" w:type="dxa"/>
            <w:vAlign w:val="bottom"/>
          </w:tcPr>
          <w:p>
            <w:pPr>
              <w:spacing w:after="0"/>
              <w:rPr>
                <w:sz w:val="20"/>
                <w:szCs w:val="20"/>
                <w:color w:val="auto"/>
              </w:rPr>
            </w:pPr>
          </w:p>
        </w:tc>
        <w:tc>
          <w:tcPr>
            <w:tcW w:w="8060" w:type="dxa"/>
            <w:vAlign w:val="bottom"/>
            <w:gridSpan w:val="2"/>
          </w:tcPr>
          <w:p>
            <w:pPr>
              <w:ind w:left="2420"/>
              <w:spacing w:after="0"/>
              <w:rPr>
                <w:sz w:val="20"/>
                <w:szCs w:val="20"/>
                <w:color w:val="auto"/>
              </w:rPr>
            </w:pPr>
            <w:r>
              <w:rPr>
                <w:rFonts w:ascii="Arial" w:cs="Arial" w:eastAsia="Arial" w:hAnsi="Arial"/>
                <w:sz w:val="18"/>
                <w:szCs w:val="18"/>
                <w:color w:val="auto"/>
              </w:rPr>
              <w:t>Title: Chief Executive Officer and President</w:t>
            </w:r>
          </w:p>
        </w:tc>
      </w:tr>
      <w:tr>
        <w:trPr>
          <w:trHeight w:val="445"/>
        </w:trPr>
        <w:tc>
          <w:tcPr>
            <w:tcW w:w="3180" w:type="dxa"/>
            <w:vAlign w:val="bottom"/>
          </w:tcPr>
          <w:p>
            <w:pPr>
              <w:spacing w:after="0"/>
              <w:rPr>
                <w:sz w:val="24"/>
                <w:szCs w:val="24"/>
                <w:color w:val="auto"/>
              </w:rPr>
            </w:pPr>
          </w:p>
        </w:tc>
        <w:tc>
          <w:tcPr>
            <w:tcW w:w="8060" w:type="dxa"/>
            <w:vAlign w:val="bottom"/>
            <w:gridSpan w:val="2"/>
          </w:tcPr>
          <w:p>
            <w:pPr>
              <w:ind w:left="1440"/>
              <w:spacing w:after="0"/>
              <w:rPr>
                <w:sz w:val="20"/>
                <w:szCs w:val="20"/>
                <w:color w:val="auto"/>
              </w:rPr>
            </w:pPr>
            <w:r>
              <w:rPr>
                <w:rFonts w:ascii="Arial" w:cs="Arial" w:eastAsia="Arial" w:hAnsi="Arial"/>
                <w:sz w:val="18"/>
                <w:szCs w:val="18"/>
                <w:b w:val="1"/>
                <w:bCs w:val="1"/>
                <w:color w:val="auto"/>
              </w:rPr>
              <w:t>POWER OF ATTORNEY</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G. McHutchison, A.O., M.D., Thomas J. Russo, CFA and Jason A. Okazaki,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44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1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r>
      <w:tr>
        <w:trPr>
          <w:trHeight w:val="331"/>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John G. McHutchison, A.O., M.D.</w:t>
            </w:r>
          </w:p>
        </w:tc>
        <w:tc>
          <w:tcPr>
            <w:tcW w:w="1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Thomas J. Russo, CFA</w:t>
            </w:r>
          </w:p>
        </w:tc>
        <w:tc>
          <w:tcPr>
            <w:tcW w:w="1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Ringo, Jr.</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William R. Ringo, Jr.</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E. Altig</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Anthony E. Altig</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Consylman</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Gina Consylman</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DiMarchi, Ph.D.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Richard D. DiMarchi, Ph.D.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Myron Z. Holubiak</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Myron Z. Holubiak</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Mahony, Ph.D.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February 25, 2021</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Susan Mahony, Ph.D.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10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Reports of Independent Registered Public Accounting Firm</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Balance Sheets as of December 31, 2020 and 2019</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Operations and Comprehensive Loss for the Years Ended December 31, 2020, 2019 and 2018</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Changes in Stockholders’ Equity for the Years Ended December 31, 2020, 2019 and 2018</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Cash Flows for the Years Ended December 31, 2020, 2019 and 2018</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40" w:type="dxa"/>
            <w:vAlign w:val="bottom"/>
            <w:shd w:val="clear" w:color="auto" w:fill="CFF0FC"/>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Notes to Consolidated Financial Statements</w:t>
              </w:r>
            </w:hyperlink>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340" w:type="dxa"/>
            <w:vAlign w:val="bottom"/>
          </w:tcPr>
          <w:p>
            <w:pPr>
              <w:ind w:left="550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right="3360" w:firstLine="3364"/>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Assembly Biosciences,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Assembly Biosciences, Inc. (the Company) as of December 31, 2020 and 2019, the related consolidated statements of operations and comprehensive loss, changes in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800"/>
        <w:spacing w:after="0"/>
        <w:rPr>
          <w:sz w:val="20"/>
          <w:szCs w:val="20"/>
          <w:color w:val="auto"/>
        </w:rPr>
      </w:pPr>
      <w:r>
        <w:rPr>
          <w:rFonts w:ascii="Arial" w:cs="Arial" w:eastAsia="Arial" w:hAnsi="Arial"/>
          <w:sz w:val="18"/>
          <w:szCs w:val="18"/>
          <w:b w:val="1"/>
          <w:bCs w:val="1"/>
          <w:i w:val="1"/>
          <w:iCs w:val="1"/>
          <w:color w:val="auto"/>
        </w:rPr>
        <w:t>Accrued clinical trial expenses</w:t>
      </w:r>
    </w:p>
    <w:p>
      <w:pPr>
        <w:spacing w:after="0" w:line="23"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For the year ended December 31, 2020, the Company incurred $106.8 million of research and development expenses and recorded</w:t>
      </w:r>
    </w:p>
    <w:p>
      <w:pPr>
        <w:spacing w:after="0" w:line="9" w:lineRule="exact"/>
        <w:rPr>
          <w:sz w:val="20"/>
          <w:szCs w:val="20"/>
          <w:color w:val="auto"/>
        </w:rPr>
      </w:pPr>
    </w:p>
    <w:p>
      <w:pPr>
        <w:jc w:val="both"/>
        <w:ind w:left="1800" w:hanging="1799"/>
        <w:spacing w:after="0" w:line="267" w:lineRule="auto"/>
        <w:tabs>
          <w:tab w:leader="none" w:pos="178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$4.4 million for accrued clinical trial expenses at December 31, 2020. As described in Note 2 to the consolidated financial statements, the Company’s expense accruals for clinical trials are based on estimates of the services received and efforts expended pursuant to contracts with multiple contract research organizations (CROs) and manufacturing vendors that conduct and manage these activities on its behalf. When billing terms under such contracts do not coincide with the timing of when the work is performed, management is required to make estimates of outstanding obligations to those third parties as of period end. The accrual is based on a number of factors, including the time period over which services will be performed, enrollment of subjects, number of sites activated, and the level of effort to be expended in each period. At period end, accrued clinical trial expenses are recorded based upon estimates of the proportion of work completed over the term of the individual clinical trial and manufacturing activities in accordance with signed agreements with the third parties. If possible, the Company obtains information regarding unbilled services directly from these service providers and performs procedures to challenge these estimates based on their internal understanding of the services provided to date. However, the Company may also be required to estimate these services based on information available to its internal clinical or administrative staff if such information is not able to be obtained timely from its services providers.</w:t>
      </w:r>
    </w:p>
    <w:p>
      <w:pPr>
        <w:spacing w:after="0" w:line="183" w:lineRule="exact"/>
        <w:rPr>
          <w:sz w:val="20"/>
          <w:szCs w:val="20"/>
          <w:color w:val="auto"/>
        </w:rPr>
      </w:pPr>
    </w:p>
    <w:p>
      <w:pPr>
        <w:jc w:val="both"/>
        <w:ind w:left="1800"/>
        <w:spacing w:after="0" w:line="279" w:lineRule="auto"/>
        <w:rPr>
          <w:sz w:val="20"/>
          <w:szCs w:val="20"/>
          <w:color w:val="auto"/>
        </w:rPr>
      </w:pPr>
      <w:r>
        <w:rPr>
          <w:rFonts w:ascii="Arial" w:cs="Arial" w:eastAsia="Arial" w:hAnsi="Arial"/>
          <w:sz w:val="17"/>
          <w:szCs w:val="17"/>
          <w:color w:val="auto"/>
        </w:rPr>
        <w:t>Auditing accrued clinical trial expenses is complex because of the judgments applied by management to determine the commencement and completion date of vendor tasks and the cost and extent of work performed during the reporting period for services not yet billed by contracted third-party vendors. The testing of the Company’s accrued clinical trial expense models also involves a high level of effort to test the high volume of data used to determine the estimated accrual.</w:t>
      </w:r>
    </w:p>
    <w:p>
      <w:pPr>
        <w:spacing w:after="0" w:line="17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 process</w:t>
      </w:r>
    </w:p>
    <w:p>
      <w:pPr>
        <w:spacing w:after="0" w:line="23"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for estimating the accrued clinical trial expenses including controls over management’s assessment and measurement of clinical</w:t>
      </w:r>
    </w:p>
    <w:p>
      <w:pPr>
        <w:spacing w:after="0" w:line="9" w:lineRule="exact"/>
        <w:rPr>
          <w:sz w:val="20"/>
          <w:szCs w:val="20"/>
          <w:color w:val="auto"/>
        </w:rPr>
      </w:pPr>
    </w:p>
    <w:p>
      <w:pPr>
        <w:ind w:left="1800" w:right="20" w:hanging="1799"/>
        <w:spacing w:after="0" w:line="260" w:lineRule="auto"/>
        <w:tabs>
          <w:tab w:leader="none" w:pos="178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trial progress and related estimates of accrued clinical trial costs and the completeness and accuracy of underlying data used in the analysis.</w:t>
      </w:r>
    </w:p>
    <w:p>
      <w:pPr>
        <w:spacing w:after="0" w:line="185" w:lineRule="exact"/>
        <w:rPr>
          <w:sz w:val="20"/>
          <w:szCs w:val="20"/>
          <w:color w:val="auto"/>
        </w:rPr>
      </w:pPr>
    </w:p>
    <w:p>
      <w:pPr>
        <w:jc w:val="both"/>
        <w:ind w:left="1800"/>
        <w:spacing w:after="0" w:line="269" w:lineRule="auto"/>
        <w:rPr>
          <w:sz w:val="20"/>
          <w:szCs w:val="20"/>
          <w:color w:val="auto"/>
        </w:rPr>
      </w:pPr>
      <w:r>
        <w:rPr>
          <w:rFonts w:ascii="Arial" w:cs="Arial" w:eastAsia="Arial" w:hAnsi="Arial"/>
          <w:sz w:val="17"/>
          <w:szCs w:val="17"/>
          <w:color w:val="auto"/>
        </w:rPr>
        <w:t>To test the estimate of accrued clinical trial expenses, we performed audit procedures that included, among others, direct confirmation of contract terms and conditions with a sample of the Company’s third-party vendors. We also confirmed the progress of contracted clinical activities with these third-party vendors and compared such data to the Company’s estimates of progress as reflected in their accrual models. We further tested the accuracy of the calculations, the completeness of the data utilized, and the reasonableness of the assumptions used in management’s accrual models by testing actual invoices paid to date, agreeing inputs back to contractual terms and holding discussions with clinical or administrative staff outside of the finance function. Procedures were performed to evaluate the reliability, completeness and relevance of management’s data by testing actual invoices paid and holding discussions with clinical or administrative staff outside of the finance function to corroborate progress and estimated level of expended effort incurred by the Company’s third-party vendors. Further, we inspected material invoices received from third parties after the balance sheet date and evaluated whether services performed prior to the consolidated balance sheet date had been properly included in the accrual.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5" w:name="page66"/>
    <w:bookmarkEnd w:id="65"/>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Revenue Recognition for the Collaborative Arrangement with BeiGene, Ltd.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9 to the consolidated financial statements, in July 2020, the Company entered into a collaboration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BeiGene, Ltd. (BeiGene) to develop and commercialize the Company’s product candidates in China for the treatment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chronic Hepatitis B virus infection (the BeiGene Agreement). The BeiGene Agreement includes up-front fees, milestones,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royalties, expense reimbursement, and potential cost share and profit sharing. Management was required to use judgment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 what part of the BeiGene Agreement was within the scope of the contract with customers guidance and what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was within the scope of the collaborative arrangement guidance. For the year ended December 31,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$31.0 million as collaboration revenue and $9.0 million of long-term deferred revenue from the BeiGene Agreement.</w:t>
      </w:r>
    </w:p>
    <w:p>
      <w:pPr>
        <w:spacing w:after="0" w:line="200" w:lineRule="exact"/>
        <w:rPr>
          <w:sz w:val="20"/>
          <w:szCs w:val="20"/>
          <w:color w:val="auto"/>
        </w:rPr>
      </w:pPr>
    </w:p>
    <w:p>
      <w:pPr>
        <w:sectPr>
          <w:pgSz w:w="11900" w:h="16838" w:orient="portrait"/>
          <w:cols w:equalWidth="0" w:num="2">
            <w:col w:w="1300" w:space="500"/>
            <w:col w:w="9440"/>
          </w:cols>
          <w:pgMar w:left="320" w:top="121" w:right="339" w:bottom="1440" w:gutter="0" w:footer="0" w:header="0"/>
        </w:sectPr>
      </w:pPr>
    </w:p>
    <w:p>
      <w:pPr>
        <w:spacing w:after="0" w:line="34" w:lineRule="exact"/>
        <w:rPr>
          <w:sz w:val="20"/>
          <w:szCs w:val="20"/>
          <w:color w:val="auto"/>
        </w:rPr>
      </w:pPr>
    </w:p>
    <w:p>
      <w:pPr>
        <w:jc w:val="both"/>
        <w:ind w:left="1800"/>
        <w:spacing w:after="0" w:line="311" w:lineRule="auto"/>
        <w:rPr>
          <w:sz w:val="20"/>
          <w:szCs w:val="20"/>
          <w:color w:val="auto"/>
        </w:rPr>
      </w:pPr>
      <w:r>
        <w:rPr>
          <w:rFonts w:ascii="Arial" w:cs="Arial" w:eastAsia="Arial" w:hAnsi="Arial"/>
          <w:sz w:val="16"/>
          <w:szCs w:val="16"/>
          <w:color w:val="auto"/>
        </w:rPr>
        <w:t>Auditing the Company’s accounting for revenues from its BeiGene Agreement was especially challenging due to the complex and highly judgmental nature of evaluating the terms of the agreement, evaluating whether analogies to the revenue accounting or collaborative arrangements guidance are appropriate, and allocating the transaction price to the performance obligations.</w:t>
      </w:r>
    </w:p>
    <w:p>
      <w:pPr>
        <w:sectPr>
          <w:pgSz w:w="11900" w:h="16838" w:orient="portrait"/>
          <w:cols w:equalWidth="0" w:num="1">
            <w:col w:w="11240"/>
          </w:cols>
          <w:pgMar w:left="320" w:top="121" w:right="339" w:bottom="1440" w:gutter="0" w:footer="0" w:header="0"/>
          <w:type w:val="continuous"/>
        </w:sectPr>
      </w:pPr>
    </w:p>
    <w:p>
      <w:pPr>
        <w:spacing w:after="0" w:line="149"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management’s assessment of the accounting treatment of the BeiGene Agreement and identification of performance obligations and application of the accounting guidance.</w:t>
      </w:r>
    </w:p>
    <w:p>
      <w:pPr>
        <w:spacing w:after="0" w:line="183" w:lineRule="exact"/>
        <w:rPr>
          <w:sz w:val="20"/>
          <w:szCs w:val="20"/>
          <w:color w:val="auto"/>
        </w:rPr>
      </w:pPr>
    </w:p>
    <w:p>
      <w:pPr>
        <w:sectPr>
          <w:pgSz w:w="11900" w:h="16838" w:orient="portrait"/>
          <w:cols w:equalWidth="0" w:num="2">
            <w:col w:w="1400" w:space="400"/>
            <w:col w:w="9440"/>
          </w:cols>
          <w:pgMar w:left="320" w:top="121" w:right="339" w:bottom="1440" w:gutter="0" w:footer="0" w:header="0"/>
          <w:type w:val="continuous"/>
        </w:sectPr>
      </w:pPr>
    </w:p>
    <w:p>
      <w:pPr>
        <w:jc w:val="both"/>
        <w:ind w:left="1800"/>
        <w:spacing w:after="0" w:line="255" w:lineRule="auto"/>
        <w:rPr>
          <w:sz w:val="20"/>
          <w:szCs w:val="20"/>
          <w:color w:val="auto"/>
        </w:rPr>
      </w:pPr>
      <w:r>
        <w:rPr>
          <w:rFonts w:ascii="Arial" w:cs="Arial" w:eastAsia="Arial" w:hAnsi="Arial"/>
          <w:sz w:val="18"/>
          <w:szCs w:val="18"/>
          <w:color w:val="auto"/>
        </w:rPr>
        <w:t>To test the accounting for revenue from the BeiGene Agreement, among other procedures, we tested and evaluated, the performance obligations identified and the allocation of transaction price to performance obligations. We also assessed whether management’s evaluation of the portions of the BeiGene Agreement subject to the scope of the contract with customers accounting standard and collaborative arrangements accounting standard, as well as their analogies to the revenue from contracts with customers accounting standard or the portion of the BeiGene Agreement subject to the collaborative arrangements guidance, was an appropriate application of an accounting policy.</w:t>
      </w:r>
    </w:p>
    <w:p>
      <w:pPr>
        <w:sectPr>
          <w:pgSz w:w="11900" w:h="16838" w:orient="portrait"/>
          <w:cols w:equalWidth="0" w:num="1">
            <w:col w:w="11240"/>
          </w:cols>
          <w:pgMar w:left="320" w:top="121"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ind w:right="3360" w:firstLine="3364"/>
        <w:spacing w:after="0" w:line="44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Assembly Biosciences, Inc. </w:t>
      </w:r>
      <w:r>
        <w:rPr>
          <w:rFonts w:ascii="Arial" w:cs="Arial" w:eastAsia="Arial" w:hAnsi="Arial"/>
          <w:sz w:val="18"/>
          <w:szCs w:val="18"/>
          <w:b w:val="1"/>
          <w:bCs w:val="1"/>
          <w:color w:val="auto"/>
        </w:rPr>
        <w:t>Opinion on Internal Control over Financial Reporting</w:t>
      </w:r>
    </w:p>
    <w:p>
      <w:pPr>
        <w:jc w:val="both"/>
        <w:spacing w:after="0" w:line="259" w:lineRule="auto"/>
        <w:rPr>
          <w:sz w:val="20"/>
          <w:szCs w:val="20"/>
          <w:color w:val="auto"/>
        </w:rPr>
      </w:pPr>
      <w:r>
        <w:rPr>
          <w:rFonts w:ascii="Arial" w:cs="Arial" w:eastAsia="Arial" w:hAnsi="Arial"/>
          <w:sz w:val="18"/>
          <w:szCs w:val="18"/>
          <w:color w:val="auto"/>
        </w:rPr>
        <w:t>We have audited Assembly Biosciences, Inc.’s internal control over financial reporting as of December 31, 2020, based on criteria established in Internal Control—Integrated Framework issued by the Committee of Sponsoring Organizations of the Treadway Commission (2013 framework) (the COSO criteria). In our opinion, Assembly Biosciences, Inc. (the Company) maintained, in all material respects, effective internal control over financial reporting as of December 31, 2020, based on the COSO criteria.</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changes in stockholders’ equity and cash flows for each of the three years in the period ended December 31, 2020, and the related notes and our report dated February 25, 2021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59,444</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227,311</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from collaborations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Operating lease right-of-use (ROU) 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Indefinite-lived intangible asset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283,254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339,907</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4,598</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clinical expenses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short-term</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 short-term</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Deferred revenue - long-term</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30,637</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 long-term</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66,690</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Preferred stock, $0.001 par value; 5,000,000 shares authorized; no shares issued or outstanding</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w w:val="95"/>
              </w:rPr>
              <w:t>Common stock, $0.001 par value; 100,000,000 shares authorized as of December 31, 2020 and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tcPr>
          <w:p>
            <w:pPr>
              <w:ind w:left="260"/>
              <w:spacing w:after="0"/>
              <w:rPr>
                <w:sz w:val="20"/>
                <w:szCs w:val="20"/>
                <w:color w:val="auto"/>
              </w:rPr>
            </w:pPr>
            <w:r>
              <w:rPr>
                <w:rFonts w:ascii="Arial" w:cs="Arial" w:eastAsia="Arial" w:hAnsi="Arial"/>
                <w:sz w:val="18"/>
                <w:szCs w:val="18"/>
                <w:color w:val="auto"/>
                <w:w w:val="89"/>
              </w:rPr>
              <w:t>2019; 34,026,680 and 32,558,307 shares issued and outstanding as of December 31, 2020 and 2019,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712,807</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(501,573)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(439,421)</w:t>
            </w:r>
          </w:p>
        </w:tc>
      </w:tr>
      <w:tr>
        <w:trPr>
          <w:trHeight w:val="223"/>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273,217</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283,254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339,907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118,676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(102,713)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Loss before income taxes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(98,408)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(97,634)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(90,751)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Unrealized gain (loss) on marketable securities, net of tax</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(62,221)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(90,706)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35,427,120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26,258,790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10"/>
        </w:trPr>
        <w:tc>
          <w:tcPr>
            <w:tcW w:w="434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Comprehensive</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8"/>
              </w:rPr>
              <w:t>Stockholders'</w:t>
            </w:r>
          </w:p>
        </w:tc>
      </w:tr>
      <w:tr>
        <w:trPr>
          <w:trHeight w:val="213"/>
        </w:trPr>
        <w:tc>
          <w:tcPr>
            <w:tcW w:w="43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r>
      <w:tr>
        <w:trPr>
          <w:trHeight w:val="212"/>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20,137,974</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8"/>
              </w:rPr>
              <w:t>20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364,528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(251,036)</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113,120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w w:val="98"/>
              </w:rPr>
              <w:t>Sale of common stock, net of underwriters' discount and costs</w:t>
            </w:r>
          </w:p>
        </w:tc>
        <w:tc>
          <w:tcPr>
            <w:tcW w:w="920" w:type="dxa"/>
            <w:vAlign w:val="bottom"/>
          </w:tcPr>
          <w:p>
            <w:pPr>
              <w:jc w:val="right"/>
              <w:spacing w:after="0"/>
              <w:rPr>
                <w:sz w:val="20"/>
                <w:szCs w:val="20"/>
                <w:color w:val="auto"/>
              </w:rPr>
            </w:pPr>
            <w:r>
              <w:rPr>
                <w:rFonts w:ascii="Arial" w:cs="Arial" w:eastAsia="Arial" w:hAnsi="Arial"/>
                <w:sz w:val="16"/>
                <w:szCs w:val="16"/>
                <w:color w:val="auto"/>
              </w:rPr>
              <w:t>4,600,000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155,425</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735,030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FF0FC"/>
          </w:tcPr>
          <w:p>
            <w:pPr>
              <w:spacing w:after="0"/>
              <w:rPr>
                <w:sz w:val="19"/>
                <w:szCs w:val="19"/>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6"/>
                <w:szCs w:val="16"/>
                <w:color w:val="auto"/>
                <w:w w:val="93"/>
              </w:rPr>
              <w:t>Issuance of common stock under Employee Stock Purchase Plan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6"/>
                <w:szCs w:val="16"/>
                <w:color w:val="auto"/>
              </w:rPr>
              <w:t>(ESPP)</w:t>
            </w:r>
          </w:p>
        </w:tc>
        <w:tc>
          <w:tcPr>
            <w:tcW w:w="920" w:type="dxa"/>
            <w:vAlign w:val="bottom"/>
          </w:tcPr>
          <w:p>
            <w:pPr>
              <w:jc w:val="right"/>
              <w:spacing w:after="0"/>
              <w:rPr>
                <w:sz w:val="20"/>
                <w:szCs w:val="20"/>
                <w:color w:val="auto"/>
              </w:rPr>
            </w:pPr>
            <w:r>
              <w:rPr>
                <w:rFonts w:ascii="Arial" w:cs="Arial" w:eastAsia="Arial" w:hAnsi="Arial"/>
                <w:sz w:val="16"/>
                <w:szCs w:val="16"/>
                <w:color w:val="auto"/>
              </w:rPr>
              <w:t>21,483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w w:val="96"/>
              </w:rPr>
              <w:t>Issuance of shares of common stock for settlement of restricted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stock units (RSUs)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Unrealized gain on marketable securities, net of tax</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(90,751)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(90,751)</w:t>
            </w:r>
          </w:p>
        </w:tc>
      </w:tr>
      <w:tr>
        <w:trPr>
          <w:trHeight w:val="21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25,495,425</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8"/>
              </w:rPr>
              <w:t>25</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552,762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(341,787)</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210,653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6"/>
                <w:szCs w:val="16"/>
                <w:color w:val="auto"/>
              </w:rPr>
              <w:t>Sale of common stock and pre-funded warrants,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6"/>
                <w:szCs w:val="16"/>
                <w:color w:val="auto"/>
              </w:rPr>
              <w:t>underwriters' discount and costs</w:t>
            </w:r>
          </w:p>
        </w:tc>
        <w:tc>
          <w:tcPr>
            <w:tcW w:w="920" w:type="dxa"/>
            <w:vAlign w:val="bottom"/>
          </w:tcPr>
          <w:p>
            <w:pPr>
              <w:jc w:val="right"/>
              <w:spacing w:after="0"/>
              <w:rPr>
                <w:sz w:val="20"/>
                <w:szCs w:val="20"/>
                <w:color w:val="auto"/>
              </w:rPr>
            </w:pPr>
            <w:r>
              <w:rPr>
                <w:rFonts w:ascii="Arial" w:cs="Arial" w:eastAsia="Arial" w:hAnsi="Arial"/>
                <w:sz w:val="16"/>
                <w:szCs w:val="16"/>
                <w:color w:val="auto"/>
              </w:rPr>
              <w:t>6,287,878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134,661</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585,292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4,238</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Settlement of RSUs for cash</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ESPP</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59,370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Issuance of shares of common stock for settlement of RSUs</w:t>
            </w:r>
          </w:p>
        </w:tc>
        <w:tc>
          <w:tcPr>
            <w:tcW w:w="920" w:type="dxa"/>
            <w:vAlign w:val="bottom"/>
          </w:tcPr>
          <w:p>
            <w:pPr>
              <w:jc w:val="right"/>
              <w:spacing w:after="0"/>
              <w:rPr>
                <w:sz w:val="20"/>
                <w:szCs w:val="20"/>
                <w:color w:val="auto"/>
              </w:rPr>
            </w:pPr>
            <w:r>
              <w:rPr>
                <w:rFonts w:ascii="Arial" w:cs="Arial" w:eastAsia="Arial" w:hAnsi="Arial"/>
                <w:sz w:val="16"/>
                <w:szCs w:val="16"/>
                <w:color w:val="auto"/>
              </w:rPr>
              <w:t>130,342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marketable securities, net of tax</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20,410</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(97,634)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(97,634)</w:t>
            </w:r>
          </w:p>
        </w:tc>
      </w:tr>
      <w:tr>
        <w:trPr>
          <w:trHeight w:val="207"/>
        </w:trPr>
        <w:tc>
          <w:tcPr>
            <w:tcW w:w="4340" w:type="dxa"/>
            <w:vAlign w:val="bottom"/>
          </w:tcPr>
          <w:p>
            <w:pPr>
              <w:spacing w:after="0"/>
              <w:rPr>
                <w:sz w:val="20"/>
                <w:szCs w:val="20"/>
                <w:color w:val="auto"/>
              </w:rPr>
            </w:pPr>
            <w:r>
              <w:rPr>
                <w:rFonts w:ascii="Arial" w:cs="Arial" w:eastAsia="Arial" w:hAnsi="Arial"/>
                <w:sz w:val="16"/>
                <w:szCs w:val="16"/>
                <w:b w:val="1"/>
                <w:bCs w:val="1"/>
                <w:color w:val="auto"/>
              </w:rPr>
              <w:t>Balance as of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32,558,307</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32</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712,807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(439,421)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273,217</w:t>
            </w:r>
          </w:p>
        </w:tc>
        <w:tc>
          <w:tcPr>
            <w:tcW w:w="100" w:type="dxa"/>
            <w:vAlign w:val="bottom"/>
          </w:tcPr>
          <w:p>
            <w:pPr>
              <w:spacing w:after="0"/>
              <w:rPr>
                <w:sz w:val="17"/>
                <w:szCs w:val="17"/>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Sale of common stock, net of commissions and fees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892,840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175,579</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ESPP</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86,812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FF0FC"/>
          </w:tcPr>
          <w:p>
            <w:pPr>
              <w:spacing w:after="0"/>
              <w:rPr>
                <w:sz w:val="19"/>
                <w:szCs w:val="19"/>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Issuance of shares of common stock for settlement of RSUs</w:t>
            </w:r>
          </w:p>
        </w:tc>
        <w:tc>
          <w:tcPr>
            <w:tcW w:w="920" w:type="dxa"/>
            <w:vAlign w:val="bottom"/>
          </w:tcPr>
          <w:p>
            <w:pPr>
              <w:jc w:val="right"/>
              <w:spacing w:after="0"/>
              <w:rPr>
                <w:sz w:val="20"/>
                <w:szCs w:val="20"/>
                <w:color w:val="auto"/>
              </w:rPr>
            </w:pPr>
            <w:r>
              <w:rPr>
                <w:rFonts w:ascii="Arial" w:cs="Arial" w:eastAsia="Arial" w:hAnsi="Arial"/>
                <w:sz w:val="16"/>
                <w:szCs w:val="16"/>
                <w:color w:val="auto"/>
              </w:rPr>
              <w:t>313,142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marketable securities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21,983</w:t>
            </w:r>
          </w:p>
        </w:tc>
        <w:tc>
          <w:tcPr>
            <w:tcW w:w="10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(62,152)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(62,152)</w:t>
            </w:r>
          </w:p>
        </w:tc>
      </w:tr>
      <w:tr>
        <w:trPr>
          <w:trHeight w:val="207"/>
        </w:trPr>
        <w:tc>
          <w:tcPr>
            <w:tcW w:w="4340" w:type="dxa"/>
            <w:vAlign w:val="bottom"/>
          </w:tcPr>
          <w:p>
            <w:pPr>
              <w:spacing w:after="0"/>
              <w:rPr>
                <w:sz w:val="20"/>
                <w:szCs w:val="20"/>
                <w:color w:val="auto"/>
              </w:rPr>
            </w:pPr>
            <w:r>
              <w:rPr>
                <w:rFonts w:ascii="Arial" w:cs="Arial" w:eastAsia="Arial" w:hAnsi="Arial"/>
                <w:sz w:val="16"/>
                <w:szCs w:val="16"/>
                <w:b w:val="1"/>
                <w:bCs w:val="1"/>
                <w:color w:val="auto"/>
              </w:rPr>
              <w:t>Balance as of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34,026,680</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742,387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(501,573</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240,578</w:t>
            </w:r>
          </w:p>
        </w:tc>
        <w:tc>
          <w:tcPr>
            <w:tcW w:w="10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7"/>
                <w:szCs w:val="17"/>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(62,152)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(97,634)</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(90,751)</w:t>
            </w: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Non-cash IPR&amp;D expense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8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21,853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20,558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28,485</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accretion and amortization of investments in marketable securities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(1,735)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(229)</w:t>
            </w:r>
          </w:p>
        </w:tc>
      </w:tr>
      <w:tr>
        <w:trPr>
          <w:trHeight w:val="216"/>
        </w:trPr>
        <w:tc>
          <w:tcPr>
            <w:tcW w:w="6680" w:type="dxa"/>
            <w:vAlign w:val="bottom"/>
          </w:tcPr>
          <w:p>
            <w:pPr>
              <w:ind w:left="260"/>
              <w:spacing w:after="0"/>
              <w:rPr>
                <w:sz w:val="20"/>
                <w:szCs w:val="20"/>
                <w:color w:val="auto"/>
              </w:rPr>
            </w:pPr>
            <w:r>
              <w:rPr>
                <w:rFonts w:ascii="Arial" w:cs="Arial" w:eastAsia="Arial" w:hAnsi="Arial"/>
                <w:sz w:val="17"/>
                <w:szCs w:val="17"/>
                <w:color w:val="auto"/>
              </w:rPr>
              <w:t>Non-cash rent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 tax (benefit) expense</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(774)</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1,099</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60"/>
              <w:spacing w:after="0"/>
              <w:rPr>
                <w:sz w:val="20"/>
                <w:szCs w:val="20"/>
                <w:color w:val="auto"/>
              </w:rPr>
            </w:pPr>
            <w:r>
              <w:rPr>
                <w:rFonts w:ascii="Arial" w:cs="Arial" w:eastAsia="Arial" w:hAnsi="Arial"/>
                <w:sz w:val="17"/>
                <w:szCs w:val="17"/>
                <w:color w:val="auto"/>
              </w:rPr>
              <w:t>Loss on disposal of fixed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8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receivable from collaborations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(944)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(156)</w:t>
            </w: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(1,487)</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(3,685)</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(1,094)</w:t>
            </w: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(4,708)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(3,008)</w:t>
            </w: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(1,962)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clinical expenses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(382)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3,119</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Other accrued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(28,061)</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(3,612)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(5,125)</w:t>
            </w: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Deferred rent</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(4,513)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(4,269)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6680" w:type="dxa"/>
            <w:vAlign w:val="bottom"/>
          </w:tcPr>
          <w:p>
            <w:pPr>
              <w:spacing w:after="0"/>
              <w:rPr>
                <w:sz w:val="20"/>
                <w:szCs w:val="20"/>
                <w:color w:val="auto"/>
              </w:rPr>
            </w:pPr>
            <w:r>
              <w:rPr>
                <w:rFonts w:ascii="Arial" w:cs="Arial" w:eastAsia="Arial" w:hAnsi="Arial"/>
                <w:sz w:val="17"/>
                <w:szCs w:val="17"/>
                <w:color w:val="auto"/>
              </w:rPr>
              <w:t>Net cash used in operating activities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(62,957)</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(84,067)</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(64,958)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Purchases of property and equipment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(470)</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(1,554)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(340)</w:t>
            </w: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Purchase of IPR&amp;D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(1,750)</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Purchases of marketable securities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(193,188)</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(281,334)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(183,941)</w:t>
            </w: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Proceeds from maturities of marketable securities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221,617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203,911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48,884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Proceeds from sale of marketable securities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41,861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28,659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668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68,070</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(50,318)</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(135,397)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Proceeds from common stock and pre-funded warrants sold, net of underwriters'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discount, commissions and costs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134,661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155,425</w:t>
            </w:r>
          </w:p>
        </w:tc>
        <w:tc>
          <w:tcPr>
            <w:tcW w:w="100" w:type="dxa"/>
            <w:vAlign w:val="bottom"/>
            <w:shd w:val="clear" w:color="auto" w:fill="CFF0FC"/>
          </w:tcPr>
          <w:p>
            <w:pPr>
              <w:spacing w:after="0"/>
              <w:rPr>
                <w:sz w:val="19"/>
                <w:szCs w:val="19"/>
                <w:color w:val="auto"/>
              </w:rPr>
            </w:pPr>
          </w:p>
        </w:tc>
      </w:tr>
      <w:tr>
        <w:trPr>
          <w:trHeight w:val="216"/>
        </w:trPr>
        <w:tc>
          <w:tcPr>
            <w:tcW w:w="6680" w:type="dxa"/>
            <w:vAlign w:val="bottom"/>
          </w:tcPr>
          <w:p>
            <w:pPr>
              <w:ind w:left="500"/>
              <w:spacing w:after="0"/>
              <w:rPr>
                <w:sz w:val="20"/>
                <w:szCs w:val="20"/>
                <w:color w:val="auto"/>
              </w:rPr>
            </w:pPr>
            <w:r>
              <w:rPr>
                <w:rFonts w:ascii="Arial" w:cs="Arial" w:eastAsia="Arial" w:hAnsi="Arial"/>
                <w:sz w:val="17"/>
                <w:szCs w:val="17"/>
                <w:color w:val="auto"/>
              </w:rPr>
              <w:t>Proceeds from the issuance of common stock under ESPP</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Proceeds from the exercise of stock options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1,467</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4,238</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3,960</w:t>
            </w:r>
          </w:p>
        </w:tc>
        <w:tc>
          <w:tcPr>
            <w:tcW w:w="100" w:type="dxa"/>
            <w:vAlign w:val="bottom"/>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139,646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159,793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(40,562)</w:t>
            </w: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the beginning of the period</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46,732</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41,471</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82,033</w:t>
            </w:r>
          </w:p>
        </w:tc>
        <w:tc>
          <w:tcPr>
            <w:tcW w:w="100" w:type="dxa"/>
            <w:vAlign w:val="bottom"/>
            <w:shd w:val="clear" w:color="auto" w:fill="CFF0FC"/>
          </w:tcPr>
          <w:p>
            <w:pPr>
              <w:spacing w:after="0"/>
              <w:rPr>
                <w:sz w:val="18"/>
                <w:szCs w:val="18"/>
                <w:color w:val="auto"/>
              </w:rPr>
            </w:pPr>
          </w:p>
        </w:tc>
      </w:tr>
      <w:tr>
        <w:trPr>
          <w:trHeight w:val="250"/>
        </w:trPr>
        <w:tc>
          <w:tcPr>
            <w:tcW w:w="66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Cash and cash equivalents at the end of the period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59,444</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46,732</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41,471</w:t>
            </w:r>
          </w:p>
        </w:tc>
        <w:tc>
          <w:tcPr>
            <w:tcW w:w="100" w:type="dxa"/>
            <w:vAlign w:val="bottom"/>
            <w:tcBorders>
              <w:bottom w:val="single" w:sz="8" w:color="CFF0FC"/>
            </w:tcBorders>
          </w:tcPr>
          <w:p>
            <w:pPr>
              <w:spacing w:after="0"/>
              <w:rPr>
                <w:sz w:val="21"/>
                <w:szCs w:val="21"/>
                <w:color w:val="auto"/>
              </w:rPr>
            </w:pPr>
          </w:p>
        </w:tc>
      </w:tr>
      <w:tr>
        <w:trPr>
          <w:trHeight w:val="197"/>
        </w:trPr>
        <w:tc>
          <w:tcPr>
            <w:tcW w:w="66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non-cash investing and financing activities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1,302</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15,261</w:t>
            </w:r>
          </w:p>
        </w:tc>
        <w:tc>
          <w:tcPr>
            <w:tcW w:w="2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a novel class of oral therapeutic candidates for the treatment of hepatitis B virus (HBV) infection. The Company operates in one segment and is headquartered in South San Francisco, California with operations in California, Connecticut and China.</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Assembly has discovered multiple novel core inhibitors, which are small molecules that directly target and allosterically modify the HBV core (HBc) protein.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the Company and its Board of Directors approved a plan to wind down its Microbiome program in order to prioritize and focus its resources entirely on discovering and developing finite and curative therapies for HBV. The Microbiome program had been developing a novel class of oral live microbial biotherapeutics candidates designed to treat disorders associated with the microbiome.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consolidated financial statements are issued. If the Company cannot generate significant cash from its operations, it intends to obtain any additional funding it requires through strategic relationships, public or private equity or debt financings, grants or other arrangements (see Note 7 for recent sales of common stock). The Company cannot assure such funding will be available on reasonable terms, if at all. Market volatility resulting from the novel coronavirus disease (COVID-19) pandemic or other factors could also adversely impact the Company’s ability to access capital when and as needed.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consolidated financial statements in conformity with the accounting principles generally accepted in the United States of America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estimates inherent in the preparation of the accompanying consolidated financial statements include estimates for the cost-based input of revenue recognition and standalone selling price estimates for allocation of transaction price to performance obligations revenue recognition, estimates of costs incurred but not yet invoiced for clinical trial accruals, recoverability and useful lives of our long-lived assets, the estimated fair value of our indefinite-lived intangible assets, the estimated fair value of our reporting unit for purposes of evaluating goodwill impairment, provisions for income taxes, amounts receivable under collaboration agreements, measurement of operating lease liabilities, and the fair value of stock options, stock appreciation rights, and RSUs granted to employees, directors, and consultants.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and at December 31, 2020 and 2019, exceed federally insured limits.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invests its excess cash in debt securities with high credit ratings including but not limited to money market funds classified as cash equivalents, asset backed securities, securities issued by the U.S. government and its agencies, corporate debt securities and commercial paper. The Company has designated its investments in marketable securities as available-for-sale and measures these securities at their respective fair values. Marketable securities are classified as short-term or long-term based on the maturity date and their availability to meet current operating requirements. Marketable securities that mature in one year or less are classified as short-term available-for-sale securities and are reported as a component of current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Securities that are classified as available-for-sale are measured at fair value with temporary unrealized gains and losses reported in other comprehensive loss, and as a component of stockholders' equity until their disposition. The Company reviews all available-for-sale securities at each period end to determine if they remain available-for-sale based on their current intent and ability to sell the security if it is required to do so. Realized gains and losses from the sale of marketable securities, if any, are calculated using the specific-identification method.</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Marketable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 in market value. To date, there have been no declines in value deemed to be other than temporary for any of our investments in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and indefinite-lived intangible assets are reviewed for impairment at least annually in the fourth quarter, and more frequently if events or other changes in circumstances indicate that the carrying amount of the assets may not be recoverable. Impairment of goodwill and indefinite-lived intangibles is determined to exist when the fair value is less than the carrying value of the net assets being tested.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that impairment may exist. In performing each annual impairment assessment and any interim impairment assessment, the Company determines if it should qualitatively assess whether it is more likely than not that the fair value of goodwill is less than its carrying amount (the qualitative impairment test). If the Company concludes it is more likely than not that the fair value of the reporting unit is less than its carrying amount, or elect not to use the qualitative impairment test, a quantitative impairment test is performed The Company annual or interim quantitative impairment testing is performed by comparing the estimated fair value of the reporting unit to its carrying value. An impairment charge is recognized for the amount by which the carrying amount exceeds the reporting unit’s fair value, not to exceed the carrying value of goodwill.</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October 1, 2020 the Company has determined through its quantitative impairment test that the fair value of its goodwill significantly exceeded the carrying value of its single reporting unit and concluded that goodwill was not impaired. In November 2020, after the Company’s public announcement that it became clear that patients who stopped therapy in Study 211 had not achieved meaningful sustained virologic response rates most of the patients had relapsed, the Company’s stock price declined significantly. Due to a sustained decline in the Company’s stock price during the remainder of the fourth quarter of 2020, the Company determined these factors were an indication of a triggering event of impairment and an interim goodwill impairment test was performed as of December 31, 2020. However, the interim quantitative impairment test still determined the fair value, when considering a control premium based on a range of recent acquisitions of entities similar to the Company which were made on a non-minority basis, exceeded the carrying value of its single reporting unit, and concluded that goodwill was still not impaired. The Company has not recognized any goodwill impairment in any of the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indefinite-lived intangible asset consists of IPR&amp;D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The Company classifies IPR&amp;D acquired in a business combination as an indefinite-lived intangible asset until the completion or abandonment of the associated research and development efforts. Upon completion of the associated research and development efforts, the Company performed a final test for impairment and will determine the useful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life of the technology and begin amortizing the assets to reflect their use over their remaining lives. Upon permanent abandonment, the Company would write-off the remaining carrying amount of the associated IPR&amp;D intangible asset.</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are not amortized, but instead are reviewed for impairment at least annually, or more frequently if events occur or circumstances change that would indicate the carrying amount may be impaired. In performing each annual impairment assessment and any interim impairment assessment, the Company determines if it should qualitatively assess whether it is more likely than not that the fair value of its IPR&amp;D asset is less than its carrying amount (the qualitative impairment test). If the Company concludes that is the case, or elect not to use qualitative impairment test, the Company would proceed with quantitatively determining the fair value of the IPR&amp;D asset and comparing its fair value to its carrying value to determine the amount of impairment, if any (the quantitative impairment test).</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performing the quantitative impairment assessment, the Company uses the income approach to determine the fair value of its IPR&amp;D asset. This approach calculates fair value by estimating the after-tax cash flows attributable to an in-process project over its useful life and then discounting these after-tax cash flows back to a present value. This estimate includes judgmental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size of the patient population and cure rate, our competitive position in the marketplace, and appropriate discount and tax rates. Any impairment to be recorded is calculated as the difference between the fair value of the IPR&amp;D asset as of the date of the assessment with the carrying value of the IPR&amp;D asset on its consolidated balance sheet.</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performing the qualitative impairment test, the Company considers the results of the most recent quantitative impairment test and identifies the most relevant drivers of the fair value for the IPR&amp;D asset. The most relevant drivers of fair value identified are consistent with the assumptions used in the quantitative estimate of the IPR&amp;D asset discussed below. Using these drivers of fair value, the Company identifies events and circumstances that may have an effect on the fair value of the IPR&amp;D asset since the last time the IPR&amp;D’s fair value was quantitatively determined. The Company then weighs these factors to determine and conclude if it is not more likely than not that the IPR&amp;D asset is impaired. If it is more likely than not that the IPR&amp;D asset is impaired, the Company proceeds with quantitatively determining the fair value of the IPR&amp;D asset.</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Company’s 2020 impairment test, the Company performed a qualitative test and concluded it was more-likely-than-not that the fair value of its IPR&amp;D asset exceeded its carrying value and no further testing was required. This was based on a decrease in the probability of success based on the impact of the Study 211 and dual combination VBR and NrtI therapy’s ability to serve as a finite and curative therapy for chronic HBV infection offset by an increase in the probability of success of 2158 and 3733 based on their advancement into Phase 2 and Phase 1 trials during 2020, respectively and the significance of the future net cash flows from potential drug sales for a finite and curative therapy for chronic HBV infection as primarily driven by the number of patients who will be diagnosed and treated and the Company’s competitive position in the marketplace. The Company did not recognize any IPR&amp;D impairment in any of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leases are operating leases for facilities and equipment. Prior to January 1, 2019, the Company recognized related rent expense on a straight-line basis over the term of the lease. Incentives granted under the Company’s facilities lease, including allowances for leasehold improvements and rent holidays, were recognized as reductions to rental expense on a straight-line basis over the term of the lease. Deferred rent consisted of the difference between cash payments and the rent expense recognized.</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the adoption of the new leasing standard on January 1, 2019,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right-of-use assets, operating lease liabilities - short-term, and operating lease liabilities - long-term in the Company’s consolidated balance sheets. Operating lease right-of-use assets and liabilities are recognized at the lease commencement date based on the present value of lease payments over the lease term. In determining the net present value of lease payments, the Company uses its incremental borrowing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monitors the carrying value of long-lived assets, including ROU operating lease assets, for potential impairment and tests the recoverability of such assets whenever events or changes in circumstances indicate that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In conjunction with the decision to wind down the Microbiome program in December 2020, the Company evaluated its ROU assets and property and equipment used in the Microbiome program for impairment. The Company determined the carrying value was no longer recoverable and, based on a fair value of the assets determined from market quotes, recorded an impairment loss of $0.7 million included in research and development expenses. The Company did not recognize any impairment on its long-lived assets in 2019 or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and consist of lab and office equipment, leasehold improvements and computer hardware and software. The Company records depreciation under the straight-line method over the estimated useful lives of its property and equipment ranging from three to seven years.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amortized over the remaining terms of the respective leases or the estimated useful life of the leasehold improvements, whichever is less. Maintenance and repair costs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us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using the above input categories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34"/>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47,553</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24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10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23,999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156,969</w:t>
            </w:r>
          </w:p>
        </w:tc>
        <w:tc>
          <w:tcPr>
            <w:tcW w:w="24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156,969</w:t>
            </w:r>
          </w:p>
        </w:tc>
        <w:tc>
          <w:tcPr>
            <w:tcW w:w="100" w:type="dxa"/>
            <w:vAlign w:val="bottom"/>
            <w:tcBorders>
              <w:bottom w:val="single" w:sz="8" w:color="CFF0FC"/>
            </w:tcBorders>
          </w:tcPr>
          <w:p>
            <w:pPr>
              <w:spacing w:after="0"/>
              <w:rPr>
                <w:sz w:val="19"/>
                <w:szCs w:val="19"/>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163,467</w:t>
            </w:r>
          </w:p>
        </w:tc>
        <w:tc>
          <w:tcPr>
            <w:tcW w:w="2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60"/>
              <w:spacing w:after="0" w:line="205"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34"/>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4,484</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9,483</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34,025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34,025</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76,086</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76,086</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236,794</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269,889</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Money market funds are highly liquid and actively traded marketable securities that generally transact at a stable $1.00 net asset value representing its estimated fair value. The Company estimates the fair value of its U.S. and foreign corporate debt securities, asset 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transfers between Level 1, Level 2 or Level 3 for any of the periods presented. See Note 3 for further information regarding the carrying value of our investments in marketable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Revenue Recognition and Accounts Receivable from Collaborations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as collaboration revenue and on a separate line item from revenue recognized from contracts with customers, if any, in the Company’s consolidated statements of operations and comprehensive loss.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 as the Company does not consider performing these activities for reimbursement to be a part of its ongoing major or central operations.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provided standard indemnification and protection of licensed intellectual property for its customer. These provisions are part of assurance that the licenses meet the agreements, representations and are not obligations to provide goods or services.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that is allocated to the respective performance obligation when the performance obligation is satisfied or as it is satisfied as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 Payments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Research, Development, Collaboration and License Agreement (Allergan Agreement) with Allergan Pharmaecuticals International Limited (Allergan), the Company was reimbursed at a certain percentage for performing research and development services based on hours worked by the Company’s employees, at a fixed contractual rate per hour, and third-party pass-through costs the Company incurred on a quarterly basis. Research and development service payments were included in the transaction price in the reporting period the Company concluded it was probable that recording revenue in the period would not result in a significant reversal in amounts recognized in future periods. Accounts receivable were recorded when the right to the research and development service payment consideration became unconditional. The Company recorded the full reimbursed portion of these expenses as collaboration revenue associated with the Allergan Agreement in its consolidated statements of operations as the Company consider performing research and development services to be a part of its ongoing and central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customer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payments from its customer based on billing schedules established in each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all accounts receivable are deemed collectible.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measures stock-based compensation to employees, consultants, and Board members at fair value on the grant date of the award. The fair value of RSUs is determined based on the number of shares granted and the quoted market price of the Company’s common stock on the date of grant.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Forfeitures are recognized when they occur.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jc w:val="both"/>
        <w:spacing w:after="0" w:line="273" w:lineRule="auto"/>
        <w:rPr>
          <w:sz w:val="20"/>
          <w:szCs w:val="20"/>
          <w:color w:val="auto"/>
        </w:rPr>
      </w:pPr>
      <w:r>
        <w:rPr>
          <w:rFonts w:ascii="Arial" w:cs="Arial" w:eastAsia="Arial" w:hAnsi="Arial"/>
          <w:sz w:val="17"/>
          <w:szCs w:val="17"/>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January 1, 2019, the Company remeasured the fair value of the non-employee awards at each reporting period prior to vesting and finally at the vesting date of the award. Changes in the estimated fair value of these non-employee awards were recognized as compensation expense in the period of change. After January 1, 2019, the Company recognizes non-employee compensation costs over the requisite service period based on a measurement of fair value for each stock award.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and Accruals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Collaboration Agreement.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 Assets acquired as part of an asset acquisition that are used in research and development or are IPR&amp;D are immediately expensed as research and development unless there is an alternative future use in other research and development projects.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contract research organizations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restructuring charges related to reorganization plans that have been committed to by management and when liabilities have been incurred. In connection with these activities, the Company records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recognition of restructuring charges requires the Company to make certain judgments and estimates regarding the nature, timing and amount of costs associated with the planned reorganization plan. To the extent the Company’s actual results differ from its estimates and assumptions, the Company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each reporting period, the Company evaluates the remaining accrued restructuring balances to ensure that no excess accruals are retained, and the utilization of t</w:t>
      </w:r>
      <w:r>
        <w:rPr>
          <w:rFonts w:ascii="Arial" w:cs="Arial" w:eastAsia="Arial" w:hAnsi="Arial"/>
          <w:sz w:val="18"/>
          <w:szCs w:val="18"/>
          <w:color w:val="212529"/>
        </w:rPr>
        <w:t>he provisions are for their intended purpose in accordance with developed restructuring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agreements it enters into with third party entities, pursuant to which we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receive benefits from, the entity that could potentially be significant to that entity. If the Company were to determine it is the primary beneficiary of a VIE, the Company would consolidate the statements of operations and financial condition of the VIE into its consolidated financial statements.</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determination about whether it should consolidate such VIEs is made continuously as changes to existing relationships or future transactions may result in a consolidation event. As of December 31, 2020, the Company did not consolidate any entities it had determined to be VIEs.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that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and measures uncertain tax positions using a two-step approach set forth in authoritative guidance. The first step is to evaluate the tax position taken or expected to be taken by determining whether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that the Company believes are appropriate. It is the Company’s policy to recognize interest and penalties related to income tax matters in income tax expense. No interest or penalties related to uncertain tax positions has been incurred or accrued for any periods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jc w:val="both"/>
        <w:spacing w:after="0" w:line="301" w:lineRule="auto"/>
        <w:rPr>
          <w:sz w:val="20"/>
          <w:szCs w:val="20"/>
          <w:color w:val="auto"/>
        </w:rPr>
      </w:pPr>
      <w:r>
        <w:rPr>
          <w:rFonts w:ascii="Arial" w:cs="Arial" w:eastAsia="Arial" w:hAnsi="Arial"/>
          <w:sz w:val="16"/>
          <w:szCs w:val="16"/>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2020, the Consolidated Appropriations Act, 2021 (CAA) was signed into law. The CAA included additional funding through tax credits as part of its economic package for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FFCR Act, CARES Act, A.B. 85 did and CAA not have a material impact on the Company’s consolidated financial statements; however, the Company continues to examine the impacts the FFCR Act, CARES Act, A.B. 85 and CAA may have on its business, results of operations, financial condition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Company sold 6,287,878 shares of common stock as well as pre-funded warrants to purchase up to 2,424,242 shares of common stock (see Note 7). The pre-funded warrants are exercisable for shares of common stock at a price of $0.001 per share. The shares of common stock into which the pre-funded warrants may be exercised are considered outstanding for the purposes of computing earnings per share because the shares may be issued for little or no consideration, they are fully vested, and are exercisable after the original issuance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excluded from the computation of diluted loss from per share because including them would have been antidilutive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3540" w:type="dxa"/>
            <w:vAlign w:val="bottom"/>
            <w:tcBorders>
              <w:bottom w:val="single" w:sz="8" w:color="auto"/>
            </w:tcBorders>
            <w:gridSpan w:val="5"/>
          </w:tcPr>
          <w:p>
            <w:pPr>
              <w:ind w:left="132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6,696,592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5,613,353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4,637,145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our ESPP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44,223</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21,483</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746,868</w:t>
            </w:r>
          </w:p>
        </w:tc>
        <w:tc>
          <w:tcPr>
            <w:tcW w:w="2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568,005</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7,487,683</w:t>
            </w:r>
          </w:p>
        </w:tc>
        <w:tc>
          <w:tcPr>
            <w:tcW w:w="2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6,270,375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5,241,929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Concentrations of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2017, the Financial Accounting Standards Board (FASB) issued ASU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Test for Goodwill Impairment </w:t>
      </w:r>
      <w:r>
        <w:rPr>
          <w:rFonts w:ascii="Arial" w:cs="Arial" w:eastAsia="Arial" w:hAnsi="Arial"/>
          <w:sz w:val="17"/>
          <w:szCs w:val="17"/>
          <w:color w:val="auto"/>
        </w:rPr>
        <w:t>(ASU 2017-04), which simplifies how an entity is required to test goodwill for impairment by eliminating Step 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accounting standard requires a prospective adoption. In November 2019, the FASB issued ASU 2019-10,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Derivatives and Hedging (Topic 815), and Leases (Topic 842): Effective Dates </w:t>
      </w:r>
      <w:r>
        <w:rPr>
          <w:rFonts w:ascii="Arial" w:cs="Arial" w:eastAsia="Arial" w:hAnsi="Arial"/>
          <w:sz w:val="17"/>
          <w:szCs w:val="17"/>
          <w:color w:val="auto"/>
        </w:rPr>
        <w:t>(ASU 2019-10), which deferred the effective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for all entities except SEC filers that are not smaller reporting companies to fiscal years beginning after December 15, 2022, including interim periods within those fiscal years. Early adoption is permitted for goodwill impairment tests performed on testing dates after January 1, 2017. The Company early adopted ASU 2017-04 effective January 1, 2020. The adoption of this standard had no material impact on the Company’s consolidated financial statements.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2020, the Company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makes a number of changes meant to add, modify or remove certain disclosure requirements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movement amongst or hierarchy associated with Level 1, Level 2 and Level 3 fair value measurements. The adoption of this standard had no material impact on the Company’s consolidated financial statements and related disclosures.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2020, the Company adopted ASU 2018-18, </w:t>
      </w:r>
      <w:r>
        <w:rPr>
          <w:rFonts w:ascii="Arial" w:cs="Arial" w:eastAsia="Arial" w:hAnsi="Arial"/>
          <w:sz w:val="17"/>
          <w:szCs w:val="17"/>
          <w:i w:val="1"/>
          <w:iCs w:val="1"/>
          <w:color w:val="auto"/>
        </w:rPr>
        <w:t>Collaborative Arrangements (Topic 808): 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which clarifies that certain transactions between collaborative arrangement participants should be accounted for as revenue under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adoption of this standard had no impact on the Company’s consolidated financial statements and related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4" w:name="page85"/>
    <w:bookmarkEnd w:id="84"/>
    <w:p>
      <w:pPr>
        <w:jc w:val="both"/>
        <w:spacing w:after="0" w:line="289"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eliminates certain exceptions to the guidance in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related to the approach for intraperiod tax allocation, the methodology for calculating income taxes in an interim period and the recognition of deferred tax liabilities for outside basis differences. The new accounting standard also simplifies aspects of the accounting for franchise taxes and enacted changes in tax laws or rates and clarifies the accounting for transactions that result in a step-up in the tax basis of goodwill. The standard is effective for fiscal years beginning after December 15, 2020 and interim periods within those fiscal years. Early adoption is permitted in an interim or annual period. Entities that elect to early adopt the amendments in an interim period should reflect any adjustments as of the beginning of the annual period that includes that interim period. Additionally, entities that elect early adoption must adopt all the amendments in the same period. Entities will apply the accounting standard prospectively, except for certain amendments. The Company early adopted ASU 2019-12 effective January 1, 2020. The adoption of this standard did not have a material impact on the Company’s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accounting standard related to transition and clarification. In November 2019, the FASB issued ASU 2019-10, </w:t>
      </w:r>
      <w:r>
        <w:rPr>
          <w:rFonts w:ascii="Arial" w:cs="Arial" w:eastAsia="Arial" w:hAnsi="Arial"/>
          <w:sz w:val="16"/>
          <w:szCs w:val="16"/>
          <w:i w:val="1"/>
          <w:iCs w:val="1"/>
          <w:color w:val="auto"/>
        </w:rPr>
        <w:t>Financial Instruments—Credit Losses (Topic 326), Derivatives and Hedging (Topic 815), and 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Dates </w:t>
      </w:r>
      <w:r>
        <w:rPr>
          <w:rFonts w:ascii="Arial" w:cs="Arial" w:eastAsia="Arial" w:hAnsi="Arial"/>
          <w:sz w:val="16"/>
          <w:szCs w:val="16"/>
          <w:color w:val="auto"/>
        </w:rPr>
        <w:t>(ASU 2019-10), which deferred the effective date of this standard for all entities except SEC filers that are not smaller reporting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to fiscal years beginning after December 15, 2022, including interim periods within those fiscal years. Early adoption is permitted. The Company is currently evaluating the timing and impact of adopting this new accounting standard on its consolidated financial statements and related disclosures.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The ASU also removes certain settlement conditions in ASC 815-40 that are required for equity contracts to qualify for the derivative scope exception, which will permit more equity contracts to qualify for the scope exception and simplifies the diluted EPS calculation in certain areas. The ASU is effective for interim and annual periods beginning after December 15, 2021, with early adoption permitted after December 15, 2020. Adoption of the ASU can either be on a modified retrospective or full retrospective basis. The Company is currently evaluating the impacts of ASU 2020-06 on its consolidated financial statements and related disclosures.</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October 2020, the FASB issued ASU 2020-10, Codification Improvements – Disclosures. This ASU improves consistency by amending the codification to include all disclosure guidance in the appropriate disclosure sections and clarifies application of various provisions in the Codification by amending and adding new headings, cross referencing to other accounting standards, and refining or correcting termination. This ASU is effective for fiscal years beginning after December 15, 2020. The adoption of the ASU will not impact the Company’s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Note 3 - Investments in Marketable Securities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260" w:type="dxa"/>
            <w:vAlign w:val="bottom"/>
            <w:gridSpan w:val="8"/>
          </w:tcPr>
          <w:p>
            <w:pPr>
              <w:spacing w:after="0"/>
              <w:rPr>
                <w:sz w:val="20"/>
                <w:szCs w:val="20"/>
                <w:color w:val="auto"/>
              </w:rPr>
            </w:pPr>
            <w:r>
              <w:rPr>
                <w:rFonts w:ascii="Arial" w:cs="Arial" w:eastAsia="Arial" w:hAnsi="Arial"/>
                <w:sz w:val="18"/>
                <w:szCs w:val="18"/>
                <w:color w:val="auto"/>
              </w:rPr>
              <w:t>Investments in marketable available-for-sale securities consisted of the following (in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7"/>
                <w:szCs w:val="17"/>
                <w:color w:val="auto"/>
              </w:rPr>
            </w:pPr>
          </w:p>
        </w:tc>
        <w:tc>
          <w:tcPr>
            <w:tcW w:w="136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 xml:space="preserve">Gain </w:t>
            </w:r>
            <w:r>
              <w:rPr>
                <w:rFonts w:ascii="Arial" w:cs="Arial" w:eastAsia="Arial" w:hAnsi="Arial"/>
                <w:sz w:val="15"/>
                <w:szCs w:val="15"/>
                <w:b w:val="1"/>
                <w:bCs w:val="1"/>
                <w:color w:val="auto"/>
                <w:w w:val="94"/>
              </w:rPr>
              <w:t>(1)</w:t>
            </w:r>
          </w:p>
        </w:tc>
        <w:tc>
          <w:tcPr>
            <w:tcW w:w="20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 xml:space="preserve">Loss </w:t>
            </w:r>
            <w:r>
              <w:rPr>
                <w:rFonts w:ascii="Arial" w:cs="Arial" w:eastAsia="Arial" w:hAnsi="Arial"/>
                <w:sz w:val="15"/>
                <w:szCs w:val="15"/>
                <w:b w:val="1"/>
                <w:bCs w:val="1"/>
                <w:color w:val="auto"/>
                <w:w w:val="85"/>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and foreign commercial paper</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short-term investments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156,966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cash equivalents and investments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FF0FC"/>
            </w:tcBorders>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7"/>
                <w:szCs w:val="17"/>
                <w:color w:val="auto"/>
              </w:rPr>
            </w:pPr>
          </w:p>
        </w:tc>
        <w:tc>
          <w:tcPr>
            <w:tcW w:w="136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 xml:space="preserve">Gain </w:t>
            </w:r>
            <w:r>
              <w:rPr>
                <w:rFonts w:ascii="Arial" w:cs="Arial" w:eastAsia="Arial" w:hAnsi="Arial"/>
                <w:sz w:val="15"/>
                <w:szCs w:val="15"/>
                <w:b w:val="1"/>
                <w:bCs w:val="1"/>
                <w:color w:val="auto"/>
                <w:w w:val="94"/>
              </w:rPr>
              <w:t>(1)</w:t>
            </w:r>
          </w:p>
        </w:tc>
        <w:tc>
          <w:tcPr>
            <w:tcW w:w="20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 xml:space="preserve">Loss </w:t>
            </w:r>
            <w:r>
              <w:rPr>
                <w:rFonts w:ascii="Arial" w:cs="Arial" w:eastAsia="Arial" w:hAnsi="Arial"/>
                <w:sz w:val="15"/>
                <w:szCs w:val="15"/>
                <w:b w:val="1"/>
                <w:bCs w:val="1"/>
                <w:color w:val="auto"/>
                <w:w w:val="85"/>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33,095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FF0FC"/>
            </w:tcBorders>
          </w:tcPr>
          <w:p>
            <w:pPr>
              <w:spacing w:after="0"/>
              <w:rPr>
                <w:sz w:val="19"/>
                <w:szCs w:val="19"/>
                <w:color w:val="auto"/>
              </w:rPr>
            </w:pPr>
          </w:p>
        </w:tc>
        <w:tc>
          <w:tcPr>
            <w:tcW w:w="48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FF0FC"/>
          </w:tcPr>
          <w:p>
            <w:pPr>
              <w:spacing w:after="0"/>
              <w:rPr>
                <w:sz w:val="19"/>
                <w:szCs w:val="19"/>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FF0FC"/>
            </w:tcBorders>
          </w:tcPr>
          <w:p>
            <w:pPr>
              <w:spacing w:after="0"/>
              <w:rPr>
                <w:sz w:val="19"/>
                <w:szCs w:val="19"/>
                <w:color w:val="auto"/>
              </w:rPr>
            </w:pPr>
          </w:p>
        </w:tc>
        <w:tc>
          <w:tcPr>
            <w:tcW w:w="48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Total cash equivalents and investments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269,817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4800" w:type="dxa"/>
            <w:vAlign w:val="bottom"/>
            <w:vMerge w:val="restart"/>
          </w:tcPr>
          <w:p>
            <w:pPr>
              <w:ind w:left="220"/>
              <w:spacing w:after="0"/>
              <w:rPr>
                <w:sz w:val="20"/>
                <w:szCs w:val="20"/>
                <w:color w:val="auto"/>
              </w:rPr>
            </w:pPr>
            <w:r>
              <w:rPr>
                <w:rFonts w:ascii="Arial" w:cs="Arial" w:eastAsia="Arial" w:hAnsi="Arial"/>
                <w:sz w:val="18"/>
                <w:szCs w:val="18"/>
                <w:color w:val="auto"/>
              </w:rPr>
              <w:t>Gross unrealized gain (loss) is pre-tax.</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contractual term to maturity of short-term marketable securities held by the Company is less than one year. There were no long-term marketable securities held by the Company as of December 31,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gains and losses for the years ended December 31, 2020, 2019 and 2018 were not significant. None of the Company’s investments have been in a continuous unrealized loss position for more than 12 months as of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information regarding the fair value of our investments in marketable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692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69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3"/>
              </w:rPr>
              <w:t>As of 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Lab equipment</w:t>
            </w: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Office equipment</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w:t>
            </w:r>
          </w:p>
        </w:tc>
        <w:tc>
          <w:tcPr>
            <w:tcW w:w="1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(1,836)</w:t>
            </w:r>
          </w:p>
        </w:tc>
        <w:tc>
          <w:tcPr>
            <w:tcW w:w="7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Depreciation expense for the years ended December 31, 2020, 2019 and 2018 was $0.7 million, $0.5 million, and $0.6 million, respectively, and was recorded in both research and development expense and general and administrative expense in the consolidated statements of operations and comprehensive loss. Primarily all of property and equipment is located in the 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5 – Other Accrued Expenses</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6920" w:type="dxa"/>
            <w:vAlign w:val="bottom"/>
          </w:tcPr>
          <w:p>
            <w:pPr>
              <w:spacing w:after="0"/>
              <w:rPr>
                <w:sz w:val="20"/>
                <w:szCs w:val="20"/>
                <w:color w:val="auto"/>
              </w:rPr>
            </w:pPr>
            <w:r>
              <w:rPr>
                <w:rFonts w:ascii="Arial" w:cs="Arial" w:eastAsia="Arial" w:hAnsi="Arial"/>
                <w:sz w:val="18"/>
                <w:szCs w:val="18"/>
                <w:color w:val="auto"/>
              </w:rPr>
              <w:t>Other accrued expenses consist of the following (in thousands):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69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3"/>
              </w:rPr>
              <w:t>As of 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7,016</w:t>
            </w:r>
          </w:p>
        </w:tc>
        <w:tc>
          <w:tcPr>
            <w:tcW w:w="28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11,987</w:t>
            </w:r>
          </w:p>
        </w:tc>
        <w:tc>
          <w:tcPr>
            <w:tcW w:w="2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Restructurings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Restructuring</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the Company’s Board of Directors approved the relocation of the Company corporate headquarters to South San Francisco, California which became effective January 1, 2020. The Company accrued restructuring charges of $2.1 million in 2019 related to one-time termination severance payments and other employee-related costs associated with the relocation plan. This represents the total amount expected to be incurred in connection with the relocation.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Restructuring</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the Company and its Board of Directors determined that it was in the Company’s best interest to wind down its Microbiome program, enabling the Company to prioritize resources and focus on the advancement of its pipeline of novel core inhibitors for chronic HBV infection. The Company expects to complete the wind-down of the Microbiome program in early 2021.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 summarizes the Company’s estimates of costs incurred and expected to be incurred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Total Restructuring</w:t>
            </w:r>
          </w:p>
        </w:tc>
        <w:tc>
          <w:tcPr>
            <w:tcW w:w="18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7"/>
              </w:rPr>
              <w:t>Employee Severance</w:t>
            </w:r>
          </w:p>
        </w:tc>
        <w:tc>
          <w:tcPr>
            <w:tcW w:w="10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Asset Impairment</w:t>
            </w:r>
          </w:p>
        </w:tc>
      </w:tr>
      <w:tr>
        <w:trPr>
          <w:trHeight w:val="234"/>
        </w:trPr>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Cost</w:t>
            </w:r>
          </w:p>
        </w:tc>
        <w:tc>
          <w:tcPr>
            <w:tcW w:w="18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and Related Benefits</w:t>
            </w:r>
          </w:p>
        </w:tc>
        <w:tc>
          <w:tcPr>
            <w:tcW w:w="10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and Other Costs</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estimated restructuring costs to be incurred</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8,040</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Restructuring costs incurred during the period: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restructuring costs incurred for the year ended December 31, 2019</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9"/>
              </w:rPr>
              <w:t>Total restructuring costs incurred for the year ended December 31, 2020</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restructuring costs incurred through December 31, 2020</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activity in the accrued restructuring charges during the period, all of which are related to employee severance and related benefits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Accrued balance as of January 1, 2019</w:t>
            </w:r>
          </w:p>
        </w:tc>
        <w:tc>
          <w:tcPr>
            <w:tcW w:w="104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Costs incurred</w:t>
            </w: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FF0FC"/>
            </w:tcBorders>
          </w:tcPr>
          <w:p>
            <w:pPr>
              <w:spacing w:after="0"/>
              <w:rPr>
                <w:sz w:val="19"/>
                <w:szCs w:val="19"/>
                <w:color w:val="auto"/>
              </w:rPr>
            </w:pPr>
          </w:p>
        </w:tc>
      </w:tr>
      <w:tr>
        <w:trPr>
          <w:trHeight w:val="223"/>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Accrued balance as of December 31, 2019</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FF0FC"/>
          </w:tcPr>
          <w:p>
            <w:pPr>
              <w:spacing w:after="0"/>
              <w:rPr>
                <w:sz w:val="19"/>
                <w:szCs w:val="19"/>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8"/>
                <w:szCs w:val="18"/>
                <w:color w:val="auto"/>
              </w:rPr>
              <w:t>Costs incurred</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r>
      <w:tr>
        <w:trPr>
          <w:trHeight w:val="229"/>
        </w:trPr>
        <w:tc>
          <w:tcPr>
            <w:tcW w:w="8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Reductions for cash payments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(1,773)</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Accrued balance as of December 31, 2020</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recognized $0.3 million of accelerated vesting for stock-based compensation for employees subject to the restructuring activities during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The Company expects the accrued restructuring liability to be fully paid in 2021.</w:t>
            </w: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20" w:type="dxa"/>
            <w:vAlign w:val="bottom"/>
          </w:tcPr>
          <w:p>
            <w:pPr>
              <w:spacing w:after="0"/>
              <w:rPr>
                <w:sz w:val="20"/>
                <w:szCs w:val="20"/>
                <w:color w:val="auto"/>
              </w:rPr>
            </w:pPr>
            <w:r>
              <w:rPr>
                <w:rFonts w:ascii="Arial" w:cs="Arial" w:eastAsia="Arial" w:hAnsi="Arial"/>
                <w:sz w:val="18"/>
                <w:szCs w:val="18"/>
                <w:color w:val="auto"/>
                <w:w w:val="92"/>
              </w:rPr>
              <w:t>The following table presents where the restructuring charges were recognized (in thousands):</w:t>
            </w:r>
          </w:p>
        </w:tc>
        <w:tc>
          <w:tcPr>
            <w:tcW w:w="3580" w:type="dxa"/>
            <w:vAlign w:val="bottom"/>
            <w:gridSpan w:val="4"/>
            <w:vMerge w:val="restart"/>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19"/>
                <w:szCs w:val="19"/>
                <w:color w:val="auto"/>
              </w:rPr>
            </w:pPr>
          </w:p>
        </w:tc>
        <w:tc>
          <w:tcPr>
            <w:tcW w:w="3580" w:type="dxa"/>
            <w:vAlign w:val="bottom"/>
            <w:tcBorders>
              <w:bottom w:val="single" w:sz="8" w:color="auto"/>
            </w:tcBorders>
            <w:gridSpan w:val="4"/>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5,000,000 shares of preferred stock as of December 31, 2020 and 2019, respectively. As of December 31, 2020 and 2019, no shares of preferred stock were issued and outstanding. The Company is authorized to issue 100,000,000 shares of common stock as of December 31,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 and Pre-Funded Warrants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Company filed a registration statement on Form S-3 with the SEC, File No. 333-222366, that became effective January 10, 2018 (the 2018 Registration Statement). The 2018 Registration Statement gave the Company the ability to sell any combination of the securities described in the 2018 Registration Statement in one or more offerings up to an aggregate offering price of $250.0 million. In connection with the filing of the 2018 Registration Statement, the Company entered into a sales agreement that gave the Company the ability to sell shares of its common stock having an aggregate offering price of up to $75.0 million through “at the market offerings” (the 2017 ATM). The 2017 ATM was terminated effective September 6, 2020, and no shares were sold under the 2017 ATM prior to the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In July 2018, the Company sold to various investors an aggregate of 4,600,000 shares of common stock in a public offering at $36.00 per share, which included the exercise in full by the underwriters of their option to purchase 600,000 additional shares of common stock. The Company received aggregate net proceeds of $155.4 million from the offering and the option exercise, after deducting underwriting discounts and commissions and offering expenses payable by the Company.</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the Company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The Company received aggregate net proceeds of $134.7 million from the offering and the option exercise, after deducting underwriting discounts and commissions and offering expenses payable by the Company. The pre-funded warrants became immediately exercisable upon issuance at an exercise price of $0.001 per share, but under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 splits, reverse stock split, recapitalization, reorganization or similar transaction, as described in the pre-funded warrant agreements. Under certain circumstances, the pre-funded warrants may be exercisable on a “cashless” basis. Both the pre-funded warrants and the Warrant Shares are registered securities.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paid-in-capital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pre-funded warrants do not provide any guarantee of value or return. The Company valued the pre-funded warrants at issuance, concluding their sales price approximated their fair value, and allocated net proceeds from the sale proportionately to the common stock and pre-funded warrants of which $37.5 million allocated to the pre-funded warrants and recorded as a component of additional paid-in-capital.</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year ended December 31, 2020, the Company issued and sold 892,840 shares of common stock under the 2020 Registration Statement, for which the Company received net proceeds of $5.5 million, after deducting commissions, fees and expenses.</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carried forward registration fees paid with respect to $21.4 million of securities that remained available under the 2018 Registration Statement. As such, as of the effectiveness of the 2020 Registration Statement, the 2018 Registration Statement was deemed terminated.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following warrants to purchase shares of the Company’s common stock were issued and outstanding: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Exercise Price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gridSpan w:val="2"/>
          </w:tcPr>
          <w:p>
            <w:pPr>
              <w:ind w:left="720"/>
              <w:spacing w:after="0"/>
              <w:rPr>
                <w:sz w:val="20"/>
                <w:szCs w:val="20"/>
                <w:color w:val="auto"/>
              </w:rPr>
            </w:pPr>
            <w:r>
              <w:rPr>
                <w:rFonts w:ascii="Arial" w:cs="Arial" w:eastAsia="Arial" w:hAnsi="Arial"/>
                <w:sz w:val="18"/>
                <w:szCs w:val="18"/>
                <w:b w:val="1"/>
                <w:bCs w:val="1"/>
                <w:color w:val="auto"/>
              </w:rPr>
              <w:t>Issue date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6"/>
              </w:rPr>
              <w:t>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2020</w:t>
            </w:r>
          </w:p>
        </w:tc>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10, 2010</w:t>
            </w:r>
          </w:p>
        </w:tc>
        <w:tc>
          <w:tcPr>
            <w:tcW w:w="20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10, 2020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16, 2019</w:t>
            </w:r>
          </w:p>
        </w:tc>
        <w:tc>
          <w:tcPr>
            <w:tcW w:w="21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2"/>
              </w:rPr>
              <w:t>None</w:t>
            </w:r>
          </w:p>
        </w:tc>
        <w:tc>
          <w:tcPr>
            <w:tcW w:w="480" w:type="dxa"/>
            <w:vAlign w:val="bottom"/>
            <w:tcBorders>
              <w:bottom w:val="single" w:sz="8" w:color="CFF0FC"/>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0.001</w:t>
            </w:r>
          </w:p>
        </w:tc>
        <w:tc>
          <w:tcPr>
            <w:tcW w:w="300" w:type="dxa"/>
            <w:vAlign w:val="bottom"/>
            <w:tcBorders>
              <w:bottom w:val="single" w:sz="8" w:color="CFF0FC"/>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2,424,242</w:t>
            </w:r>
          </w:p>
        </w:tc>
        <w:tc>
          <w:tcPr>
            <w:tcW w:w="300" w:type="dxa"/>
            <w:vAlign w:val="bottom"/>
            <w:tcBorders>
              <w:bottom w:val="single" w:sz="8" w:color="CFF0FC"/>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2,424,242</w:t>
            </w:r>
          </w:p>
        </w:tc>
        <w:tc>
          <w:tcPr>
            <w:tcW w:w="30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2,439,538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vMerge w:val="restart"/>
          </w:tcPr>
          <w:p>
            <w:pPr>
              <w:ind w:left="400"/>
              <w:spacing w:after="0"/>
              <w:rPr>
                <w:sz w:val="20"/>
                <w:szCs w:val="20"/>
                <w:color w:val="auto"/>
              </w:rPr>
            </w:pPr>
            <w:r>
              <w:rPr>
                <w:rFonts w:ascii="Arial" w:cs="Arial" w:eastAsia="Arial" w:hAnsi="Arial"/>
                <w:sz w:val="18"/>
                <w:szCs w:val="18"/>
                <w:color w:val="auto"/>
              </w:rPr>
              <w:t>F-27</w:t>
            </w: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jc w:val="both"/>
        <w:spacing w:after="0" w:line="342" w:lineRule="auto"/>
        <w:rPr>
          <w:sz w:val="20"/>
          <w:szCs w:val="20"/>
          <w:color w:val="auto"/>
        </w:rPr>
      </w:pPr>
      <w:r>
        <w:rPr>
          <w:rFonts w:ascii="Arial" w:cs="Arial" w:eastAsia="Arial" w:hAnsi="Arial"/>
          <w:sz w:val="16"/>
          <w:szCs w:val="16"/>
          <w:color w:val="auto"/>
        </w:rPr>
        <w:t>There were no warrants exercised during the years ended December 31, 2020, 2019 and 2018. During the year ended December 31, 2020, 15,296 warrants to purchase common stock expired unexercised. During the year ended December 31, 2018, 1,613 warrants to purchase common stock expired unexercised.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 pursuant to which the Company reserved 400,000 shares of its common stock for issuance in connection with purchases by employees pursuant to this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shares of common stock reserved under the 2018 Plan to 3,000,000.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2020, the Company also had awards outstanding under the Assembly Biosciences, Inc. 2017 Inducement Award Plan (the 2017 Plan), the 2019 Inducement Award Plan (the 2019 Plan) and the Assembly Biosciences, Inc. 2020 Inducement Award Plan (the 2020 Plan).</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or vested RSUs. The Company also issues new shares of common stock in connection with purchases of shares of common stock by eligible employees under the Company’s 2018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and related information for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5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5020" w:type="dxa"/>
            <w:vAlign w:val="bottom"/>
          </w:tcPr>
          <w:p>
            <w:pPr>
              <w:spacing w:after="0"/>
              <w:rPr>
                <w:sz w:val="20"/>
                <w:szCs w:val="20"/>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Per Share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4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5,613,353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1,649,340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(175,579)</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(390,522)</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6,696,592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Exercisable as of December 31,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3,926,732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weighted-average grant-date fair value of options granted was $10.64, $10.55 and $30.84 during the years ended December 31, 2020, 2019 and 2018, respectively. The total intrinsic value of options exercised in 2020, 2019 and 2018 was $2.0 million, $5.0 million and $31.1 million,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i w:val="1"/>
                <w:iCs w:val="1"/>
                <w:color w:val="auto"/>
              </w:rPr>
              <w:t>RSUs</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540" w:type="dxa"/>
            <w:vAlign w:val="bottom"/>
          </w:tcPr>
          <w:p>
            <w:pPr>
              <w:spacing w:after="0"/>
              <w:rPr>
                <w:sz w:val="20"/>
                <w:szCs w:val="20"/>
                <w:color w:val="auto"/>
              </w:rPr>
            </w:pPr>
            <w:r>
              <w:rPr>
                <w:rFonts w:ascii="Arial" w:cs="Arial" w:eastAsia="Arial" w:hAnsi="Arial"/>
                <w:sz w:val="18"/>
                <w:szCs w:val="18"/>
                <w:color w:val="auto"/>
              </w:rPr>
              <w:t>The following table summarizes RSU activity and related information for 2020:</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7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Average Fair</w:t>
            </w:r>
          </w:p>
        </w:tc>
      </w:tr>
      <w:tr>
        <w:trPr>
          <w:trHeight w:val="216"/>
        </w:trPr>
        <w:tc>
          <w:tcPr>
            <w:tcW w:w="754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Value Per RSU</w:t>
            </w:r>
          </w:p>
        </w:tc>
      </w:tr>
      <w:tr>
        <w:trPr>
          <w:trHeight w:val="234"/>
        </w:trPr>
        <w:tc>
          <w:tcPr>
            <w:tcW w:w="7540" w:type="dxa"/>
            <w:vAlign w:val="bottom"/>
          </w:tcPr>
          <w:p>
            <w:pPr>
              <w:spacing w:after="0"/>
              <w:rPr>
                <w:sz w:val="20"/>
                <w:szCs w:val="20"/>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of RSU's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at Grant Price</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758,718</w:t>
            </w:r>
          </w:p>
        </w:tc>
        <w:tc>
          <w:tcPr>
            <w:tcW w:w="3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536,164</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184"/>
              <w:spacing w:after="0"/>
              <w:rPr>
                <w:sz w:val="20"/>
                <w:szCs w:val="20"/>
                <w:color w:val="auto"/>
              </w:rPr>
            </w:pPr>
            <w:r>
              <w:rPr>
                <w:rFonts w:ascii="Arial" w:cs="Arial" w:eastAsia="Arial" w:hAnsi="Arial"/>
                <w:sz w:val="18"/>
                <w:szCs w:val="18"/>
                <w:color w:val="auto"/>
              </w:rPr>
              <w:t>(297,133)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(110,881)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9"/>
                <w:szCs w:val="19"/>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886,868</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0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ind w:left="440" w:right="20" w:hanging="432"/>
        <w:spacing w:after="0" w:line="277" w:lineRule="auto"/>
        <w:tabs>
          <w:tab w:leader="none" w:pos="4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Includes 140,000 RSUs that have vested but are subject to deferred settlement, which have a weighted average remaining contractual term of 2.2 years.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total fair value of RSUs vested and settled during 2020, 2019 and 2018 was $7.8 million, $5.7 million, and $5.3 million, respectively. The total intrinsic value of RSUs vested and settled during 2020 and 2019 was $4.4 million and $2.9 million, respectively. The total intrinsic value of RSUs vested and settled during 2018 was nominal.</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2020, RSUs outstanding include 100,000 RSUs granted in September 2019 to the Company’s chief executive officer with performance-based conditions. The 100,000 awards with an aggregate fair value of $1.2 million vest upon performance conditions not yet deemed probable and accordingly no stock-based compensation expense has been recognized as of December 31, 2020. In July 2020, the performance condition for 45,000 RSUs granted in December 2017 to a former executive officer was met associated with the execution of an HBV business development transaction. The Company recognized $0.7 million as a cumulative catch-up adjustment of stock-based compensation expense for this award for the year ended December 31, 2020. In the second quarter of 2019, 100,000 RSUs granted to a former officer were forfeited due to his departure. These RSUs had a grant date fair value of $2.4 million and were vesting over time but would have accelerated upon the achievement of certain performance-based conditions. The Company reversed the previously recognized expense of $0.5 million related to these forfeited awards upon the departure of the former officer in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2018 ESPP provides for the purchase by employees of up to an aggregate of 400,000 shares of the Company’s common stock at a discount to the market price. Subject to the annual statutory limits and the 2018 ESPP’s limit of 1,000 shares of common stock per offering, an eligible employee may participate through payroll deductions of up to 15% of such employee’s compensation for each pay period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employees purchased 21,483 shares of common stock under the 2018 ESPP. In May and November 2019, employees purchased 36,804 and 22,566 shares of common stock, respectively, under the 2018 ESPP. In May and November 2020, employees purchased 42,266 and 44,546 shares of common stock, respectively, under the 2018 ESPP. As of December 31, 2020, 232,335 shares of common stock are available for future sale under the Company’s 2018 ESPP. Stock-based compensation expense recorded in connection with the 2018 ESPP was $0.5 million, $0.4 million and $0.2 million for the years December 31, 2020, 2019 and 2018,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Valuation Assumptions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Black-Scholes option-pricing model for determining the estimated fair value and stock-based compensation related to stock options and ESPP purchase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assumptions used to estimate the fair values of stock options grants for the years presented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3"/>
              </w:rPr>
              <w:t>Year Ended December 31,</w:t>
            </w: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8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19"/>
                <w:szCs w:val="19"/>
                <w:color w:val="auto"/>
              </w:rPr>
            </w:pPr>
          </w:p>
        </w:tc>
        <w:tc>
          <w:tcPr>
            <w:tcW w:w="16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6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1"/>
              </w:rPr>
              <w:t>$5.62 - $23.30</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$9.31 - $23.04</w:t>
            </w:r>
          </w:p>
        </w:tc>
        <w:tc>
          <w:tcPr>
            <w:tcW w:w="2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$57.53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860" w:type="dxa"/>
            <w:vAlign w:val="bottom"/>
          </w:tcPr>
          <w:p>
            <w:pPr>
              <w:ind w:left="20"/>
              <w:spacing w:after="0"/>
              <w:rPr>
                <w:sz w:val="20"/>
                <w:szCs w:val="20"/>
                <w:color w:val="auto"/>
              </w:rPr>
            </w:pPr>
            <w:r>
              <w:rPr>
                <w:rFonts w:ascii="Arial" w:cs="Arial" w:eastAsia="Arial" w:hAnsi="Arial"/>
                <w:sz w:val="18"/>
                <w:szCs w:val="18"/>
                <w:color w:val="auto"/>
              </w:rPr>
              <w:t>- 92.3%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880" w:type="dxa"/>
            <w:vAlign w:val="bottom"/>
          </w:tcPr>
          <w:p>
            <w:pPr>
              <w:ind w:left="20"/>
              <w:spacing w:after="0"/>
              <w:rPr>
                <w:sz w:val="20"/>
                <w:szCs w:val="20"/>
                <w:color w:val="auto"/>
              </w:rPr>
            </w:pPr>
            <w:r>
              <w:rPr>
                <w:rFonts w:ascii="Arial" w:cs="Arial" w:eastAsia="Arial" w:hAnsi="Arial"/>
                <w:sz w:val="18"/>
                <w:szCs w:val="18"/>
                <w:color w:val="auto"/>
              </w:rPr>
              <w:t>- 83.2%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w:t>
            </w:r>
          </w:p>
        </w:tc>
        <w:tc>
          <w:tcPr>
            <w:tcW w:w="880" w:type="dxa"/>
            <w:vAlign w:val="bottom"/>
          </w:tcPr>
          <w:p>
            <w:pPr>
              <w:ind w:left="20"/>
              <w:spacing w:after="0"/>
              <w:rPr>
                <w:sz w:val="20"/>
                <w:szCs w:val="20"/>
                <w:color w:val="auto"/>
              </w:rPr>
            </w:pPr>
            <w:r>
              <w:rPr>
                <w:rFonts w:ascii="Arial" w:cs="Arial" w:eastAsia="Arial" w:hAnsi="Arial"/>
                <w:sz w:val="18"/>
                <w:szCs w:val="18"/>
                <w:color w:val="auto"/>
              </w:rPr>
              <w:t>- 86.1%</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- 2.65%</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- 3.04%</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60" w:type="dxa"/>
            <w:vAlign w:val="bottom"/>
          </w:tcPr>
          <w:p>
            <w:pPr>
              <w:ind w:left="20"/>
              <w:spacing w:after="0"/>
              <w:rPr>
                <w:sz w:val="20"/>
                <w:szCs w:val="20"/>
                <w:color w:val="auto"/>
              </w:rPr>
            </w:pPr>
            <w:r>
              <w:rPr>
                <w:rFonts w:ascii="Arial" w:cs="Arial" w:eastAsia="Arial" w:hAnsi="Arial"/>
                <w:sz w:val="18"/>
                <w:szCs w:val="18"/>
                <w:color w:val="auto"/>
              </w:rPr>
              <w:t>- 7.5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80" w:type="dxa"/>
            <w:vAlign w:val="bottom"/>
          </w:tcPr>
          <w:p>
            <w:pPr>
              <w:ind w:left="20"/>
              <w:spacing w:after="0"/>
              <w:rPr>
                <w:sz w:val="20"/>
                <w:szCs w:val="20"/>
                <w:color w:val="auto"/>
              </w:rPr>
            </w:pPr>
            <w:r>
              <w:rPr>
                <w:rFonts w:ascii="Arial" w:cs="Arial" w:eastAsia="Arial" w:hAnsi="Arial"/>
                <w:sz w:val="18"/>
                <w:szCs w:val="18"/>
                <w:color w:val="auto"/>
              </w:rPr>
              <w:t>- 7.5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tcPr>
          <w:p>
            <w:pPr>
              <w:ind w:left="20"/>
              <w:spacing w:after="0"/>
              <w:rPr>
                <w:sz w:val="20"/>
                <w:szCs w:val="20"/>
                <w:color w:val="auto"/>
              </w:rPr>
            </w:pPr>
            <w:r>
              <w:rPr>
                <w:rFonts w:ascii="Arial" w:cs="Arial" w:eastAsia="Arial" w:hAnsi="Arial"/>
                <w:sz w:val="18"/>
                <w:szCs w:val="18"/>
                <w:color w:val="auto"/>
              </w:rPr>
              <w:t>- 7.0</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1880" w:type="dxa"/>
            <w:vAlign w:val="bottom"/>
            <w:gridSpan w:val="3"/>
            <w:shd w:val="clear" w:color="auto" w:fill="CFF0FC"/>
          </w:tcPr>
          <w:p>
            <w:pPr>
              <w:jc w:val="center"/>
              <w:ind w:left="150"/>
              <w:spacing w:after="0"/>
              <w:rPr>
                <w:sz w:val="20"/>
                <w:szCs w:val="20"/>
                <w:color w:val="auto"/>
              </w:rPr>
            </w:pPr>
            <w:r>
              <w:rPr>
                <w:rFonts w:ascii="Arial" w:cs="Arial" w:eastAsia="Arial" w:hAnsi="Arial"/>
                <w:sz w:val="18"/>
                <w:szCs w:val="18"/>
                <w:color w:val="auto"/>
                <w:w w:val="92"/>
              </w:rPr>
              <w:t>0%</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 supplemented as necessary with historical volatility of the common stock of several peer companies with characteristics similar to those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stock-based compensation expense included in the consolidated statement of operations and comprehensive loss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11,380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10,473</w:t>
            </w:r>
          </w:p>
        </w:tc>
        <w:tc>
          <w:tcPr>
            <w:tcW w:w="320" w:type="dxa"/>
            <w:vAlign w:val="bottom"/>
            <w:tcBorders>
              <w:bottom w:val="single" w:sz="8" w:color="CFF0FC"/>
            </w:tcBorders>
          </w:tcPr>
          <w:p>
            <w:pPr>
              <w:ind w:left="120"/>
              <w:spacing w:after="0"/>
              <w:rPr>
                <w:sz w:val="20"/>
                <w:szCs w:val="20"/>
                <w:color w:val="auto"/>
              </w:rPr>
            </w:pPr>
            <w:r>
              <w:rPr>
                <w:rFonts w:ascii="Arial" w:cs="Arial" w:eastAsia="Arial" w:hAnsi="Arial"/>
                <w:sz w:val="15"/>
                <w:szCs w:val="15"/>
                <w:color w:val="auto"/>
                <w:w w:val="97"/>
              </w:rPr>
              <w:t>(1)</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02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21,853</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20,558</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277" w:lineRule="auto"/>
        <w:tabs>
          <w:tab w:leader="none" w:pos="4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the reversal of previously recognized expense of $1.7 million related to forfeited awards resulting from the departure of one of our former executive officers during the year.</w:t>
      </w:r>
    </w:p>
    <w:p>
      <w:pPr>
        <w:spacing w:after="0" w:line="183" w:lineRule="exact"/>
        <w:rPr>
          <w:rFonts w:ascii="Arial" w:cs="Arial" w:eastAsia="Arial" w:hAnsi="Arial"/>
          <w:sz w:val="15"/>
          <w:szCs w:val="15"/>
          <w:color w:val="auto"/>
        </w:rPr>
      </w:pPr>
    </w:p>
    <w:p>
      <w:pPr>
        <w:ind w:left="440" w:hanging="432"/>
        <w:spacing w:after="0" w:line="277" w:lineRule="auto"/>
        <w:tabs>
          <w:tab w:leader="none" w:pos="4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the reversal of previously recognized expense of $3.6 million related to forfeited awards resulting from the departure of one of our former executive officers during the year.</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there was $20.4 million of total unrecognized stock-based compensation related to outstanding equity awards which is expected to be recognized over a weighted average remaining amortization period of 1.8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9 - Collaboration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Company and Allergan entered into the Allergan Agreement to develop and commercialize select microbiome gastrointestinal disease therapies. Pursuant to the Allergan Agreement, the Company granted Allergan an exclusive worldwide license to certain of its intellectual property, including its intellectual property arising under the Allergan Agreement, to develop and commercialize licensed compounds for ulcerative colitis (UC), Crohn’s disease, and two compounds for irritable bowel syndrome (IBS). Allergan and the Company also agreed to collaborate on research and development activities with respect to the licensed compounds in accordance with a mutually agreed upon research and development plan. Per the terms of the Allergan Agreement, Allergan could select backups and additional target indications to add to the licenses granted for additional consideration and also had the ability to enter into a contract manufacturing agreement with the Company for compound supply at cost plus an agreed upon margin. In addition, the Company participated on a Joint Development Committee (JDC) and Joint Patent Committee (JPC). Allergan had the right to terminate the Allergan Agreement at any time upon advance written notice.</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following its acquisition of Allergan, AbbVie Inc. (AbbVie), on behalf of Allergan, gave written notice of termination of the Allergan Agreement effective 120 days following the delivery of notice, on October 10, 2020. Upon termination, the licenses granted by the Company and its know-how reverted to the Company. Under the terms of the Allergan Agreement, AbbVie was obligated to continue to reimburse the Company for certain research and development costs through October 10, 2020. Upon effectiveness of the termination, such reimbursements ceased. Due to the delivery of the termination notice, the Company determined there were no further enforceable rights and obligations under the Allergan Agreement beyond June 2020 and the remaining $36.0 million of deferred revenue was recognized in 2020.</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was eligible to receive variable consideration in the form of research and development cost reimbursements, up to $631.0 million related to seven development milestones and up to $2.14 billion related to 12 commercial development and sales milestones in connection with the successful development and commercialization of licensed compounds. In addition, the Company was eligible to receive tiered royalties at rates ranging from the mid-single digits to the mid-teens based on net sales.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Allergan and the Company agreed to share research and development costs up to an aggregate of $75.0 million through proof-of-concept (POC) studies on a ⅔, ⅓ basis, respectively, and Allergan agreed to assume all post-POC development costs. In the event any pre-POC development costs would have exceeded $75.0 million in the aggregate, the Company may have elected either (a) to fund ⅓ of such costs in excess of $75.0 million or (b) to allow Allergan to deduct from future development milestone payments ⅓ of the development costs funded by Allergan in excess of $75.0 million plus a premium of 25%. The Company had an option to co-promote the licensed programs in the U.S. and China, subject to certain conditions set forth in the Allergan Agreement.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concluded that Allegan was a customer, and the contract was not subject to accounting literature on collaborative arrangements. This is because the Company granted to Allergan licenses to its intellectual property and agreed to perform research and development services, all of which are outputs of the Company’s ongoing activities, in exchange for consideration. The Company identified the following material promises under the Allergan Agreement: (1) grant of a licenses to intellectual property for the four initial indications, inclusive of the related technology know-how (Licenses) and</w:t>
      </w:r>
    </w:p>
    <w:p>
      <w:pPr>
        <w:spacing w:after="0" w:line="1" w:lineRule="exact"/>
        <w:rPr>
          <w:sz w:val="20"/>
          <w:szCs w:val="20"/>
          <w:color w:val="auto"/>
        </w:rPr>
      </w:pPr>
    </w:p>
    <w:p>
      <w:pPr>
        <w:jc w:val="both"/>
        <w:ind w:firstLine="8"/>
        <w:spacing w:after="0" w:line="252" w:lineRule="auto"/>
        <w:tabs>
          <w:tab w:leader="none" w:pos="2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were to be accounted for as separate contracts when or if they occurred.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spacing w:after="0" w:line="269" w:lineRule="auto"/>
        <w:rPr>
          <w:sz w:val="20"/>
          <w:szCs w:val="20"/>
          <w:color w:val="auto"/>
        </w:rPr>
      </w:pPr>
      <w:r>
        <w:rPr>
          <w:rFonts w:ascii="Arial" w:cs="Arial" w:eastAsia="Arial" w:hAnsi="Arial"/>
          <w:sz w:val="17"/>
          <w:szCs w:val="17"/>
          <w:color w:val="auto"/>
        </w:rPr>
        <w:t>The Company concluded the Licenses each were considered to be functional as they had significant standalone functionality and were capable of being distinct. However, the Company determined that each of the Licenses individually were not distinct from the Development Services within the context of the agreement. This is because Allergan was dependent on the Company to execute the Development Services, which it was uniquely able to perform, in order for Allergan to benefit from the Licenses. As such, the Company determined that it had four performance obligations under the Allergan Agreement associated with the grant of the four compound Licenses combined with the performance of the Development Services for each of the four compound indications. The Company determined that the four performance obligations would have been performed over the duration of the contract, which began in February 2017 and ends upon receipt of the termination notice. The Company used a cost-based input method to measure proportional performance and to calculate the corresponding amount of revenue to recognize. The Company believed this was the best measure of progress because other measures do not reflect how the Company transfers its performance obligation to Allegan. In applying the cost-based input method of revenue recognition, the Company measured costs incurred relative to budgeted costs to fulfill the four performance obligations. These costs consisted primarily of third-party contract costs and internal labor costs. Revenue will be recognized based on actual costs incurred as a percentage of total budgeted costs as the Company completed its performance obligations.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allocate transaction price among the four performance obligations, the Company estimated their standalone selling price (SSP) using an income-based valuation approach for the estimated value a licensor of the compounds would receive considering the stage of the compounds’ development. A change in the assumptions used to determine its best estimate of selling price for the four performance obligations would not have had a significant effect on the allocation of consideration received to the four performance obligations.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at the inception of the agreement and upon adoption of the revenue from contracts with customers guidance was limited to the $50.0 million upfront payment. Of this amount, the Company allocated $12.5 million to each of the four performance obligations. Research and development cost reimbursement payments were included in the transaction price in the reporting period that the Company concludes that it was probable that recording revenue in the period would not have resulted in a significant reversal in amounts recognized. The variable consideration related to the remaining development and commercialization milestone payments was not included in the transaction price as these were fully constrained. As part of the Company’s evaluation of the development and commercialization milestones constraint, the Company determined the achievement of such milestones was contingent upon success in future clinical trials and regulatory approvals which was not within its control and uncertain at this stage. Any variable consideration related to sales-based milestones (including royalties) would have been recognized when the related sales occur as they were determined to relate predominantly to the license granted to Allergan. The Company re-evaluated the transaction price in each reporting period and as uncertain events were resolved or other changes in circumstances occurred.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year ended December 31, 2020, 2019, and 2018 the Company recognized $48.1 million, $16.0 million and $14.8 million respectively, in collaboration revenue associated with the Allergan Agreement. Short-term and long-term deferred revenue contract liabilities related to the Allergan Agreement were $6.4 million and $30.6 million at December 31, 2019, respectively. There were no deferred revenue contract liabilities as of December 31, 2020 due to the Company recognizing a cumulative catch-up adjustment of the remaining deferred revenue balance during the year ended December 31, 2020 for the determined completion of the Company’s performance obligations under the Allergan Agreement upon receipt of the notice of termination from AbbVie. Contract asset balances of $1.0 million and $3.4 million were recorded as of December 31, 2020 and 2019,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2020, the Company and BeiGene, Ltd. (BeiGene) entered into a Collaboration Agreement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trials outside of the plan to develop these candidates in the Territory, BeiGene may elect to obtain access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jc w:val="both"/>
        <w:spacing w:after="0" w:line="293" w:lineRule="auto"/>
        <w:rPr>
          <w:sz w:val="20"/>
          <w:szCs w:val="20"/>
          <w:color w:val="auto"/>
        </w:rPr>
      </w:pPr>
      <w:r>
        <w:rPr>
          <w:rFonts w:ascii="Arial" w:cs="Arial" w:eastAsia="Arial" w:hAnsi="Arial"/>
          <w:sz w:val="16"/>
          <w:szCs w:val="16"/>
          <w:color w:val="auto"/>
        </w:rPr>
        <w:t>the know-how and clinical data resulting for such ancillary trials and shall reimburse the Company proportionally for the Territory of the costs of such trials.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trial development work outside the Territory on ABI-H2158 and ABI-H3733 but must provide BeiGene pre-Phase 3 clinical trial know-how and development results if and when such development efforts are completed. If, after ABI-H2158 and ABI-H3733 reach the end of Phase 2 clinical trials, the Company and BeiGene are unable to mutually agree on the terms of a Phase 3 global study, BeiGene may elect to terminate the BeiGene Agreement solely as it relates to that compound, as applicable. Such a termination would result in the Company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standalone selling price an entity would typically pay for such a product in that region or market. There are also no minimum purchase commitments.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standalone selling price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December 31, 2020. As part of the Company’s 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both"/>
        <w:spacing w:after="0" w:line="275" w:lineRule="auto"/>
        <w:rPr>
          <w:sz w:val="20"/>
          <w:szCs w:val="20"/>
          <w:color w:val="auto"/>
        </w:rPr>
      </w:pPr>
      <w:r>
        <w:rPr>
          <w:rFonts w:ascii="Arial" w:cs="Arial" w:eastAsia="Arial" w:hAnsi="Arial"/>
          <w:sz w:val="17"/>
          <w:szCs w:val="17"/>
          <w:color w:val="auto"/>
        </w:rPr>
        <w:t>During the year ended December 31, 2020, the Company recognized $31.0 million as collaboration revenue for the amount allocated to the VBR License as substantial completion of the license technology transfer has occurred. The remaining transaction price allocated to the ABI-H2158 and ABI-H3733 Licenses of $9.0 million was recorded as a long-term deferred revenue contract liability on the consolidated balance sheet as of December 31, 2020. Revenue for these performance obligations will be recognized when the Company provides pre-Phase 3 clinical trial know-how and development results for these compounds to BeiGene or a termination of the BeiGene Agreement for the respective compound.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year ended December 31, 2020, the Company did not recognize any increase or reduction of research and development expense under the BeiGene Agreement.</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December 31, 2020, $2.7 million has been amortized to general and administrative expenses and $0.8 million is included in other assets on the condensed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Agreement</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Company and Arbutus Biopharma Corporation (Arbutus) entered into a Collaboration Agreement (Arbutus Agreement) to conduct a randomized, multi-center, open-label Phase 2 clinical trial to explore the safety, PK and antiviral activity of the triple combination of VBR, AB-729 and an NrtI compared to the double combinations of VBR with an NrtI and AB-729 with an NrtI. Assembly and Arbutus will share responsibility for the costs of the trial equally, excluding manufacturing supply which will be the burden of each company to supply their respective drugs VBR and AB-729.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revenue from contracts with customers guidance was considered by analogy in determining the unit of account, and the recognition and measurement of such unit of account for collaborative activities under the Arbutus Agreement and concluded there is one activity, to run an open-label Phase 2 clinical trial, which is akin to performance obligation related to collaborative activities. Reimbursements and cost-sharing portions of this performance obligation will be reflected as a reduction of research and development expense when realized in the Company’s consolidated statements of operations, as the Company does not consider performing research and development services for reimbursement to be a part of its ongoing major or central operations. During the year ended December 31, 2020, the Company recognized a reduction of research and development expense of $0.2 million under the Arbutus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liabilities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3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End of</w:t>
            </w:r>
          </w:p>
        </w:tc>
      </w:tr>
      <w:tr>
        <w:trPr>
          <w:trHeight w:val="234"/>
        </w:trPr>
        <w:tc>
          <w:tcPr>
            <w:tcW w:w="3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of Period</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Additions</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Deductions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Period</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2020</w:t>
            </w:r>
          </w:p>
        </w:tc>
        <w:tc>
          <w:tcPr>
            <w:tcW w:w="1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Contract liabilities: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(68,061)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Contract liabilities: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(3,612)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100" w:type="dxa"/>
            <w:vAlign w:val="bottom"/>
            <w:shd w:val="clear" w:color="auto" w:fill="CFF0FC"/>
          </w:tcPr>
          <w:p>
            <w:pPr>
              <w:spacing w:after="0"/>
              <w:rPr>
                <w:sz w:val="19"/>
                <w:szCs w:val="19"/>
                <w:color w:val="auto"/>
              </w:rPr>
            </w:pPr>
          </w:p>
        </w:tc>
      </w:tr>
      <w:tr>
        <w:trPr>
          <w:trHeight w:val="432"/>
        </w:trPr>
        <w:tc>
          <w:tcPr>
            <w:tcW w:w="3940" w:type="dxa"/>
            <w:vAlign w:val="bottom"/>
          </w:tcPr>
          <w:p>
            <w:pPr>
              <w:spacing w:after="0"/>
              <w:rPr>
                <w:sz w:val="24"/>
                <w:szCs w:val="24"/>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F-34</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2"/>
              </w:rPr>
              <w:t>Year Ended December 31,</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Amounts included in deferred revenue at the beginning of the period</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37,048</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3,612</w:t>
            </w:r>
          </w:p>
        </w:tc>
        <w:tc>
          <w:tcPr>
            <w:tcW w:w="26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Strategic License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the diligence maintenance fee for that year. A performance milestone totaling $0.1 million was determined to have occurred under this agreement and was paid during the year ended December 31, 2020. Additionally, the Company paid IURTC $0.7 million as a sublicensing fee during the year ended December 31, 2020. The Company made $0.1 million in milestone payments for the year ended December 31, 2018. No milestone payments were incurred or accrued for under this agreement as of and for the year ended December 31, 2019. The milestone and license fees are included in research and development expenses in the consolidated statements of operations and comprehensive loss.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The Company also must pay Therabiome lesser amounts for foreign regulatory milestones, which vary by country and region. The Company also must pay Therabiome royalties on annual net sales of a product in the low to mid-single digit percentages plus, once annual net sales exceed certain thresholds, a one-time cash payment upon reaching the thresholds.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 digit percentages, depending on the level of development or involvement the Company had in the product. Two regulatory milestones resulting in payments totaling $0.4 million were determined to have occurred under this agreement and were paid in the year ended December 31, 2019. No amounts were incurred or accrued for this agreement as of and for the years ended December 31, 2020 and 2018.</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wind-down of the Microbiome program, the License and Collaboration Agreement with Therabiome was terminated in January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Door Agreement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2020, the Company and Door Pharmaceuticals, LLC (Door) entered into an exclusive, two-year Collaboration Agreement and Sublicense Agreement (collectively, Door Agreement) focused on the development of a novel class of HBV inhibitors. Under the terms of the agreement, Door will build upon its previous efforts to lead and conduct new discovery research, which Assembly will fund. In return for an up-front payment of $1.8 million, success-based milestones up to $35.0 million, exercise and annual fees ranging from $0.1 million to $2.0 million and royalties in the low to mid-single digits, the Company will be granted an exclusive option to license compounds arising from the collaboration and will be responsible for the continued development and commercialization of optioned compounds. For the period ended December 31, 2020, the Company incurred $0.3 million of research and development funding in addition to the $1.8 million up-front payment.</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consolidation accounting standard, the Company determined that Door is a VIE. The Company does not have the power to direct the activities that most significantly affect the economic performance of Door and as such the Company is not the primary beneficiary and consolidation is not required. As of December 31, 2020, the Company has not provided financial or other support to Door that was not contractually required.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current income tax provision for the years ended December 31, 2020, 2019 and 2018. The deferred income tax expense for the year ended December 31, 2020 was not material. The Company recognized deferred income tax benefit of $0.8 million for the year ended December 31, 2019 and a deferred income tax expense of $1.1 million 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48"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Research and development tax credits</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rate change</w:t>
            </w:r>
          </w:p>
        </w:tc>
        <w:tc>
          <w:tcPr>
            <w:tcW w:w="1900" w:type="dxa"/>
            <w:vAlign w:val="bottom"/>
            <w:gridSpan w:val="3"/>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Return to provision adjustments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(36.6)</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(21.4)</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Income taxes provision (benefit)</w:t>
            </w: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700" w:type="dxa"/>
            <w:vAlign w:val="bottom"/>
            <w:gridSpan w:val="2"/>
          </w:tcPr>
          <w:p>
            <w:pPr>
              <w:ind w:left="5460"/>
              <w:spacing w:after="0"/>
              <w:rPr>
                <w:sz w:val="20"/>
                <w:szCs w:val="20"/>
                <w:color w:val="auto"/>
              </w:rPr>
            </w:pPr>
            <w:r>
              <w:rPr>
                <w:rFonts w:ascii="Arial" w:cs="Arial" w:eastAsia="Arial" w:hAnsi="Arial"/>
                <w:sz w:val="18"/>
                <w:szCs w:val="18"/>
                <w:color w:val="auto"/>
              </w:rPr>
              <w:t>F-36</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Significant components of the Company’s deferred taxes are as follows (in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Federal and state-operating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108,236</w:t>
            </w:r>
          </w:p>
        </w:tc>
        <w:tc>
          <w:tcPr>
            <w:tcW w:w="220" w:type="dxa"/>
            <w:vAlign w:val="bottom"/>
          </w:tcPr>
          <w:p>
            <w:pPr>
              <w:spacing w:after="0"/>
              <w:rPr>
                <w:sz w:val="19"/>
                <w:szCs w:val="19"/>
                <w:color w:val="auto"/>
              </w:rPr>
            </w:pPr>
          </w:p>
        </w:tc>
        <w:tc>
          <w:tcPr>
            <w:tcW w:w="7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81,584</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Borders>
              <w:bottom w:val="single" w:sz="8" w:color="CDF2FF"/>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DF2FF"/>
            </w:tcBorders>
          </w:tcPr>
          <w:p>
            <w:pPr>
              <w:spacing w:after="0"/>
              <w:rPr>
                <w:sz w:val="19"/>
                <w:szCs w:val="19"/>
                <w:color w:val="auto"/>
              </w:rPr>
            </w:pPr>
          </w:p>
        </w:tc>
        <w:tc>
          <w:tcPr>
            <w:tcW w:w="140" w:type="dxa"/>
            <w:vAlign w:val="bottom"/>
            <w:tcBorders>
              <w:bottom w:val="single" w:sz="8" w:color="CDF2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DF2FF"/>
            </w:tcBorders>
          </w:tcPr>
          <w:p>
            <w:pPr>
              <w:spacing w:after="0"/>
              <w:rPr>
                <w:sz w:val="19"/>
                <w:szCs w:val="19"/>
                <w:color w:val="auto"/>
              </w:rPr>
            </w:pPr>
          </w:p>
        </w:tc>
      </w:tr>
      <w:tr>
        <w:trPr>
          <w:trHeight w:val="223"/>
        </w:trPr>
        <w:tc>
          <w:tcPr>
            <w:tcW w:w="7540" w:type="dxa"/>
            <w:vAlign w:val="bottom"/>
            <w:shd w:val="clear" w:color="auto" w:fill="CDF2FF"/>
          </w:tcPr>
          <w:p>
            <w:pPr>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DF2FF"/>
          </w:tcPr>
          <w:p>
            <w:pPr>
              <w:spacing w:after="0"/>
              <w:rPr>
                <w:sz w:val="19"/>
                <w:szCs w:val="19"/>
                <w:color w:val="auto"/>
              </w:rPr>
            </w:pPr>
          </w:p>
        </w:tc>
        <w:tc>
          <w:tcPr>
            <w:tcW w:w="124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138,588</w:t>
            </w:r>
          </w:p>
        </w:tc>
        <w:tc>
          <w:tcPr>
            <w:tcW w:w="220" w:type="dxa"/>
            <w:vAlign w:val="bottom"/>
            <w:shd w:val="clear" w:color="auto" w:fill="CDF2FF"/>
          </w:tcPr>
          <w:p>
            <w:pPr>
              <w:spacing w:after="0"/>
              <w:rPr>
                <w:sz w:val="19"/>
                <w:szCs w:val="19"/>
                <w:color w:val="auto"/>
              </w:rPr>
            </w:pPr>
          </w:p>
        </w:tc>
        <w:tc>
          <w:tcPr>
            <w:tcW w:w="140" w:type="dxa"/>
            <w:vAlign w:val="bottom"/>
            <w:shd w:val="clear" w:color="auto" w:fill="CDF2FF"/>
          </w:tcPr>
          <w:p>
            <w:pPr>
              <w:spacing w:after="0"/>
              <w:rPr>
                <w:sz w:val="19"/>
                <w:szCs w:val="19"/>
                <w:color w:val="auto"/>
              </w:rPr>
            </w:pPr>
          </w:p>
        </w:tc>
        <w:tc>
          <w:tcPr>
            <w:tcW w:w="600" w:type="dxa"/>
            <w:vAlign w:val="bottom"/>
            <w:shd w:val="clear" w:color="auto" w:fill="CDF2FF"/>
          </w:tcPr>
          <w:p>
            <w:pPr>
              <w:spacing w:after="0"/>
              <w:rPr>
                <w:sz w:val="19"/>
                <w:szCs w:val="19"/>
                <w:color w:val="auto"/>
              </w:rPr>
            </w:pPr>
          </w:p>
        </w:tc>
        <w:tc>
          <w:tcPr>
            <w:tcW w:w="102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116,556</w:t>
            </w:r>
          </w:p>
        </w:tc>
        <w:tc>
          <w:tcPr>
            <w:tcW w:w="120" w:type="dxa"/>
            <w:vAlign w:val="bottom"/>
            <w:shd w:val="clear" w:color="auto" w:fill="CDF2FF"/>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(131,332)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(108,577)</w:t>
            </w:r>
          </w:p>
        </w:tc>
      </w:tr>
      <w:tr>
        <w:trPr>
          <w:trHeight w:val="223"/>
        </w:trPr>
        <w:tc>
          <w:tcPr>
            <w:tcW w:w="7540" w:type="dxa"/>
            <w:vAlign w:val="bottom"/>
            <w:tcBorders>
              <w:top w:val="single" w:sz="8" w:color="CDF2FF"/>
            </w:tcBorders>
            <w:shd w:val="clear" w:color="auto" w:fill="CDF2FF"/>
          </w:tcPr>
          <w:p>
            <w:pPr>
              <w:spacing w:after="0"/>
              <w:rPr>
                <w:sz w:val="20"/>
                <w:szCs w:val="20"/>
                <w:color w:val="auto"/>
              </w:rPr>
            </w:pPr>
            <w:r>
              <w:rPr>
                <w:rFonts w:ascii="Arial" w:cs="Arial" w:eastAsia="Arial" w:hAnsi="Arial"/>
                <w:sz w:val="18"/>
                <w:szCs w:val="18"/>
                <w:color w:val="auto"/>
              </w:rPr>
              <w:t>Deferred tax asset, net of valuation allowance</w:t>
            </w:r>
          </w:p>
        </w:tc>
        <w:tc>
          <w:tcPr>
            <w:tcW w:w="360" w:type="dxa"/>
            <w:vAlign w:val="bottom"/>
            <w:tcBorders>
              <w:top w:val="single" w:sz="8" w:color="auto"/>
              <w:bottom w:val="single" w:sz="8" w:color="auto"/>
            </w:tcBorders>
            <w:shd w:val="clear" w:color="auto" w:fill="CDF2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7,256</w:t>
            </w:r>
          </w:p>
        </w:tc>
        <w:tc>
          <w:tcPr>
            <w:tcW w:w="220" w:type="dxa"/>
            <w:vAlign w:val="bottom"/>
            <w:tcBorders>
              <w:top w:val="single" w:sz="8" w:color="CDF2FF"/>
            </w:tcBorders>
            <w:shd w:val="clear" w:color="auto" w:fill="CDF2FF"/>
          </w:tcPr>
          <w:p>
            <w:pPr>
              <w:spacing w:after="0"/>
              <w:rPr>
                <w:sz w:val="19"/>
                <w:szCs w:val="19"/>
                <w:color w:val="auto"/>
              </w:rPr>
            </w:pPr>
          </w:p>
        </w:tc>
        <w:tc>
          <w:tcPr>
            <w:tcW w:w="140" w:type="dxa"/>
            <w:vAlign w:val="bottom"/>
            <w:tcBorders>
              <w:top w:val="single" w:sz="8" w:color="CDF2FF"/>
            </w:tcBorders>
            <w:shd w:val="clear" w:color="auto" w:fill="CDF2FF"/>
          </w:tcPr>
          <w:p>
            <w:pPr>
              <w:spacing w:after="0"/>
              <w:rPr>
                <w:sz w:val="19"/>
                <w:szCs w:val="19"/>
                <w:color w:val="auto"/>
              </w:rPr>
            </w:pPr>
          </w:p>
        </w:tc>
        <w:tc>
          <w:tcPr>
            <w:tcW w:w="600" w:type="dxa"/>
            <w:vAlign w:val="bottom"/>
            <w:tcBorders>
              <w:top w:val="single" w:sz="8" w:color="auto"/>
              <w:bottom w:val="single" w:sz="8" w:color="auto"/>
            </w:tcBorders>
            <w:shd w:val="clear" w:color="auto" w:fill="CDF2FF"/>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Borders>
              <w:top w:val="single" w:sz="8" w:color="CDF2FF"/>
            </w:tcBorders>
            <w:shd w:val="clear" w:color="auto" w:fill="CDF2FF"/>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DF2FF"/>
          </w:tcPr>
          <w:p>
            <w:pPr>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DF2FF"/>
          </w:tcPr>
          <w:p>
            <w:pPr>
              <w:spacing w:after="0"/>
              <w:rPr>
                <w:sz w:val="19"/>
                <w:szCs w:val="19"/>
                <w:color w:val="auto"/>
              </w:rPr>
            </w:pPr>
          </w:p>
        </w:tc>
        <w:tc>
          <w:tcPr>
            <w:tcW w:w="1240" w:type="dxa"/>
            <w:vAlign w:val="bottom"/>
            <w:shd w:val="clear" w:color="auto" w:fill="CDF2FF"/>
          </w:tcPr>
          <w:p>
            <w:pPr>
              <w:spacing w:after="0"/>
              <w:rPr>
                <w:sz w:val="19"/>
                <w:szCs w:val="19"/>
                <w:color w:val="auto"/>
              </w:rPr>
            </w:pPr>
          </w:p>
        </w:tc>
        <w:tc>
          <w:tcPr>
            <w:tcW w:w="220" w:type="dxa"/>
            <w:vAlign w:val="bottom"/>
            <w:shd w:val="clear" w:color="auto" w:fill="CDF2FF"/>
          </w:tcPr>
          <w:p>
            <w:pPr>
              <w:spacing w:after="0"/>
              <w:rPr>
                <w:sz w:val="19"/>
                <w:szCs w:val="19"/>
                <w:color w:val="auto"/>
              </w:rPr>
            </w:pPr>
          </w:p>
        </w:tc>
        <w:tc>
          <w:tcPr>
            <w:tcW w:w="140" w:type="dxa"/>
            <w:vAlign w:val="bottom"/>
            <w:shd w:val="clear" w:color="auto" w:fill="CDF2FF"/>
          </w:tcPr>
          <w:p>
            <w:pPr>
              <w:spacing w:after="0"/>
              <w:rPr>
                <w:sz w:val="19"/>
                <w:szCs w:val="19"/>
                <w:color w:val="auto"/>
              </w:rPr>
            </w:pPr>
          </w:p>
        </w:tc>
        <w:tc>
          <w:tcPr>
            <w:tcW w:w="600" w:type="dxa"/>
            <w:vAlign w:val="bottom"/>
            <w:shd w:val="clear" w:color="auto" w:fill="CDF2FF"/>
          </w:tcPr>
          <w:p>
            <w:pPr>
              <w:spacing w:after="0"/>
              <w:rPr>
                <w:sz w:val="19"/>
                <w:szCs w:val="19"/>
                <w:color w:val="auto"/>
              </w:rPr>
            </w:pPr>
          </w:p>
        </w:tc>
        <w:tc>
          <w:tcPr>
            <w:tcW w:w="1020" w:type="dxa"/>
            <w:vAlign w:val="bottom"/>
            <w:shd w:val="clear" w:color="auto" w:fill="CDF2FF"/>
          </w:tcPr>
          <w:p>
            <w:pPr>
              <w:spacing w:after="0"/>
              <w:rPr>
                <w:sz w:val="19"/>
                <w:szCs w:val="19"/>
                <w:color w:val="auto"/>
              </w:rPr>
            </w:pPr>
          </w:p>
        </w:tc>
        <w:tc>
          <w:tcPr>
            <w:tcW w:w="120" w:type="dxa"/>
            <w:vAlign w:val="bottom"/>
            <w:shd w:val="clear" w:color="auto" w:fill="CDF2FF"/>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(7,443)</w:t>
            </w:r>
          </w:p>
        </w:tc>
        <w:tc>
          <w:tcPr>
            <w:tcW w:w="7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r>
        <w:trPr>
          <w:trHeight w:val="229"/>
        </w:trPr>
        <w:tc>
          <w:tcPr>
            <w:tcW w:w="7540" w:type="dxa"/>
            <w:vAlign w:val="bottom"/>
            <w:shd w:val="clear" w:color="auto" w:fill="CDF2FF"/>
          </w:tcPr>
          <w:p>
            <w:pPr>
              <w:ind w:left="2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DF2FF"/>
          </w:tcPr>
          <w:p>
            <w:pPr>
              <w:spacing w:after="0"/>
              <w:rPr>
                <w:sz w:val="19"/>
                <w:szCs w:val="19"/>
                <w:color w:val="auto"/>
              </w:rPr>
            </w:pPr>
          </w:p>
        </w:tc>
        <w:tc>
          <w:tcPr>
            <w:tcW w:w="1460" w:type="dxa"/>
            <w:vAlign w:val="bottom"/>
            <w:gridSpan w:val="2"/>
            <w:shd w:val="clear" w:color="auto" w:fill="CDF2FF"/>
          </w:tcPr>
          <w:p>
            <w:pPr>
              <w:jc w:val="right"/>
              <w:ind w:right="81"/>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DF2FF"/>
          </w:tcPr>
          <w:p>
            <w:pPr>
              <w:spacing w:after="0"/>
              <w:rPr>
                <w:sz w:val="19"/>
                <w:szCs w:val="19"/>
                <w:color w:val="auto"/>
              </w:rPr>
            </w:pPr>
          </w:p>
        </w:tc>
        <w:tc>
          <w:tcPr>
            <w:tcW w:w="600" w:type="dxa"/>
            <w:vAlign w:val="bottom"/>
            <w:shd w:val="clear" w:color="auto" w:fill="CDF2FF"/>
          </w:tcPr>
          <w:p>
            <w:pPr>
              <w:spacing w:after="0"/>
              <w:rPr>
                <w:sz w:val="19"/>
                <w:szCs w:val="19"/>
                <w:color w:val="auto"/>
              </w:rPr>
            </w:pPr>
          </w:p>
        </w:tc>
        <w:tc>
          <w:tcPr>
            <w:tcW w:w="1140" w:type="dxa"/>
            <w:vAlign w:val="bottom"/>
            <w:gridSpan w:val="2"/>
            <w:shd w:val="clear" w:color="auto" w:fill="CDF2FF"/>
          </w:tcPr>
          <w:p>
            <w:pPr>
              <w:jc w:val="right"/>
              <w:ind w:right="60"/>
              <w:spacing w:after="0"/>
              <w:rPr>
                <w:sz w:val="20"/>
                <w:szCs w:val="20"/>
                <w:color w:val="auto"/>
              </w:rPr>
            </w:pPr>
            <w:r>
              <w:rPr>
                <w:rFonts w:ascii="Arial" w:cs="Arial" w:eastAsia="Arial" w:hAnsi="Arial"/>
                <w:sz w:val="18"/>
                <w:szCs w:val="18"/>
                <w:color w:val="auto"/>
              </w:rPr>
              <w:t>(3,071)</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19"/>
                <w:szCs w:val="19"/>
                <w:color w:val="auto"/>
              </w:rPr>
            </w:pPr>
          </w:p>
        </w:tc>
      </w:tr>
      <w:tr>
        <w:trPr>
          <w:trHeight w:val="20"/>
        </w:trPr>
        <w:tc>
          <w:tcPr>
            <w:tcW w:w="7540" w:type="dxa"/>
            <w:vAlign w:val="bottom"/>
            <w:shd w:val="clear" w:color="auto" w:fill="CDF2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DF2FF"/>
          </w:tcPr>
          <w:p>
            <w:pPr>
              <w:spacing w:after="0" w:line="20" w:lineRule="exact"/>
              <w:rPr>
                <w:sz w:val="1"/>
                <w:szCs w:val="1"/>
                <w:color w:val="auto"/>
              </w:rPr>
            </w:pPr>
          </w:p>
        </w:tc>
        <w:tc>
          <w:tcPr>
            <w:tcW w:w="740" w:type="dxa"/>
            <w:vAlign w:val="bottom"/>
            <w:gridSpan w:val="2"/>
            <w:shd w:val="clear" w:color="auto" w:fill="CDF2FF"/>
          </w:tcPr>
          <w:p>
            <w:pPr>
              <w:spacing w:after="0" w:line="20" w:lineRule="exact"/>
              <w:rPr>
                <w:sz w:val="1"/>
                <w:szCs w:val="1"/>
                <w:color w:val="auto"/>
              </w:rPr>
            </w:pPr>
          </w:p>
        </w:tc>
        <w:tc>
          <w:tcPr>
            <w:tcW w:w="1140" w:type="dxa"/>
            <w:vAlign w:val="bottom"/>
            <w:gridSpan w:val="2"/>
            <w:shd w:val="clear" w:color="auto" w:fill="CDF2FF"/>
          </w:tcPr>
          <w:p>
            <w:pPr>
              <w:spacing w:after="0" w:line="20" w:lineRule="exact"/>
              <w:rPr>
                <w:sz w:val="1"/>
                <w:szCs w:val="1"/>
                <w:color w:val="auto"/>
              </w:rPr>
            </w:pPr>
          </w:p>
        </w:tc>
      </w:tr>
      <w:tr>
        <w:trPr>
          <w:trHeight w:val="210"/>
        </w:trPr>
        <w:tc>
          <w:tcPr>
            <w:tcW w:w="7540" w:type="dxa"/>
            <w:vAlign w:val="bottom"/>
            <w:tcBorders>
              <w:top w:val="single" w:sz="8" w:color="CDF2FF"/>
            </w:tcBorders>
            <w:shd w:val="clear" w:color="auto" w:fill="CDF2FF"/>
          </w:tcPr>
          <w:p>
            <w:pPr>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top w:val="single" w:sz="8" w:color="CDF2FF"/>
            </w:tcBorders>
            <w:shd w:val="clear" w:color="auto" w:fill="CDF2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DF2FF"/>
            </w:tcBorders>
            <w:gridSpan w:val="2"/>
            <w:shd w:val="clear" w:color="auto" w:fill="CDF2FF"/>
          </w:tcPr>
          <w:p>
            <w:pPr>
              <w:jc w:val="right"/>
              <w:ind w:right="81"/>
              <w:spacing w:after="0"/>
              <w:rPr>
                <w:sz w:val="20"/>
                <w:szCs w:val="20"/>
                <w:color w:val="auto"/>
              </w:rPr>
            </w:pPr>
            <w:r>
              <w:rPr>
                <w:rFonts w:ascii="Arial" w:cs="Arial" w:eastAsia="Arial" w:hAnsi="Arial"/>
                <w:sz w:val="18"/>
                <w:szCs w:val="18"/>
                <w:color w:val="auto"/>
              </w:rPr>
              <w:t>(2,531)</w:t>
            </w:r>
          </w:p>
        </w:tc>
        <w:tc>
          <w:tcPr>
            <w:tcW w:w="140" w:type="dxa"/>
            <w:vAlign w:val="bottom"/>
            <w:tcBorders>
              <w:top w:val="single" w:sz="8" w:color="CDF2FF"/>
            </w:tcBorders>
            <w:shd w:val="clear" w:color="auto" w:fill="CDF2FF"/>
          </w:tcPr>
          <w:p>
            <w:pPr>
              <w:spacing w:after="0"/>
              <w:rPr>
                <w:sz w:val="18"/>
                <w:szCs w:val="18"/>
                <w:color w:val="auto"/>
              </w:rPr>
            </w:pPr>
          </w:p>
        </w:tc>
        <w:tc>
          <w:tcPr>
            <w:tcW w:w="600" w:type="dxa"/>
            <w:vAlign w:val="bottom"/>
            <w:tcBorders>
              <w:top w:val="single" w:sz="8" w:color="auto"/>
            </w:tcBorders>
            <w:shd w:val="clear" w:color="auto" w:fill="CDF2FF"/>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top w:val="single" w:sz="8" w:color="CDF2FF"/>
            </w:tcBorders>
            <w:shd w:val="clear" w:color="auto" w:fill="CDF2FF"/>
          </w:tcPr>
          <w:p>
            <w:pPr>
              <w:spacing w:after="0"/>
              <w:rPr>
                <w:sz w:val="18"/>
                <w:szCs w:val="18"/>
                <w:color w:val="auto"/>
              </w:rPr>
            </w:pPr>
          </w:p>
        </w:tc>
      </w:tr>
      <w:tr>
        <w:trPr>
          <w:trHeight w:val="20"/>
        </w:trPr>
        <w:tc>
          <w:tcPr>
            <w:tcW w:w="7540" w:type="dxa"/>
            <w:vAlign w:val="bottom"/>
            <w:tcBorders>
              <w:top w:val="single" w:sz="8" w:color="CDF2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DF2FF"/>
            </w:tcBorders>
          </w:tcPr>
          <w:p>
            <w:pPr>
              <w:spacing w:after="0" w:line="20" w:lineRule="exact"/>
              <w:rPr>
                <w:sz w:val="1"/>
                <w:szCs w:val="1"/>
                <w:color w:val="auto"/>
              </w:rPr>
            </w:pPr>
          </w:p>
        </w:tc>
        <w:tc>
          <w:tcPr>
            <w:tcW w:w="140" w:type="dxa"/>
            <w:vAlign w:val="bottom"/>
            <w:tcBorders>
              <w:top w:val="single" w:sz="8" w:color="CDF2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DF2FF"/>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valuation allowance on deferred tax assets due to the uncertainty regarding the ability to utilize these deferred tax assets in the future. The increase in the valuation allowance for both the years ended December 31, 2020 and 2019 is primarily due to an increase in the Company’s federal and state-operating loss carryforwards. The in-process research and development deferred tax liability was recorded in connection with the merger with Assembly Pharmaceuticals, Inc. in 2014 and relates to the difference between the carrying amount of in-process research and development for financial statement purposes relative to the amount used for income tax purposes.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potentially utilizable gross federal net operating loss carryforwards of $378.8 million with $264.1 million of net operating losses that carry forward indefinitely and $114.7 million of net operating losses which begin to expire in 2027 if not utilized. There are state net operating loss carryforwards of $446.8 million with $0.7 million carrying forward indefinitely and $446.1 million beginning to expire in 2031. In addition, the Company has federal research and development credit carryforwards of $8.5 million which begin to expire in 2028 if not utilized and California research and development credit carryforwards of $3.6 million, which will carryforward indefinitely.</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2019 and has determined that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performed any additional analysis for IRC Sections 382 and 383 and there is a risk that additional changes in ownership could have occurred since December 31, 2018.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table summarizes activity related to the Company’s gross unrecognized tax benefits (in thousands):</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As of December 31,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40" w:type="dxa"/>
            <w:vAlign w:val="bottom"/>
            <w:tcBorders>
              <w:bottom w:val="single" w:sz="8" w:color="CDF2FF"/>
            </w:tcBorders>
          </w:tcPr>
          <w:p>
            <w:pPr>
              <w:spacing w:after="0"/>
              <w:rPr>
                <w:sz w:val="19"/>
                <w:szCs w:val="19"/>
                <w:color w:val="auto"/>
              </w:rPr>
            </w:pPr>
          </w:p>
        </w:tc>
        <w:tc>
          <w:tcPr>
            <w:tcW w:w="1180" w:type="dxa"/>
            <w:vAlign w:val="bottom"/>
            <w:tcBorders>
              <w:bottom w:val="single" w:sz="8" w:color="CDF2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CDF2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DF2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DF2FF"/>
            </w:tcBorders>
          </w:tcPr>
          <w:p>
            <w:pPr>
              <w:spacing w:after="0"/>
              <w:rPr>
                <w:sz w:val="19"/>
                <w:szCs w:val="19"/>
                <w:color w:val="auto"/>
              </w:rPr>
            </w:pPr>
          </w:p>
        </w:tc>
      </w:tr>
      <w:tr>
        <w:trPr>
          <w:trHeight w:val="223"/>
        </w:trPr>
        <w:tc>
          <w:tcPr>
            <w:tcW w:w="4440" w:type="dxa"/>
            <w:vAlign w:val="bottom"/>
            <w:shd w:val="clear" w:color="auto" w:fill="CDF2FF"/>
          </w:tcPr>
          <w:p>
            <w:pPr>
              <w:spacing w:after="0"/>
              <w:rPr>
                <w:sz w:val="20"/>
                <w:szCs w:val="20"/>
                <w:color w:val="auto"/>
              </w:rPr>
            </w:pPr>
            <w:r>
              <w:rPr>
                <w:rFonts w:ascii="Arial" w:cs="Arial" w:eastAsia="Arial" w:hAnsi="Arial"/>
                <w:sz w:val="18"/>
                <w:szCs w:val="18"/>
                <w:color w:val="auto"/>
              </w:rPr>
              <w:t>Balances as of beginning of year</w:t>
            </w:r>
          </w:p>
        </w:tc>
        <w:tc>
          <w:tcPr>
            <w:tcW w:w="1180" w:type="dxa"/>
            <w:vAlign w:val="bottom"/>
            <w:shd w:val="clear" w:color="auto" w:fill="CDF2FF"/>
          </w:tcPr>
          <w:p>
            <w:pPr>
              <w:spacing w:after="0"/>
              <w:rPr>
                <w:sz w:val="19"/>
                <w:szCs w:val="19"/>
                <w:color w:val="auto"/>
              </w:rPr>
            </w:pPr>
          </w:p>
        </w:tc>
        <w:tc>
          <w:tcPr>
            <w:tcW w:w="1020" w:type="dxa"/>
            <w:vAlign w:val="bottom"/>
            <w:shd w:val="clear" w:color="auto" w:fill="CDF2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DF2FF"/>
          </w:tcPr>
          <w:p>
            <w:pPr>
              <w:jc w:val="right"/>
              <w:spacing w:after="0"/>
              <w:rPr>
                <w:sz w:val="20"/>
                <w:szCs w:val="20"/>
                <w:color w:val="auto"/>
              </w:rPr>
            </w:pPr>
            <w:r>
              <w:rPr>
                <w:rFonts w:ascii="Arial" w:cs="Arial" w:eastAsia="Arial" w:hAnsi="Arial"/>
                <w:sz w:val="18"/>
                <w:szCs w:val="18"/>
                <w:color w:val="auto"/>
              </w:rPr>
              <w:t>6,070</w:t>
            </w:r>
          </w:p>
        </w:tc>
        <w:tc>
          <w:tcPr>
            <w:tcW w:w="260" w:type="dxa"/>
            <w:vAlign w:val="bottom"/>
            <w:shd w:val="clear" w:color="auto" w:fill="CDF2FF"/>
          </w:tcPr>
          <w:p>
            <w:pPr>
              <w:spacing w:after="0"/>
              <w:rPr>
                <w:sz w:val="19"/>
                <w:szCs w:val="19"/>
                <w:color w:val="auto"/>
              </w:rPr>
            </w:pPr>
          </w:p>
        </w:tc>
        <w:tc>
          <w:tcPr>
            <w:tcW w:w="340" w:type="dxa"/>
            <w:vAlign w:val="bottom"/>
            <w:shd w:val="clear" w:color="auto" w:fill="CDF2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DF2FF"/>
          </w:tcPr>
          <w:p>
            <w:pPr>
              <w:jc w:val="right"/>
              <w:spacing w:after="0"/>
              <w:rPr>
                <w:sz w:val="20"/>
                <w:szCs w:val="20"/>
                <w:color w:val="auto"/>
              </w:rPr>
            </w:pPr>
            <w:r>
              <w:rPr>
                <w:rFonts w:ascii="Arial" w:cs="Arial" w:eastAsia="Arial" w:hAnsi="Arial"/>
                <w:sz w:val="18"/>
                <w:szCs w:val="18"/>
                <w:color w:val="auto"/>
              </w:rPr>
              <w:t>4,613</w:t>
            </w:r>
          </w:p>
        </w:tc>
        <w:tc>
          <w:tcPr>
            <w:tcW w:w="260" w:type="dxa"/>
            <w:vAlign w:val="bottom"/>
            <w:shd w:val="clear" w:color="auto" w:fill="CDF2FF"/>
          </w:tcPr>
          <w:p>
            <w:pPr>
              <w:spacing w:after="0"/>
              <w:rPr>
                <w:sz w:val="19"/>
                <w:szCs w:val="19"/>
                <w:color w:val="auto"/>
              </w:rPr>
            </w:pPr>
          </w:p>
        </w:tc>
        <w:tc>
          <w:tcPr>
            <w:tcW w:w="340" w:type="dxa"/>
            <w:vAlign w:val="bottom"/>
            <w:shd w:val="clear" w:color="auto" w:fill="CDF2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DF2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DF2FF"/>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19"/>
                <w:szCs w:val="19"/>
                <w:color w:val="auto"/>
              </w:rPr>
            </w:pPr>
          </w:p>
        </w:tc>
      </w:tr>
      <w:tr>
        <w:trPr>
          <w:trHeight w:val="230"/>
        </w:trPr>
        <w:tc>
          <w:tcPr>
            <w:tcW w:w="4440" w:type="dxa"/>
            <w:vAlign w:val="bottom"/>
            <w:shd w:val="clear" w:color="auto" w:fill="CDF2FF"/>
          </w:tcPr>
          <w:p>
            <w:pPr>
              <w:spacing w:after="0"/>
              <w:rPr>
                <w:sz w:val="20"/>
                <w:szCs w:val="20"/>
                <w:color w:val="auto"/>
              </w:rPr>
            </w:pPr>
            <w:r>
              <w:rPr>
                <w:rFonts w:ascii="Arial" w:cs="Arial" w:eastAsia="Arial" w:hAnsi="Arial"/>
                <w:sz w:val="18"/>
                <w:szCs w:val="18"/>
                <w:color w:val="auto"/>
              </w:rPr>
              <w:t>Decreases related to prior year tax positions</w:t>
            </w:r>
          </w:p>
        </w:tc>
        <w:tc>
          <w:tcPr>
            <w:tcW w:w="1180" w:type="dxa"/>
            <w:vAlign w:val="bottom"/>
            <w:shd w:val="clear" w:color="auto" w:fill="CDF2FF"/>
          </w:tcPr>
          <w:p>
            <w:pPr>
              <w:spacing w:after="0"/>
              <w:rPr>
                <w:sz w:val="19"/>
                <w:szCs w:val="19"/>
                <w:color w:val="auto"/>
              </w:rPr>
            </w:pPr>
          </w:p>
        </w:tc>
        <w:tc>
          <w:tcPr>
            <w:tcW w:w="1020" w:type="dxa"/>
            <w:vAlign w:val="bottom"/>
            <w:shd w:val="clear" w:color="auto" w:fill="CDF2FF"/>
          </w:tcPr>
          <w:p>
            <w:pPr>
              <w:spacing w:after="0"/>
              <w:rPr>
                <w:sz w:val="19"/>
                <w:szCs w:val="19"/>
                <w:color w:val="auto"/>
              </w:rPr>
            </w:pPr>
          </w:p>
        </w:tc>
        <w:tc>
          <w:tcPr>
            <w:tcW w:w="800" w:type="dxa"/>
            <w:vAlign w:val="bottom"/>
            <w:gridSpan w:val="2"/>
            <w:shd w:val="clear" w:color="auto" w:fill="CDF2FF"/>
          </w:tcPr>
          <w:p>
            <w:pPr>
              <w:jc w:val="right"/>
              <w:ind w:right="200"/>
              <w:spacing w:after="0"/>
              <w:rPr>
                <w:sz w:val="20"/>
                <w:szCs w:val="20"/>
                <w:color w:val="auto"/>
              </w:rPr>
            </w:pPr>
            <w:r>
              <w:rPr>
                <w:rFonts w:ascii="Arial" w:cs="Arial" w:eastAsia="Arial" w:hAnsi="Arial"/>
                <w:sz w:val="18"/>
                <w:szCs w:val="18"/>
                <w:color w:val="auto"/>
              </w:rPr>
              <w:t>(4,162)</w:t>
            </w:r>
          </w:p>
        </w:tc>
        <w:tc>
          <w:tcPr>
            <w:tcW w:w="340" w:type="dxa"/>
            <w:vAlign w:val="bottom"/>
            <w:shd w:val="clear" w:color="auto" w:fill="CDF2FF"/>
          </w:tcPr>
          <w:p>
            <w:pPr>
              <w:spacing w:after="0"/>
              <w:rPr>
                <w:sz w:val="19"/>
                <w:szCs w:val="19"/>
                <w:color w:val="auto"/>
              </w:rPr>
            </w:pPr>
          </w:p>
        </w:tc>
        <w:tc>
          <w:tcPr>
            <w:tcW w:w="1500" w:type="dxa"/>
            <w:vAlign w:val="bottom"/>
            <w:gridSpan w:val="2"/>
            <w:shd w:val="clear" w:color="auto" w:fill="CDF2FF"/>
          </w:tcPr>
          <w:p>
            <w:pPr>
              <w:jc w:val="right"/>
              <w:ind w:right="200"/>
              <w:spacing w:after="0"/>
              <w:rPr>
                <w:sz w:val="20"/>
                <w:szCs w:val="20"/>
                <w:color w:val="auto"/>
              </w:rPr>
            </w:pPr>
            <w:r>
              <w:rPr>
                <w:rFonts w:ascii="Arial" w:cs="Arial" w:eastAsia="Arial" w:hAnsi="Arial"/>
                <w:sz w:val="18"/>
                <w:szCs w:val="18"/>
                <w:color w:val="auto"/>
              </w:rPr>
              <w:t>(934)</w:t>
            </w:r>
          </w:p>
        </w:tc>
        <w:tc>
          <w:tcPr>
            <w:tcW w:w="340" w:type="dxa"/>
            <w:vAlign w:val="bottom"/>
            <w:shd w:val="clear" w:color="auto" w:fill="CDF2FF"/>
          </w:tcPr>
          <w:p>
            <w:pPr>
              <w:spacing w:after="0"/>
              <w:rPr>
                <w:sz w:val="19"/>
                <w:szCs w:val="19"/>
                <w:color w:val="auto"/>
              </w:rPr>
            </w:pPr>
          </w:p>
        </w:tc>
        <w:tc>
          <w:tcPr>
            <w:tcW w:w="1360" w:type="dxa"/>
            <w:vAlign w:val="bottom"/>
            <w:gridSpan w:val="2"/>
            <w:shd w:val="clear" w:color="auto" w:fill="CDF2FF"/>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tcBorders>
              <w:bottom w:val="single" w:sz="8" w:color="CDF2FF"/>
            </w:tcBorders>
          </w:tcPr>
          <w:p>
            <w:pPr>
              <w:spacing w:after="0"/>
              <w:rPr>
                <w:sz w:val="20"/>
                <w:szCs w:val="20"/>
                <w:color w:val="auto"/>
              </w:rPr>
            </w:pPr>
            <w:r>
              <w:rPr>
                <w:rFonts w:ascii="Arial" w:cs="Arial" w:eastAsia="Arial" w:hAnsi="Arial"/>
                <w:sz w:val="18"/>
                <w:szCs w:val="18"/>
                <w:color w:val="auto"/>
              </w:rPr>
              <w:t>Increases related to current year tax positions</w:t>
            </w:r>
          </w:p>
        </w:tc>
        <w:tc>
          <w:tcPr>
            <w:tcW w:w="1180" w:type="dxa"/>
            <w:vAlign w:val="bottom"/>
            <w:tcBorders>
              <w:bottom w:val="single" w:sz="8" w:color="CDF2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60" w:type="dxa"/>
            <w:vAlign w:val="bottom"/>
            <w:tcBorders>
              <w:bottom w:val="single" w:sz="8" w:color="CDF2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Borders>
              <w:bottom w:val="single" w:sz="8" w:color="CDF2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DF2FF"/>
            </w:tcBorders>
          </w:tcPr>
          <w:p>
            <w:pPr>
              <w:spacing w:after="0"/>
              <w:rPr>
                <w:sz w:val="19"/>
                <w:szCs w:val="19"/>
                <w:color w:val="auto"/>
              </w:rPr>
            </w:pPr>
          </w:p>
        </w:tc>
      </w:tr>
      <w:tr>
        <w:trPr>
          <w:trHeight w:val="223"/>
        </w:trPr>
        <w:tc>
          <w:tcPr>
            <w:tcW w:w="4440" w:type="dxa"/>
            <w:vAlign w:val="bottom"/>
            <w:tcBorders>
              <w:bottom w:val="single" w:sz="8" w:color="CDF2FF"/>
            </w:tcBorders>
            <w:shd w:val="clear" w:color="auto" w:fill="CDF2FF"/>
          </w:tcPr>
          <w:p>
            <w:pPr>
              <w:spacing w:after="0"/>
              <w:rPr>
                <w:sz w:val="20"/>
                <w:szCs w:val="20"/>
                <w:color w:val="auto"/>
              </w:rPr>
            </w:pPr>
            <w:r>
              <w:rPr>
                <w:rFonts w:ascii="Arial" w:cs="Arial" w:eastAsia="Arial" w:hAnsi="Arial"/>
                <w:sz w:val="18"/>
                <w:szCs w:val="18"/>
                <w:color w:val="auto"/>
              </w:rPr>
              <w:t>Balances as of end of year</w:t>
            </w:r>
          </w:p>
        </w:tc>
        <w:tc>
          <w:tcPr>
            <w:tcW w:w="1180" w:type="dxa"/>
            <w:vAlign w:val="bottom"/>
            <w:tcBorders>
              <w:bottom w:val="single" w:sz="8" w:color="CDF2FF"/>
            </w:tcBorders>
            <w:shd w:val="clear" w:color="auto" w:fill="CDF2FF"/>
          </w:tcPr>
          <w:p>
            <w:pPr>
              <w:spacing w:after="0"/>
              <w:rPr>
                <w:sz w:val="19"/>
                <w:szCs w:val="19"/>
                <w:color w:val="auto"/>
              </w:rPr>
            </w:pPr>
          </w:p>
        </w:tc>
        <w:tc>
          <w:tcPr>
            <w:tcW w:w="1020" w:type="dxa"/>
            <w:vAlign w:val="bottom"/>
            <w:tcBorders>
              <w:bottom w:val="single" w:sz="8" w:color="auto"/>
            </w:tcBorders>
            <w:shd w:val="clear" w:color="auto" w:fill="CDF2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2,655</w:t>
            </w:r>
          </w:p>
        </w:tc>
        <w:tc>
          <w:tcPr>
            <w:tcW w:w="260" w:type="dxa"/>
            <w:vAlign w:val="bottom"/>
            <w:tcBorders>
              <w:bottom w:val="single" w:sz="8" w:color="CDF2FF"/>
            </w:tcBorders>
            <w:shd w:val="clear" w:color="auto" w:fill="CDF2FF"/>
          </w:tcPr>
          <w:p>
            <w:pPr>
              <w:spacing w:after="0"/>
              <w:rPr>
                <w:sz w:val="19"/>
                <w:szCs w:val="19"/>
                <w:color w:val="auto"/>
              </w:rPr>
            </w:pPr>
          </w:p>
        </w:tc>
        <w:tc>
          <w:tcPr>
            <w:tcW w:w="340" w:type="dxa"/>
            <w:vAlign w:val="bottom"/>
            <w:tcBorders>
              <w:bottom w:val="single" w:sz="8" w:color="auto"/>
            </w:tcBorders>
            <w:shd w:val="clear" w:color="auto" w:fill="CDF2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6,070</w:t>
            </w:r>
          </w:p>
        </w:tc>
        <w:tc>
          <w:tcPr>
            <w:tcW w:w="260" w:type="dxa"/>
            <w:vAlign w:val="bottom"/>
            <w:tcBorders>
              <w:bottom w:val="single" w:sz="8" w:color="CDF2FF"/>
            </w:tcBorders>
            <w:shd w:val="clear" w:color="auto" w:fill="CDF2FF"/>
          </w:tcPr>
          <w:p>
            <w:pPr>
              <w:spacing w:after="0"/>
              <w:rPr>
                <w:sz w:val="19"/>
                <w:szCs w:val="19"/>
                <w:color w:val="auto"/>
              </w:rPr>
            </w:pPr>
          </w:p>
        </w:tc>
        <w:tc>
          <w:tcPr>
            <w:tcW w:w="340" w:type="dxa"/>
            <w:vAlign w:val="bottom"/>
            <w:tcBorders>
              <w:bottom w:val="single" w:sz="8" w:color="auto"/>
            </w:tcBorders>
            <w:shd w:val="clear" w:color="auto" w:fill="CDF2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DF2FF"/>
            </w:tcBorders>
            <w:shd w:val="clear" w:color="auto" w:fill="CDF2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Based on prior year’s operations and experience, the Company does not expect a significant change to its unrecognized tax benefits over the next twelve months. The unrecognized tax benefits may increase or change during the next year for unexpected or unusual items for items that arise in the ordinary course of business. In subsequent periods, any interest and penalties related to uncertain tax positions will be recognized as a component of income tax expense.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California and other state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leases corporate office and laboratory space in South San Francisco, California under a sub-sublease that expires in December 2023. The sub-sublease contains scheduled rent increases over the lease term. Prior to moving into the South San Francisco office and laboratory space in February 2019, the Company leased office and laboratory space in San Francisco, California, under a sublease that expired in February 2019. The Company also leases office space for administrative functions in Carmel, Indiana under a lease agreement that expires in August 2023. In February 2021, the Company subleased substantially all of the office space under the Carmel, Indiana lease. The Company also leases office and laboratory space in Groton, Connecticut that supports the Microbiome program under a lease that expires in March 2021. Due to the wind-down of the Microbiome program, the lease will not be renewed. The Company’s China subsidiary leases office space and lab space in Shanghai. The lab space expired in December 2020 and the office space expires March 2021, neither of which are being renewed. Additionally, the Company’s China subsidiary leases office space in Beijing under a lease agreement that expires in December 2021. Certain lease contracts contain renewal clauses that the Company assesses on a case by case basis. The Company also leases certain laboratory equipment accounted for as operating leases expiring at various dates, with the final lease expiring in 2023. In February 2021, the Company purchased substantially all of the leased equipment used for the Microbiome program from its leasing agency and sold them to a third party. The loss on the sale is equal to the impairment loss the Company recognized on these assets for the year ended December 31, 2020 of $0.7 million.</w:t>
      </w:r>
    </w:p>
    <w:p>
      <w:pPr>
        <w:spacing w:after="0" w:line="1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At December 31, 2020, the Company had operating lease liabilities of $10.1 million and right-of-use assets of $9.1 million.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5,214</w:t>
            </w:r>
          </w:p>
        </w:tc>
        <w:tc>
          <w:tcPr>
            <w:tcW w:w="280" w:type="dxa"/>
            <w:vAlign w:val="bottom"/>
          </w:tcPr>
          <w:p>
            <w:pPr>
              <w:spacing w:after="0"/>
              <w:rPr>
                <w:sz w:val="19"/>
                <w:szCs w:val="19"/>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lease cost</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Variable lease cost</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7,083</w:t>
            </w: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340" w:type="dxa"/>
            <w:vAlign w:val="bottom"/>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Right-of-use assets exchanged for new operating lease liabilities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1,302</w:t>
            </w:r>
          </w:p>
        </w:tc>
        <w:tc>
          <w:tcPr>
            <w:tcW w:w="280" w:type="dxa"/>
            <w:vAlign w:val="bottom"/>
          </w:tcPr>
          <w:p>
            <w:pPr>
              <w:spacing w:after="0"/>
              <w:rPr>
                <w:sz w:val="20"/>
                <w:szCs w:val="20"/>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weighted-average remaining lease term for operating leases was 2.7 years and the weighted-average discount rate for operating leases was 9.2%.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color w:val="auto"/>
                <w:w w:val="93"/>
              </w:rPr>
              <w:t>As of December 31, 2020, the maturities of the Company’s operating lease liabilities were as follows (in thousands):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2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FF0FC"/>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19"/>
                <w:szCs w:val="19"/>
                <w:color w:val="auto"/>
              </w:rPr>
            </w:pPr>
          </w:p>
        </w:tc>
      </w:tr>
      <w:tr>
        <w:trPr>
          <w:trHeight w:val="229"/>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FF0FC"/>
          </w:tcPr>
          <w:p>
            <w:pPr>
              <w:spacing w:after="0"/>
              <w:rPr>
                <w:sz w:val="19"/>
                <w:szCs w:val="19"/>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(1,647)</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160"/>
        <w:spacing w:after="0" w:line="461" w:lineRule="auto"/>
        <w:rPr>
          <w:sz w:val="20"/>
          <w:szCs w:val="20"/>
          <w:color w:val="auto"/>
        </w:rPr>
      </w:pPr>
      <w:r>
        <w:rPr>
          <w:rFonts w:ascii="Arial" w:cs="Arial" w:eastAsia="Arial" w:hAnsi="Arial"/>
          <w:sz w:val="18"/>
          <w:szCs w:val="18"/>
          <w:color w:val="auto"/>
        </w:rPr>
        <w:t xml:space="preserve">Operating lease costs were $7.1 million, $6.3 million and $4.2 million for the years ended December 31, 2020, 2019 and 2018, respectively. </w:t>
      </w:r>
      <w:r>
        <w:rPr>
          <w:rFonts w:ascii="Arial" w:cs="Arial" w:eastAsia="Arial" w:hAnsi="Arial"/>
          <w:sz w:val="18"/>
          <w:szCs w:val="18"/>
          <w:b w:val="1"/>
          <w:bCs w:val="1"/>
          <w:color w:val="auto"/>
        </w:rPr>
        <w:t>Note 13 - Employee Benefit Plan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In 2020, 2019 and 2018, the Company made discretionary matching contributions of $0.9 million, $0.7 million and $0.7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14 - Selected Quarterly Financial Data (Unaudited)</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contains quarterly financial information for the four quarters of 2020 and 2019 which has been prepared in accordance with GAAP for interim financial information. The Company believes that the following information reflects all normal recurring adjustments necessary for a fair statement of the information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2020 Quarter Ended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December 31</w:t>
            </w:r>
          </w:p>
        </w:tc>
        <w:tc>
          <w:tcPr>
            <w:tcW w:w="100" w:type="dxa"/>
            <w:vAlign w:val="bottom"/>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 except for per share amounts)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4,081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39,376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34,611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31,775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32,797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38,630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(3,349)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(39,418)</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from marketable securities, net of tax</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2019 Quarter Ended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December 31</w:t>
            </w:r>
          </w:p>
        </w:tc>
        <w:tc>
          <w:tcPr>
            <w:tcW w:w="100" w:type="dxa"/>
            <w:vAlign w:val="bottom"/>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 except for per share amounts)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3,885</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3,080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32,221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22,780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30,224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33,451</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1,276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(27,052)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(24,995)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(27,084)</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from marketable securities, net of tax</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Subsequent to December 31, 2020, the Company sold 4,177,080 shares of common stock through its 2020 ATM resulting in net proceeds of $25.5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9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Assembly Biosciences, Inc. (Assembly, the Company, we, us and our) had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of our capital stock does not purport to be complete and is subject to, and qualified in its entirety by, our Fifth Amended and Restated Certificate of Incorporation (our Certificate of Incorporation) and our amended and restated bylaws (our Bylaws), each of which is incorporated by reference as an exhibit to our Annual Report on Form 10-K for the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$0.001 per share, and 5,000,000 shares of preferred stock, par value $0.001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the stockholders, and there are no cumulative voting rights.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“ASMB.”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Anti-Takeover Law</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provisions of the Delaware General Corporation Law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before the stockholder became interested, the board of directors of the corporation approved either the business combination or the transaction</w:t>
      </w:r>
    </w:p>
    <w:p>
      <w:pPr>
        <w:sectPr>
          <w:pgSz w:w="11900" w:h="16838" w:orient="portrait"/>
          <w:cols w:equalWidth="0" w:num="1">
            <w:col w:w="11240"/>
          </w:cols>
          <w:pgMar w:left="320" w:top="351" w:right="339" w:bottom="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389255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399"/>
          </w:cols>
          <w:pgMar w:left="1060" w:top="125" w:right="1440" w:bottom="1440" w:gutter="0" w:footer="0" w:header="0"/>
        </w:sectPr>
      </w:pPr>
    </w:p>
    <w:bookmarkStart w:id="104" w:name="page105"/>
    <w:bookmarkEnd w:id="104"/>
    <w:p>
      <w:pPr>
        <w:jc w:val="both"/>
        <w:ind w:left="740" w:hanging="368"/>
        <w:spacing w:after="0" w:line="238" w:lineRule="auto"/>
        <w:tabs>
          <w:tab w:leader="none" w:pos="74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62" w:lineRule="exact"/>
        <w:rPr>
          <w:rFonts w:ascii="Arial" w:cs="Arial" w:eastAsia="Arial" w:hAnsi="Arial"/>
          <w:sz w:val="26"/>
          <w:szCs w:val="26"/>
          <w:color w:val="auto"/>
          <w:vertAlign w:val="superscript"/>
        </w:rPr>
      </w:pPr>
    </w:p>
    <w:p>
      <w:pPr>
        <w:jc w:val="both"/>
        <w:ind w:left="740" w:hanging="368"/>
        <w:spacing w:after="0" w:line="212" w:lineRule="auto"/>
        <w:tabs>
          <w:tab w:leader="none" w:pos="7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seven. Newly created directorships resulting from any increase in our authorized number of directors and any vacancies in our board resulting from death, resignation, retirement, disqualification or other cause (including removal from office by a vote of the stockholders) will be filled by a majority of our board then in office. Finally, our Bylaws establish procedures and other terms and conditions, including advance notice procedures, regarding special meeting requests by stockholders holding in the aggregate at least 25% of our outstanding common stock,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Bylaws also provide that the Court of Chancery of the State of Delaware (or if such court does not have jurisdiction, the Superior Court of Delaware, or if such other court does not have jurisdiction, the United States District Court for the District of Delaware) will be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will not apply to litigation brought to enforce any liability or duty created by: the Securities Act of 1933, as amended; the Securities Exchange Act of 1934, as amended; or the rules and regulations thereunder. The enforceability of similar choice of forum provisions in other companies’ organizational documents has been challenged in legal proceedings and, while the Delaware Supreme Court recently upheld the validity of certain choice of forum provisions, it is possible that, in connection with one or more actions or proceedings described above, a court could find the choice of forum provisions contained in our Bylaws to be inapplicable or unenforceable.</w:t>
      </w:r>
    </w:p>
    <w:p>
      <w:pPr>
        <w:sectPr>
          <w:pgSz w:w="11900" w:h="16838" w:orient="portrait"/>
          <w:cols w:equalWidth="0" w:num="1">
            <w:col w:w="11240"/>
          </w:cols>
          <w:pgMar w:left="320" w:top="53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9"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March 23, 2020 (the “</w:t>
      </w:r>
      <w:r>
        <w:rPr>
          <w:rFonts w:ascii="Arial" w:cs="Arial" w:eastAsia="Arial" w:hAnsi="Arial"/>
          <w:sz w:val="21"/>
          <w:szCs w:val="21"/>
          <w:b w:val="1"/>
          <w:bCs w:val="1"/>
          <w:color w:val="auto"/>
        </w:rPr>
        <w:t>Execution</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with an effective date as of the first date of employment which is anticipated to be March 26, 2020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Assembly Biosciences, Inc., a Delaware corporation with principal executive offices at 331 Oyster Point</w:t>
      </w:r>
      <w:r>
        <w:rPr>
          <w:rFonts w:ascii="Arial" w:cs="Arial" w:eastAsia="Arial" w:hAnsi="Arial"/>
          <w:sz w:val="21"/>
          <w:szCs w:val="21"/>
          <w:b w:val="1"/>
          <w:bCs w:val="1"/>
          <w:color w:val="auto"/>
        </w:rPr>
        <w:t xml:space="preserve"> </w:t>
      </w:r>
      <w:r>
        <w:rPr>
          <w:rFonts w:ascii="Arial" w:cs="Arial" w:eastAsia="Arial" w:hAnsi="Arial"/>
          <w:sz w:val="21"/>
          <w:szCs w:val="21"/>
          <w:color w:val="auto"/>
        </w:rPr>
        <w:t>Blvd., South San Francisco, CA 94080 (the “</w:t>
      </w:r>
      <w:r>
        <w:rPr>
          <w:rFonts w:ascii="Arial" w:cs="Arial" w:eastAsia="Arial" w:hAnsi="Arial"/>
          <w:sz w:val="21"/>
          <w:szCs w:val="21"/>
          <w:b w:val="1"/>
          <w:bCs w:val="1"/>
          <w:color w:val="auto"/>
        </w:rPr>
        <w:t>Company</w:t>
      </w:r>
      <w:r>
        <w:rPr>
          <w:rFonts w:ascii="Arial" w:cs="Arial" w:eastAsia="Arial" w:hAnsi="Arial"/>
          <w:sz w:val="21"/>
          <w:szCs w:val="21"/>
          <w:color w:val="auto"/>
        </w:rPr>
        <w:t>”), and Jason A. Okazaki (the “</w:t>
      </w:r>
      <w:r>
        <w:rPr>
          <w:rFonts w:ascii="Arial" w:cs="Arial" w:eastAsia="Arial" w:hAnsi="Arial"/>
          <w:sz w:val="21"/>
          <w:szCs w:val="21"/>
          <w:b w:val="1"/>
          <w:bCs w:val="1"/>
          <w:color w:val="auto"/>
        </w:rPr>
        <w:t>Executive</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18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Company desires to employ the Executive as the Chief Business and Legal Officer as of the Effective Date, and the Executive desires to accept employment by the Company as of the Effective Date; and</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hereby agree as follows:</w:t>
      </w:r>
    </w:p>
    <w:p>
      <w:pPr>
        <w:spacing w:after="0" w:line="159" w:lineRule="exact"/>
        <w:rPr>
          <w:sz w:val="20"/>
          <w:szCs w:val="20"/>
          <w:color w:val="auto"/>
        </w:rPr>
      </w:pPr>
    </w:p>
    <w:p>
      <w:pPr>
        <w:ind w:left="1680" w:hanging="808"/>
        <w:spacing w:after="0"/>
        <w:tabs>
          <w:tab w:leader="none" w:pos="1680" w:val="left"/>
        </w:tabs>
        <w:numPr>
          <w:ilvl w:val="0"/>
          <w:numId w:val="39"/>
        </w:numPr>
        <w:rPr>
          <w:rFonts w:ascii="Arial" w:cs="Arial" w:eastAsia="Arial" w:hAnsi="Arial"/>
          <w:sz w:val="22"/>
          <w:szCs w:val="22"/>
          <w:b w:val="1"/>
          <w:bCs w:val="1"/>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179" w:lineRule="exact"/>
        <w:rPr>
          <w:rFonts w:ascii="Arial" w:cs="Arial" w:eastAsia="Arial" w:hAnsi="Arial"/>
          <w:sz w:val="22"/>
          <w:szCs w:val="22"/>
          <w:b w:val="1"/>
          <w:bCs w:val="1"/>
          <w:color w:val="010000"/>
        </w:rPr>
      </w:pPr>
    </w:p>
    <w:p>
      <w:pPr>
        <w:jc w:val="both"/>
        <w:ind w:firstLine="1735"/>
        <w:spacing w:after="0" w:line="214" w:lineRule="auto"/>
        <w:tabs>
          <w:tab w:leader="none" w:pos="2615" w:val="left"/>
        </w:tabs>
        <w:numPr>
          <w:ilvl w:val="1"/>
          <w:numId w:val="39"/>
        </w:numPr>
        <w:rPr>
          <w:rFonts w:ascii="Arial" w:cs="Arial" w:eastAsia="Arial" w:hAnsi="Arial"/>
          <w:sz w:val="22"/>
          <w:szCs w:val="22"/>
          <w:color w:val="010000"/>
        </w:rPr>
      </w:pPr>
      <w:r>
        <w:rPr>
          <w:rFonts w:ascii="Arial" w:cs="Arial" w:eastAsia="Arial" w:hAnsi="Arial"/>
          <w:sz w:val="22"/>
          <w:szCs w:val="22"/>
          <w:u w:val="single" w:color="auto"/>
          <w:color w:val="010000"/>
        </w:rPr>
        <w:t>Services</w:t>
      </w:r>
      <w:r>
        <w:rPr>
          <w:rFonts w:ascii="Arial" w:cs="Arial" w:eastAsia="Arial" w:hAnsi="Arial"/>
          <w:sz w:val="22"/>
          <w:szCs w:val="22"/>
          <w:color w:val="010000"/>
        </w:rPr>
        <w:t>. The Executive will be employed by the Company initially as its Chief Legal and Business Officer, reporting to the Company’s Chief Executive Officer, and shall perform such duties as are consistent with a position as Chief Business and Legal Officer (the “</w:t>
      </w:r>
      <w:r>
        <w:rPr>
          <w:rFonts w:ascii="Arial" w:cs="Arial" w:eastAsia="Arial" w:hAnsi="Arial"/>
          <w:sz w:val="22"/>
          <w:szCs w:val="22"/>
          <w:b w:val="1"/>
          <w:bCs w:val="1"/>
          <w:color w:val="010000"/>
        </w:rPr>
        <w:t>Services</w:t>
      </w:r>
      <w:r>
        <w:rPr>
          <w:rFonts w:ascii="Arial" w:cs="Arial" w:eastAsia="Arial" w:hAnsi="Arial"/>
          <w:sz w:val="22"/>
          <w:szCs w:val="22"/>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58" w:lineRule="exact"/>
        <w:rPr>
          <w:rFonts w:ascii="Arial" w:cs="Arial" w:eastAsia="Arial" w:hAnsi="Arial"/>
          <w:sz w:val="22"/>
          <w:szCs w:val="22"/>
          <w:color w:val="010000"/>
        </w:rPr>
      </w:pPr>
    </w:p>
    <w:p>
      <w:pPr>
        <w:ind w:left="2640" w:hanging="905"/>
        <w:spacing w:after="0"/>
        <w:tabs>
          <w:tab w:leader="none" w:pos="2640" w:val="left"/>
        </w:tabs>
        <w:numPr>
          <w:ilvl w:val="1"/>
          <w:numId w:val="39"/>
        </w:numPr>
        <w:rPr>
          <w:rFonts w:ascii="Arial" w:cs="Arial" w:eastAsia="Arial" w:hAnsi="Arial"/>
          <w:sz w:val="19"/>
          <w:szCs w:val="19"/>
          <w:color w:val="010000"/>
        </w:rPr>
      </w:pPr>
      <w:r>
        <w:rPr>
          <w:rFonts w:ascii="Arial" w:cs="Arial" w:eastAsia="Arial" w:hAnsi="Arial"/>
          <w:sz w:val="19"/>
          <w:szCs w:val="19"/>
          <w:u w:val="single" w:color="auto"/>
          <w:color w:val="010000"/>
        </w:rPr>
        <w:t>Acceptance</w:t>
      </w:r>
      <w:r>
        <w:rPr>
          <w:rFonts w:ascii="Arial" w:cs="Arial" w:eastAsia="Arial" w:hAnsi="Arial"/>
          <w:sz w:val="19"/>
          <w:szCs w:val="19"/>
          <w:color w:val="010000"/>
        </w:rPr>
        <w:t>.   The  Executive  hereby  accepts  such  employment  and  agrees  to  render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Services.</w:t>
      </w:r>
    </w:p>
    <w:p>
      <w:pPr>
        <w:spacing w:after="0" w:line="161" w:lineRule="exact"/>
        <w:rPr>
          <w:rFonts w:ascii="Arial" w:cs="Arial" w:eastAsia="Arial" w:hAnsi="Arial"/>
          <w:sz w:val="19"/>
          <w:szCs w:val="19"/>
          <w:color w:val="010000"/>
        </w:rPr>
      </w:pPr>
    </w:p>
    <w:p>
      <w:pPr>
        <w:ind w:firstLine="872"/>
        <w:spacing w:after="0" w:line="232" w:lineRule="auto"/>
        <w:tabs>
          <w:tab w:leader="none" w:pos="1674" w:val="left"/>
        </w:tabs>
        <w:numPr>
          <w:ilvl w:val="0"/>
          <w:numId w:val="39"/>
        </w:numPr>
        <w:rPr>
          <w:rFonts w:ascii="Arial" w:cs="Arial" w:eastAsia="Arial" w:hAnsi="Arial"/>
          <w:sz w:val="22"/>
          <w:szCs w:val="22"/>
          <w:b w:val="1"/>
          <w:bCs w:val="1"/>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58" w:lineRule="exact"/>
        <w:rPr>
          <w:rFonts w:ascii="Arial" w:cs="Arial" w:eastAsia="Arial" w:hAnsi="Arial"/>
          <w:sz w:val="22"/>
          <w:szCs w:val="22"/>
          <w:b w:val="1"/>
          <w:bCs w:val="1"/>
          <w:color w:val="010000"/>
        </w:rPr>
      </w:pPr>
    </w:p>
    <w:p>
      <w:pPr>
        <w:jc w:val="both"/>
        <w:ind w:firstLine="872"/>
        <w:spacing w:after="0" w:line="214" w:lineRule="auto"/>
        <w:tabs>
          <w:tab w:leader="none" w:pos="1674" w:val="left"/>
        </w:tabs>
        <w:numPr>
          <w:ilvl w:val="0"/>
          <w:numId w:val="39"/>
        </w:numPr>
        <w:rPr>
          <w:rFonts w:ascii="Arial" w:cs="Arial" w:eastAsia="Arial" w:hAnsi="Arial"/>
          <w:sz w:val="22"/>
          <w:szCs w:val="22"/>
          <w:b w:val="1"/>
          <w:bCs w:val="1"/>
          <w:color w:val="010000"/>
        </w:rPr>
      </w:pPr>
      <w:r>
        <w:rPr>
          <w:rFonts w:ascii="Arial" w:cs="Arial" w:eastAsia="Arial" w:hAnsi="Arial"/>
          <w:sz w:val="22"/>
          <w:szCs w:val="22"/>
          <w:u w:val="single" w:color="auto"/>
          <w:color w:val="010000"/>
        </w:rPr>
        <w:t>Best Efforts</w:t>
      </w:r>
      <w:r>
        <w:rPr>
          <w:rFonts w:ascii="Arial" w:cs="Arial" w:eastAsia="Arial" w:hAnsi="Arial"/>
          <w:sz w:val="22"/>
          <w:szCs w:val="22"/>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ind w:firstLine="872"/>
        <w:spacing w:after="0" w:line="232" w:lineRule="auto"/>
        <w:tabs>
          <w:tab w:leader="none" w:pos="1674" w:val="left"/>
        </w:tabs>
        <w:numPr>
          <w:ilvl w:val="0"/>
          <w:numId w:val="40"/>
        </w:numPr>
        <w:rPr>
          <w:rFonts w:ascii="Arial" w:cs="Arial" w:eastAsia="Arial" w:hAnsi="Arial"/>
          <w:sz w:val="22"/>
          <w:szCs w:val="22"/>
          <w:b w:val="1"/>
          <w:bCs w:val="1"/>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158" w:lineRule="exact"/>
        <w:rPr>
          <w:rFonts w:ascii="Arial" w:cs="Arial" w:eastAsia="Arial" w:hAnsi="Arial"/>
          <w:sz w:val="22"/>
          <w:szCs w:val="22"/>
          <w:b w:val="1"/>
          <w:bCs w:val="1"/>
          <w:color w:val="010000"/>
        </w:rPr>
      </w:pPr>
    </w:p>
    <w:p>
      <w:pPr>
        <w:jc w:val="both"/>
        <w:ind w:firstLine="1735"/>
        <w:spacing w:after="0" w:line="216" w:lineRule="auto"/>
        <w:tabs>
          <w:tab w:leader="none" w:pos="2615" w:val="left"/>
        </w:tabs>
        <w:numPr>
          <w:ilvl w:val="1"/>
          <w:numId w:val="40"/>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an initial base salary at the annualized rate of five hundred fifteen thousand dollars ($515,000).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w:t>
      </w:r>
      <w:r>
        <w:rPr>
          <w:rFonts w:ascii="Arial" w:cs="Arial" w:eastAsia="Arial" w:hAnsi="Arial"/>
          <w:sz w:val="22"/>
          <w:szCs w:val="22"/>
          <w:b w:val="1"/>
          <w:bCs w:val="1"/>
          <w:color w:val="010000"/>
        </w:rPr>
        <w:t xml:space="preserve"> </w:t>
      </w:r>
      <w:r>
        <w:rPr>
          <w:rFonts w:ascii="Arial" w:cs="Arial" w:eastAsia="Arial" w:hAnsi="Arial"/>
          <w:sz w:val="22"/>
          <w:szCs w:val="22"/>
          <w:color w:val="010000"/>
        </w:rPr>
        <w:t>to 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57" w:lineRule="exact"/>
        <w:rPr>
          <w:rFonts w:ascii="Arial" w:cs="Arial" w:eastAsia="Arial" w:hAnsi="Arial"/>
          <w:sz w:val="22"/>
          <w:szCs w:val="22"/>
          <w:color w:val="010000"/>
        </w:rPr>
      </w:pPr>
    </w:p>
    <w:p>
      <w:pPr>
        <w:jc w:val="both"/>
        <w:ind w:firstLine="1735"/>
        <w:spacing w:after="0" w:line="242" w:lineRule="auto"/>
        <w:tabs>
          <w:tab w:leader="none" w:pos="2627" w:val="left"/>
        </w:tabs>
        <w:numPr>
          <w:ilvl w:val="1"/>
          <w:numId w:val="40"/>
        </w:numPr>
        <w:rPr>
          <w:rFonts w:ascii="Arial" w:cs="Arial" w:eastAsia="Arial" w:hAnsi="Arial"/>
          <w:sz w:val="19"/>
          <w:szCs w:val="19"/>
          <w:color w:val="010000"/>
        </w:rPr>
      </w:pPr>
      <w:r>
        <w:rPr>
          <w:rFonts w:ascii="Arial" w:cs="Arial" w:eastAsia="Arial" w:hAnsi="Arial"/>
          <w:sz w:val="19"/>
          <w:szCs w:val="19"/>
          <w:u w:val="single" w:color="auto"/>
          <w:color w:val="010000"/>
        </w:rPr>
        <w:t>Annual Performance Bonus</w:t>
      </w:r>
      <w:r>
        <w:rPr>
          <w:rFonts w:ascii="Arial" w:cs="Arial" w:eastAsia="Arial" w:hAnsi="Arial"/>
          <w:sz w:val="19"/>
          <w:szCs w:val="19"/>
          <w:color w:val="010000"/>
        </w:rPr>
        <w:t>. The Executive shall be eligible to receive an annual performance-based bonus during the Term (the “</w:t>
      </w:r>
      <w:r>
        <w:rPr>
          <w:rFonts w:ascii="Arial" w:cs="Arial" w:eastAsia="Arial" w:hAnsi="Arial"/>
          <w:sz w:val="19"/>
          <w:szCs w:val="19"/>
          <w:b w:val="1"/>
          <w:bCs w:val="1"/>
          <w:color w:val="010000"/>
        </w:rPr>
        <w:t>Annual Performance Bonus</w:t>
      </w:r>
      <w:r>
        <w:rPr>
          <w:rFonts w:ascii="Arial" w:cs="Arial" w:eastAsia="Arial" w:hAnsi="Arial"/>
          <w:sz w:val="19"/>
          <w:szCs w:val="19"/>
          <w:color w:val="010000"/>
        </w:rPr>
        <w:t xml:space="preserve">”) targeted at fifty percent (50%) of Executive’s then current Base Salary based on the attainment by the Company and the Executive of performance objectives as established annually by the Chief Executive Officer with approval by the Board (or committee thereof). Any Annual Performance Bonus earned with respect to the 2020 fiscal year shall be based on the attainment by the Company of the corporate performance objectives established by the Board (or a committee thereof) for the other named executive officers of the Company for the 2020 fiscal year and Executive’s individual performance objectives established by the Board (or a committee thereof) upon recommendation of the Chief Executive Officer, or as otherwise provided under applicable bonus plan, and will be prorated based upon the number of days the Executive is employed in the 2020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the Annual Performance Bonus will be paid no later than seventy-five (75) days after the end of the period to which the Annual Performance Bonus pertains.</w:t>
      </w:r>
    </w:p>
    <w:p>
      <w:pPr>
        <w:spacing w:after="0" w:line="160" w:lineRule="exact"/>
        <w:rPr>
          <w:rFonts w:ascii="Arial" w:cs="Arial" w:eastAsia="Arial" w:hAnsi="Arial"/>
          <w:sz w:val="19"/>
          <w:szCs w:val="19"/>
          <w:color w:val="010000"/>
        </w:rPr>
      </w:pPr>
    </w:p>
    <w:p>
      <w:pPr>
        <w:jc w:val="both"/>
        <w:ind w:firstLine="1735"/>
        <w:spacing w:after="0" w:line="241" w:lineRule="auto"/>
        <w:tabs>
          <w:tab w:leader="none" w:pos="2615" w:val="left"/>
        </w:tabs>
        <w:numPr>
          <w:ilvl w:val="1"/>
          <w:numId w:val="40"/>
        </w:numPr>
        <w:rPr>
          <w:rFonts w:ascii="Arial" w:cs="Arial" w:eastAsia="Arial" w:hAnsi="Arial"/>
          <w:sz w:val="19"/>
          <w:szCs w:val="19"/>
          <w:color w:val="010000"/>
        </w:rPr>
      </w:pPr>
      <w:r>
        <w:rPr>
          <w:rFonts w:ascii="Arial" w:cs="Arial" w:eastAsia="Arial" w:hAnsi="Arial"/>
          <w:sz w:val="19"/>
          <w:szCs w:val="19"/>
          <w:u w:val="single" w:color="auto"/>
          <w:color w:val="010000"/>
        </w:rPr>
        <w:t>Sign-on Bonus</w:t>
      </w:r>
      <w:r>
        <w:rPr>
          <w:rFonts w:ascii="Arial" w:cs="Arial" w:eastAsia="Arial" w:hAnsi="Arial"/>
          <w:sz w:val="19"/>
          <w:szCs w:val="19"/>
          <w:color w:val="010000"/>
        </w:rPr>
        <w:t>. The Company will pay the Executive a sign-on bonus in the gross amount of $100,000 (the “</w:t>
      </w:r>
      <w:r>
        <w:rPr>
          <w:rFonts w:ascii="Arial" w:cs="Arial" w:eastAsia="Arial" w:hAnsi="Arial"/>
          <w:sz w:val="19"/>
          <w:szCs w:val="19"/>
          <w:b w:val="1"/>
          <w:bCs w:val="1"/>
          <w:color w:val="010000"/>
        </w:rPr>
        <w:t>Sign-on Bonus</w:t>
      </w:r>
      <w:r>
        <w:rPr>
          <w:rFonts w:ascii="Arial" w:cs="Arial" w:eastAsia="Arial" w:hAnsi="Arial"/>
          <w:sz w:val="19"/>
          <w:szCs w:val="19"/>
          <w:color w:val="010000"/>
        </w:rPr>
        <w:t>”), less such taxes and applicable withholdings as required by law. The Sign-on Bonus will be payable to the Executive in a cash lump sum within 30 days following the Effective Date. If, prior to the six (6) month anniversary of the Effective Date, (i) the Executive terminates employment with the Company other than for Good Reason (as defined in Section 7(d)) or death or Disability (as defined in Section 7(b)) or (ii) the Company terminates the Executive for Cause (as defined in Section 7(a)), then the Executive will promptly repay to the Company 100% of the net amount of the Sign-On Bonus. If, on or after the six-month anniversary of the Effective Date and prior to the one-year anniversary of the Effective Date, the Executive terminates employment with the Company other than for Good Reason or death or Disability or the Company terminates Executive for Cause, then the Executive will promptly repay to the Company 66-2/3% of the net amount of the Sign-On Bonus. If, on or after the one-year anniversary of the Effective Date and prior to the eighteen (18) month anniversary of the Effective Date, the Executive terminates employment with the Company other than for Good Reason or death or Disability or the Company terminates Executive for Cause, then the Executive will promptly repay to the Company 33-1/3% of the net amount of the Sign-On Bonus. If the Executive is obligated under this Section 4(c) to repay to the Company the Sign-on Bonus, then the Company may, in its discretion and as permitted under applicable law, off-set all or part of the Executive’s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010000"/>
        </w:rPr>
        <w:t>obligation under this Section 4(c) against amounts otherwise due to the Executive from the Company.</w:t>
      </w:r>
    </w:p>
    <w:p>
      <w:pPr>
        <w:spacing w:after="0" w:line="179" w:lineRule="exact"/>
        <w:rPr>
          <w:sz w:val="20"/>
          <w:szCs w:val="20"/>
          <w:color w:val="auto"/>
        </w:rPr>
      </w:pPr>
    </w:p>
    <w:p>
      <w:pPr>
        <w:jc w:val="both"/>
        <w:ind w:firstLine="1735"/>
        <w:spacing w:after="0" w:line="223" w:lineRule="auto"/>
        <w:tabs>
          <w:tab w:leader="none" w:pos="2627"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 4 and Section 8, shall be net of all applicable federal, state and local taxes, social security and such other amounts as the Company may be required by law to withhold from such amounts.</w:t>
      </w:r>
    </w:p>
    <w:p>
      <w:pPr>
        <w:spacing w:after="0" w:line="158" w:lineRule="exact"/>
        <w:rPr>
          <w:rFonts w:ascii="Arial" w:cs="Arial" w:eastAsia="Arial" w:hAnsi="Arial"/>
          <w:sz w:val="22"/>
          <w:szCs w:val="22"/>
          <w:color w:val="010000"/>
        </w:rPr>
      </w:pPr>
    </w:p>
    <w:p>
      <w:pPr>
        <w:jc w:val="both"/>
        <w:ind w:firstLine="1735"/>
        <w:spacing w:after="0" w:line="246" w:lineRule="auto"/>
        <w:tabs>
          <w:tab w:leader="none" w:pos="2615"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As a material inducement to accept the Company’s offer of employment, the Company will recommend to the Board (or a committee thereof) that the Executive be granted, subject to the Executive’s acceptance of this Agreement and commencement of employment, (i) an option to purchase 250,000 shares of common stock of the Company (the “</w:t>
      </w:r>
      <w:r>
        <w:rPr>
          <w:rFonts w:ascii="Arial" w:cs="Arial" w:eastAsia="Arial" w:hAnsi="Arial"/>
          <w:sz w:val="19"/>
          <w:szCs w:val="19"/>
          <w:b w:val="1"/>
          <w:bCs w:val="1"/>
          <w:color w:val="auto"/>
        </w:rPr>
        <w:t>New Hire Stock Option</w:t>
      </w:r>
      <w:r>
        <w:rPr>
          <w:rFonts w:ascii="Arial" w:cs="Arial" w:eastAsia="Arial" w:hAnsi="Arial"/>
          <w:sz w:val="19"/>
          <w:szCs w:val="19"/>
          <w:color w:val="auto"/>
        </w:rPr>
        <w:t>”) and (ii) a restricted stock unit award for 50,000 shares of common stock of the Company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Hire RSUs</w:t>
      </w:r>
      <w:r>
        <w:rPr>
          <w:rFonts w:ascii="Arial" w:cs="Arial" w:eastAsia="Arial" w:hAnsi="Arial"/>
          <w:sz w:val="19"/>
          <w:szCs w:val="19"/>
          <w:color w:val="auto"/>
        </w:rPr>
        <w:t>” and together with the New Hire Stock Option, the “</w:t>
      </w:r>
      <w:r>
        <w:rPr>
          <w:rFonts w:ascii="Arial" w:cs="Arial" w:eastAsia="Arial" w:hAnsi="Arial"/>
          <w:sz w:val="19"/>
          <w:szCs w:val="19"/>
          <w:b w:val="1"/>
          <w:bCs w:val="1"/>
          <w:color w:val="auto"/>
        </w:rPr>
        <w:t>New Hire Equity Awards</w:t>
      </w:r>
      <w:r>
        <w:rPr>
          <w:rFonts w:ascii="Arial" w:cs="Arial" w:eastAsia="Arial" w:hAnsi="Arial"/>
          <w:sz w:val="19"/>
          <w:szCs w:val="19"/>
          <w:color w:val="auto"/>
        </w:rPr>
        <w:t>”). As an inducement that is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Executive’s employment with the Company, the New Hire Equity Awards will be granted to the Executive under the Company’s 2020 Inducement Award Plan (the “Inducement Plan”) pursuant to the inducement grant exception under Nasdaq Rule 5635(c)(4). The New Hire Equity Awards will have the following terms:</w:t>
      </w:r>
    </w:p>
    <w:p>
      <w:pPr>
        <w:spacing w:after="0" w:line="152" w:lineRule="exact"/>
        <w:rPr>
          <w:rFonts w:ascii="Arial" w:cs="Arial" w:eastAsia="Arial" w:hAnsi="Arial"/>
          <w:sz w:val="19"/>
          <w:szCs w:val="19"/>
          <w:color w:val="010000"/>
        </w:rPr>
      </w:pPr>
    </w:p>
    <w:p>
      <w:pPr>
        <w:jc w:val="both"/>
        <w:ind w:left="880" w:firstLine="3182"/>
        <w:spacing w:after="0" w:line="220" w:lineRule="auto"/>
        <w:tabs>
          <w:tab w:leader="none" w:pos="5018" w:val="left"/>
        </w:tabs>
        <w:numPr>
          <w:ilvl w:val="1"/>
          <w:numId w:val="41"/>
        </w:numPr>
        <w:rPr>
          <w:rFonts w:ascii="Arial" w:cs="Arial" w:eastAsia="Arial" w:hAnsi="Arial"/>
          <w:sz w:val="21"/>
          <w:szCs w:val="21"/>
          <w:color w:val="010000"/>
        </w:rPr>
      </w:pPr>
      <w:r>
        <w:rPr>
          <w:rFonts w:ascii="Arial" w:cs="Arial" w:eastAsia="Arial" w:hAnsi="Arial"/>
          <w:sz w:val="21"/>
          <w:szCs w:val="21"/>
          <w:color w:val="auto"/>
        </w:rPr>
        <w:t xml:space="preserve">Subject to the Executive’s continued employment and the terms of the Company’s Inducement Plan and the applicable non-qualified stock option agreement entered into by the Executive and the Company pursuant to the Inducement Plan, the New Hire Stock Option will be granted as of the grant date, will have a term of ten years and the shares underlying the New Hire Stock Option shall vest in installments over </w:t>
      </w:r>
      <w:r>
        <w:rPr>
          <w:rFonts w:ascii="Arial" w:cs="Arial" w:eastAsia="Arial" w:hAnsi="Arial"/>
          <w:sz w:val="21"/>
          <w:szCs w:val="21"/>
          <w:color w:val="010000"/>
        </w:rPr>
        <w:t>four years</w:t>
      </w:r>
      <w:r>
        <w:rPr>
          <w:rFonts w:ascii="Arial" w:cs="Arial" w:eastAsia="Arial" w:hAnsi="Arial"/>
          <w:sz w:val="21"/>
          <w:szCs w:val="21"/>
          <w:color w:val="auto"/>
        </w:rPr>
        <w:t xml:space="preserve"> </w:t>
      </w:r>
      <w:r>
        <w:rPr>
          <w:rFonts w:ascii="Arial" w:cs="Arial" w:eastAsia="Arial" w:hAnsi="Arial"/>
          <w:sz w:val="21"/>
          <w:szCs w:val="21"/>
          <w:color w:val="010000"/>
        </w:rPr>
        <w:t xml:space="preserve">with the first installment (representing approximately 25% of the shares) vesting on the first anniversary of the grant date and the balance vesting over the next three years thereafter in approximately equal monthly installments. </w:t>
      </w:r>
      <w:r>
        <w:rPr>
          <w:rFonts w:ascii="Arial" w:cs="Arial" w:eastAsia="Arial" w:hAnsi="Arial"/>
          <w:sz w:val="21"/>
          <w:szCs w:val="21"/>
          <w:color w:val="000000"/>
        </w:rPr>
        <w:t>The New</w:t>
      </w:r>
      <w:r>
        <w:rPr>
          <w:rFonts w:ascii="Arial" w:cs="Arial" w:eastAsia="Arial" w:hAnsi="Arial"/>
          <w:sz w:val="21"/>
          <w:szCs w:val="21"/>
          <w:color w:val="010000"/>
        </w:rPr>
        <w:t xml:space="preserve"> </w:t>
      </w:r>
      <w:r>
        <w:rPr>
          <w:rFonts w:ascii="Arial" w:cs="Arial" w:eastAsia="Arial" w:hAnsi="Arial"/>
          <w:sz w:val="21"/>
          <w:szCs w:val="21"/>
          <w:color w:val="000000"/>
        </w:rPr>
        <w:t>Hire Stock Option will have an exercise price equal to the closing price of a common share of the Company on the Nasdaq Global Select Market on the grant date. The New Hire Stock Option shall be subject to accelerated vesting of time-based vesting awards in connection with a termination of employment to the extent and as provided in Section 8(b) of this Agreement.</w:t>
      </w:r>
    </w:p>
    <w:p>
      <w:pPr>
        <w:spacing w:after="0" w:line="162" w:lineRule="exact"/>
        <w:rPr>
          <w:rFonts w:ascii="Arial" w:cs="Arial" w:eastAsia="Arial" w:hAnsi="Arial"/>
          <w:sz w:val="21"/>
          <w:szCs w:val="21"/>
          <w:color w:val="010000"/>
        </w:rPr>
      </w:pPr>
    </w:p>
    <w:p>
      <w:pPr>
        <w:jc w:val="both"/>
        <w:ind w:left="880" w:firstLine="3182"/>
        <w:spacing w:after="0" w:line="247" w:lineRule="auto"/>
        <w:tabs>
          <w:tab w:leader="none" w:pos="5006"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Subject to the Executive’s continued employment and the terms of the Company’s Inducement Plan and the applicable restricted stock unit award agreement entered into by the Executive and the Company pursuant to the Inducement Plan, the New Hire RSUs shall vest in four installments over four years, with one-fourth (1/4) of the New Hire RSUs vesting on each of the first anniversary date of the grant date, the second anniversary date of the grant date, the third anniversary date of the grant date, and the fourth anniversary date of the grant date. The New Hire RSUs shall be subject to accelerated vesting of time-based vesting awards in connection with a termination of employment to the extent and as provided in Section 8(b) of this Agreement.</w:t>
      </w:r>
    </w:p>
    <w:p>
      <w:pPr>
        <w:spacing w:after="0" w:line="15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New Hire Equity Awards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22"/>
          <w:szCs w:val="22"/>
          <w:b w:val="1"/>
          <w:bCs w:val="1"/>
          <w:color w:val="auto"/>
        </w:rPr>
        <w:t>Equity</w:t>
      </w:r>
      <w:r>
        <w:rPr>
          <w:rFonts w:ascii="Arial" w:cs="Arial" w:eastAsia="Arial" w:hAnsi="Arial"/>
          <w:sz w:val="22"/>
          <w:szCs w:val="22"/>
          <w:color w:val="auto"/>
        </w:rPr>
        <w:t xml:space="preserve"> </w:t>
      </w:r>
      <w:r>
        <w:rPr>
          <w:rFonts w:ascii="Arial" w:cs="Arial" w:eastAsia="Arial" w:hAnsi="Arial"/>
          <w:sz w:val="22"/>
          <w:szCs w:val="22"/>
          <w:b w:val="1"/>
          <w:bCs w:val="1"/>
          <w:color w:val="auto"/>
        </w:rPr>
        <w:t>Awards</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8" w:name="page109"/>
    <w:bookmarkEnd w:id="108"/>
    <w:p>
      <w:pPr>
        <w:jc w:val="both"/>
        <w:ind w:firstLine="1735"/>
        <w:spacing w:after="0" w:line="226" w:lineRule="auto"/>
        <w:tabs>
          <w:tab w:leader="none" w:pos="2591" w:val="left"/>
        </w:tabs>
        <w:numPr>
          <w:ilvl w:val="1"/>
          <w:numId w:val="42"/>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59" w:lineRule="exact"/>
        <w:rPr>
          <w:rFonts w:ascii="Arial" w:cs="Arial" w:eastAsia="Arial" w:hAnsi="Arial"/>
          <w:sz w:val="21"/>
          <w:szCs w:val="21"/>
          <w:color w:val="010000"/>
        </w:rPr>
      </w:pPr>
    </w:p>
    <w:p>
      <w:pPr>
        <w:jc w:val="both"/>
        <w:ind w:firstLine="1735"/>
        <w:spacing w:after="0" w:line="221" w:lineRule="auto"/>
        <w:tabs>
          <w:tab w:leader="none" w:pos="2627" w:val="left"/>
        </w:tabs>
        <w:numPr>
          <w:ilvl w:val="1"/>
          <w:numId w:val="42"/>
        </w:numPr>
        <w:rPr>
          <w:rFonts w:ascii="Arial" w:cs="Arial" w:eastAsia="Arial" w:hAnsi="Arial"/>
          <w:sz w:val="21"/>
          <w:szCs w:val="21"/>
          <w:color w:val="010000"/>
        </w:rPr>
      </w:pPr>
      <w:r>
        <w:rPr>
          <w:rFonts w:ascii="Arial" w:cs="Arial" w:eastAsia="Arial" w:hAnsi="Arial"/>
          <w:sz w:val="21"/>
          <w:szCs w:val="21"/>
          <w:u w:val="single" w:color="auto"/>
          <w:color w:val="010000"/>
        </w:rPr>
        <w:t>Other Benefits</w:t>
      </w:r>
      <w:r>
        <w:rPr>
          <w:rFonts w:ascii="Arial" w:cs="Arial" w:eastAsia="Arial" w:hAnsi="Arial"/>
          <w:sz w:val="21"/>
          <w:szCs w:val="21"/>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1"/>
          <w:szCs w:val="21"/>
          <w:b w:val="1"/>
          <w:bCs w:val="1"/>
          <w:color w:val="010000"/>
        </w:rPr>
        <w:t>Fringe Benefits</w:t>
      </w:r>
      <w:r>
        <w:rPr>
          <w:rFonts w:ascii="Arial" w:cs="Arial" w:eastAsia="Arial" w:hAnsi="Arial"/>
          <w:sz w:val="21"/>
          <w:szCs w:val="21"/>
          <w:color w:val="010000"/>
        </w:rPr>
        <w:t>”) as the Company shall make available to its senior executives from time to time, subject to the terms of such plans. In 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58" w:lineRule="exact"/>
        <w:rPr>
          <w:rFonts w:ascii="Arial" w:cs="Arial" w:eastAsia="Arial" w:hAnsi="Arial"/>
          <w:sz w:val="21"/>
          <w:szCs w:val="21"/>
          <w:color w:val="010000"/>
        </w:rPr>
      </w:pPr>
    </w:p>
    <w:p>
      <w:pPr>
        <w:ind w:firstLine="1735"/>
        <w:spacing w:after="0" w:line="232" w:lineRule="auto"/>
        <w:tabs>
          <w:tab w:leader="none" w:pos="2627" w:val="left"/>
        </w:tabs>
        <w:numPr>
          <w:ilvl w:val="1"/>
          <w:numId w:val="42"/>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58" w:lineRule="exact"/>
        <w:rPr>
          <w:rFonts w:ascii="Arial" w:cs="Arial" w:eastAsia="Arial" w:hAnsi="Arial"/>
          <w:sz w:val="22"/>
          <w:szCs w:val="22"/>
          <w:color w:val="010000"/>
        </w:rPr>
      </w:pPr>
    </w:p>
    <w:p>
      <w:pPr>
        <w:ind w:firstLine="872"/>
        <w:spacing w:after="0" w:line="298" w:lineRule="auto"/>
        <w:tabs>
          <w:tab w:leader="none" w:pos="1674" w:val="left"/>
        </w:tabs>
        <w:numPr>
          <w:ilvl w:val="0"/>
          <w:numId w:val="43"/>
        </w:numPr>
        <w:rPr>
          <w:rFonts w:ascii="Arial" w:cs="Arial" w:eastAsia="Arial" w:hAnsi="Arial"/>
          <w:sz w:val="19"/>
          <w:szCs w:val="19"/>
          <w:b w:val="1"/>
          <w:bCs w:val="1"/>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execute and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05" w:lineRule="exact"/>
        <w:rPr>
          <w:rFonts w:ascii="Arial" w:cs="Arial" w:eastAsia="Arial" w:hAnsi="Arial"/>
          <w:sz w:val="19"/>
          <w:szCs w:val="19"/>
          <w:b w:val="1"/>
          <w:bCs w:val="1"/>
          <w:color w:val="010000"/>
        </w:rPr>
      </w:pPr>
    </w:p>
    <w:p>
      <w:pPr>
        <w:ind w:left="1680" w:hanging="808"/>
        <w:spacing w:after="0"/>
        <w:tabs>
          <w:tab w:leader="none" w:pos="1680" w:val="left"/>
        </w:tabs>
        <w:numPr>
          <w:ilvl w:val="0"/>
          <w:numId w:val="43"/>
        </w:numPr>
        <w:rPr>
          <w:rFonts w:ascii="Arial" w:cs="Arial" w:eastAsia="Arial" w:hAnsi="Arial"/>
          <w:sz w:val="22"/>
          <w:szCs w:val="22"/>
          <w:b w:val="1"/>
          <w:bCs w:val="1"/>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179" w:lineRule="exact"/>
        <w:rPr>
          <w:rFonts w:ascii="Arial" w:cs="Arial" w:eastAsia="Arial" w:hAnsi="Arial"/>
          <w:sz w:val="22"/>
          <w:szCs w:val="22"/>
          <w:b w:val="1"/>
          <w:bCs w:val="1"/>
          <w:color w:val="010000"/>
        </w:rPr>
      </w:pPr>
    </w:p>
    <w:p>
      <w:pPr>
        <w:ind w:left="2620" w:hanging="885"/>
        <w:spacing w:after="0"/>
        <w:tabs>
          <w:tab w:leader="none" w:pos="2620" w:val="left"/>
        </w:tabs>
        <w:numPr>
          <w:ilvl w:val="1"/>
          <w:numId w:val="43"/>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179" w:lineRule="exact"/>
        <w:rPr>
          <w:rFonts w:ascii="Arial" w:cs="Arial" w:eastAsia="Arial" w:hAnsi="Arial"/>
          <w:sz w:val="22"/>
          <w:szCs w:val="22"/>
          <w:color w:val="010000"/>
        </w:rPr>
      </w:pPr>
    </w:p>
    <w:p>
      <w:pPr>
        <w:jc w:val="both"/>
        <w:ind w:firstLine="2600"/>
        <w:spacing w:after="0" w:line="216" w:lineRule="auto"/>
        <w:tabs>
          <w:tab w:leader="none" w:pos="3444" w:val="left"/>
        </w:tabs>
        <w:numPr>
          <w:ilvl w:val="2"/>
          <w:numId w:val="43"/>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57" w:lineRule="exact"/>
        <w:rPr>
          <w:rFonts w:ascii="Arial" w:cs="Arial" w:eastAsia="Arial" w:hAnsi="Arial"/>
          <w:sz w:val="22"/>
          <w:szCs w:val="22"/>
          <w:color w:val="auto"/>
        </w:rPr>
      </w:pPr>
    </w:p>
    <w:p>
      <w:pPr>
        <w:jc w:val="both"/>
        <w:ind w:firstLine="2600"/>
        <w:spacing w:after="0" w:line="216" w:lineRule="auto"/>
        <w:tabs>
          <w:tab w:leader="none" w:pos="3504"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spacing w:after="0" w:line="157" w:lineRule="exact"/>
        <w:rPr>
          <w:rFonts w:ascii="Arial" w:cs="Arial" w:eastAsia="Arial" w:hAnsi="Arial"/>
          <w:sz w:val="22"/>
          <w:szCs w:val="22"/>
          <w:color w:val="auto"/>
        </w:rPr>
      </w:pPr>
    </w:p>
    <w:p>
      <w:pPr>
        <w:jc w:val="both"/>
        <w:ind w:firstLine="1735"/>
        <w:spacing w:after="0" w:line="223" w:lineRule="auto"/>
        <w:tabs>
          <w:tab w:leader="none" w:pos="2627" w:val="left"/>
        </w:tabs>
        <w:numPr>
          <w:ilvl w:val="1"/>
          <w:numId w:val="43"/>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9" w:name="page110"/>
    <w:bookmarkEnd w:id="109"/>
    <w:p>
      <w:pPr>
        <w:ind w:firstLine="872"/>
        <w:spacing w:after="0" w:line="232" w:lineRule="auto"/>
        <w:tabs>
          <w:tab w:leader="none" w:pos="1674" w:val="left"/>
        </w:tabs>
        <w:numPr>
          <w:ilvl w:val="0"/>
          <w:numId w:val="44"/>
        </w:numPr>
        <w:rPr>
          <w:rFonts w:ascii="Arial" w:cs="Arial" w:eastAsia="Arial" w:hAnsi="Arial"/>
          <w:sz w:val="22"/>
          <w:szCs w:val="22"/>
          <w:b w:val="1"/>
          <w:bCs w:val="1"/>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58" w:lineRule="exact"/>
        <w:rPr>
          <w:rFonts w:ascii="Arial" w:cs="Arial" w:eastAsia="Arial" w:hAnsi="Arial"/>
          <w:sz w:val="22"/>
          <w:szCs w:val="22"/>
          <w:b w:val="1"/>
          <w:bCs w:val="1"/>
          <w:color w:val="010000"/>
        </w:rPr>
      </w:pPr>
    </w:p>
    <w:p>
      <w:pPr>
        <w:ind w:right="20" w:firstLine="1735"/>
        <w:spacing w:after="0" w:line="247" w:lineRule="auto"/>
        <w:tabs>
          <w:tab w:leader="none" w:pos="2615" w:val="left"/>
        </w:tabs>
        <w:numPr>
          <w:ilvl w:val="1"/>
          <w:numId w:val="44"/>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1"/>
          <w:szCs w:val="21"/>
          <w:b w:val="1"/>
          <w:bCs w:val="1"/>
          <w:color w:val="010000"/>
        </w:rPr>
        <w:t>Cause</w:t>
      </w:r>
      <w:r>
        <w:rPr>
          <w:rFonts w:ascii="Arial" w:cs="Arial" w:eastAsia="Arial" w:hAnsi="Arial"/>
          <w:sz w:val="21"/>
          <w:szCs w:val="21"/>
          <w:color w:val="010000"/>
        </w:rPr>
        <w:t>”:</w:t>
      </w:r>
    </w:p>
    <w:p>
      <w:pPr>
        <w:spacing w:after="0" w:line="150" w:lineRule="exact"/>
        <w:rPr>
          <w:rFonts w:ascii="Arial" w:cs="Arial" w:eastAsia="Arial" w:hAnsi="Arial"/>
          <w:sz w:val="21"/>
          <w:szCs w:val="21"/>
          <w:color w:val="010000"/>
        </w:rPr>
      </w:pPr>
    </w:p>
    <w:p>
      <w:pPr>
        <w:ind w:left="3460" w:hanging="860"/>
        <w:spacing w:after="0"/>
        <w:tabs>
          <w:tab w:leader="none" w:pos="3460" w:val="left"/>
        </w:tabs>
        <w:numPr>
          <w:ilvl w:val="2"/>
          <w:numId w:val="44"/>
        </w:numPr>
        <w:rPr>
          <w:rFonts w:ascii="Arial" w:cs="Arial" w:eastAsia="Arial" w:hAnsi="Arial"/>
          <w:sz w:val="19"/>
          <w:szCs w:val="19"/>
          <w:color w:val="auto"/>
        </w:rPr>
      </w:pPr>
      <w:r>
        <w:rPr>
          <w:rFonts w:ascii="Arial" w:cs="Arial" w:eastAsia="Arial" w:hAnsi="Arial"/>
          <w:sz w:val="19"/>
          <w:szCs w:val="19"/>
          <w:color w:val="auto"/>
        </w:rPr>
        <w:t>The willful and repeated failure or disregard or continuing refusal by the Executive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perform his duties hereunder;</w:t>
      </w:r>
    </w:p>
    <w:p>
      <w:pPr>
        <w:spacing w:after="0" w:line="161" w:lineRule="exact"/>
        <w:rPr>
          <w:rFonts w:ascii="Arial" w:cs="Arial" w:eastAsia="Arial" w:hAnsi="Arial"/>
          <w:sz w:val="19"/>
          <w:szCs w:val="19"/>
          <w:color w:val="auto"/>
        </w:rPr>
      </w:pPr>
    </w:p>
    <w:p>
      <w:pPr>
        <w:jc w:val="both"/>
        <w:ind w:firstLine="2600"/>
        <w:spacing w:after="0" w:line="234" w:lineRule="auto"/>
        <w:tabs>
          <w:tab w:leader="none" w:pos="3504" w:val="left"/>
        </w:tabs>
        <w:numPr>
          <w:ilvl w:val="2"/>
          <w:numId w:val="44"/>
        </w:numPr>
        <w:rPr>
          <w:rFonts w:ascii="Arial" w:cs="Arial" w:eastAsia="Arial" w:hAnsi="Arial"/>
          <w:sz w:val="21"/>
          <w:szCs w:val="21"/>
          <w:color w:val="auto"/>
        </w:rPr>
      </w:pPr>
      <w:r>
        <w:rPr>
          <w:rFonts w:ascii="Arial" w:cs="Arial" w:eastAsia="Arial" w:hAnsi="Arial"/>
          <w:sz w:val="21"/>
          <w:szCs w:val="21"/>
          <w:color w:val="auto"/>
        </w:rPr>
        <w:t>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w:t>
      </w:r>
    </w:p>
    <w:p>
      <w:pPr>
        <w:spacing w:after="0" w:line="157" w:lineRule="exact"/>
        <w:rPr>
          <w:rFonts w:ascii="Arial" w:cs="Arial" w:eastAsia="Arial" w:hAnsi="Arial"/>
          <w:sz w:val="21"/>
          <w:szCs w:val="21"/>
          <w:color w:val="auto"/>
        </w:rPr>
      </w:pPr>
    </w:p>
    <w:p>
      <w:pPr>
        <w:jc w:val="both"/>
        <w:ind w:firstLine="2600"/>
        <w:spacing w:after="0" w:line="218" w:lineRule="auto"/>
        <w:tabs>
          <w:tab w:leader="none" w:pos="3564" w:val="left"/>
        </w:tabs>
        <w:numPr>
          <w:ilvl w:val="2"/>
          <w:numId w:val="44"/>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60" w:lineRule="exact"/>
        <w:rPr>
          <w:rFonts w:ascii="Arial" w:cs="Arial" w:eastAsia="Arial" w:hAnsi="Arial"/>
          <w:sz w:val="22"/>
          <w:szCs w:val="22"/>
          <w:color w:val="auto"/>
        </w:rPr>
      </w:pPr>
    </w:p>
    <w:p>
      <w:pPr>
        <w:ind w:firstLine="2600"/>
        <w:spacing w:after="0" w:line="232" w:lineRule="auto"/>
        <w:tabs>
          <w:tab w:leader="none" w:pos="3552"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58" w:lineRule="exact"/>
        <w:rPr>
          <w:rFonts w:ascii="Arial" w:cs="Arial" w:eastAsia="Arial" w:hAnsi="Arial"/>
          <w:sz w:val="22"/>
          <w:szCs w:val="22"/>
          <w:color w:val="auto"/>
        </w:rPr>
      </w:pPr>
    </w:p>
    <w:p>
      <w:pPr>
        <w:jc w:val="both"/>
        <w:ind w:firstLine="2600"/>
        <w:spacing w:after="0" w:line="218" w:lineRule="auto"/>
        <w:tabs>
          <w:tab w:leader="none" w:pos="3492"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60" w:lineRule="exact"/>
        <w:rPr>
          <w:rFonts w:ascii="Arial" w:cs="Arial" w:eastAsia="Arial" w:hAnsi="Arial"/>
          <w:sz w:val="22"/>
          <w:szCs w:val="22"/>
          <w:color w:val="auto"/>
        </w:rPr>
      </w:pPr>
    </w:p>
    <w:p>
      <w:pPr>
        <w:ind w:firstLine="2600"/>
        <w:spacing w:after="0" w:line="232" w:lineRule="auto"/>
        <w:tabs>
          <w:tab w:leader="none" w:pos="3552" w:val="left"/>
        </w:tabs>
        <w:numPr>
          <w:ilvl w:val="2"/>
          <w:numId w:val="44"/>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58" w:lineRule="exact"/>
        <w:rPr>
          <w:rFonts w:ascii="Arial" w:cs="Arial" w:eastAsia="Arial" w:hAnsi="Arial"/>
          <w:sz w:val="22"/>
          <w:szCs w:val="22"/>
          <w:color w:val="auto"/>
        </w:rPr>
      </w:pPr>
    </w:p>
    <w:p>
      <w:pPr>
        <w:ind w:left="3620" w:hanging="1020"/>
        <w:spacing w:after="0"/>
        <w:tabs>
          <w:tab w:leader="none" w:pos="3620" w:val="left"/>
        </w:tabs>
        <w:numPr>
          <w:ilvl w:val="2"/>
          <w:numId w:val="44"/>
        </w:numPr>
        <w:rPr>
          <w:rFonts w:ascii="Arial" w:cs="Arial" w:eastAsia="Arial" w:hAnsi="Arial"/>
          <w:sz w:val="22"/>
          <w:szCs w:val="22"/>
          <w:color w:val="auto"/>
        </w:rPr>
      </w:pPr>
      <w:r>
        <w:rPr>
          <w:rFonts w:ascii="Arial" w:cs="Arial" w:eastAsia="Arial" w:hAnsi="Arial"/>
          <w:sz w:val="22"/>
          <w:szCs w:val="22"/>
          <w:color w:val="auto"/>
        </w:rPr>
        <w:t>Material breach by the Executive of any of the provisions of the PIIA; and</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672" w:val="left"/>
        </w:tabs>
        <w:numPr>
          <w:ilvl w:val="2"/>
          <w:numId w:val="44"/>
        </w:numPr>
        <w:rPr>
          <w:rFonts w:ascii="Arial" w:cs="Arial" w:eastAsia="Arial" w:hAnsi="Arial"/>
          <w:sz w:val="22"/>
          <w:szCs w:val="22"/>
          <w:color w:val="auto"/>
        </w:rPr>
      </w:pPr>
      <w:r>
        <w:rPr>
          <w:rFonts w:ascii="Arial" w:cs="Arial" w:eastAsia="Arial" w:hAnsi="Arial"/>
          <w:sz w:val="22"/>
          <w:szCs w:val="22"/>
          <w:color w:val="auto"/>
        </w:rPr>
        <w:t>Material breach by the Executive of any provision of this Agreement other than those contained in the PIIA, which is not cured by the Executive within thirty (30) business days after notice thereof is given to the Executive by the Company.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jc w:val="both"/>
        <w:ind w:firstLine="1735"/>
        <w:spacing w:after="0" w:line="241" w:lineRule="auto"/>
        <w:tabs>
          <w:tab w:leader="none" w:pos="2681" w:val="left"/>
        </w:tabs>
        <w:numPr>
          <w:ilvl w:val="0"/>
          <w:numId w:val="45"/>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Chief Executive Officer due to the Executive’s Disability. For purposes of this Agreement, a termination for “</w:t>
      </w:r>
      <w:r>
        <w:rPr>
          <w:rFonts w:ascii="Arial" w:cs="Arial" w:eastAsia="Arial" w:hAnsi="Arial"/>
          <w:sz w:val="19"/>
          <w:szCs w:val="19"/>
          <w:b w:val="1"/>
          <w:bCs w:val="1"/>
          <w:color w:val="010000"/>
        </w:rPr>
        <w:t>Disability</w:t>
      </w:r>
      <w:r>
        <w:rPr>
          <w:rFonts w:ascii="Arial" w:cs="Arial" w:eastAsia="Arial" w:hAnsi="Arial"/>
          <w:sz w:val="19"/>
          <w:szCs w:val="19"/>
          <w:color w:val="010000"/>
        </w:rPr>
        <w:t>” shall occur (i) when the Chief Executive Officer has provided a written termination notice to the Executive supported by a written statement from an Independent Physician (as defined below)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7(b), the Executive agrees to make himself available and to cooperate in any reasonable examination by a reputable independent physician mutually selected by the Company and the Executive, or the Executive’s legal representatives in the event the Executive is unable to make such selection due to mental incapacity, and paid for by the Company (</w:t>
      </w:r>
      <w:r>
        <w:rPr>
          <w:rFonts w:ascii="Arial" w:cs="Arial" w:eastAsia="Arial" w:hAnsi="Arial"/>
          <w:sz w:val="19"/>
          <w:szCs w:val="19"/>
          <w:b w:val="1"/>
          <w:bCs w:val="1"/>
          <w:color w:val="010000"/>
        </w:rPr>
        <w:t>“Independent</w:t>
      </w:r>
      <w:r>
        <w:rPr>
          <w:rFonts w:ascii="Arial" w:cs="Arial" w:eastAsia="Arial" w:hAnsi="Arial"/>
          <w:sz w:val="19"/>
          <w:szCs w:val="19"/>
          <w:color w:val="010000"/>
        </w:rPr>
        <w:t xml:space="preserve"> </w:t>
      </w:r>
      <w:r>
        <w:rPr>
          <w:rFonts w:ascii="Arial" w:cs="Arial" w:eastAsia="Arial" w:hAnsi="Arial"/>
          <w:sz w:val="19"/>
          <w:szCs w:val="19"/>
          <w:b w:val="1"/>
          <w:bCs w:val="1"/>
          <w:color w:val="010000"/>
        </w:rPr>
        <w:t>Physician”</w:t>
      </w:r>
      <w:r>
        <w:rPr>
          <w:rFonts w:ascii="Arial" w:cs="Arial" w:eastAsia="Arial" w:hAnsi="Arial"/>
          <w:sz w:val="19"/>
          <w:szCs w:val="19"/>
          <w:color w:val="010000"/>
        </w:rPr>
        <w:t>). Notwithstanding the foregoing, nothing herein shall give the Company the right to terminate the Executive prior to</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discharging its obligations to the Executive, if any, under the Family and Medical Leave Act, the Americans With Disabilities Act, or any other applicable law. The Company shall reimburse </w:t>
      </w:r>
      <w:r>
        <w:rPr>
          <w:rFonts w:ascii="Arial" w:cs="Arial" w:eastAsia="Arial" w:hAnsi="Arial"/>
          <w:sz w:val="19"/>
          <w:szCs w:val="19"/>
          <w:color w:val="000000"/>
        </w:rPr>
        <w:t>the</w:t>
      </w:r>
      <w:r>
        <w:rPr>
          <w:rFonts w:ascii="Arial" w:cs="Arial" w:eastAsia="Arial" w:hAnsi="Arial"/>
          <w:sz w:val="19"/>
          <w:szCs w:val="19"/>
          <w:color w:val="010000"/>
        </w:rPr>
        <w:t xml:space="preserve"> Executive for the Executive’s actual cost of maintaining a supplementary long-term disability insurance policy during the Term up to a maximum reimbursement of $10,000 per year.</w:t>
      </w:r>
    </w:p>
    <w:p>
      <w:pPr>
        <w:spacing w:after="0" w:line="158" w:lineRule="exact"/>
        <w:rPr>
          <w:rFonts w:ascii="Arial" w:cs="Arial" w:eastAsia="Arial" w:hAnsi="Arial"/>
          <w:sz w:val="19"/>
          <w:szCs w:val="19"/>
          <w:color w:val="010000"/>
        </w:rPr>
      </w:pPr>
    </w:p>
    <w:p>
      <w:pPr>
        <w:jc w:val="both"/>
        <w:ind w:firstLine="1735"/>
        <w:spacing w:after="0" w:line="241" w:lineRule="auto"/>
        <w:tabs>
          <w:tab w:leader="none" w:pos="2615" w:val="left"/>
        </w:tabs>
        <w:numPr>
          <w:ilvl w:val="0"/>
          <w:numId w:val="45"/>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9"/>
          <w:szCs w:val="19"/>
          <w:b w:val="1"/>
          <w:bCs w:val="1"/>
          <w:color w:val="010000"/>
        </w:rPr>
        <w:t>Change of</w:t>
      </w:r>
      <w:r>
        <w:rPr>
          <w:rFonts w:ascii="Arial" w:cs="Arial" w:eastAsia="Arial" w:hAnsi="Arial"/>
          <w:sz w:val="19"/>
          <w:szCs w:val="19"/>
          <w:color w:val="010000"/>
        </w:rPr>
        <w:t xml:space="preserve"> </w:t>
      </w:r>
      <w:r>
        <w:rPr>
          <w:rFonts w:ascii="Arial" w:cs="Arial" w:eastAsia="Arial" w:hAnsi="Arial"/>
          <w:sz w:val="19"/>
          <w:szCs w:val="19"/>
          <w:b w:val="1"/>
          <w:bCs w:val="1"/>
          <w:color w:val="010000"/>
        </w:rPr>
        <w:t>Control</w:t>
      </w:r>
      <w:r>
        <w:rPr>
          <w:rFonts w:ascii="Arial" w:cs="Arial" w:eastAsia="Arial" w:hAnsi="Arial"/>
          <w:sz w:val="19"/>
          <w:szCs w:val="19"/>
          <w:color w:val="010000"/>
        </w:rPr>
        <w:t>” means (i) the acquisition, directly or indirectly, following the Effective Date by any person (as such term is defined in</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19"/>
          <w:szCs w:val="19"/>
          <w:color w:val="000000"/>
        </w:rPr>
        <w:t>Notwithstanding the foregoing, if the Change of Control does not constitute a change in the</w:t>
      </w:r>
      <w:r>
        <w:rPr>
          <w:rFonts w:ascii="Arial" w:cs="Arial" w:eastAsia="Arial" w:hAnsi="Arial"/>
          <w:sz w:val="19"/>
          <w:szCs w:val="19"/>
          <w:color w:val="010000"/>
        </w:rPr>
        <w:t xml:space="preserve"> </w:t>
      </w:r>
      <w:r>
        <w:rPr>
          <w:rFonts w:ascii="Arial" w:cs="Arial" w:eastAsia="Arial" w:hAnsi="Arial"/>
          <w:sz w:val="19"/>
          <w:szCs w:val="19"/>
          <w:color w:val="000000"/>
        </w:rPr>
        <w:t>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19"/>
          <w:szCs w:val="19"/>
          <w:b w:val="1"/>
          <w:bCs w:val="1"/>
          <w:color w:val="000000"/>
        </w:rPr>
        <w:t>Cod</w:t>
      </w:r>
      <w:r>
        <w:rPr>
          <w:rFonts w:ascii="Arial" w:cs="Arial" w:eastAsia="Arial" w:hAnsi="Arial"/>
          <w:sz w:val="19"/>
          <w:szCs w:val="19"/>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381" w:lineRule="exact"/>
        <w:rPr>
          <w:rFonts w:ascii="Arial" w:cs="Arial" w:eastAsia="Arial" w:hAnsi="Arial"/>
          <w:sz w:val="19"/>
          <w:szCs w:val="19"/>
          <w:color w:val="010000"/>
        </w:rPr>
      </w:pPr>
    </w:p>
    <w:p>
      <w:pPr>
        <w:ind w:right="20" w:firstLine="1735"/>
        <w:spacing w:after="0" w:line="232" w:lineRule="auto"/>
        <w:tabs>
          <w:tab w:leader="none" w:pos="2627" w:val="left"/>
        </w:tabs>
        <w:numPr>
          <w:ilvl w:val="0"/>
          <w:numId w:val="45"/>
        </w:numPr>
        <w:rPr>
          <w:rFonts w:ascii="Arial" w:cs="Arial" w:eastAsia="Arial" w:hAnsi="Arial"/>
          <w:sz w:val="22"/>
          <w:szCs w:val="22"/>
          <w:color w:val="010000"/>
        </w:rPr>
      </w:pPr>
      <w:r>
        <w:rPr>
          <w:rFonts w:ascii="Arial" w:cs="Arial" w:eastAsia="Arial" w:hAnsi="Arial"/>
          <w:sz w:val="22"/>
          <w:szCs w:val="22"/>
          <w:color w:val="010000"/>
        </w:rPr>
        <w:t>The Executive’s employment hereunder may be voluntarily terminated by the Executive for Good Reason. For purposes of this Agreement, “</w:t>
      </w:r>
      <w:r>
        <w:rPr>
          <w:rFonts w:ascii="Arial" w:cs="Arial" w:eastAsia="Arial" w:hAnsi="Arial"/>
          <w:sz w:val="22"/>
          <w:szCs w:val="22"/>
          <w:b w:val="1"/>
          <w:bCs w:val="1"/>
          <w:color w:val="010000"/>
        </w:rPr>
        <w:t>Good Reason</w:t>
      </w:r>
      <w:r>
        <w:rPr>
          <w:rFonts w:ascii="Arial" w:cs="Arial" w:eastAsia="Arial" w:hAnsi="Arial"/>
          <w:sz w:val="22"/>
          <w:szCs w:val="22"/>
          <w:color w:val="010000"/>
        </w:rPr>
        <w:t>” shall mean 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1" w:name="page112"/>
    <w:bookmarkEnd w:id="111"/>
    <w:p>
      <w:pPr>
        <w:jc w:val="both"/>
        <w:spacing w:after="0" w:line="238" w:lineRule="auto"/>
        <w:rPr>
          <w:sz w:val="20"/>
          <w:szCs w:val="20"/>
          <w:color w:val="auto"/>
        </w:rPr>
      </w:pPr>
      <w:r>
        <w:rPr>
          <w:rFonts w:ascii="Arial" w:cs="Arial" w:eastAsia="Arial" w:hAnsi="Arial"/>
          <w:sz w:val="19"/>
          <w:szCs w:val="19"/>
          <w:color w:val="010000"/>
        </w:rPr>
        <w:t>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(as defined in Section 8(b) below),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 (iv) any requirement by the Company, without the Executive’s prior written consent, that the Executive locate the Executive’s residence or primary place of employment to a location outside a 50 - 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w:t>
      </w:r>
    </w:p>
    <w:p>
      <w:pPr>
        <w:spacing w:after="0" w:line="7" w:lineRule="exact"/>
        <w:rPr>
          <w:sz w:val="20"/>
          <w:szCs w:val="20"/>
          <w:color w:val="auto"/>
        </w:rPr>
      </w:pPr>
    </w:p>
    <w:p>
      <w:pPr>
        <w:ind w:firstLine="8"/>
        <w:spacing w:after="0" w:line="224" w:lineRule="auto"/>
        <w:tabs>
          <w:tab w:leader="none" w:pos="434" w:val="left"/>
        </w:tabs>
        <w:numPr>
          <w:ilvl w:val="0"/>
          <w:numId w:val="46"/>
        </w:numPr>
        <w:rPr>
          <w:rFonts w:ascii="Arial" w:cs="Arial" w:eastAsia="Arial" w:hAnsi="Arial"/>
          <w:sz w:val="22"/>
          <w:szCs w:val="22"/>
          <w:color w:val="010000"/>
        </w:rPr>
      </w:pPr>
      <w:r>
        <w:rPr>
          <w:rFonts w:ascii="Arial" w:cs="Arial" w:eastAsia="Arial" w:hAnsi="Arial"/>
          <w:sz w:val="22"/>
          <w:szCs w:val="22"/>
          <w:color w:val="010000"/>
        </w:rPr>
        <w:t>days of such written notice, and (z) the Executive’s voluntary termination because of the existence of one or more of the adverse events described above occurs within ninety (90) days of the initial existence of the event.</w:t>
      </w:r>
    </w:p>
    <w:p>
      <w:pPr>
        <w:spacing w:after="0" w:line="157" w:lineRule="exact"/>
        <w:rPr>
          <w:rFonts w:ascii="Arial" w:cs="Arial" w:eastAsia="Arial" w:hAnsi="Arial"/>
          <w:sz w:val="22"/>
          <w:szCs w:val="22"/>
          <w:color w:val="010000"/>
        </w:rPr>
      </w:pPr>
    </w:p>
    <w:p>
      <w:pPr>
        <w:jc w:val="both"/>
        <w:ind w:firstLine="1735"/>
        <w:spacing w:after="0" w:line="234" w:lineRule="auto"/>
        <w:tabs>
          <w:tab w:leader="none" w:pos="2615" w:val="left"/>
        </w:tabs>
        <w:numPr>
          <w:ilvl w:val="2"/>
          <w:numId w:val="46"/>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57" w:lineRule="exact"/>
        <w:rPr>
          <w:rFonts w:ascii="Arial" w:cs="Arial" w:eastAsia="Arial" w:hAnsi="Arial"/>
          <w:sz w:val="21"/>
          <w:szCs w:val="21"/>
          <w:color w:val="010000"/>
        </w:rPr>
      </w:pPr>
    </w:p>
    <w:p>
      <w:pPr>
        <w:ind w:firstLine="1735"/>
        <w:spacing w:after="0" w:line="247" w:lineRule="auto"/>
        <w:tabs>
          <w:tab w:leader="none" w:pos="2591" w:val="left"/>
        </w:tabs>
        <w:numPr>
          <w:ilvl w:val="2"/>
          <w:numId w:val="46"/>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0" w:lineRule="exact"/>
        <w:rPr>
          <w:rFonts w:ascii="Arial" w:cs="Arial" w:eastAsia="Arial" w:hAnsi="Arial"/>
          <w:sz w:val="21"/>
          <w:szCs w:val="21"/>
          <w:color w:val="010000"/>
        </w:rPr>
      </w:pPr>
    </w:p>
    <w:p>
      <w:pPr>
        <w:ind w:left="1680" w:hanging="808"/>
        <w:spacing w:after="0"/>
        <w:tabs>
          <w:tab w:leader="none" w:pos="1680" w:val="left"/>
        </w:tabs>
        <w:numPr>
          <w:ilvl w:val="1"/>
          <w:numId w:val="46"/>
        </w:numPr>
        <w:rPr>
          <w:rFonts w:ascii="Arial" w:cs="Arial" w:eastAsia="Arial" w:hAnsi="Arial"/>
          <w:sz w:val="22"/>
          <w:szCs w:val="22"/>
          <w:b w:val="1"/>
          <w:bCs w:val="1"/>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179" w:lineRule="exact"/>
        <w:rPr>
          <w:rFonts w:ascii="Arial" w:cs="Arial" w:eastAsia="Arial" w:hAnsi="Arial"/>
          <w:sz w:val="22"/>
          <w:szCs w:val="22"/>
          <w:b w:val="1"/>
          <w:bCs w:val="1"/>
          <w:color w:val="010000"/>
        </w:rPr>
      </w:pPr>
    </w:p>
    <w:p>
      <w:pPr>
        <w:jc w:val="both"/>
        <w:ind w:firstLine="1735"/>
        <w:spacing w:after="0" w:line="246" w:lineRule="auto"/>
        <w:tabs>
          <w:tab w:leader="none" w:pos="2615" w:val="left"/>
        </w:tabs>
        <w:numPr>
          <w:ilvl w:val="2"/>
          <w:numId w:val="47"/>
        </w:numPr>
        <w:rPr>
          <w:rFonts w:ascii="Arial" w:cs="Arial" w:eastAsia="Arial" w:hAnsi="Arial"/>
          <w:sz w:val="19"/>
          <w:szCs w:val="19"/>
          <w:color w:val="010000"/>
        </w:rPr>
      </w:pPr>
      <w:r>
        <w:rPr>
          <w:rFonts w:ascii="Arial" w:cs="Arial" w:eastAsia="Arial" w:hAnsi="Arial"/>
          <w:sz w:val="19"/>
          <w:szCs w:val="19"/>
          <w:u w:val="single" w:color="auto"/>
          <w:color w:val="010000"/>
        </w:rPr>
        <w:t>Accrued Benefits</w:t>
      </w:r>
      <w:r>
        <w:rPr>
          <w:rFonts w:ascii="Arial" w:cs="Arial" w:eastAsia="Arial" w:hAnsi="Arial"/>
          <w:sz w:val="19"/>
          <w:szCs w:val="19"/>
          <w:color w:val="010000"/>
        </w:rPr>
        <w:t>. Upon termination of the Executive’s employment by either party regardless of the cause or reason, the Executive shall be entitled to the following, referred to herein as the “</w:t>
      </w:r>
      <w:r>
        <w:rPr>
          <w:rFonts w:ascii="Arial" w:cs="Arial" w:eastAsia="Arial" w:hAnsi="Arial"/>
          <w:sz w:val="19"/>
          <w:szCs w:val="19"/>
          <w:b w:val="1"/>
          <w:bCs w:val="1"/>
          <w:color w:val="010000"/>
        </w:rPr>
        <w:t>Accrued Benefits</w:t>
      </w:r>
      <w:r>
        <w:rPr>
          <w:rFonts w:ascii="Arial" w:cs="Arial" w:eastAsia="Arial" w:hAnsi="Arial"/>
          <w:sz w:val="19"/>
          <w:szCs w:val="19"/>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2" w:name="page113"/>
    <w:bookmarkEnd w:id="112"/>
    <w:p>
      <w:pPr>
        <w:spacing w:after="0" w:line="232" w:lineRule="auto"/>
        <w:rPr>
          <w:sz w:val="20"/>
          <w:szCs w:val="20"/>
          <w:color w:val="auto"/>
        </w:rPr>
      </w:pPr>
      <w:r>
        <w:rPr>
          <w:rFonts w:ascii="Arial" w:cs="Arial" w:eastAsia="Arial" w:hAnsi="Arial"/>
          <w:sz w:val="22"/>
          <w:szCs w:val="22"/>
          <w:color w:val="010000"/>
        </w:rPr>
        <w:t>8, the vested portion of any stock options held by the Executive as of the Executive’s termination date shall remain exercisable for ninety (90) days following such termination.</w:t>
      </w:r>
    </w:p>
    <w:p>
      <w:pPr>
        <w:spacing w:after="0" w:line="159" w:lineRule="exact"/>
        <w:rPr>
          <w:sz w:val="20"/>
          <w:szCs w:val="20"/>
          <w:color w:val="auto"/>
        </w:rPr>
      </w:pPr>
    </w:p>
    <w:p>
      <w:pPr>
        <w:jc w:val="both"/>
        <w:ind w:firstLine="1735"/>
        <w:spacing w:after="0" w:line="239" w:lineRule="auto"/>
        <w:tabs>
          <w:tab w:leader="none" w:pos="2627"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by the Company due to Disability pursuant to Section 7(b), by the Company without Cause pursuant to Section </w:t>
      </w:r>
      <w:r>
        <w:rPr>
          <w:rFonts w:ascii="Arial" w:cs="Arial" w:eastAsia="Arial" w:hAnsi="Arial"/>
          <w:sz w:val="19"/>
          <w:szCs w:val="19"/>
          <w:color w:val="010000"/>
        </w:rPr>
        <w:t>7</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7</w:t>
      </w:r>
      <w:r>
        <w:rPr>
          <w:rFonts w:ascii="Arial" w:cs="Arial" w:eastAsia="Arial" w:hAnsi="Arial"/>
          <w:sz w:val="19"/>
          <w:szCs w:val="19"/>
          <w:color w:val="auto"/>
        </w:rPr>
        <w:t>(d) and such termination occurs during the period beginning on the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color w:val="010000"/>
        </w:rPr>
        <w:t>the</w:t>
      </w:r>
      <w:r>
        <w:rPr>
          <w:rFonts w:ascii="Arial" w:cs="Arial" w:eastAsia="Arial" w:hAnsi="Arial"/>
          <w:sz w:val="19"/>
          <w:szCs w:val="19"/>
          <w:color w:val="auto"/>
        </w:rPr>
        <w:t xml:space="preserve"> Executive signs and does not revoke a general release of claims against the Company within the time period specified therein (which time period shall not exceed sixty (60) days), substantially in the form attached hereto as Exhibit A, with such changes as may be further necessitated by changes in applicable law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twelve (12) months of the Executive’s then-current 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 Control Separation Pay</w:t>
      </w:r>
      <w:r>
        <w:rPr>
          <w:rFonts w:ascii="Arial" w:cs="Arial" w:eastAsia="Arial" w:hAnsi="Arial"/>
          <w:sz w:val="19"/>
          <w:szCs w:val="19"/>
          <w:color w:val="auto"/>
        </w:rPr>
        <w:t>”);</w:t>
      </w:r>
    </w:p>
    <w:p>
      <w:pPr>
        <w:spacing w:after="0" w:line="2" w:lineRule="exact"/>
        <w:rPr>
          <w:rFonts w:ascii="Arial" w:cs="Arial" w:eastAsia="Arial" w:hAnsi="Arial"/>
          <w:sz w:val="19"/>
          <w:szCs w:val="19"/>
          <w:color w:val="010000"/>
        </w:rPr>
      </w:pPr>
    </w:p>
    <w:p>
      <w:pPr>
        <w:jc w:val="both"/>
        <w:ind w:firstLine="8"/>
        <w:spacing w:after="0" w:line="241" w:lineRule="auto"/>
        <w:tabs>
          <w:tab w:leader="none" w:pos="37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immediate vesting in full of all Equity Awards with time based vesting;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60" w:lineRule="exact"/>
        <w:rPr>
          <w:rFonts w:ascii="Arial" w:cs="Arial" w:eastAsia="Arial" w:hAnsi="Arial"/>
          <w:sz w:val="19"/>
          <w:szCs w:val="19"/>
          <w:color w:val="auto"/>
        </w:rPr>
      </w:pPr>
    </w:p>
    <w:p>
      <w:pPr>
        <w:jc w:val="both"/>
        <w:ind w:firstLine="1735"/>
        <w:spacing w:after="0" w:line="242" w:lineRule="auto"/>
        <w:tabs>
          <w:tab w:leader="none" w:pos="2615" w:val="left"/>
        </w:tabs>
        <w:numPr>
          <w:ilvl w:val="1"/>
          <w:numId w:val="49"/>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3" w:name="page114"/>
    <w:bookmarkEnd w:id="113"/>
    <w:p>
      <w:pPr>
        <w:jc w:val="both"/>
        <w:spacing w:after="0" w:line="241" w:lineRule="auto"/>
        <w:rPr>
          <w:sz w:val="20"/>
          <w:szCs w:val="20"/>
          <w:color w:val="auto"/>
        </w:rPr>
      </w:pPr>
      <w:r>
        <w:rPr>
          <w:rFonts w:ascii="Arial" w:cs="Arial" w:eastAsia="Arial" w:hAnsi="Arial"/>
          <w:sz w:val="19"/>
          <w:szCs w:val="19"/>
          <w:color w:val="010000"/>
        </w:rPr>
        <w:t xml:space="preserve">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 following the termination date. The Executive understands that if the Executive is 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381" w:lineRule="exact"/>
        <w:rPr>
          <w:sz w:val="20"/>
          <w:szCs w:val="20"/>
          <w:color w:val="auto"/>
        </w:rPr>
      </w:pPr>
    </w:p>
    <w:p>
      <w:pPr>
        <w:jc w:val="both"/>
        <w:ind w:firstLine="1735"/>
        <w:spacing w:after="0" w:line="218" w:lineRule="auto"/>
        <w:tabs>
          <w:tab w:leader="none" w:pos="2627" w:val="left"/>
        </w:tabs>
        <w:numPr>
          <w:ilvl w:val="1"/>
          <w:numId w:val="50"/>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60" w:lineRule="exact"/>
        <w:rPr>
          <w:rFonts w:ascii="Arial" w:cs="Arial" w:eastAsia="Arial" w:hAnsi="Arial"/>
          <w:sz w:val="22"/>
          <w:szCs w:val="22"/>
          <w:color w:val="010000"/>
        </w:rPr>
      </w:pPr>
    </w:p>
    <w:p>
      <w:pPr>
        <w:jc w:val="both"/>
        <w:ind w:firstLine="1735"/>
        <w:spacing w:after="0" w:line="234" w:lineRule="auto"/>
        <w:tabs>
          <w:tab w:leader="none" w:pos="2615" w:val="left"/>
        </w:tabs>
        <w:numPr>
          <w:ilvl w:val="1"/>
          <w:numId w:val="50"/>
        </w:numPr>
        <w:rPr>
          <w:rFonts w:ascii="Arial" w:cs="Arial" w:eastAsia="Arial" w:hAnsi="Arial"/>
          <w:sz w:val="21"/>
          <w:szCs w:val="21"/>
          <w:color w:val="010000"/>
        </w:rPr>
      </w:pPr>
      <w:r>
        <w:rPr>
          <w:rFonts w:ascii="Arial" w:cs="Arial" w:eastAsia="Arial" w:hAnsi="Arial"/>
          <w:sz w:val="21"/>
          <w:szCs w:val="21"/>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57" w:lineRule="exact"/>
        <w:rPr>
          <w:rFonts w:ascii="Arial" w:cs="Arial" w:eastAsia="Arial" w:hAnsi="Arial"/>
          <w:sz w:val="21"/>
          <w:szCs w:val="21"/>
          <w:color w:val="010000"/>
        </w:rPr>
      </w:pPr>
    </w:p>
    <w:p>
      <w:pPr>
        <w:ind w:left="2600" w:hanging="865"/>
        <w:spacing w:after="0"/>
        <w:tabs>
          <w:tab w:leader="none" w:pos="2600" w:val="left"/>
        </w:tabs>
        <w:numPr>
          <w:ilvl w:val="1"/>
          <w:numId w:val="50"/>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179" w:lineRule="exact"/>
        <w:rPr>
          <w:rFonts w:ascii="Arial" w:cs="Arial" w:eastAsia="Arial" w:hAnsi="Arial"/>
          <w:sz w:val="22"/>
          <w:szCs w:val="22"/>
          <w:color w:val="010000"/>
        </w:rPr>
      </w:pPr>
    </w:p>
    <w:p>
      <w:pPr>
        <w:jc w:val="both"/>
        <w:ind w:firstLine="872"/>
        <w:spacing w:after="0" w:line="234" w:lineRule="auto"/>
        <w:tabs>
          <w:tab w:leader="none" w:pos="1674" w:val="left"/>
        </w:tabs>
        <w:numPr>
          <w:ilvl w:val="0"/>
          <w:numId w:val="51"/>
        </w:numPr>
        <w:rPr>
          <w:rFonts w:ascii="Arial" w:cs="Arial" w:eastAsia="Arial" w:hAnsi="Arial"/>
          <w:sz w:val="21"/>
          <w:szCs w:val="21"/>
          <w:b w:val="1"/>
          <w:bCs w:val="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57" w:lineRule="exact"/>
        <w:rPr>
          <w:rFonts w:ascii="Arial" w:cs="Arial" w:eastAsia="Arial" w:hAnsi="Arial"/>
          <w:sz w:val="21"/>
          <w:szCs w:val="21"/>
          <w:b w:val="1"/>
          <w:bCs w:val="1"/>
          <w:color w:val="010000"/>
        </w:rPr>
      </w:pPr>
    </w:p>
    <w:p>
      <w:pPr>
        <w:ind w:firstLine="1735"/>
        <w:spacing w:after="0" w:line="232" w:lineRule="auto"/>
        <w:tabs>
          <w:tab w:leader="none" w:pos="2615" w:val="left"/>
        </w:tabs>
        <w:numPr>
          <w:ilvl w:val="1"/>
          <w:numId w:val="51"/>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58" w:lineRule="exact"/>
        <w:rPr>
          <w:rFonts w:ascii="Arial" w:cs="Arial" w:eastAsia="Arial" w:hAnsi="Arial"/>
          <w:sz w:val="22"/>
          <w:szCs w:val="22"/>
          <w:color w:val="010000"/>
        </w:rPr>
      </w:pPr>
    </w:p>
    <w:p>
      <w:pPr>
        <w:jc w:val="both"/>
        <w:ind w:firstLine="1735"/>
        <w:spacing w:after="0" w:line="298" w:lineRule="auto"/>
        <w:tabs>
          <w:tab w:leader="none" w:pos="2627" w:val="left"/>
        </w:tabs>
        <w:numPr>
          <w:ilvl w:val="1"/>
          <w:numId w:val="51"/>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4" w:name="page115"/>
    <w:bookmarkEnd w:id="114"/>
    <w:p>
      <w:pPr>
        <w:jc w:val="both"/>
        <w:ind w:firstLine="1735"/>
        <w:spacing w:after="0" w:line="242" w:lineRule="auto"/>
        <w:tabs>
          <w:tab w:leader="none" w:pos="2615" w:val="left"/>
        </w:tabs>
        <w:numPr>
          <w:ilvl w:val="2"/>
          <w:numId w:val="52"/>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w:t>
      </w:r>
    </w:p>
    <w:p>
      <w:pPr>
        <w:jc w:val="both"/>
        <w:ind w:firstLine="8"/>
        <w:spacing w:after="0" w:line="211" w:lineRule="auto"/>
        <w:tabs>
          <w:tab w:leader="none" w:pos="321" w:val="left"/>
        </w:tabs>
        <w:numPr>
          <w:ilvl w:val="0"/>
          <w:numId w:val="53"/>
        </w:numPr>
        <w:rPr>
          <w:rFonts w:ascii="Arial" w:cs="Arial" w:eastAsia="Arial" w:hAnsi="Arial"/>
          <w:sz w:val="22"/>
          <w:szCs w:val="22"/>
          <w:color w:val="010000"/>
        </w:rPr>
      </w:pPr>
      <w:r>
        <w:rPr>
          <w:rFonts w:ascii="Arial" w:cs="Arial" w:eastAsia="Arial" w:hAnsi="Arial"/>
          <w:sz w:val="22"/>
          <w:szCs w:val="22"/>
          <w:color w:val="010000"/>
        </w:rPr>
        <w:t>day after such separation from service or the Executive’s death (the “</w:t>
      </w:r>
      <w:r>
        <w:rPr>
          <w:rFonts w:ascii="Arial" w:cs="Arial" w:eastAsia="Arial" w:hAnsi="Arial"/>
          <w:sz w:val="22"/>
          <w:szCs w:val="22"/>
          <w:b w:val="1"/>
          <w:bCs w:val="1"/>
          <w:color w:val="010000"/>
        </w:rPr>
        <w:t>New Payment Date</w:t>
      </w:r>
      <w:r>
        <w:rPr>
          <w:rFonts w:ascii="Arial" w:cs="Arial" w:eastAsia="Arial" w:hAnsi="Arial"/>
          <w:sz w:val="22"/>
          <w:szCs w:val="22"/>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59" w:lineRule="exact"/>
        <w:rPr>
          <w:rFonts w:ascii="Arial" w:cs="Arial" w:eastAsia="Arial" w:hAnsi="Arial"/>
          <w:sz w:val="22"/>
          <w:szCs w:val="22"/>
          <w:color w:val="010000"/>
        </w:rPr>
      </w:pPr>
    </w:p>
    <w:p>
      <w:pPr>
        <w:jc w:val="both"/>
        <w:ind w:firstLine="1735"/>
        <w:spacing w:after="0" w:line="226" w:lineRule="auto"/>
        <w:tabs>
          <w:tab w:leader="none" w:pos="2627" w:val="left"/>
        </w:tabs>
        <w:numPr>
          <w:ilvl w:val="2"/>
          <w:numId w:val="53"/>
        </w:numPr>
        <w:rPr>
          <w:rFonts w:ascii="Arial" w:cs="Arial" w:eastAsia="Arial" w:hAnsi="Arial"/>
          <w:sz w:val="21"/>
          <w:szCs w:val="21"/>
          <w:color w:val="010000"/>
        </w:rPr>
      </w:pPr>
      <w:r>
        <w:rPr>
          <w:rFonts w:ascii="Arial" w:cs="Arial" w:eastAsia="Arial" w:hAnsi="Arial"/>
          <w:sz w:val="21"/>
          <w:szCs w:val="21"/>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59" w:lineRule="exact"/>
        <w:rPr>
          <w:rFonts w:ascii="Arial" w:cs="Arial" w:eastAsia="Arial" w:hAnsi="Arial"/>
          <w:sz w:val="21"/>
          <w:szCs w:val="21"/>
          <w:color w:val="010000"/>
        </w:rPr>
      </w:pPr>
    </w:p>
    <w:p>
      <w:pPr>
        <w:jc w:val="both"/>
        <w:ind w:firstLine="1735"/>
        <w:spacing w:after="0" w:line="234" w:lineRule="auto"/>
        <w:tabs>
          <w:tab w:leader="none" w:pos="2615" w:val="left"/>
        </w:tabs>
        <w:numPr>
          <w:ilvl w:val="2"/>
          <w:numId w:val="53"/>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7" w:lineRule="exact"/>
        <w:rPr>
          <w:rFonts w:ascii="Arial" w:cs="Arial" w:eastAsia="Arial" w:hAnsi="Arial"/>
          <w:sz w:val="21"/>
          <w:szCs w:val="21"/>
          <w:color w:val="010000"/>
        </w:rPr>
      </w:pPr>
    </w:p>
    <w:p>
      <w:pPr>
        <w:ind w:left="2600" w:hanging="865"/>
        <w:spacing w:after="0"/>
        <w:tabs>
          <w:tab w:leader="none" w:pos="2600" w:val="left"/>
        </w:tabs>
        <w:numPr>
          <w:ilvl w:val="2"/>
          <w:numId w:val="53"/>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179" w:lineRule="exact"/>
        <w:rPr>
          <w:rFonts w:ascii="Arial" w:cs="Arial" w:eastAsia="Arial" w:hAnsi="Arial"/>
          <w:sz w:val="22"/>
          <w:szCs w:val="22"/>
          <w:color w:val="010000"/>
        </w:rPr>
      </w:pPr>
    </w:p>
    <w:p>
      <w:pPr>
        <w:ind w:left="1780" w:hanging="908"/>
        <w:spacing w:after="0"/>
        <w:tabs>
          <w:tab w:leader="none" w:pos="1780" w:val="left"/>
        </w:tabs>
        <w:numPr>
          <w:ilvl w:val="1"/>
          <w:numId w:val="53"/>
        </w:numPr>
        <w:rPr>
          <w:rFonts w:ascii="Arial" w:cs="Arial" w:eastAsia="Arial" w:hAnsi="Arial"/>
          <w:sz w:val="22"/>
          <w:szCs w:val="22"/>
          <w:b w:val="1"/>
          <w:bCs w:val="1"/>
          <w:color w:val="010000"/>
        </w:rPr>
      </w:pPr>
      <w:r>
        <w:rPr>
          <w:rFonts w:ascii="Arial" w:cs="Arial" w:eastAsia="Arial" w:hAnsi="Arial"/>
          <w:sz w:val="22"/>
          <w:szCs w:val="22"/>
          <w:u w:val="single" w:color="auto"/>
          <w:color w:val="010000"/>
        </w:rPr>
        <w:t>Section 280G.</w:t>
      </w:r>
    </w:p>
    <w:p>
      <w:pPr>
        <w:spacing w:after="0" w:line="179" w:lineRule="exact"/>
        <w:rPr>
          <w:rFonts w:ascii="Arial" w:cs="Arial" w:eastAsia="Arial" w:hAnsi="Arial"/>
          <w:sz w:val="22"/>
          <w:szCs w:val="22"/>
          <w:b w:val="1"/>
          <w:bCs w:val="1"/>
          <w:color w:val="010000"/>
        </w:rPr>
      </w:pPr>
    </w:p>
    <w:p>
      <w:pPr>
        <w:jc w:val="both"/>
        <w:ind w:firstLine="1735"/>
        <w:spacing w:after="0" w:line="242" w:lineRule="auto"/>
        <w:tabs>
          <w:tab w:leader="none" w:pos="2615" w:val="left"/>
        </w:tabs>
        <w:numPr>
          <w:ilvl w:val="2"/>
          <w:numId w:val="54"/>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5" w:name="page116"/>
    <w:bookmarkEnd w:id="115"/>
    <w:p>
      <w:pPr>
        <w:jc w:val="both"/>
        <w:ind w:firstLine="1735"/>
        <w:spacing w:after="0" w:line="216" w:lineRule="auto"/>
        <w:tabs>
          <w:tab w:leader="none" w:pos="2627"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57" w:lineRule="exact"/>
        <w:rPr>
          <w:rFonts w:ascii="Arial" w:cs="Arial" w:eastAsia="Arial" w:hAnsi="Arial"/>
          <w:sz w:val="22"/>
          <w:szCs w:val="22"/>
          <w:color w:val="010000"/>
        </w:rPr>
      </w:pPr>
    </w:p>
    <w:p>
      <w:pPr>
        <w:jc w:val="both"/>
        <w:ind w:firstLine="1735"/>
        <w:spacing w:after="0" w:line="244" w:lineRule="auto"/>
        <w:tabs>
          <w:tab w:leader="none" w:pos="2615"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Any determination required under this Section 10 shall be made in writing in good faith by the accounting firm that was the Company’s independent auditor immediately before the Change of Control (the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Firm</w:t>
      </w:r>
      <w:r>
        <w:rPr>
          <w:rFonts w:ascii="Arial" w:cs="Arial" w:eastAsia="Arial" w:hAnsi="Arial"/>
          <w:sz w:val="19"/>
          <w:szCs w:val="19"/>
          <w:color w:val="auto"/>
        </w:rPr>
        <w:t>”). The Accounting Firm shall provide detailed supporting calculations to the Company and the Executive as requested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the Executive. The Company and the Executive shall provide the Accounting Firm with such information and documents as the Accounting Firm may reasonably request in order to make a 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spacing w:after="0" w:line="160" w:lineRule="exact"/>
        <w:rPr>
          <w:rFonts w:ascii="Arial" w:cs="Arial" w:eastAsia="Arial" w:hAnsi="Arial"/>
          <w:sz w:val="19"/>
          <w:szCs w:val="19"/>
          <w:color w:val="010000"/>
        </w:rPr>
      </w:pPr>
    </w:p>
    <w:p>
      <w:pPr>
        <w:jc w:val="both"/>
        <w:ind w:firstLine="1735"/>
        <w:spacing w:after="0" w:line="223" w:lineRule="auto"/>
        <w:tabs>
          <w:tab w:leader="none" w:pos="2627"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58" w:lineRule="exact"/>
        <w:rPr>
          <w:rFonts w:ascii="Arial" w:cs="Arial" w:eastAsia="Arial" w:hAnsi="Arial"/>
          <w:sz w:val="22"/>
          <w:szCs w:val="22"/>
          <w:color w:val="010000"/>
        </w:rPr>
      </w:pPr>
    </w:p>
    <w:p>
      <w:pPr>
        <w:jc w:val="both"/>
        <w:ind w:firstLine="2600"/>
        <w:spacing w:after="0" w:line="226" w:lineRule="auto"/>
        <w:tabs>
          <w:tab w:leader="none" w:pos="3444" w:val="left"/>
        </w:tabs>
        <w:numPr>
          <w:ilvl w:val="2"/>
          <w:numId w:val="55"/>
        </w:numPr>
        <w:rPr>
          <w:rFonts w:ascii="Arial" w:cs="Arial" w:eastAsia="Arial" w:hAnsi="Arial"/>
          <w:sz w:val="21"/>
          <w:szCs w:val="21"/>
          <w:color w:val="010000"/>
        </w:rPr>
      </w:pPr>
      <w:r>
        <w:rPr>
          <w:rFonts w:ascii="Arial" w:cs="Arial" w:eastAsia="Arial" w:hAnsi="Arial"/>
          <w:sz w:val="21"/>
          <w:szCs w:val="21"/>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59" w:lineRule="exact"/>
        <w:rPr>
          <w:rFonts w:ascii="Arial" w:cs="Arial" w:eastAsia="Arial" w:hAnsi="Arial"/>
          <w:sz w:val="21"/>
          <w:szCs w:val="21"/>
          <w:color w:val="010000"/>
        </w:rPr>
      </w:pPr>
    </w:p>
    <w:p>
      <w:pPr>
        <w:jc w:val="both"/>
        <w:ind w:firstLine="2600"/>
        <w:spacing w:after="0" w:line="218" w:lineRule="auto"/>
        <w:tabs>
          <w:tab w:leader="none" w:pos="3504" w:val="left"/>
        </w:tabs>
        <w:numPr>
          <w:ilvl w:val="2"/>
          <w:numId w:val="55"/>
        </w:numPr>
        <w:rPr>
          <w:rFonts w:ascii="Arial" w:cs="Arial" w:eastAsia="Arial" w:hAnsi="Arial"/>
          <w:sz w:val="22"/>
          <w:szCs w:val="22"/>
          <w:color w:val="010000"/>
        </w:rPr>
      </w:pPr>
      <w:r>
        <w:rPr>
          <w:rFonts w:ascii="Arial" w:cs="Arial" w:eastAsia="Arial" w:hAnsi="Arial"/>
          <w:sz w:val="22"/>
          <w:szCs w:val="22"/>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60" w:lineRule="exact"/>
        <w:rPr>
          <w:rFonts w:ascii="Arial" w:cs="Arial" w:eastAsia="Arial" w:hAnsi="Arial"/>
          <w:sz w:val="22"/>
          <w:szCs w:val="22"/>
          <w:color w:val="010000"/>
        </w:rPr>
      </w:pPr>
    </w:p>
    <w:p>
      <w:pPr>
        <w:ind w:left="1780" w:hanging="908"/>
        <w:spacing w:after="0"/>
        <w:tabs>
          <w:tab w:leader="none" w:pos="1780" w:val="left"/>
        </w:tabs>
        <w:numPr>
          <w:ilvl w:val="0"/>
          <w:numId w:val="56"/>
        </w:numPr>
        <w:rPr>
          <w:rFonts w:ascii="Arial" w:cs="Arial" w:eastAsia="Arial" w:hAnsi="Arial"/>
          <w:sz w:val="22"/>
          <w:szCs w:val="22"/>
          <w:b w:val="1"/>
          <w:bCs w:val="1"/>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179" w:lineRule="exact"/>
        <w:rPr>
          <w:rFonts w:ascii="Arial" w:cs="Arial" w:eastAsia="Arial" w:hAnsi="Arial"/>
          <w:sz w:val="22"/>
          <w:szCs w:val="22"/>
          <w:b w:val="1"/>
          <w:bCs w:val="1"/>
          <w:color w:val="010000"/>
        </w:rPr>
      </w:pPr>
    </w:p>
    <w:p>
      <w:pPr>
        <w:ind w:firstLine="1735"/>
        <w:spacing w:after="0" w:line="232" w:lineRule="auto"/>
        <w:tabs>
          <w:tab w:leader="none" w:pos="2615" w:val="left"/>
        </w:tabs>
        <w:numPr>
          <w:ilvl w:val="1"/>
          <w:numId w:val="56"/>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58" w:lineRule="exact"/>
        <w:rPr>
          <w:rFonts w:ascii="Arial" w:cs="Arial" w:eastAsia="Arial" w:hAnsi="Arial"/>
          <w:sz w:val="22"/>
          <w:szCs w:val="22"/>
          <w:color w:val="010000"/>
        </w:rPr>
      </w:pPr>
    </w:p>
    <w:p>
      <w:pPr>
        <w:jc w:val="both"/>
        <w:ind w:firstLine="1735"/>
        <w:spacing w:after="0" w:line="218" w:lineRule="auto"/>
        <w:tabs>
          <w:tab w:leader="none" w:pos="2627" w:val="left"/>
        </w:tabs>
        <w:numPr>
          <w:ilvl w:val="1"/>
          <w:numId w:val="56"/>
        </w:numPr>
        <w:rPr>
          <w:rFonts w:ascii="Arial" w:cs="Arial" w:eastAsia="Arial" w:hAnsi="Arial"/>
          <w:sz w:val="22"/>
          <w:szCs w:val="22"/>
          <w:color w:val="010000"/>
        </w:rPr>
      </w:pPr>
      <w:r>
        <w:rPr>
          <w:rFonts w:ascii="Arial" w:cs="Arial" w:eastAsia="Arial" w:hAnsi="Arial"/>
          <w:sz w:val="22"/>
          <w:szCs w:val="22"/>
          <w:color w:val="010000"/>
        </w:rPr>
        <w:t>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6" w:name="page117"/>
    <w:bookmarkEnd w:id="116"/>
    <w:p>
      <w:pPr>
        <w:spacing w:after="0" w:line="232" w:lineRule="auto"/>
        <w:rPr>
          <w:sz w:val="20"/>
          <w:szCs w:val="20"/>
          <w:color w:val="auto"/>
        </w:rPr>
      </w:pPr>
      <w:r>
        <w:rPr>
          <w:rFonts w:ascii="Arial" w:cs="Arial" w:eastAsia="Arial" w:hAnsi="Arial"/>
          <w:sz w:val="22"/>
          <w:szCs w:val="22"/>
          <w:color w:val="010000"/>
        </w:rPr>
        <w:t xml:space="preserve">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22"/>
          <w:szCs w:val="22"/>
          <w:color w:val="000000"/>
        </w:rPr>
        <w:t>11</w:t>
      </w:r>
      <w:r>
        <w:rPr>
          <w:rFonts w:ascii="Arial" w:cs="Arial" w:eastAsia="Arial" w:hAnsi="Arial"/>
          <w:sz w:val="22"/>
          <w:szCs w:val="22"/>
          <w:color w:val="010000"/>
        </w:rPr>
        <w:t>(g) below.</w:t>
      </w:r>
    </w:p>
    <w:p>
      <w:pPr>
        <w:spacing w:after="0" w:line="159" w:lineRule="exact"/>
        <w:rPr>
          <w:sz w:val="20"/>
          <w:szCs w:val="20"/>
          <w:color w:val="auto"/>
        </w:rPr>
      </w:pPr>
    </w:p>
    <w:p>
      <w:pPr>
        <w:ind w:firstLine="1735"/>
        <w:spacing w:after="0" w:line="232" w:lineRule="auto"/>
        <w:tabs>
          <w:tab w:leader="none" w:pos="2615"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58" w:lineRule="exact"/>
        <w:rPr>
          <w:rFonts w:ascii="Arial" w:cs="Arial" w:eastAsia="Arial" w:hAnsi="Arial"/>
          <w:sz w:val="22"/>
          <w:szCs w:val="22"/>
          <w:color w:val="010000"/>
        </w:rPr>
      </w:pPr>
    </w:p>
    <w:p>
      <w:pPr>
        <w:jc w:val="both"/>
        <w:ind w:firstLine="1735"/>
        <w:spacing w:after="0" w:line="218" w:lineRule="auto"/>
        <w:tabs>
          <w:tab w:leader="none" w:pos="2627"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60" w:lineRule="exact"/>
        <w:rPr>
          <w:rFonts w:ascii="Arial" w:cs="Arial" w:eastAsia="Arial" w:hAnsi="Arial"/>
          <w:sz w:val="22"/>
          <w:szCs w:val="22"/>
          <w:color w:val="010000"/>
        </w:rPr>
      </w:pPr>
    </w:p>
    <w:p>
      <w:pPr>
        <w:ind w:firstLine="1735"/>
        <w:spacing w:after="0" w:line="232" w:lineRule="auto"/>
        <w:tabs>
          <w:tab w:leader="none" w:pos="2615"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58" w:lineRule="exact"/>
        <w:rPr>
          <w:rFonts w:ascii="Arial" w:cs="Arial" w:eastAsia="Arial" w:hAnsi="Arial"/>
          <w:sz w:val="22"/>
          <w:szCs w:val="22"/>
          <w:color w:val="010000"/>
        </w:rPr>
      </w:pPr>
    </w:p>
    <w:p>
      <w:pPr>
        <w:jc w:val="both"/>
        <w:ind w:firstLine="1735"/>
        <w:spacing w:after="0" w:line="257" w:lineRule="auto"/>
        <w:tabs>
          <w:tab w:leader="none" w:pos="2591" w:val="left"/>
        </w:tabs>
        <w:numPr>
          <w:ilvl w:val="0"/>
          <w:numId w:val="57"/>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4" w:lineRule="exact"/>
        <w:rPr>
          <w:rFonts w:ascii="Arial" w:cs="Arial" w:eastAsia="Arial" w:hAnsi="Arial"/>
          <w:sz w:val="19"/>
          <w:szCs w:val="19"/>
          <w:color w:val="010000"/>
        </w:rPr>
      </w:pPr>
    </w:p>
    <w:p>
      <w:pPr>
        <w:jc w:val="both"/>
        <w:ind w:firstLine="1735"/>
        <w:spacing w:after="0" w:line="249" w:lineRule="auto"/>
        <w:tabs>
          <w:tab w:leader="none" w:pos="2627" w:val="left"/>
        </w:tabs>
        <w:numPr>
          <w:ilvl w:val="0"/>
          <w:numId w:val="57"/>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1" w:lineRule="exact"/>
        <w:rPr>
          <w:rFonts w:ascii="Arial" w:cs="Arial" w:eastAsia="Arial" w:hAnsi="Arial"/>
          <w:sz w:val="19"/>
          <w:szCs w:val="19"/>
          <w:color w:val="010000"/>
        </w:rPr>
      </w:pPr>
    </w:p>
    <w:p>
      <w:pPr>
        <w:jc w:val="both"/>
        <w:ind w:firstLine="1735"/>
        <w:spacing w:after="0" w:line="257" w:lineRule="auto"/>
        <w:tabs>
          <w:tab w:leader="none" w:pos="2627" w:val="left"/>
        </w:tabs>
        <w:numPr>
          <w:ilvl w:val="0"/>
          <w:numId w:val="57"/>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44" w:lineRule="exact"/>
        <w:rPr>
          <w:rFonts w:ascii="Arial" w:cs="Arial" w:eastAsia="Arial" w:hAnsi="Arial"/>
          <w:sz w:val="19"/>
          <w:szCs w:val="19"/>
          <w:color w:val="010000"/>
        </w:rPr>
      </w:pPr>
    </w:p>
    <w:p>
      <w:pPr>
        <w:ind w:right="20" w:firstLine="1735"/>
        <w:spacing w:after="0" w:line="232" w:lineRule="auto"/>
        <w:tabs>
          <w:tab w:leader="none" w:pos="2579"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58" w:lineRule="exact"/>
        <w:rPr>
          <w:rFonts w:ascii="Arial" w:cs="Arial" w:eastAsia="Arial" w:hAnsi="Arial"/>
          <w:sz w:val="22"/>
          <w:szCs w:val="22"/>
          <w:color w:val="010000"/>
        </w:rPr>
      </w:pPr>
    </w:p>
    <w:p>
      <w:pPr>
        <w:ind w:firstLine="1735"/>
        <w:spacing w:after="0" w:line="232" w:lineRule="auto"/>
        <w:tabs>
          <w:tab w:leader="none" w:pos="2579"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58" w:lineRule="exact"/>
        <w:rPr>
          <w:rFonts w:ascii="Arial" w:cs="Arial" w:eastAsia="Arial" w:hAnsi="Arial"/>
          <w:sz w:val="22"/>
          <w:szCs w:val="22"/>
          <w:color w:val="010000"/>
        </w:rPr>
      </w:pPr>
    </w:p>
    <w:p>
      <w:pPr>
        <w:ind w:firstLine="1735"/>
        <w:spacing w:after="0" w:line="232" w:lineRule="auto"/>
        <w:tabs>
          <w:tab w:leader="none" w:pos="2627"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9"/>
          <w:szCs w:val="19"/>
          <w:color w:val="auto"/>
        </w:rPr>
        <w:t>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ind w:firstLine="864"/>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153"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ASSEMBLY BIOSCIENCES, INC.</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/s/ John G. McHutchison, A.O., M.D.</w:t>
      </w:r>
    </w:p>
    <w:p>
      <w:pPr>
        <w:ind w:left="5740"/>
        <w:spacing w:after="0" w:line="204" w:lineRule="auto"/>
        <w:rPr>
          <w:sz w:val="20"/>
          <w:szCs w:val="20"/>
          <w:color w:val="auto"/>
        </w:rPr>
      </w:pPr>
      <w:r>
        <w:rPr>
          <w:rFonts w:ascii="Arial" w:cs="Arial" w:eastAsia="Arial" w:hAnsi="Arial"/>
          <w:sz w:val="22"/>
          <w:szCs w:val="22"/>
          <w:color w:val="auto"/>
        </w:rPr>
        <w:t>Name: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-133985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Title: Chief Executive Officer and President</w:t>
      </w:r>
    </w:p>
    <w:p>
      <w:pPr>
        <w:spacing w:after="0" w:line="155"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EXECUTIVE</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Jason A. Okazaki</w:t>
      </w:r>
    </w:p>
    <w:p>
      <w:pPr>
        <w:ind w:left="5740"/>
        <w:spacing w:after="0"/>
        <w:rPr>
          <w:sz w:val="20"/>
          <w:szCs w:val="20"/>
          <w:color w:val="auto"/>
        </w:rPr>
      </w:pPr>
      <w:r>
        <w:rPr>
          <w:rFonts w:ascii="Arial" w:cs="Arial" w:eastAsia="Arial" w:hAnsi="Arial"/>
          <w:sz w:val="22"/>
          <w:szCs w:val="22"/>
          <w:color w:val="auto"/>
        </w:rPr>
        <w:t>Name: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861695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A</w:t>
      </w:r>
    </w:p>
    <w:p>
      <w:pPr>
        <w:jc w:val="right"/>
        <w:spacing w:after="0" w:line="238" w:lineRule="auto"/>
        <w:rPr>
          <w:sz w:val="20"/>
          <w:szCs w:val="20"/>
          <w:color w:val="auto"/>
        </w:rPr>
      </w:pPr>
      <w:r>
        <w:rPr>
          <w:rFonts w:ascii="Arial" w:cs="Arial" w:eastAsia="Arial" w:hAnsi="Arial"/>
          <w:sz w:val="22"/>
          <w:szCs w:val="22"/>
          <w:color w:val="auto"/>
        </w:rPr>
        <w:t>[Form of Separation Agreement and General Release of Claims]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AND CONFIDENTIAL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[Individual]</w:t>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Separation Agreement and General Release of Claims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[Individual]:</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This letter (this “</w:t>
      </w:r>
      <w:r>
        <w:rPr>
          <w:rFonts w:ascii="Arial" w:cs="Arial" w:eastAsia="Arial" w:hAnsi="Arial"/>
          <w:sz w:val="22"/>
          <w:szCs w:val="22"/>
          <w:u w:val="single" w:color="auto"/>
          <w:color w:val="auto"/>
        </w:rPr>
        <w:t>Agreement</w:t>
      </w:r>
      <w:r>
        <w:rPr>
          <w:rFonts w:ascii="Arial" w:cs="Arial" w:eastAsia="Arial" w:hAnsi="Arial"/>
          <w:sz w:val="22"/>
          <w:szCs w:val="22"/>
          <w:color w:val="auto"/>
        </w:rPr>
        <w:t>”) confirms your separation from employment with Assembly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____________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The Company thanks you for your contributions and wishes you well in your future endeavors.</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Agreement also sets forth the terms of the general release of claims agreement between you and the Company and you acknowledge that this Agreement becoming effective is a condition of your right to receive the Separation Benefits set forth in Section 2 below. You agree that such benefits set forth in Section 2, to the extent that the specified conditions have been satisfied, are due solely from the Company.</w:t>
      </w:r>
    </w:p>
    <w:p>
      <w:pPr>
        <w:spacing w:after="0" w:line="16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You acknowledge (i) payment of your accrued salary through [Date], (ii) continuation of your health benefits through last day of this month (DATE), (iii) your right to continue group health care coverage commencing [DATE] under the law known as “COBRA” which will be described in a separate written notice from IGOE, and (iv) that you have already submitted for reimbursement all outstanding, approved and reasonable business expenses that you incurred on the Company’s behalf through the Separation Date. Also regardless of whether you enter into this Agreement, you will remain bound by your continuing obligations to the Company (collectively, the “</w:t>
      </w:r>
      <w:r>
        <w:rPr>
          <w:rFonts w:ascii="Arial" w:cs="Arial" w:eastAsia="Arial" w:hAnsi="Arial"/>
          <w:sz w:val="21"/>
          <w:szCs w:val="21"/>
          <w:u w:val="single" w:color="auto"/>
          <w:color w:val="auto"/>
        </w:rPr>
        <w:t>Continuing Obligations</w:t>
      </w:r>
      <w:r>
        <w:rPr>
          <w:rFonts w:ascii="Arial" w:cs="Arial" w:eastAsia="Arial" w:hAnsi="Arial"/>
          <w:sz w:val="21"/>
          <w:szCs w:val="21"/>
          <w:color w:val="auto"/>
        </w:rPr>
        <w:t>”) under your [DATE] Proprietary Information and Inventions Agreement (the “</w:t>
      </w:r>
      <w:r>
        <w:rPr>
          <w:rFonts w:ascii="Arial" w:cs="Arial" w:eastAsia="Arial" w:hAnsi="Arial"/>
          <w:sz w:val="21"/>
          <w:szCs w:val="21"/>
          <w:u w:val="single" w:color="auto"/>
          <w:color w:val="auto"/>
        </w:rPr>
        <w:t>PIIA</w:t>
      </w:r>
      <w:r>
        <w:rPr>
          <w:rFonts w:ascii="Arial" w:cs="Arial" w:eastAsia="Arial" w:hAnsi="Arial"/>
          <w:sz w:val="21"/>
          <w:szCs w:val="21"/>
          <w:color w:val="auto"/>
        </w:rPr>
        <w:t xml:space="preserve"> ”). Such Continuing Obligations include, without limitation, your confidentiality obligations, return of property obligations and non-solicitation obligations.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remainder of this letter sets forth the terms of the Agreement. You acknowledge that you are entering into this Agreement knowingly and voluntarily. With those understandings, you and the Company agree as follows:</w:t>
      </w:r>
    </w:p>
    <w:p>
      <w:pPr>
        <w:spacing w:after="0" w:line="153"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Separation from Employment</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confirms that your employment with the Company terminated on the Separation Date. Accordingly, your right to participate in the Company’s medical, dental and vision health benefits will cease on [Date], except you will have the right to continue group health care coverage after [Date] under the law known as “COBRA” which will be described in a separate written notice by IGOE. Except as noted in the preceding sentence, your right to participate in all employee benefit plans of the Company shall cease on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96"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Separation Benefits </w:t>
      </w:r>
      <w:r>
        <w:rPr>
          <w:rFonts w:ascii="Arial" w:cs="Arial" w:eastAsia="Arial" w:hAnsi="Arial"/>
          <w:sz w:val="22"/>
          <w:szCs w:val="22"/>
          <w:color w:val="auto"/>
        </w:rPr>
        <w:t>[To conform to the terms set forth in your Employment Agreement]</w:t>
      </w:r>
    </w:p>
    <w:p>
      <w:pPr>
        <w:spacing w:after="0" w:line="185" w:lineRule="exact"/>
        <w:rPr>
          <w:rFonts w:ascii="Arial" w:cs="Arial" w:eastAsia="Arial" w:hAnsi="Arial"/>
          <w:sz w:val="22"/>
          <w:szCs w:val="22"/>
          <w:b w:val="1"/>
          <w:bCs w:val="1"/>
          <w:color w:val="010000"/>
        </w:rPr>
      </w:pPr>
    </w:p>
    <w:p>
      <w:pPr>
        <w:ind w:firstLine="872"/>
        <w:spacing w:after="0" w:line="298" w:lineRule="auto"/>
        <w:tabs>
          <w:tab w:leader="none" w:pos="1751"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Separation Pay</w:t>
      </w:r>
      <w:r>
        <w:rPr>
          <w:rFonts w:ascii="Arial" w:cs="Arial" w:eastAsia="Arial" w:hAnsi="Arial"/>
          <w:sz w:val="19"/>
          <w:szCs w:val="19"/>
          <w:color w:val="auto"/>
        </w:rPr>
        <w:t>. Subject to this Agreement becoming effective and your compliance with this Agreement and the Continuing Obligations, the Company shall provide you with the following “</w:t>
      </w:r>
      <w:r>
        <w:rPr>
          <w:rFonts w:ascii="Arial" w:cs="Arial" w:eastAsia="Arial" w:hAnsi="Arial"/>
          <w:sz w:val="19"/>
          <w:szCs w:val="19"/>
          <w:u w:val="single" w:color="auto"/>
          <w:color w:val="auto"/>
        </w:rPr>
        <w:t>Separation Benefits</w:t>
      </w:r>
      <w:r>
        <w:rPr>
          <w:rFonts w:ascii="Arial" w:cs="Arial" w:eastAsia="Arial" w:hAnsi="Arial"/>
          <w:sz w:val="19"/>
          <w:szCs w:val="19"/>
          <w:color w:val="auto"/>
        </w:rPr>
        <w:t>”: [Description]</w:t>
      </w:r>
    </w:p>
    <w:p>
      <w:pPr>
        <w:spacing w:after="0" w:line="105" w:lineRule="exact"/>
        <w:rPr>
          <w:rFonts w:ascii="Arial" w:cs="Arial" w:eastAsia="Arial" w:hAnsi="Arial"/>
          <w:sz w:val="19"/>
          <w:szCs w:val="19"/>
          <w:color w:val="010000"/>
        </w:rPr>
      </w:pPr>
    </w:p>
    <w:p>
      <w:pPr>
        <w:jc w:val="both"/>
        <w:ind w:firstLine="872"/>
        <w:spacing w:after="0" w:line="218" w:lineRule="auto"/>
        <w:tabs>
          <w:tab w:leader="none" w:pos="1763"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Health Benefit</w:t>
      </w:r>
      <w:r>
        <w:rPr>
          <w:rFonts w:ascii="Arial" w:cs="Arial" w:eastAsia="Arial" w:hAnsi="Arial"/>
          <w:sz w:val="22"/>
          <w:szCs w:val="22"/>
          <w:color w:val="auto"/>
        </w:rPr>
        <w:t>. Provided that you properly and timely elect to continue your health insurance benefits under COBRA after the last day of this month in accordance with the notice provided by IGOE, the Company shall reimburse you for your applicable COBRA premiums for up to [Number] months or until you become eligible under another employer’s health insurance, whichever is earlier (the “</w:t>
      </w:r>
      <w:r>
        <w:rPr>
          <w:rFonts w:ascii="Arial" w:cs="Arial" w:eastAsia="Arial" w:hAnsi="Arial"/>
          <w:sz w:val="22"/>
          <w:szCs w:val="22"/>
          <w:u w:val="single" w:color="auto"/>
          <w:color w:val="auto"/>
        </w:rPr>
        <w:t>Health Benefit</w:t>
      </w:r>
      <w:r>
        <w:rPr>
          <w:rFonts w:ascii="Arial" w:cs="Arial" w:eastAsia="Arial" w:hAnsi="Arial"/>
          <w:sz w:val="22"/>
          <w:szCs w:val="22"/>
          <w:color w:val="auto"/>
        </w:rPr>
        <w:t>”).</w:t>
      </w:r>
    </w:p>
    <w:p>
      <w:pPr>
        <w:spacing w:after="0" w:line="154" w:lineRule="exact"/>
        <w:rPr>
          <w:rFonts w:ascii="Arial" w:cs="Arial" w:eastAsia="Arial" w:hAnsi="Arial"/>
          <w:sz w:val="22"/>
          <w:szCs w:val="22"/>
          <w:color w:val="010000"/>
        </w:rPr>
      </w:pPr>
    </w:p>
    <w:p>
      <w:pPr>
        <w:ind w:left="820" w:hanging="812"/>
        <w:spacing w:after="0"/>
        <w:tabs>
          <w:tab w:leader="none" w:pos="820"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color w:val="auto"/>
        </w:rPr>
        <w:t>Equity Awards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[Description of equity awards and rights] .</w:t>
      </w:r>
    </w:p>
    <w:p>
      <w:pPr>
        <w:spacing w:after="0" w:line="173"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Release of Claims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consideration for, among other terms, the Separation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that, as of the date when you sign this Agreement,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and the California Fair Employment and Housing Act); under any other federal or state statute (including, without limitation, Claims under the Fair Labor Standards Act, the California Family Rights Act and the Family and Medical Leave Act); for wages, bonuses, incentive compensation, commissions, stock, stock options, vacation pay or any other compensation or benefits, either under the California Labor Code, or otherwise; and for damages or other remedies of any sort, including, without limitation, compensatory damages, punitive damages, injunctive relief and attorney’s fees; </w:t>
      </w:r>
      <w:r>
        <w:rPr>
          <w:rFonts w:ascii="Arial" w:cs="Arial" w:eastAsia="Arial" w:hAnsi="Arial"/>
          <w:sz w:val="19"/>
          <w:szCs w:val="19"/>
          <w:i w:val="1"/>
          <w:iCs w:val="1"/>
          <w:color w:val="auto"/>
        </w:rPr>
        <w:t>provided</w:t>
      </w:r>
      <w:r>
        <w:rPr>
          <w:rFonts w:ascii="Arial" w:cs="Arial" w:eastAsia="Arial" w:hAnsi="Arial"/>
          <w:sz w:val="19"/>
          <w:szCs w:val="19"/>
          <w:color w:val="auto"/>
        </w:rPr>
        <w:t>, however, that this release shall not affect your vested rights under the Company’s Section 401(k) plan or your rights under this Agreement, and shall not waive (i) any rights that cannot be waived as a matter of law, (ii) any claims for coverage under any D&amp;O insurance policy and (iii) any claims for indemnification under any arrangement or agreement between you and the Company. Furthermore, this release shall not affect your rights to claims under state workers' compensation or unemployment laws and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right to file an administrative charge or complaint with or participate in a charge by the Equal Employment Opportunity Commission (the "</w:t>
      </w:r>
      <w:r>
        <w:rPr>
          <w:rFonts w:ascii="Arial" w:cs="Arial" w:eastAsia="Arial" w:hAnsi="Arial"/>
          <w:sz w:val="21"/>
          <w:szCs w:val="21"/>
          <w:u w:val="single" w:color="auto"/>
          <w:color w:val="auto"/>
        </w:rPr>
        <w:t>EEOC</w:t>
      </w:r>
      <w:r>
        <w:rPr>
          <w:rFonts w:ascii="Arial" w:cs="Arial" w:eastAsia="Arial" w:hAnsi="Arial"/>
          <w:sz w:val="21"/>
          <w:szCs w:val="21"/>
          <w:color w:val="auto"/>
        </w:rPr>
        <w:t>"), or any other local, state, or federal administrative body or government agency that is authorized to enforce or administer laws related to employment, against the Company (with the understanding that any such filing or participation does not give you the right to recover any monetary damages against the Company; your release of claims herein bars you from recovering such monetary relief from the Company).</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Arial" w:cs="Arial" w:eastAsia="Arial" w:hAnsi="Arial"/>
          <w:sz w:val="19"/>
          <w:szCs w:val="19"/>
          <w:b w:val="1"/>
          <w:bCs w:val="1"/>
          <w:color w:val="auto"/>
        </w:rPr>
        <w:t>A general release does not extend to claims</w:t>
      </w:r>
      <w:r>
        <w:rPr>
          <w:rFonts w:ascii="Arial" w:cs="Arial" w:eastAsia="Arial" w:hAnsi="Arial"/>
          <w:sz w:val="19"/>
          <w:szCs w:val="19"/>
          <w:color w:val="auto"/>
        </w:rPr>
        <w:t xml:space="preserve"> </w:t>
      </w:r>
      <w:r>
        <w:rPr>
          <w:rFonts w:ascii="Arial" w:cs="Arial" w:eastAsia="Arial" w:hAnsi="Arial"/>
          <w:sz w:val="19"/>
          <w:szCs w:val="19"/>
          <w:b w:val="1"/>
          <w:bCs w:val="1"/>
          <w:color w:val="auto"/>
        </w:rPr>
        <w:t>which 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You hereby expressly waive and relinquish all rights and benefits under that section and any law of any jurisdiction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effect with respect to the release of any unknown or unsuspected claims you may have against the Company.</w:t>
      </w:r>
    </w:p>
    <w:p>
      <w:pPr>
        <w:spacing w:after="0" w:line="148" w:lineRule="exact"/>
        <w:rPr>
          <w:sz w:val="20"/>
          <w:szCs w:val="20"/>
          <w:color w:val="auto"/>
        </w:rPr>
      </w:pPr>
    </w:p>
    <w:p>
      <w:pPr>
        <w:ind w:left="820" w:hanging="812"/>
        <w:spacing w:after="0"/>
        <w:tabs>
          <w:tab w:leader="none" w:pos="82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Non-Disparagement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w:t>
      </w:r>
    </w:p>
    <w:p>
      <w:pPr>
        <w:spacing w:after="0" w:line="155"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color w:val="auto"/>
        </w:rPr>
        <w:t>Confidentiality of Agreement-Related Information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You agree, to the fullest extent permitted by law, to keep all Agreement-Related Information completely confidential. "</w:t>
      </w:r>
      <w:r>
        <w:rPr>
          <w:rFonts w:ascii="Arial" w:cs="Arial" w:eastAsia="Arial" w:hAnsi="Arial"/>
          <w:sz w:val="19"/>
          <w:szCs w:val="19"/>
          <w:u w:val="single" w:color="auto"/>
          <w:color w:val="auto"/>
        </w:rPr>
        <w:t>Agreement-Related Information</w:t>
      </w:r>
      <w:r>
        <w:rPr>
          <w:rFonts w:ascii="Arial" w:cs="Arial" w:eastAsia="Arial" w:hAnsi="Arial"/>
          <w:sz w:val="19"/>
          <w:szCs w:val="19"/>
          <w:color w:val="auto"/>
        </w:rPr>
        <w:t xml:space="preserve">" means the negotiations leading to this Agreement and the existence and terms of this Agreement. Notwithstanding the foregoing, you may disclose Agreement-Related Information to your spouse, your attorney and your financial advisors, and to them only provided that they first agree for the benefit of the Company to keep Agreement-Related Information confidential. Nothing in this Section 6 shall be construed to prevent you from disclosing Agreement-Related Information to the extent required by a lawfully issued subpoena or duly issued court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you provide the Company with advance written notice and a reasonable opportunity to contest such subpoena or court order.</w:t>
      </w:r>
    </w:p>
    <w:p>
      <w:pPr>
        <w:spacing w:after="0" w:line="148" w:lineRule="exact"/>
        <w:rPr>
          <w:sz w:val="20"/>
          <w:szCs w:val="20"/>
          <w:color w:val="auto"/>
        </w:rPr>
      </w:pPr>
    </w:p>
    <w:p>
      <w:pPr>
        <w:ind w:left="820" w:hanging="812"/>
        <w:spacing w:after="0"/>
        <w:tabs>
          <w:tab w:leader="none" w:pos="820"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Other Provisions</w:t>
      </w:r>
    </w:p>
    <w:p>
      <w:pPr>
        <w:spacing w:after="0" w:line="185" w:lineRule="exact"/>
        <w:rPr>
          <w:rFonts w:ascii="Arial" w:cs="Arial" w:eastAsia="Arial" w:hAnsi="Arial"/>
          <w:sz w:val="22"/>
          <w:szCs w:val="22"/>
          <w:b w:val="1"/>
          <w:bCs w:val="1"/>
          <w:color w:val="010000"/>
        </w:rPr>
      </w:pPr>
    </w:p>
    <w:p>
      <w:pPr>
        <w:ind w:firstLine="872"/>
        <w:spacing w:after="0" w:line="232" w:lineRule="auto"/>
        <w:tabs>
          <w:tab w:leader="none" w:pos="1751"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auto"/>
        </w:rPr>
        <w:t>Termination of Payments</w:t>
      </w:r>
      <w:r>
        <w:rPr>
          <w:rFonts w:ascii="Arial" w:cs="Arial" w:eastAsia="Arial" w:hAnsi="Arial"/>
          <w:sz w:val="22"/>
          <w:szCs w:val="22"/>
          <w:color w:val="auto"/>
        </w:rPr>
        <w:t>. If you materially breach any of your obligations under this Agreement or your Continuing Obligations, in addition to any other legal or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Company may have for such breach, the Company shall have the right to terminate its payments to you or for your benefit under this Agreement. The termination of such payments in the event of your material breach will not affect your obligations under this Agreement or your Continuing Obligations.</w:t>
      </w:r>
    </w:p>
    <w:p>
      <w:pPr>
        <w:spacing w:after="0" w:line="159" w:lineRule="exact"/>
        <w:rPr>
          <w:sz w:val="20"/>
          <w:szCs w:val="20"/>
          <w:color w:val="auto"/>
        </w:rPr>
      </w:pPr>
    </w:p>
    <w:p>
      <w:pPr>
        <w:jc w:val="both"/>
        <w:ind w:firstLine="872"/>
        <w:spacing w:after="0" w:line="220" w:lineRule="auto"/>
        <w:tabs>
          <w:tab w:leader="none" w:pos="1763" w:val="left"/>
        </w:tabs>
        <w:numPr>
          <w:ilvl w:val="0"/>
          <w:numId w:val="64"/>
        </w:numPr>
        <w:rPr>
          <w:rFonts w:ascii="Arial" w:cs="Arial" w:eastAsia="Arial" w:hAnsi="Arial"/>
          <w:sz w:val="21"/>
          <w:szCs w:val="21"/>
          <w:color w:val="010000"/>
        </w:rPr>
      </w:pPr>
      <w:r>
        <w:rPr>
          <w:rFonts w:ascii="Arial" w:cs="Arial" w:eastAsia="Arial" w:hAnsi="Arial"/>
          <w:sz w:val="21"/>
          <w:szCs w:val="21"/>
          <w:u w:val="single" w:color="auto"/>
          <w:color w:val="auto"/>
        </w:rPr>
        <w:t>Protected Disclosures and Other Protected Actions</w:t>
      </w:r>
      <w:r>
        <w:rPr>
          <w:rFonts w:ascii="Arial" w:cs="Arial" w:eastAsia="Arial" w:hAnsi="Arial"/>
          <w:sz w:val="21"/>
          <w:szCs w:val="21"/>
          <w:color w:val="auto"/>
        </w:rPr>
        <w:t>. Nothing contained in this Agreement or your PIIA limits your ability to file a charge or complaint with any federal, state or local governmental agency or commission (a “</w:t>
      </w:r>
      <w:r>
        <w:rPr>
          <w:rFonts w:ascii="Arial" w:cs="Arial" w:eastAsia="Arial" w:hAnsi="Arial"/>
          <w:sz w:val="21"/>
          <w:szCs w:val="21"/>
          <w:u w:val="single" w:color="auto"/>
          <w:color w:val="auto"/>
        </w:rPr>
        <w:t>Government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Agency</w:t>
      </w:r>
      <w:r>
        <w:rPr>
          <w:rFonts w:ascii="Arial" w:cs="Arial" w:eastAsia="Arial" w:hAnsi="Arial"/>
          <w:sz w:val="21"/>
          <w:szCs w:val="21"/>
          <w:color w:val="auto"/>
        </w:rPr>
        <w:t xml:space="preserve">”). In addition, nothing contained in this Agreement or PIIA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Agreement limits any right you may have to receive a whistleblower award or bounty for information provided to the Securities and Exchange Commission.</w:t>
      </w:r>
    </w:p>
    <w:p>
      <w:pPr>
        <w:spacing w:after="0" w:line="162" w:lineRule="exact"/>
        <w:rPr>
          <w:rFonts w:ascii="Arial" w:cs="Arial" w:eastAsia="Arial" w:hAnsi="Arial"/>
          <w:sz w:val="21"/>
          <w:szCs w:val="21"/>
          <w:color w:val="010000"/>
        </w:rPr>
      </w:pPr>
    </w:p>
    <w:p>
      <w:pPr>
        <w:ind w:right="20" w:firstLine="872"/>
        <w:spacing w:after="0" w:line="232" w:lineRule="auto"/>
        <w:tabs>
          <w:tab w:leader="none" w:pos="1751"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In signing this Agreement, you are not relying upon any promises or representations made by anyone at or on behalf of the Company.</w:t>
      </w:r>
    </w:p>
    <w:p>
      <w:pPr>
        <w:spacing w:after="0" w:line="158" w:lineRule="exact"/>
        <w:rPr>
          <w:rFonts w:ascii="Arial" w:cs="Arial" w:eastAsia="Arial" w:hAnsi="Arial"/>
          <w:sz w:val="22"/>
          <w:szCs w:val="22"/>
          <w:color w:val="010000"/>
        </w:rPr>
      </w:pPr>
    </w:p>
    <w:p>
      <w:pPr>
        <w:jc w:val="both"/>
        <w:ind w:firstLine="872"/>
        <w:spacing w:after="0" w:line="226" w:lineRule="auto"/>
        <w:tabs>
          <w:tab w:leader="none" w:pos="1763" w:val="left"/>
        </w:tabs>
        <w:numPr>
          <w:ilvl w:val="0"/>
          <w:numId w:val="64"/>
        </w:numPr>
        <w:rPr>
          <w:rFonts w:ascii="Arial" w:cs="Arial" w:eastAsia="Arial" w:hAnsi="Arial"/>
          <w:sz w:val="21"/>
          <w:szCs w:val="21"/>
          <w:color w:val="010000"/>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9" w:lineRule="exact"/>
        <w:rPr>
          <w:rFonts w:ascii="Arial" w:cs="Arial" w:eastAsia="Arial" w:hAnsi="Arial"/>
          <w:sz w:val="21"/>
          <w:szCs w:val="21"/>
          <w:color w:val="010000"/>
        </w:rPr>
      </w:pPr>
    </w:p>
    <w:p>
      <w:pPr>
        <w:jc w:val="both"/>
        <w:ind w:firstLine="872"/>
        <w:spacing w:after="0" w:line="218" w:lineRule="auto"/>
        <w:tabs>
          <w:tab w:leader="none" w:pos="1751"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60" w:lineRule="exact"/>
        <w:rPr>
          <w:rFonts w:ascii="Arial" w:cs="Arial" w:eastAsia="Arial" w:hAnsi="Arial"/>
          <w:sz w:val="22"/>
          <w:szCs w:val="22"/>
          <w:color w:val="010000"/>
        </w:rPr>
      </w:pPr>
    </w:p>
    <w:p>
      <w:pPr>
        <w:jc w:val="both"/>
        <w:ind w:firstLine="872"/>
        <w:spacing w:after="0" w:line="218" w:lineRule="auto"/>
        <w:tabs>
          <w:tab w:leader="none" w:pos="1727"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Jurisdiction</w:t>
      </w:r>
      <w:r>
        <w:rPr>
          <w:rFonts w:ascii="Arial" w:cs="Arial" w:eastAsia="Arial" w:hAnsi="Arial"/>
          <w:sz w:val="22"/>
          <w:szCs w:val="22"/>
          <w:color w:val="auto"/>
        </w:rPr>
        <w:t>. You and the Company hereby agree that the state and federal courts situated in California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60" w:lineRule="exact"/>
        <w:rPr>
          <w:rFonts w:ascii="Arial" w:cs="Arial" w:eastAsia="Arial" w:hAnsi="Arial"/>
          <w:sz w:val="22"/>
          <w:szCs w:val="22"/>
          <w:color w:val="010000"/>
        </w:rPr>
      </w:pPr>
    </w:p>
    <w:p>
      <w:pPr>
        <w:jc w:val="both"/>
        <w:ind w:firstLine="872"/>
        <w:spacing w:after="0" w:line="257" w:lineRule="auto"/>
        <w:tabs>
          <w:tab w:leader="none" w:pos="1763"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Relief</w:t>
      </w:r>
      <w:r>
        <w:rPr>
          <w:rFonts w:ascii="Arial" w:cs="Arial" w:eastAsia="Arial" w:hAnsi="Arial"/>
          <w:sz w:val="19"/>
          <w:szCs w:val="19"/>
          <w:color w:val="auto"/>
        </w:rPr>
        <w:t>. You agree that it would be difficult to measure any harm caused to the Company that might result from any breach by you of your promises set forth in Sections 4, 5 and 6 of this Agreement. You further agree that money damages would be an inadequate remedy for any breach Sections 4, 5 and 6. Accordingly, you agree that if you breach, or propose to breach, Sections 4, 5 or 6, the Company shall be entitled, in addition to all other remedies it may have,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an injunction or other appropriate equitable relief to restrain any such breach, without showing or proving any actual damage to the Company and without the necessity of posting a bond.</w:t>
      </w:r>
    </w:p>
    <w:p>
      <w:pPr>
        <w:spacing w:after="0" w:line="159" w:lineRule="exact"/>
        <w:rPr>
          <w:sz w:val="20"/>
          <w:szCs w:val="20"/>
          <w:color w:val="auto"/>
        </w:rPr>
      </w:pPr>
    </w:p>
    <w:p>
      <w:pPr>
        <w:jc w:val="both"/>
        <w:ind w:firstLine="872"/>
        <w:spacing w:after="0" w:line="218" w:lineRule="auto"/>
        <w:tabs>
          <w:tab w:leader="none" w:pos="1763"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Governing Law; Interpretation</w:t>
      </w:r>
      <w:r>
        <w:rPr>
          <w:rFonts w:ascii="Arial" w:cs="Arial" w:eastAsia="Arial" w:hAnsi="Arial"/>
          <w:sz w:val="22"/>
          <w:szCs w:val="22"/>
          <w:color w:val="auto"/>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60" w:lineRule="exact"/>
        <w:rPr>
          <w:rFonts w:ascii="Arial" w:cs="Arial" w:eastAsia="Arial" w:hAnsi="Arial"/>
          <w:sz w:val="22"/>
          <w:szCs w:val="22"/>
          <w:color w:val="010000"/>
        </w:rPr>
      </w:pPr>
    </w:p>
    <w:p>
      <w:pPr>
        <w:jc w:val="both"/>
        <w:ind w:firstLine="872"/>
        <w:spacing w:after="0" w:line="223" w:lineRule="auto"/>
        <w:tabs>
          <w:tab w:leader="none" w:pos="1715"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you and the Company. This Agreement supersedes any previous agreements or understandings between you and the Company, except the Continuing Obligations and any other obligations specifically preserved in this Agreement.</w:t>
      </w:r>
    </w:p>
    <w:p>
      <w:pPr>
        <w:spacing w:after="0" w:line="158" w:lineRule="exact"/>
        <w:rPr>
          <w:rFonts w:ascii="Arial" w:cs="Arial" w:eastAsia="Arial" w:hAnsi="Arial"/>
          <w:sz w:val="22"/>
          <w:szCs w:val="22"/>
          <w:color w:val="010000"/>
        </w:rPr>
      </w:pPr>
    </w:p>
    <w:p>
      <w:pPr>
        <w:jc w:val="both"/>
        <w:ind w:firstLine="872"/>
        <w:spacing w:after="0" w:line="219" w:lineRule="auto"/>
        <w:tabs>
          <w:tab w:leader="none" w:pos="1715" w:val="left"/>
        </w:tabs>
        <w:numPr>
          <w:ilvl w:val="0"/>
          <w:numId w:val="65"/>
        </w:numPr>
        <w:rPr>
          <w:rFonts w:ascii="Arial" w:cs="Arial" w:eastAsia="Arial" w:hAnsi="Arial"/>
          <w:sz w:val="21"/>
          <w:szCs w:val="21"/>
          <w:color w:val="010000"/>
        </w:rPr>
      </w:pPr>
      <w:r>
        <w:rPr>
          <w:rFonts w:ascii="Arial" w:cs="Arial" w:eastAsia="Arial" w:hAnsi="Arial"/>
          <w:sz w:val="21"/>
          <w:szCs w:val="21"/>
          <w:u w:val="single" w:color="auto"/>
          <w:color w:val="auto"/>
        </w:rPr>
        <w:t>Time for Consideration; Effective Date</w:t>
      </w:r>
      <w:r>
        <w:rPr>
          <w:rFonts w:ascii="Arial" w:cs="Arial" w:eastAsia="Arial" w:hAnsi="Arial"/>
          <w:sz w:val="21"/>
          <w:szCs w:val="21"/>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“Consideration Period”). To accept this Agreement, you must return a signed original or a signed PDF copy of this Agreement so that it is received by Jennifer Troia (</w:t>
      </w:r>
      <w:r>
        <w:rPr>
          <w:rFonts w:ascii="Arial" w:cs="Arial" w:eastAsia="Arial" w:hAnsi="Arial"/>
          <w:sz w:val="21"/>
          <w:szCs w:val="21"/>
          <w:u w:val="single" w:color="auto"/>
          <w:color w:val="auto"/>
        </w:rPr>
        <w:t>jtroia@assemblybio.com</w:t>
      </w:r>
      <w:r>
        <w:rPr>
          <w:rFonts w:ascii="Arial" w:cs="Arial" w:eastAsia="Arial" w:hAnsi="Arial"/>
          <w:sz w:val="21"/>
          <w:szCs w:val="21"/>
          <w:color w:val="auto"/>
        </w:rPr>
        <w:t>)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Ms. Troia,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“Effective Date”).</w:t>
      </w:r>
    </w:p>
    <w:p>
      <w:pPr>
        <w:spacing w:after="0" w:line="163" w:lineRule="exact"/>
        <w:rPr>
          <w:rFonts w:ascii="Arial" w:cs="Arial" w:eastAsia="Arial" w:hAnsi="Arial"/>
          <w:sz w:val="21"/>
          <w:szCs w:val="21"/>
          <w:color w:val="010000"/>
        </w:rPr>
      </w:pPr>
    </w:p>
    <w:p>
      <w:pPr>
        <w:ind w:firstLine="872"/>
        <w:spacing w:after="0" w:line="232" w:lineRule="auto"/>
        <w:tabs>
          <w:tab w:leader="none" w:pos="1763"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When both counterparts are signed, they shall be treated together as one and the same document.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Please indicate your agreement to the terms of this Agreement by signing and returning to Ms. Troia the original or a PDF copy of this letter within the time period set forth above.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color w:val="auto"/>
        </w:rPr>
        <w:t>[Authorized Officer]</w:t>
      </w:r>
      <w:r>
        <w:rPr>
          <w:sz w:val="20"/>
          <w:szCs w:val="20"/>
          <w:color w:val="auto"/>
        </w:rPr>
        <w:tab/>
      </w:r>
      <w:r>
        <w:rPr>
          <w:rFonts w:ascii="Arial" w:cs="Arial" w:eastAsia="Arial" w:hAnsi="Arial"/>
          <w:sz w:val="19"/>
          <w:szCs w:val="19"/>
          <w:color w:val="auto"/>
        </w:rPr>
        <w:t>Date</w:t>
      </w:r>
    </w:p>
    <w:p>
      <w:pPr>
        <w:spacing w:after="0" w:line="18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200" w:lineRule="exact"/>
        <w:rPr>
          <w:sz w:val="20"/>
          <w:szCs w:val="20"/>
          <w:color w:val="auto"/>
        </w:rPr>
      </w:pPr>
    </w:p>
    <w:p>
      <w:pPr>
        <w:spacing w:after="0" w:line="202"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color w:val="auto"/>
        </w:rPr>
        <w:t>[Individual]</w:t>
      </w:r>
      <w:r>
        <w:rPr>
          <w:sz w:val="20"/>
          <w:szCs w:val="20"/>
          <w:color w:val="auto"/>
        </w:rPr>
        <w:tab/>
      </w:r>
      <w:r>
        <w:rPr>
          <w:rFonts w:ascii="Arial" w:cs="Arial" w:eastAsia="Arial" w:hAnsi="Arial"/>
          <w:sz w:val="22"/>
          <w:szCs w:val="22"/>
          <w:color w:val="auto"/>
        </w:rPr>
        <w:t>Date</w:t>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10.12</w:t>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5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May 1, 2020 (the “</w:t>
      </w:r>
      <w:r>
        <w:rPr>
          <w:rFonts w:ascii="Arial" w:cs="Arial" w:eastAsia="Arial" w:hAnsi="Arial"/>
          <w:sz w:val="19"/>
          <w:szCs w:val="19"/>
          <w:b w:val="1"/>
          <w:bCs w:val="1"/>
          <w:color w:val="auto"/>
        </w:rPr>
        <w:t>Execution Date</w:t>
      </w:r>
      <w:r>
        <w:rPr>
          <w:rFonts w:ascii="Arial" w:cs="Arial" w:eastAsia="Arial" w:hAnsi="Arial"/>
          <w:sz w:val="19"/>
          <w:szCs w:val="19"/>
          <w:color w:val="auto"/>
        </w:rPr>
        <w:t>”) with an effective date as of the first date of employment which is anticipated to be May 27,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Assembly Biosciences, Inc., a Delaware corporation with principal executive offices at 331 Oyster Point Blvd., South San Francisco, CA 94080 (the “</w:t>
      </w:r>
      <w:r>
        <w:rPr>
          <w:rFonts w:ascii="Arial" w:cs="Arial" w:eastAsia="Arial" w:hAnsi="Arial"/>
          <w:sz w:val="19"/>
          <w:szCs w:val="19"/>
          <w:b w:val="1"/>
          <w:bCs w:val="1"/>
          <w:color w:val="auto"/>
        </w:rPr>
        <w:t>Company</w:t>
      </w:r>
      <w:r>
        <w:rPr>
          <w:rFonts w:ascii="Arial" w:cs="Arial" w:eastAsia="Arial" w:hAnsi="Arial"/>
          <w:sz w:val="19"/>
          <w:szCs w:val="19"/>
          <w:color w:val="auto"/>
        </w:rPr>
        <w:t>”), and William E. Delaney IV, Ph.D. (the “</w:t>
      </w: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18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Company desires to employ the Executive as the Chief Scientific Officer, Virology as of the Effective Date, and the Executive desires to accept employment by the Company as of the Effective Date; and</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as follows:</w:t>
      </w:r>
    </w:p>
    <w:p>
      <w:pPr>
        <w:spacing w:after="0" w:line="159" w:lineRule="exact"/>
        <w:rPr>
          <w:sz w:val="20"/>
          <w:szCs w:val="20"/>
          <w:color w:val="auto"/>
        </w:rPr>
      </w:pPr>
    </w:p>
    <w:p>
      <w:pPr>
        <w:ind w:left="1680" w:hanging="808"/>
        <w:spacing w:after="0"/>
        <w:tabs>
          <w:tab w:leader="none" w:pos="1680"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735"/>
        <w:spacing w:after="0" w:line="224" w:lineRule="auto"/>
        <w:tabs>
          <w:tab w:leader="none" w:pos="2615" w:val="left"/>
        </w:tabs>
        <w:numPr>
          <w:ilvl w:val="1"/>
          <w:numId w:val="66"/>
        </w:numPr>
        <w:rPr>
          <w:rFonts w:ascii="Arial" w:cs="Arial" w:eastAsia="Arial" w:hAnsi="Arial"/>
          <w:sz w:val="21"/>
          <w:szCs w:val="21"/>
          <w:color w:val="010000"/>
        </w:rPr>
      </w:pPr>
      <w:r>
        <w:rPr>
          <w:rFonts w:ascii="Arial" w:cs="Arial" w:eastAsia="Arial" w:hAnsi="Arial"/>
          <w:sz w:val="21"/>
          <w:szCs w:val="21"/>
          <w:u w:val="single" w:color="auto"/>
          <w:color w:val="010000"/>
        </w:rPr>
        <w:t>Services</w:t>
      </w:r>
      <w:r>
        <w:rPr>
          <w:rFonts w:ascii="Arial" w:cs="Arial" w:eastAsia="Arial" w:hAnsi="Arial"/>
          <w:sz w:val="21"/>
          <w:szCs w:val="21"/>
          <w:color w:val="010000"/>
        </w:rPr>
        <w:t>. The Executive will be employed by the Company initially as its Chief Scientific Officer, Virology, reporting to the Company’s Chief Executive Officer, and shall perform such duties as are consistent with a position as Chief Scientific Officer with a focus on virology indications, including Hepatitis B virus (the “</w:t>
      </w:r>
      <w:r>
        <w:rPr>
          <w:rFonts w:ascii="Arial" w:cs="Arial" w:eastAsia="Arial" w:hAnsi="Arial"/>
          <w:sz w:val="21"/>
          <w:szCs w:val="21"/>
          <w:b w:val="1"/>
          <w:bCs w:val="1"/>
          <w:color w:val="010000"/>
        </w:rPr>
        <w:t>Services</w:t>
      </w:r>
      <w:r>
        <w:rPr>
          <w:rFonts w:ascii="Arial" w:cs="Arial" w:eastAsia="Arial" w:hAnsi="Arial"/>
          <w:sz w:val="21"/>
          <w:szCs w:val="21"/>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41" w:lineRule="exact"/>
        <w:rPr>
          <w:sz w:val="20"/>
          <w:szCs w:val="20"/>
          <w:color w:val="auto"/>
        </w:rPr>
      </w:pPr>
    </w:p>
    <w:p>
      <w:pPr>
        <w:ind w:left="1740"/>
        <w:spacing w:after="0"/>
        <w:tabs>
          <w:tab w:leader="none" w:pos="3260" w:val="left"/>
          <w:tab w:leader="none" w:pos="452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u w:val="single" w:color="auto"/>
          <w:color w:val="010000"/>
        </w:rPr>
        <w:t>Acceptance</w:t>
      </w:r>
      <w:r>
        <w:rPr>
          <w:rFonts w:ascii="Arial" w:cs="Arial" w:eastAsia="Arial" w:hAnsi="Arial"/>
          <w:sz w:val="22"/>
          <w:szCs w:val="22"/>
          <w:color w:val="010000"/>
        </w:rPr>
        <w:t>.</w:t>
      </w:r>
      <w:r>
        <w:rPr>
          <w:sz w:val="20"/>
          <w:szCs w:val="20"/>
          <w:color w:val="auto"/>
        </w:rPr>
        <w:tab/>
      </w:r>
      <w:r>
        <w:rPr>
          <w:rFonts w:ascii="Arial" w:cs="Arial" w:eastAsia="Arial" w:hAnsi="Arial"/>
          <w:sz w:val="19"/>
          <w:szCs w:val="19"/>
          <w:color w:val="010000"/>
        </w:rPr>
        <w:t>The Executive hereby accepts such employment and agrees to render the</w:t>
      </w:r>
    </w:p>
    <w:p>
      <w:pPr>
        <w:spacing w:after="0"/>
        <w:rPr>
          <w:sz w:val="20"/>
          <w:szCs w:val="20"/>
          <w:color w:val="auto"/>
        </w:rPr>
      </w:pPr>
      <w:r>
        <w:rPr>
          <w:rFonts w:ascii="Arial" w:cs="Arial" w:eastAsia="Arial" w:hAnsi="Arial"/>
          <w:sz w:val="22"/>
          <w:szCs w:val="22"/>
          <w:color w:val="010000"/>
        </w:rPr>
        <w:t>Services.</w:t>
      </w:r>
    </w:p>
    <w:p>
      <w:pPr>
        <w:spacing w:after="0" w:line="161" w:lineRule="exact"/>
        <w:rPr>
          <w:sz w:val="20"/>
          <w:szCs w:val="20"/>
          <w:color w:val="auto"/>
        </w:rPr>
      </w:pPr>
    </w:p>
    <w:p>
      <w:pPr>
        <w:ind w:firstLine="872"/>
        <w:spacing w:after="0" w:line="232" w:lineRule="auto"/>
        <w:tabs>
          <w:tab w:leader="none" w:pos="167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58" w:lineRule="exact"/>
        <w:rPr>
          <w:rFonts w:ascii="Arial" w:cs="Arial" w:eastAsia="Arial" w:hAnsi="Arial"/>
          <w:sz w:val="22"/>
          <w:szCs w:val="22"/>
          <w:color w:val="010000"/>
        </w:rPr>
      </w:pPr>
    </w:p>
    <w:p>
      <w:pPr>
        <w:jc w:val="both"/>
        <w:ind w:firstLine="872"/>
        <w:spacing w:after="0" w:line="214" w:lineRule="auto"/>
        <w:tabs>
          <w:tab w:leader="none" w:pos="167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010000"/>
        </w:rPr>
        <w:t>Best Efforts</w:t>
      </w:r>
      <w:r>
        <w:rPr>
          <w:rFonts w:ascii="Arial" w:cs="Arial" w:eastAsia="Arial" w:hAnsi="Arial"/>
          <w:sz w:val="22"/>
          <w:szCs w:val="22"/>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spacing w:after="0" w:line="158" w:lineRule="exact"/>
        <w:rPr>
          <w:rFonts w:ascii="Arial" w:cs="Arial" w:eastAsia="Arial" w:hAnsi="Arial"/>
          <w:sz w:val="22"/>
          <w:szCs w:val="22"/>
          <w:color w:val="010000"/>
        </w:rPr>
      </w:pPr>
    </w:p>
    <w:p>
      <w:pPr>
        <w:ind w:firstLine="872"/>
        <w:spacing w:after="0" w:line="232" w:lineRule="auto"/>
        <w:tabs>
          <w:tab w:leader="none" w:pos="167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26" w:name="page127"/>
    <w:bookmarkEnd w:id="126"/>
    <w:p>
      <w:pPr>
        <w:jc w:val="both"/>
        <w:ind w:firstLine="1735"/>
        <w:spacing w:after="0" w:line="216" w:lineRule="auto"/>
        <w:tabs>
          <w:tab w:leader="none" w:pos="2615"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an initial base salary at the annualized rate of four hundred fifteen thousand dollars ($415,000).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w:t>
      </w:r>
      <w:r>
        <w:rPr>
          <w:rFonts w:ascii="Arial" w:cs="Arial" w:eastAsia="Arial" w:hAnsi="Arial"/>
          <w:sz w:val="22"/>
          <w:szCs w:val="22"/>
          <w:b w:val="1"/>
          <w:bCs w:val="1"/>
          <w:color w:val="010000"/>
        </w:rPr>
        <w:t xml:space="preserve"> </w:t>
      </w:r>
      <w:r>
        <w:rPr>
          <w:rFonts w:ascii="Arial" w:cs="Arial" w:eastAsia="Arial" w:hAnsi="Arial"/>
          <w:sz w:val="22"/>
          <w:szCs w:val="22"/>
          <w:color w:val="010000"/>
        </w:rPr>
        <w:t>to 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57" w:lineRule="exact"/>
        <w:rPr>
          <w:rFonts w:ascii="Arial" w:cs="Arial" w:eastAsia="Arial" w:hAnsi="Arial"/>
          <w:sz w:val="22"/>
          <w:szCs w:val="22"/>
          <w:color w:val="010000"/>
        </w:rPr>
      </w:pPr>
    </w:p>
    <w:p>
      <w:pPr>
        <w:jc w:val="both"/>
        <w:ind w:firstLine="1735"/>
        <w:spacing w:after="0" w:line="242" w:lineRule="auto"/>
        <w:tabs>
          <w:tab w:leader="none" w:pos="2627"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010000"/>
        </w:rPr>
        <w:t>Annual Performance Bonus</w:t>
      </w:r>
      <w:r>
        <w:rPr>
          <w:rFonts w:ascii="Arial" w:cs="Arial" w:eastAsia="Arial" w:hAnsi="Arial"/>
          <w:sz w:val="19"/>
          <w:szCs w:val="19"/>
          <w:color w:val="010000"/>
        </w:rPr>
        <w:t>. At the sole discretion of the Board (or a committee thereof), the Executive shall be eligible to receive an annual performance-based bonus during the Term (the “</w:t>
      </w:r>
      <w:r>
        <w:rPr>
          <w:rFonts w:ascii="Arial" w:cs="Arial" w:eastAsia="Arial" w:hAnsi="Arial"/>
          <w:sz w:val="19"/>
          <w:szCs w:val="19"/>
          <w:b w:val="1"/>
          <w:bCs w:val="1"/>
          <w:color w:val="010000"/>
        </w:rPr>
        <w:t>Annual Performance Bonus</w:t>
      </w:r>
      <w:r>
        <w:rPr>
          <w:rFonts w:ascii="Arial" w:cs="Arial" w:eastAsia="Arial" w:hAnsi="Arial"/>
          <w:sz w:val="19"/>
          <w:szCs w:val="19"/>
          <w:color w:val="010000"/>
        </w:rPr>
        <w:t xml:space="preserve">”) targeted at forty percent (40%) of Executive’s then current Base Salary based on the attainment by the Company and the Executive of performance objectives as established annually by the Chief Executive Officer with approval by the Board (or committee thereof). Any Annual Performance Bonus earned with respect to the 2020 fiscal year shall be based on the attainment by the Company of the performance objectives established by the Board (or a committee thereof) for the other named executive officers of the Company for the 2020 fiscal year and the Executive’s individual performance objectives established by the Board (or a committee thereof) upon recommendation of the Chief Executive Officer, or as otherwise provided under any applicable bonus plan, and will be prorated based upon the number of days the Executive is employed in the 2020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the Annual Performance Bonus will be paid no later than seventy-five (75) days after the end of the period</w:t>
      </w:r>
      <w:r>
        <w:rPr>
          <w:rFonts w:ascii="Arial" w:cs="Arial" w:eastAsia="Arial" w:hAnsi="Arial"/>
          <w:sz w:val="19"/>
          <w:szCs w:val="19"/>
          <w:i w:val="1"/>
          <w:iCs w:val="1"/>
          <w:color w:val="010000"/>
        </w:rPr>
        <w:t xml:space="preserve"> </w:t>
      </w:r>
      <w:r>
        <w:rPr>
          <w:rFonts w:ascii="Arial" w:cs="Arial" w:eastAsia="Arial" w:hAnsi="Arial"/>
          <w:sz w:val="19"/>
          <w:szCs w:val="19"/>
          <w:color w:val="010000"/>
        </w:rPr>
        <w:t>to which the Annual Performance Bonus pertains.</w:t>
      </w:r>
    </w:p>
    <w:p>
      <w:pPr>
        <w:spacing w:after="0" w:line="376" w:lineRule="exact"/>
        <w:rPr>
          <w:rFonts w:ascii="Arial" w:cs="Arial" w:eastAsia="Arial" w:hAnsi="Arial"/>
          <w:sz w:val="19"/>
          <w:szCs w:val="19"/>
          <w:color w:val="010000"/>
        </w:rPr>
      </w:pPr>
    </w:p>
    <w:p>
      <w:pPr>
        <w:jc w:val="both"/>
        <w:ind w:firstLine="1735"/>
        <w:spacing w:after="0" w:line="221" w:lineRule="auto"/>
        <w:tabs>
          <w:tab w:leader="none" w:pos="2615" w:val="left"/>
        </w:tabs>
        <w:numPr>
          <w:ilvl w:val="0"/>
          <w:numId w:val="68"/>
        </w:numPr>
        <w:rPr>
          <w:rFonts w:ascii="Arial" w:cs="Arial" w:eastAsia="Arial" w:hAnsi="Arial"/>
          <w:sz w:val="21"/>
          <w:szCs w:val="21"/>
          <w:color w:val="010000"/>
        </w:rPr>
      </w:pPr>
      <w:r>
        <w:rPr>
          <w:rFonts w:ascii="Arial" w:cs="Arial" w:eastAsia="Arial" w:hAnsi="Arial"/>
          <w:sz w:val="21"/>
          <w:szCs w:val="21"/>
          <w:u w:val="single" w:color="auto"/>
          <w:color w:val="010000"/>
        </w:rPr>
        <w:t>Sign-on Bonus</w:t>
      </w:r>
      <w:r>
        <w:rPr>
          <w:rFonts w:ascii="Arial" w:cs="Arial" w:eastAsia="Arial" w:hAnsi="Arial"/>
          <w:sz w:val="21"/>
          <w:szCs w:val="21"/>
          <w:color w:val="010000"/>
        </w:rPr>
        <w:t>. The Company will pay the Executive a sign-on bonus in the gross amount of $100,000 (the “</w:t>
      </w:r>
      <w:r>
        <w:rPr>
          <w:rFonts w:ascii="Arial" w:cs="Arial" w:eastAsia="Arial" w:hAnsi="Arial"/>
          <w:sz w:val="21"/>
          <w:szCs w:val="21"/>
          <w:b w:val="1"/>
          <w:bCs w:val="1"/>
          <w:color w:val="010000"/>
        </w:rPr>
        <w:t>Sign-on Bonus</w:t>
      </w:r>
      <w:r>
        <w:rPr>
          <w:rFonts w:ascii="Arial" w:cs="Arial" w:eastAsia="Arial" w:hAnsi="Arial"/>
          <w:sz w:val="21"/>
          <w:szCs w:val="21"/>
          <w:color w:val="010000"/>
        </w:rPr>
        <w:t>”), less such taxes and applicable withholdings as required by law. The Sign-on Bonus will be payable to the Executive in a cash lump sum within 30 days following the Effective Date. If, prior to the one year anniversary of the Effective Date, the Executive terminates employment with the Company other than for Good Reason (as defined in Section 7(d)) or death or Disability (as defined in Section 7(b)) or the Company terminates the Executive for Cause (as defined in Section 7(a)), then the Executive will promptly repay to the Company 100% of the net amount of the Sign-On Bonus. If the Executive is obligated under this Section 4(c) to repay to the Company the Sign-on Bonus, then the Company may, in its discretion and as permitted under applicable law, off-set all or part of the Executive’s obligation under this Section 4(c) against amounts otherwise due to the Executive from the Company.</w:t>
      </w:r>
    </w:p>
    <w:p>
      <w:pPr>
        <w:spacing w:after="0" w:line="158" w:lineRule="exact"/>
        <w:rPr>
          <w:rFonts w:ascii="Arial" w:cs="Arial" w:eastAsia="Arial" w:hAnsi="Arial"/>
          <w:sz w:val="21"/>
          <w:szCs w:val="21"/>
          <w:color w:val="010000"/>
        </w:rPr>
      </w:pPr>
    </w:p>
    <w:p>
      <w:pPr>
        <w:jc w:val="both"/>
        <w:ind w:firstLine="1735"/>
        <w:spacing w:after="0" w:line="223" w:lineRule="auto"/>
        <w:tabs>
          <w:tab w:leader="none" w:pos="2627"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 4 and Section 8, shall be net of all applicable federal, state and local taxes, social security and such other amounts as the Company may be required by law to withhold from such amounts.</w:t>
      </w:r>
    </w:p>
    <w:p>
      <w:pPr>
        <w:spacing w:after="0" w:line="158" w:lineRule="exact"/>
        <w:rPr>
          <w:rFonts w:ascii="Arial" w:cs="Arial" w:eastAsia="Arial" w:hAnsi="Arial"/>
          <w:sz w:val="22"/>
          <w:szCs w:val="22"/>
          <w:color w:val="010000"/>
        </w:rPr>
      </w:pPr>
    </w:p>
    <w:p>
      <w:pPr>
        <w:jc w:val="both"/>
        <w:ind w:firstLine="1735"/>
        <w:spacing w:after="0" w:line="268" w:lineRule="auto"/>
        <w:tabs>
          <w:tab w:leader="none" w:pos="2615"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As a material inducement to accept the Company’s offer of employment, the Company will recommend to the Board (or a committee thereof) that the Executive be granted, subject to the Executive’s acceptance of this Agreement and commencement of employment, (i) an option to purchase 100,000 shares of common stock of the Company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7" w:name="page128"/>
    <w:bookmarkEnd w:id="127"/>
    <w:p>
      <w:pPr>
        <w:jc w:val="both"/>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Hire Stock Option</w:t>
      </w:r>
      <w:r>
        <w:rPr>
          <w:rFonts w:ascii="Arial" w:cs="Arial" w:eastAsia="Arial" w:hAnsi="Arial"/>
          <w:sz w:val="21"/>
          <w:szCs w:val="21"/>
          <w:color w:val="auto"/>
        </w:rPr>
        <w:t>”) and (ii) a restricted stock unit award for 45,000 shares of common stock of the Company (the “</w:t>
      </w:r>
      <w:r>
        <w:rPr>
          <w:rFonts w:ascii="Arial" w:cs="Arial" w:eastAsia="Arial" w:hAnsi="Arial"/>
          <w:sz w:val="21"/>
          <w:szCs w:val="21"/>
          <w:b w:val="1"/>
          <w:bCs w:val="1"/>
          <w:color w:val="auto"/>
        </w:rPr>
        <w:t>New</w:t>
      </w:r>
      <w:r>
        <w:rPr>
          <w:rFonts w:ascii="Arial" w:cs="Arial" w:eastAsia="Arial" w:hAnsi="Arial"/>
          <w:sz w:val="21"/>
          <w:szCs w:val="21"/>
          <w:color w:val="auto"/>
        </w:rPr>
        <w:t xml:space="preserve"> </w:t>
      </w:r>
      <w:r>
        <w:rPr>
          <w:rFonts w:ascii="Arial" w:cs="Arial" w:eastAsia="Arial" w:hAnsi="Arial"/>
          <w:sz w:val="21"/>
          <w:szCs w:val="21"/>
          <w:b w:val="1"/>
          <w:bCs w:val="1"/>
          <w:color w:val="auto"/>
        </w:rPr>
        <w:t>Hire RSUs</w:t>
      </w:r>
      <w:r>
        <w:rPr>
          <w:rFonts w:ascii="Arial" w:cs="Arial" w:eastAsia="Arial" w:hAnsi="Arial"/>
          <w:sz w:val="21"/>
          <w:szCs w:val="21"/>
          <w:color w:val="auto"/>
        </w:rPr>
        <w:t>” and together with the New Hire Stock Option, the “</w:t>
      </w:r>
      <w:r>
        <w:rPr>
          <w:rFonts w:ascii="Arial" w:cs="Arial" w:eastAsia="Arial" w:hAnsi="Arial"/>
          <w:sz w:val="21"/>
          <w:szCs w:val="21"/>
          <w:b w:val="1"/>
          <w:bCs w:val="1"/>
          <w:color w:val="auto"/>
        </w:rPr>
        <w:t>New Hire Equity Awards</w:t>
      </w:r>
      <w:r>
        <w:rPr>
          <w:rFonts w:ascii="Arial" w:cs="Arial" w:eastAsia="Arial" w:hAnsi="Arial"/>
          <w:sz w:val="21"/>
          <w:szCs w:val="21"/>
          <w:color w:val="auto"/>
        </w:rPr>
        <w:t>”). As an inducement that is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Executive’s employment with the Company, the New Hire Equity Awards will be granted to the Executive under the Company’s 2020 Inducement Award Plan (the “</w:t>
      </w:r>
      <w:r>
        <w:rPr>
          <w:rFonts w:ascii="Arial" w:cs="Arial" w:eastAsia="Arial" w:hAnsi="Arial"/>
          <w:sz w:val="21"/>
          <w:szCs w:val="21"/>
          <w:b w:val="1"/>
          <w:bCs w:val="1"/>
          <w:color w:val="auto"/>
        </w:rPr>
        <w:t>Inducement Plan</w:t>
      </w:r>
      <w:r>
        <w:rPr>
          <w:rFonts w:ascii="Arial" w:cs="Arial" w:eastAsia="Arial" w:hAnsi="Arial"/>
          <w:sz w:val="21"/>
          <w:szCs w:val="21"/>
          <w:color w:val="auto"/>
        </w:rPr>
        <w:t>”) pursuant to the inducement grant exception under Nasdaq Rule 5635(c)(4). The New Hire Equity Awards will have the following terms:</w:t>
      </w:r>
    </w:p>
    <w:p>
      <w:pPr>
        <w:spacing w:after="0" w:line="160" w:lineRule="exact"/>
        <w:rPr>
          <w:sz w:val="20"/>
          <w:szCs w:val="20"/>
          <w:color w:val="auto"/>
        </w:rPr>
      </w:pPr>
    </w:p>
    <w:p>
      <w:pPr>
        <w:jc w:val="both"/>
        <w:ind w:firstLine="2600"/>
        <w:spacing w:after="0" w:line="244" w:lineRule="auto"/>
        <w:tabs>
          <w:tab w:leader="none" w:pos="3444"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Subject to the Executive’s continued employment and the terms of the Company’s Inducement Plan and the applicable non-qualified stock option agreement entered into by the Executive and the Company pursuant to the Inducement Plan, the New Hire Stock Option will be granted as of the grant date, will have a term of ten years and the shares underlying the New Hire Stock Option shall vest in installments over </w:t>
      </w:r>
      <w:r>
        <w:rPr>
          <w:rFonts w:ascii="Arial" w:cs="Arial" w:eastAsia="Arial" w:hAnsi="Arial"/>
          <w:sz w:val="19"/>
          <w:szCs w:val="19"/>
          <w:color w:val="010000"/>
        </w:rPr>
        <w:t>four years with the first installment</w:t>
      </w:r>
      <w:r>
        <w:rPr>
          <w:rFonts w:ascii="Arial" w:cs="Arial" w:eastAsia="Arial" w:hAnsi="Arial"/>
          <w:sz w:val="19"/>
          <w:szCs w:val="19"/>
          <w:color w:val="auto"/>
        </w:rPr>
        <w:t xml:space="preserve"> </w:t>
      </w:r>
      <w:r>
        <w:rPr>
          <w:rFonts w:ascii="Arial" w:cs="Arial" w:eastAsia="Arial" w:hAnsi="Arial"/>
          <w:sz w:val="19"/>
          <w:szCs w:val="19"/>
          <w:color w:val="010000"/>
        </w:rPr>
        <w:t xml:space="preserve">(representing approximately 25% of the shares) vesting on the first anniversary of the grant date and the balance vesting over the next three years thereafter in approximately equal monthly installments. </w:t>
      </w:r>
      <w:r>
        <w:rPr>
          <w:rFonts w:ascii="Arial" w:cs="Arial" w:eastAsia="Arial" w:hAnsi="Arial"/>
          <w:sz w:val="19"/>
          <w:szCs w:val="19"/>
          <w:color w:val="000000"/>
        </w:rPr>
        <w:t>The New Hire Stock Option will have an exercise price</w:t>
      </w:r>
      <w:r>
        <w:rPr>
          <w:rFonts w:ascii="Arial" w:cs="Arial" w:eastAsia="Arial" w:hAnsi="Arial"/>
          <w:sz w:val="19"/>
          <w:szCs w:val="19"/>
          <w:color w:val="010000"/>
        </w:rPr>
        <w:t xml:space="preserve"> </w:t>
      </w:r>
      <w:r>
        <w:rPr>
          <w:rFonts w:ascii="Arial" w:cs="Arial" w:eastAsia="Arial" w:hAnsi="Arial"/>
          <w:sz w:val="19"/>
          <w:szCs w:val="19"/>
          <w:color w:val="000000"/>
        </w:rPr>
        <w:t>equal to the closing price of a common share of the Company on the Nasdaq Global Select Market on the grant date. The New Hire Stock Option shall be subject to accelerated vesting of time-based vesting awards in connection with a termination of employment to the extent and as provided in Section 8(b) of this Agreement.</w:t>
      </w:r>
    </w:p>
    <w:p>
      <w:pPr>
        <w:spacing w:after="0" w:line="160" w:lineRule="exact"/>
        <w:rPr>
          <w:rFonts w:ascii="Arial" w:cs="Arial" w:eastAsia="Arial" w:hAnsi="Arial"/>
          <w:sz w:val="19"/>
          <w:szCs w:val="19"/>
          <w:color w:val="010000"/>
        </w:rPr>
      </w:pPr>
    </w:p>
    <w:p>
      <w:pPr>
        <w:jc w:val="both"/>
        <w:ind w:firstLine="2600"/>
        <w:spacing w:after="0" w:line="222" w:lineRule="auto"/>
        <w:tabs>
          <w:tab w:leader="none" w:pos="3504" w:val="left"/>
        </w:tabs>
        <w:numPr>
          <w:ilvl w:val="0"/>
          <w:numId w:val="69"/>
        </w:numPr>
        <w:rPr>
          <w:rFonts w:ascii="Arial" w:cs="Arial" w:eastAsia="Arial" w:hAnsi="Arial"/>
          <w:sz w:val="21"/>
          <w:szCs w:val="21"/>
          <w:color w:val="010000"/>
        </w:rPr>
      </w:pPr>
      <w:r>
        <w:rPr>
          <w:rFonts w:ascii="Arial" w:cs="Arial" w:eastAsia="Arial" w:hAnsi="Arial"/>
          <w:sz w:val="21"/>
          <w:szCs w:val="21"/>
          <w:color w:val="auto"/>
        </w:rPr>
        <w:t>Subject to the Executive’s continued employment and the terms of the Company’s Inducement Plan and the applicable restricted stock unit award agreement entered into by the Executive and the Company pursuant to the Inducement Plan, the New Hire RSUs shall vest in four installments over four years, with one-fourth (1/4) of the New Hire RSUs vesting on each of the first anniversary date of the grant date, the second anniversary date of the grant date, the third anniversary date of the grant date, and the fourth anniversary date of the grant date. The New Hire RSUs shall be subject to accelerated vesting of time-based vesting awards in connection with a termination of employment to the extent and as provided in Section 8(b) of this Agreement.</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New Hire Equity Awards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22"/>
          <w:szCs w:val="22"/>
          <w:b w:val="1"/>
          <w:bCs w:val="1"/>
          <w:color w:val="auto"/>
        </w:rPr>
        <w:t>Equity</w:t>
      </w:r>
      <w:r>
        <w:rPr>
          <w:rFonts w:ascii="Arial" w:cs="Arial" w:eastAsia="Arial" w:hAnsi="Arial"/>
          <w:sz w:val="22"/>
          <w:szCs w:val="22"/>
          <w:color w:val="auto"/>
        </w:rPr>
        <w:t xml:space="preserve"> </w:t>
      </w:r>
      <w:r>
        <w:rPr>
          <w:rFonts w:ascii="Arial" w:cs="Arial" w:eastAsia="Arial" w:hAnsi="Arial"/>
          <w:sz w:val="22"/>
          <w:szCs w:val="22"/>
          <w:b w:val="1"/>
          <w:bCs w:val="1"/>
          <w:color w:val="auto"/>
        </w:rPr>
        <w:t>Awards</w:t>
      </w:r>
      <w:r>
        <w:rPr>
          <w:rFonts w:ascii="Arial" w:cs="Arial" w:eastAsia="Arial" w:hAnsi="Arial"/>
          <w:sz w:val="22"/>
          <w:szCs w:val="22"/>
          <w:color w:val="auto"/>
        </w:rPr>
        <w:t>.”</w:t>
      </w:r>
    </w:p>
    <w:p>
      <w:pPr>
        <w:spacing w:after="0" w:line="159" w:lineRule="exact"/>
        <w:rPr>
          <w:sz w:val="20"/>
          <w:szCs w:val="20"/>
          <w:color w:val="auto"/>
        </w:rPr>
      </w:pPr>
    </w:p>
    <w:p>
      <w:pPr>
        <w:jc w:val="both"/>
        <w:ind w:firstLine="1735"/>
        <w:spacing w:after="0" w:line="226" w:lineRule="auto"/>
        <w:tabs>
          <w:tab w:leader="none" w:pos="2591" w:val="left"/>
        </w:tabs>
        <w:numPr>
          <w:ilvl w:val="0"/>
          <w:numId w:val="70"/>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59" w:lineRule="exact"/>
        <w:rPr>
          <w:rFonts w:ascii="Arial" w:cs="Arial" w:eastAsia="Arial" w:hAnsi="Arial"/>
          <w:sz w:val="21"/>
          <w:szCs w:val="21"/>
          <w:color w:val="010000"/>
        </w:rPr>
      </w:pPr>
    </w:p>
    <w:p>
      <w:pPr>
        <w:jc w:val="both"/>
        <w:ind w:firstLine="1735"/>
        <w:spacing w:after="0" w:line="226" w:lineRule="auto"/>
        <w:tabs>
          <w:tab w:leader="none" w:pos="2627" w:val="left"/>
        </w:tabs>
        <w:numPr>
          <w:ilvl w:val="0"/>
          <w:numId w:val="70"/>
        </w:numPr>
        <w:rPr>
          <w:rFonts w:ascii="Arial" w:cs="Arial" w:eastAsia="Arial" w:hAnsi="Arial"/>
          <w:sz w:val="21"/>
          <w:szCs w:val="21"/>
          <w:color w:val="010000"/>
        </w:rPr>
      </w:pPr>
      <w:r>
        <w:rPr>
          <w:rFonts w:ascii="Arial" w:cs="Arial" w:eastAsia="Arial" w:hAnsi="Arial"/>
          <w:sz w:val="21"/>
          <w:szCs w:val="21"/>
          <w:u w:val="single" w:color="auto"/>
          <w:color w:val="010000"/>
        </w:rPr>
        <w:t>Other Benefits</w:t>
      </w:r>
      <w:r>
        <w:rPr>
          <w:rFonts w:ascii="Arial" w:cs="Arial" w:eastAsia="Arial" w:hAnsi="Arial"/>
          <w:sz w:val="21"/>
          <w:szCs w:val="21"/>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1"/>
          <w:szCs w:val="21"/>
          <w:b w:val="1"/>
          <w:bCs w:val="1"/>
          <w:color w:val="010000"/>
        </w:rPr>
        <w:t>Fringe Benefits</w:t>
      </w:r>
      <w:r>
        <w:rPr>
          <w:rFonts w:ascii="Arial" w:cs="Arial" w:eastAsia="Arial" w:hAnsi="Arial"/>
          <w:sz w:val="21"/>
          <w:szCs w:val="21"/>
          <w:color w:val="010000"/>
        </w:rPr>
        <w:t>”) as the Company shall make available to its senior executives from time to time, subject to the terms of such plans. In addition, if applicable, the Company shall reimburse the Executive for Executive’s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8" w:name="page129"/>
    <w:bookmarkEnd w:id="128"/>
    <w:p>
      <w:pPr>
        <w:jc w:val="both"/>
        <w:spacing w:after="0" w:line="218" w:lineRule="auto"/>
        <w:rPr>
          <w:sz w:val="20"/>
          <w:szCs w:val="20"/>
          <w:color w:val="auto"/>
        </w:rPr>
      </w:pPr>
      <w:r>
        <w:rPr>
          <w:rFonts w:ascii="Arial" w:cs="Arial" w:eastAsia="Arial" w:hAnsi="Arial"/>
          <w:sz w:val="22"/>
          <w:szCs w:val="22"/>
          <w:color w:val="010000"/>
        </w:rPr>
        <w:t>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61" w:lineRule="exact"/>
        <w:rPr>
          <w:sz w:val="20"/>
          <w:szCs w:val="20"/>
          <w:color w:val="auto"/>
        </w:rPr>
      </w:pPr>
    </w:p>
    <w:p>
      <w:pPr>
        <w:ind w:firstLine="1735"/>
        <w:spacing w:after="0" w:line="232" w:lineRule="auto"/>
        <w:tabs>
          <w:tab w:leader="none" w:pos="2627" w:val="left"/>
        </w:tabs>
        <w:numPr>
          <w:ilvl w:val="1"/>
          <w:numId w:val="71"/>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58" w:lineRule="exact"/>
        <w:rPr>
          <w:rFonts w:ascii="Arial" w:cs="Arial" w:eastAsia="Arial" w:hAnsi="Arial"/>
          <w:sz w:val="22"/>
          <w:szCs w:val="22"/>
          <w:color w:val="010000"/>
        </w:rPr>
      </w:pPr>
    </w:p>
    <w:p>
      <w:pPr>
        <w:ind w:firstLine="872"/>
        <w:spacing w:after="0" w:line="298" w:lineRule="auto"/>
        <w:tabs>
          <w:tab w:leader="none" w:pos="1674" w:val="left"/>
        </w:tabs>
        <w:numPr>
          <w:ilvl w:val="0"/>
          <w:numId w:val="72"/>
        </w:numPr>
        <w:rPr>
          <w:rFonts w:ascii="Arial" w:cs="Arial" w:eastAsia="Arial" w:hAnsi="Arial"/>
          <w:sz w:val="19"/>
          <w:szCs w:val="19"/>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execute and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05" w:lineRule="exact"/>
        <w:rPr>
          <w:rFonts w:ascii="Arial" w:cs="Arial" w:eastAsia="Arial" w:hAnsi="Arial"/>
          <w:sz w:val="19"/>
          <w:szCs w:val="19"/>
          <w:color w:val="010000"/>
        </w:rPr>
      </w:pPr>
    </w:p>
    <w:p>
      <w:pPr>
        <w:ind w:left="1680" w:hanging="808"/>
        <w:spacing w:after="0"/>
        <w:tabs>
          <w:tab w:leader="none" w:pos="1680"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left="2620" w:hanging="885"/>
        <w:spacing w:after="0"/>
        <w:tabs>
          <w:tab w:leader="none" w:pos="2620" w:val="left"/>
        </w:tabs>
        <w:numPr>
          <w:ilvl w:val="1"/>
          <w:numId w:val="72"/>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179" w:lineRule="exact"/>
        <w:rPr>
          <w:rFonts w:ascii="Arial" w:cs="Arial" w:eastAsia="Arial" w:hAnsi="Arial"/>
          <w:sz w:val="22"/>
          <w:szCs w:val="22"/>
          <w:color w:val="010000"/>
        </w:rPr>
      </w:pPr>
    </w:p>
    <w:p>
      <w:pPr>
        <w:jc w:val="both"/>
        <w:ind w:firstLine="2600"/>
        <w:spacing w:after="0" w:line="216" w:lineRule="auto"/>
        <w:tabs>
          <w:tab w:leader="none" w:pos="3444" w:val="left"/>
        </w:tabs>
        <w:numPr>
          <w:ilvl w:val="2"/>
          <w:numId w:val="72"/>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57" w:lineRule="exact"/>
        <w:rPr>
          <w:rFonts w:ascii="Arial" w:cs="Arial" w:eastAsia="Arial" w:hAnsi="Arial"/>
          <w:sz w:val="22"/>
          <w:szCs w:val="22"/>
          <w:color w:val="auto"/>
        </w:rPr>
      </w:pPr>
    </w:p>
    <w:p>
      <w:pPr>
        <w:jc w:val="both"/>
        <w:ind w:firstLine="2600"/>
        <w:spacing w:after="0" w:line="216" w:lineRule="auto"/>
        <w:tabs>
          <w:tab w:leader="none" w:pos="3504"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spacing w:after="0" w:line="157" w:lineRule="exact"/>
        <w:rPr>
          <w:rFonts w:ascii="Arial" w:cs="Arial" w:eastAsia="Arial" w:hAnsi="Arial"/>
          <w:sz w:val="22"/>
          <w:szCs w:val="22"/>
          <w:color w:val="auto"/>
        </w:rPr>
      </w:pPr>
    </w:p>
    <w:p>
      <w:pPr>
        <w:jc w:val="both"/>
        <w:ind w:firstLine="1735"/>
        <w:spacing w:after="0" w:line="223" w:lineRule="auto"/>
        <w:tabs>
          <w:tab w:leader="none" w:pos="2627" w:val="left"/>
        </w:tabs>
        <w:numPr>
          <w:ilvl w:val="1"/>
          <w:numId w:val="72"/>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58" w:lineRule="exact"/>
        <w:rPr>
          <w:rFonts w:ascii="Arial" w:cs="Arial" w:eastAsia="Arial" w:hAnsi="Arial"/>
          <w:sz w:val="22"/>
          <w:szCs w:val="22"/>
          <w:color w:val="010000"/>
        </w:rPr>
      </w:pPr>
    </w:p>
    <w:p>
      <w:pPr>
        <w:ind w:firstLine="872"/>
        <w:spacing w:after="0" w:line="232" w:lineRule="auto"/>
        <w:tabs>
          <w:tab w:leader="none" w:pos="1674"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58" w:lineRule="exact"/>
        <w:rPr>
          <w:rFonts w:ascii="Arial" w:cs="Arial" w:eastAsia="Arial" w:hAnsi="Arial"/>
          <w:sz w:val="22"/>
          <w:szCs w:val="22"/>
          <w:color w:val="010000"/>
        </w:rPr>
      </w:pPr>
    </w:p>
    <w:p>
      <w:pPr>
        <w:ind w:right="20" w:firstLine="1735"/>
        <w:spacing w:after="0" w:line="247" w:lineRule="auto"/>
        <w:tabs>
          <w:tab w:leader="none" w:pos="2615" w:val="left"/>
        </w:tabs>
        <w:numPr>
          <w:ilvl w:val="1"/>
          <w:numId w:val="72"/>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1"/>
          <w:szCs w:val="21"/>
          <w:b w:val="1"/>
          <w:bCs w:val="1"/>
          <w:color w:val="010000"/>
        </w:rPr>
        <w:t>Cause</w:t>
      </w:r>
      <w:r>
        <w:rPr>
          <w:rFonts w:ascii="Arial" w:cs="Arial" w:eastAsia="Arial" w:hAnsi="Arial"/>
          <w:sz w:val="21"/>
          <w:szCs w:val="21"/>
          <w:color w:val="010000"/>
        </w:rPr>
        <w:t>”:</w:t>
      </w:r>
    </w:p>
    <w:p>
      <w:pPr>
        <w:spacing w:after="0" w:line="143" w:lineRule="exact"/>
        <w:rPr>
          <w:rFonts w:ascii="Arial" w:cs="Arial" w:eastAsia="Arial" w:hAnsi="Arial"/>
          <w:sz w:val="21"/>
          <w:szCs w:val="21"/>
          <w:color w:val="010000"/>
        </w:rPr>
      </w:pPr>
    </w:p>
    <w:p>
      <w:pPr>
        <w:ind w:left="3460" w:hanging="860"/>
        <w:spacing w:after="0"/>
        <w:tabs>
          <w:tab w:leader="none" w:pos="3460" w:val="left"/>
        </w:tabs>
        <w:numPr>
          <w:ilvl w:val="2"/>
          <w:numId w:val="72"/>
        </w:numPr>
        <w:rPr>
          <w:rFonts w:ascii="Arial" w:cs="Arial" w:eastAsia="Arial" w:hAnsi="Arial"/>
          <w:sz w:val="21"/>
          <w:szCs w:val="21"/>
          <w:color w:val="auto"/>
        </w:rPr>
      </w:pPr>
      <w:r>
        <w:rPr>
          <w:rFonts w:ascii="Arial" w:cs="Arial" w:eastAsia="Arial" w:hAnsi="Arial"/>
          <w:sz w:val="21"/>
          <w:szCs w:val="21"/>
          <w:color w:val="auto"/>
        </w:rPr>
        <w:t>The willful failure or disregard or continuing refusal by the Executive to perform his</w:t>
      </w:r>
    </w:p>
    <w:p>
      <w:pPr>
        <w:spacing w:after="0"/>
        <w:rPr>
          <w:rFonts w:ascii="Arial" w:cs="Arial" w:eastAsia="Arial" w:hAnsi="Arial"/>
          <w:sz w:val="21"/>
          <w:szCs w:val="21"/>
          <w:color w:val="auto"/>
        </w:rPr>
      </w:pPr>
      <w:r>
        <w:rPr>
          <w:rFonts w:ascii="Arial" w:cs="Arial" w:eastAsia="Arial" w:hAnsi="Arial"/>
          <w:sz w:val="22"/>
          <w:szCs w:val="22"/>
          <w:color w:val="auto"/>
        </w:rPr>
        <w:t>duties hereunder;</w:t>
      </w:r>
    </w:p>
    <w:p>
      <w:pPr>
        <w:spacing w:after="0" w:line="161" w:lineRule="exact"/>
        <w:rPr>
          <w:rFonts w:ascii="Arial" w:cs="Arial" w:eastAsia="Arial" w:hAnsi="Arial"/>
          <w:sz w:val="21"/>
          <w:szCs w:val="21"/>
          <w:color w:val="auto"/>
        </w:rPr>
      </w:pPr>
    </w:p>
    <w:p>
      <w:pPr>
        <w:ind w:firstLine="2600"/>
        <w:spacing w:after="0" w:line="232" w:lineRule="auto"/>
        <w:tabs>
          <w:tab w:leader="none" w:pos="3504" w:val="left"/>
        </w:tabs>
        <w:numPr>
          <w:ilvl w:val="2"/>
          <w:numId w:val="72"/>
        </w:numPr>
        <w:rPr>
          <w:rFonts w:ascii="Arial" w:cs="Arial" w:eastAsia="Arial" w:hAnsi="Arial"/>
          <w:sz w:val="22"/>
          <w:szCs w:val="22"/>
          <w:color w:val="auto"/>
        </w:rPr>
      </w:pPr>
      <w:r>
        <w:rPr>
          <w:rFonts w:ascii="Arial" w:cs="Arial" w:eastAsia="Arial" w:hAnsi="Arial"/>
          <w:sz w:val="22"/>
          <w:szCs w:val="22"/>
          <w:color w:val="auto"/>
        </w:rPr>
        <w:t>Any act of willful or intentional misconduct, or a grossly negligent act by the Executive having the effect of injuring, in a material way (as determined in good-faith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9" w:name="page130"/>
    <w:bookmarkEnd w:id="129"/>
    <w:p>
      <w:pPr>
        <w:ind w:right="20"/>
        <w:spacing w:after="0" w:line="232" w:lineRule="auto"/>
        <w:rPr>
          <w:sz w:val="20"/>
          <w:szCs w:val="20"/>
          <w:color w:val="auto"/>
        </w:rPr>
      </w:pPr>
      <w:r>
        <w:rPr>
          <w:rFonts w:ascii="Arial" w:cs="Arial" w:eastAsia="Arial" w:hAnsi="Arial"/>
          <w:sz w:val="22"/>
          <w:szCs w:val="22"/>
          <w:color w:val="auto"/>
        </w:rPr>
        <w:t>by the Company), the business or reputation of the Company, including but not limited to, any officer, director, or executive of the Company;</w:t>
      </w:r>
    </w:p>
    <w:p>
      <w:pPr>
        <w:spacing w:after="0" w:line="159" w:lineRule="exact"/>
        <w:rPr>
          <w:sz w:val="20"/>
          <w:szCs w:val="20"/>
          <w:color w:val="auto"/>
        </w:rPr>
      </w:pPr>
    </w:p>
    <w:p>
      <w:pPr>
        <w:jc w:val="both"/>
        <w:ind w:firstLine="2600"/>
        <w:spacing w:after="0" w:line="218" w:lineRule="auto"/>
        <w:tabs>
          <w:tab w:leader="none" w:pos="3564" w:val="left"/>
        </w:tabs>
        <w:numPr>
          <w:ilvl w:val="0"/>
          <w:numId w:val="73"/>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60" w:lineRule="exact"/>
        <w:rPr>
          <w:rFonts w:ascii="Arial" w:cs="Arial" w:eastAsia="Arial" w:hAnsi="Arial"/>
          <w:sz w:val="22"/>
          <w:szCs w:val="22"/>
          <w:color w:val="auto"/>
        </w:rPr>
      </w:pPr>
    </w:p>
    <w:p>
      <w:pPr>
        <w:ind w:firstLine="2600"/>
        <w:spacing w:after="0" w:line="232" w:lineRule="auto"/>
        <w:tabs>
          <w:tab w:leader="none" w:pos="355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58" w:lineRule="exact"/>
        <w:rPr>
          <w:rFonts w:ascii="Arial" w:cs="Arial" w:eastAsia="Arial" w:hAnsi="Arial"/>
          <w:sz w:val="22"/>
          <w:szCs w:val="22"/>
          <w:color w:val="auto"/>
        </w:rPr>
      </w:pPr>
    </w:p>
    <w:p>
      <w:pPr>
        <w:jc w:val="both"/>
        <w:ind w:firstLine="2600"/>
        <w:spacing w:after="0" w:line="218" w:lineRule="auto"/>
        <w:tabs>
          <w:tab w:leader="none" w:pos="34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60" w:lineRule="exact"/>
        <w:rPr>
          <w:rFonts w:ascii="Arial" w:cs="Arial" w:eastAsia="Arial" w:hAnsi="Arial"/>
          <w:sz w:val="22"/>
          <w:szCs w:val="22"/>
          <w:color w:val="auto"/>
        </w:rPr>
      </w:pPr>
    </w:p>
    <w:p>
      <w:pPr>
        <w:ind w:firstLine="2600"/>
        <w:spacing w:after="0" w:line="232" w:lineRule="auto"/>
        <w:tabs>
          <w:tab w:leader="none" w:pos="3552"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58" w:lineRule="exact"/>
        <w:rPr>
          <w:rFonts w:ascii="Arial" w:cs="Arial" w:eastAsia="Arial" w:hAnsi="Arial"/>
          <w:sz w:val="22"/>
          <w:szCs w:val="22"/>
          <w:color w:val="auto"/>
        </w:rPr>
      </w:pPr>
    </w:p>
    <w:p>
      <w:pPr>
        <w:ind w:left="3620" w:hanging="1020"/>
        <w:spacing w:after="0"/>
        <w:tabs>
          <w:tab w:leader="none" w:pos="36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Breach by the Executive of any of the provisions of the PIIA; and</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672" w:val="left"/>
        </w:tabs>
        <w:numPr>
          <w:ilvl w:val="0"/>
          <w:numId w:val="73"/>
        </w:numPr>
        <w:rPr>
          <w:rFonts w:ascii="Arial" w:cs="Arial" w:eastAsia="Arial" w:hAnsi="Arial"/>
          <w:sz w:val="22"/>
          <w:szCs w:val="22"/>
          <w:color w:val="auto"/>
        </w:rPr>
      </w:pPr>
      <w:r>
        <w:rPr>
          <w:rFonts w:ascii="Arial" w:cs="Arial" w:eastAsia="Arial" w:hAnsi="Arial"/>
          <w:sz w:val="22"/>
          <w:szCs w:val="22"/>
          <w:color w:val="auto"/>
        </w:rPr>
        <w:t>Breach by the Executive of any provision of this Agreement other than those contained in the PIIA, which is not cured by the Executive within thirty (30) business days after notice thereof is given to the Executive by the Company.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52" w:lineRule="exact"/>
        <w:rPr>
          <w:sz w:val="20"/>
          <w:szCs w:val="20"/>
          <w:color w:val="auto"/>
        </w:rPr>
      </w:pPr>
    </w:p>
    <w:p>
      <w:pPr>
        <w:jc w:val="both"/>
        <w:ind w:firstLine="1735"/>
        <w:spacing w:after="0" w:line="220" w:lineRule="auto"/>
        <w:tabs>
          <w:tab w:leader="none" w:pos="2681" w:val="left"/>
        </w:tabs>
        <w:numPr>
          <w:ilvl w:val="0"/>
          <w:numId w:val="74"/>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Chief Executive Officer due to the Executive’s Disability. For purposes of this Agreement, a termination for “</w:t>
      </w:r>
      <w:r>
        <w:rPr>
          <w:rFonts w:ascii="Arial" w:cs="Arial" w:eastAsia="Arial" w:hAnsi="Arial"/>
          <w:sz w:val="21"/>
          <w:szCs w:val="21"/>
          <w:b w:val="1"/>
          <w:bCs w:val="1"/>
          <w:color w:val="010000"/>
        </w:rPr>
        <w:t>Disability</w:t>
      </w:r>
      <w:r>
        <w:rPr>
          <w:rFonts w:ascii="Arial" w:cs="Arial" w:eastAsia="Arial" w:hAnsi="Arial"/>
          <w:sz w:val="21"/>
          <w:szCs w:val="21"/>
          <w:color w:val="010000"/>
        </w:rPr>
        <w:t>” shall occur (i) when the Chief Executive Officer has provided a written termination notice to the Executive supported by a written statement from a reputable independent physician mutually selected by the Company and the Executive, or the Executive’s legal representatives in the event the Executive is unable to make such selection due to mental incapacity (“</w:t>
      </w:r>
      <w:r>
        <w:rPr>
          <w:rFonts w:ascii="Arial" w:cs="Arial" w:eastAsia="Arial" w:hAnsi="Arial"/>
          <w:sz w:val="21"/>
          <w:szCs w:val="21"/>
          <w:b w:val="1"/>
          <w:bCs w:val="1"/>
          <w:color w:val="010000"/>
        </w:rPr>
        <w:t>Independent Physician</w:t>
      </w:r>
      <w:r>
        <w:rPr>
          <w:rFonts w:ascii="Arial" w:cs="Arial" w:eastAsia="Arial" w:hAnsi="Arial"/>
          <w:sz w:val="21"/>
          <w:szCs w:val="21"/>
          <w:color w:val="010000"/>
        </w:rPr>
        <w:t>”),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0" w:name="page131"/>
    <w:bookmarkEnd w:id="130"/>
    <w:p>
      <w:pPr>
        <w:jc w:val="both"/>
        <w:spacing w:after="0" w:line="221" w:lineRule="auto"/>
        <w:rPr>
          <w:sz w:val="20"/>
          <w:szCs w:val="20"/>
          <w:color w:val="auto"/>
        </w:rPr>
      </w:pPr>
      <w:r>
        <w:rPr>
          <w:rFonts w:ascii="Arial" w:cs="Arial" w:eastAsia="Arial" w:hAnsi="Arial"/>
          <w:sz w:val="21"/>
          <w:szCs w:val="21"/>
          <w:color w:val="010000"/>
        </w:rPr>
        <w:t xml:space="preserve">required under the Americans With Disabilities Act, for one hundred twenty (120) or more consecutive days, or more than one hundred eighty (180) days in any consecutive twelve (12) month period, by reason of any physical or mental illness or injury. For purposes of this Section 7(b), the Executive agrees to make himself available and to cooperate in any reasonable examination by an Independent Physician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w:t>
      </w:r>
      <w:r>
        <w:rPr>
          <w:rFonts w:ascii="Arial" w:cs="Arial" w:eastAsia="Arial" w:hAnsi="Arial"/>
          <w:sz w:val="21"/>
          <w:szCs w:val="21"/>
          <w:color w:val="000000"/>
        </w:rPr>
        <w:t>the</w:t>
      </w:r>
      <w:r>
        <w:rPr>
          <w:rFonts w:ascii="Arial" w:cs="Arial" w:eastAsia="Arial" w:hAnsi="Arial"/>
          <w:sz w:val="21"/>
          <w:szCs w:val="21"/>
          <w:color w:val="010000"/>
        </w:rPr>
        <w:t xml:space="preserve"> Executive for the Executive’s actual cost of maintaining a supplementary long-term disability insurance policy during the Term up to a maximum reimbursement of $10,000 per year.</w:t>
      </w:r>
    </w:p>
    <w:p>
      <w:pPr>
        <w:spacing w:after="0" w:line="165" w:lineRule="exact"/>
        <w:rPr>
          <w:sz w:val="20"/>
          <w:szCs w:val="20"/>
          <w:color w:val="auto"/>
        </w:rPr>
      </w:pPr>
    </w:p>
    <w:p>
      <w:pPr>
        <w:jc w:val="both"/>
        <w:ind w:firstLine="1735"/>
        <w:spacing w:after="0" w:line="241" w:lineRule="auto"/>
        <w:tabs>
          <w:tab w:leader="none" w:pos="2615" w:val="left"/>
        </w:tabs>
        <w:numPr>
          <w:ilvl w:val="0"/>
          <w:numId w:val="75"/>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9"/>
          <w:szCs w:val="19"/>
          <w:b w:val="1"/>
          <w:bCs w:val="1"/>
          <w:color w:val="010000"/>
        </w:rPr>
        <w:t>Change of</w:t>
      </w:r>
      <w:r>
        <w:rPr>
          <w:rFonts w:ascii="Arial" w:cs="Arial" w:eastAsia="Arial" w:hAnsi="Arial"/>
          <w:sz w:val="19"/>
          <w:szCs w:val="19"/>
          <w:color w:val="010000"/>
        </w:rPr>
        <w:t xml:space="preserve"> </w:t>
      </w:r>
      <w:r>
        <w:rPr>
          <w:rFonts w:ascii="Arial" w:cs="Arial" w:eastAsia="Arial" w:hAnsi="Arial"/>
          <w:sz w:val="19"/>
          <w:szCs w:val="19"/>
          <w:b w:val="1"/>
          <w:bCs w:val="1"/>
          <w:color w:val="010000"/>
        </w:rPr>
        <w:t>Control</w:t>
      </w:r>
      <w:r>
        <w:rPr>
          <w:rFonts w:ascii="Arial" w:cs="Arial" w:eastAsia="Arial" w:hAnsi="Arial"/>
          <w:sz w:val="19"/>
          <w:szCs w:val="19"/>
          <w:color w:val="010000"/>
        </w:rPr>
        <w:t>” means (i) the acquisition, directly or indirectly, following the Effective Date by any person (as such term is defined in</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19"/>
          <w:szCs w:val="19"/>
          <w:color w:val="000000"/>
        </w:rPr>
        <w:t>Notwithstanding the foregoing, if the Change of Control does not constitute a change in the</w:t>
      </w:r>
      <w:r>
        <w:rPr>
          <w:rFonts w:ascii="Arial" w:cs="Arial" w:eastAsia="Arial" w:hAnsi="Arial"/>
          <w:sz w:val="19"/>
          <w:szCs w:val="19"/>
          <w:color w:val="010000"/>
        </w:rPr>
        <w:t xml:space="preserve"> </w:t>
      </w:r>
      <w:r>
        <w:rPr>
          <w:rFonts w:ascii="Arial" w:cs="Arial" w:eastAsia="Arial" w:hAnsi="Arial"/>
          <w:sz w:val="19"/>
          <w:szCs w:val="19"/>
          <w:color w:val="000000"/>
        </w:rPr>
        <w:t>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19"/>
          <w:szCs w:val="19"/>
          <w:b w:val="1"/>
          <w:bCs w:val="1"/>
          <w:color w:val="000000"/>
        </w:rPr>
        <w:t>Cod</w:t>
      </w:r>
      <w:r>
        <w:rPr>
          <w:rFonts w:ascii="Arial" w:cs="Arial" w:eastAsia="Arial" w:hAnsi="Arial"/>
          <w:sz w:val="19"/>
          <w:szCs w:val="19"/>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381" w:lineRule="exact"/>
        <w:rPr>
          <w:rFonts w:ascii="Arial" w:cs="Arial" w:eastAsia="Arial" w:hAnsi="Arial"/>
          <w:sz w:val="19"/>
          <w:szCs w:val="19"/>
          <w:color w:val="010000"/>
        </w:rPr>
      </w:pPr>
    </w:p>
    <w:p>
      <w:pPr>
        <w:jc w:val="both"/>
        <w:ind w:firstLine="1735"/>
        <w:spacing w:after="0" w:line="242" w:lineRule="auto"/>
        <w:tabs>
          <w:tab w:leader="none" w:pos="2627" w:val="left"/>
        </w:tabs>
        <w:numPr>
          <w:ilvl w:val="0"/>
          <w:numId w:val="75"/>
        </w:numPr>
        <w:rPr>
          <w:rFonts w:ascii="Arial" w:cs="Arial" w:eastAsia="Arial" w:hAnsi="Arial"/>
          <w:sz w:val="19"/>
          <w:szCs w:val="19"/>
          <w:color w:val="010000"/>
        </w:rPr>
      </w:pPr>
      <w:r>
        <w:rPr>
          <w:rFonts w:ascii="Arial" w:cs="Arial" w:eastAsia="Arial" w:hAnsi="Arial"/>
          <w:sz w:val="19"/>
          <w:szCs w:val="19"/>
          <w:color w:val="010000"/>
        </w:rPr>
        <w:t>The Executive’s employment hereunder may be voluntarily terminated by the Executive for Good Reason. For purposes of this Agreement, “Good Reason”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(as defined in Section 8(b) below),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(iv) any requirement by the Company, without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1" w:name="page132"/>
    <w:bookmarkEnd w:id="131"/>
    <w:p>
      <w:pPr>
        <w:jc w:val="both"/>
        <w:spacing w:after="0" w:line="210" w:lineRule="auto"/>
        <w:rPr>
          <w:sz w:val="20"/>
          <w:szCs w:val="20"/>
          <w:color w:val="auto"/>
        </w:rPr>
      </w:pPr>
      <w:r>
        <w:rPr>
          <w:rFonts w:ascii="Arial" w:cs="Arial" w:eastAsia="Arial" w:hAnsi="Arial"/>
          <w:sz w:val="22"/>
          <w:szCs w:val="22"/>
          <w:color w:val="010000"/>
        </w:rPr>
        <w:t>Executive’s prior written consent,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p>
    <w:p>
      <w:pPr>
        <w:spacing w:after="0" w:line="163" w:lineRule="exact"/>
        <w:rPr>
          <w:sz w:val="20"/>
          <w:szCs w:val="20"/>
          <w:color w:val="auto"/>
        </w:rPr>
      </w:pPr>
    </w:p>
    <w:p>
      <w:pPr>
        <w:jc w:val="both"/>
        <w:ind w:firstLine="1735"/>
        <w:spacing w:after="0" w:line="234" w:lineRule="auto"/>
        <w:tabs>
          <w:tab w:leader="none" w:pos="2615" w:val="left"/>
        </w:tabs>
        <w:numPr>
          <w:ilvl w:val="1"/>
          <w:numId w:val="76"/>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57" w:lineRule="exact"/>
        <w:rPr>
          <w:rFonts w:ascii="Arial" w:cs="Arial" w:eastAsia="Arial" w:hAnsi="Arial"/>
          <w:sz w:val="21"/>
          <w:szCs w:val="21"/>
          <w:color w:val="010000"/>
        </w:rPr>
      </w:pPr>
    </w:p>
    <w:p>
      <w:pPr>
        <w:ind w:firstLine="1735"/>
        <w:spacing w:after="0" w:line="247" w:lineRule="auto"/>
        <w:tabs>
          <w:tab w:leader="none" w:pos="2591" w:val="left"/>
        </w:tabs>
        <w:numPr>
          <w:ilvl w:val="1"/>
          <w:numId w:val="76"/>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0" w:lineRule="exact"/>
        <w:rPr>
          <w:rFonts w:ascii="Arial" w:cs="Arial" w:eastAsia="Arial" w:hAnsi="Arial"/>
          <w:sz w:val="21"/>
          <w:szCs w:val="21"/>
          <w:color w:val="010000"/>
        </w:rPr>
      </w:pPr>
    </w:p>
    <w:p>
      <w:pPr>
        <w:ind w:left="1680" w:hanging="808"/>
        <w:spacing w:after="0"/>
        <w:tabs>
          <w:tab w:leader="none" w:pos="1680"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735"/>
        <w:spacing w:after="0" w:line="220" w:lineRule="auto"/>
        <w:tabs>
          <w:tab w:leader="none" w:pos="2615" w:val="left"/>
        </w:tabs>
        <w:numPr>
          <w:ilvl w:val="1"/>
          <w:numId w:val="77"/>
        </w:numPr>
        <w:rPr>
          <w:rFonts w:ascii="Arial" w:cs="Arial" w:eastAsia="Arial" w:hAnsi="Arial"/>
          <w:sz w:val="21"/>
          <w:szCs w:val="21"/>
          <w:color w:val="010000"/>
        </w:rPr>
      </w:pPr>
      <w:r>
        <w:rPr>
          <w:rFonts w:ascii="Arial" w:cs="Arial" w:eastAsia="Arial" w:hAnsi="Arial"/>
          <w:sz w:val="21"/>
          <w:szCs w:val="21"/>
          <w:u w:val="single" w:color="auto"/>
          <w:color w:val="010000"/>
        </w:rPr>
        <w:t>Accrued Benefits</w:t>
      </w:r>
      <w:r>
        <w:rPr>
          <w:rFonts w:ascii="Arial" w:cs="Arial" w:eastAsia="Arial" w:hAnsi="Arial"/>
          <w:sz w:val="21"/>
          <w:szCs w:val="21"/>
          <w:color w:val="010000"/>
        </w:rPr>
        <w:t>. Upon termination of the Executive’s employment by either party regardless of the cause or reason, the Executive shall be entitled to the following, referred to herein as the “</w:t>
      </w:r>
      <w:r>
        <w:rPr>
          <w:rFonts w:ascii="Arial" w:cs="Arial" w:eastAsia="Arial" w:hAnsi="Arial"/>
          <w:sz w:val="21"/>
          <w:szCs w:val="21"/>
          <w:b w:val="1"/>
          <w:bCs w:val="1"/>
          <w:color w:val="010000"/>
        </w:rPr>
        <w:t>Accrued Benefits</w:t>
      </w:r>
      <w:r>
        <w:rPr>
          <w:rFonts w:ascii="Arial" w:cs="Arial" w:eastAsia="Arial" w:hAnsi="Arial"/>
          <w:sz w:val="21"/>
          <w:szCs w:val="21"/>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w:t>
      </w:r>
    </w:p>
    <w:p>
      <w:pPr>
        <w:spacing w:after="0" w:line="162" w:lineRule="exact"/>
        <w:rPr>
          <w:rFonts w:ascii="Arial" w:cs="Arial" w:eastAsia="Arial" w:hAnsi="Arial"/>
          <w:sz w:val="21"/>
          <w:szCs w:val="21"/>
          <w:color w:val="010000"/>
        </w:rPr>
      </w:pPr>
    </w:p>
    <w:p>
      <w:pPr>
        <w:jc w:val="both"/>
        <w:ind w:firstLine="1735"/>
        <w:spacing w:after="0" w:line="246" w:lineRule="auto"/>
        <w:tabs>
          <w:tab w:leader="none" w:pos="2627" w:val="left"/>
        </w:tabs>
        <w:numPr>
          <w:ilvl w:val="1"/>
          <w:numId w:val="77"/>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by the Company due to Disability pursuant to Section 7(b), by the Company without Cause pursuant to Section </w:t>
      </w:r>
      <w:r>
        <w:rPr>
          <w:rFonts w:ascii="Arial" w:cs="Arial" w:eastAsia="Arial" w:hAnsi="Arial"/>
          <w:sz w:val="19"/>
          <w:szCs w:val="19"/>
          <w:color w:val="010000"/>
        </w:rPr>
        <w:t>7</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7</w:t>
      </w:r>
      <w:r>
        <w:rPr>
          <w:rFonts w:ascii="Arial" w:cs="Arial" w:eastAsia="Arial" w:hAnsi="Arial"/>
          <w:sz w:val="19"/>
          <w:szCs w:val="19"/>
          <w:color w:val="auto"/>
        </w:rPr>
        <w:t>(d) and such termination occurs during the period beginning on the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color w:val="010000"/>
        </w:rPr>
        <w:t>the</w:t>
      </w:r>
      <w:r>
        <w:rPr>
          <w:rFonts w:ascii="Arial" w:cs="Arial" w:eastAsia="Arial" w:hAnsi="Arial"/>
          <w:sz w:val="19"/>
          <w:szCs w:val="19"/>
          <w:color w:val="auto"/>
        </w:rPr>
        <w:t xml:space="preserve"> Executive signs and does not revoke a general release of claims against the Company within the time period specified therein (which time period shall not exceed sixty (60) days), in form and substance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twelve (12) months of the Executive’s then-current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2" w:name="page133"/>
    <w:bookmarkEnd w:id="132"/>
    <w:p>
      <w:pPr>
        <w:jc w:val="both"/>
        <w:spacing w:after="0"/>
        <w:rPr>
          <w:sz w:val="20"/>
          <w:szCs w:val="20"/>
          <w:color w:val="auto"/>
        </w:rPr>
      </w:pPr>
      <w:r>
        <w:rPr>
          <w:rFonts w:ascii="Arial" w:cs="Arial" w:eastAsia="Arial" w:hAnsi="Arial"/>
          <w:sz w:val="19"/>
          <w:szCs w:val="19"/>
          <w:color w:val="auto"/>
        </w:rPr>
        <w:t>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 Control Separation Pay</w:t>
      </w:r>
      <w:r>
        <w:rPr>
          <w:rFonts w:ascii="Arial" w:cs="Arial" w:eastAsia="Arial" w:hAnsi="Arial"/>
          <w:sz w:val="19"/>
          <w:szCs w:val="19"/>
          <w:color w:val="auto"/>
        </w:rPr>
        <w:t>”); (iii) immediate vesting in full of all Equity Awards with time based vesting;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w:t>
      </w:r>
    </w:p>
    <w:p>
      <w:pPr>
        <w:spacing w:after="0" w:line="3" w:lineRule="exact"/>
        <w:rPr>
          <w:sz w:val="20"/>
          <w:szCs w:val="20"/>
          <w:color w:val="auto"/>
        </w:rPr>
      </w:pPr>
    </w:p>
    <w:p>
      <w:pPr>
        <w:jc w:val="both"/>
        <w:ind w:firstLine="8"/>
        <w:spacing w:after="0" w:line="220" w:lineRule="auto"/>
        <w:tabs>
          <w:tab w:leader="none" w:pos="345"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60" w:lineRule="exact"/>
        <w:rPr>
          <w:rFonts w:ascii="Arial" w:cs="Arial" w:eastAsia="Arial" w:hAnsi="Arial"/>
          <w:sz w:val="21"/>
          <w:szCs w:val="21"/>
          <w:color w:val="auto"/>
        </w:rPr>
      </w:pPr>
    </w:p>
    <w:p>
      <w:pPr>
        <w:jc w:val="both"/>
        <w:ind w:firstLine="1735"/>
        <w:spacing w:after="0"/>
        <w:tabs>
          <w:tab w:leader="none" w:pos="2615" w:val="left"/>
        </w:tabs>
        <w:numPr>
          <w:ilvl w:val="1"/>
          <w:numId w:val="78"/>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 following the termination date. The Executive understands that if the Executive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p>
      <w:pPr>
        <w:jc w:val="both"/>
        <w:spacing w:after="0" w:line="226" w:lineRule="auto"/>
        <w:rPr>
          <w:sz w:val="20"/>
          <w:szCs w:val="20"/>
          <w:color w:val="auto"/>
        </w:rPr>
      </w:pPr>
      <w:r>
        <w:rPr>
          <w:rFonts w:ascii="Arial" w:cs="Arial" w:eastAsia="Arial" w:hAnsi="Arial"/>
          <w:sz w:val="21"/>
          <w:szCs w:val="21"/>
          <w:color w:val="010000"/>
        </w:rPr>
        <w:t>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159" w:lineRule="exact"/>
        <w:rPr>
          <w:sz w:val="20"/>
          <w:szCs w:val="20"/>
          <w:color w:val="auto"/>
        </w:rPr>
      </w:pPr>
    </w:p>
    <w:p>
      <w:pPr>
        <w:jc w:val="both"/>
        <w:ind w:firstLine="1735"/>
        <w:spacing w:after="0" w:line="218" w:lineRule="auto"/>
        <w:tabs>
          <w:tab w:leader="none" w:pos="2627" w:val="left"/>
        </w:tabs>
        <w:numPr>
          <w:ilvl w:val="2"/>
          <w:numId w:val="79"/>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60" w:lineRule="exact"/>
        <w:rPr>
          <w:rFonts w:ascii="Arial" w:cs="Arial" w:eastAsia="Arial" w:hAnsi="Arial"/>
          <w:sz w:val="22"/>
          <w:szCs w:val="22"/>
          <w:color w:val="010000"/>
        </w:rPr>
      </w:pPr>
    </w:p>
    <w:p>
      <w:pPr>
        <w:jc w:val="both"/>
        <w:ind w:firstLine="1735"/>
        <w:spacing w:after="0" w:line="234" w:lineRule="auto"/>
        <w:tabs>
          <w:tab w:leader="none" w:pos="2615" w:val="left"/>
        </w:tabs>
        <w:numPr>
          <w:ilvl w:val="2"/>
          <w:numId w:val="79"/>
        </w:numPr>
        <w:rPr>
          <w:rFonts w:ascii="Arial" w:cs="Arial" w:eastAsia="Arial" w:hAnsi="Arial"/>
          <w:sz w:val="21"/>
          <w:szCs w:val="21"/>
          <w:color w:val="010000"/>
        </w:rPr>
      </w:pPr>
      <w:r>
        <w:rPr>
          <w:rFonts w:ascii="Arial" w:cs="Arial" w:eastAsia="Arial" w:hAnsi="Arial"/>
          <w:sz w:val="21"/>
          <w:szCs w:val="21"/>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57" w:lineRule="exact"/>
        <w:rPr>
          <w:rFonts w:ascii="Arial" w:cs="Arial" w:eastAsia="Arial" w:hAnsi="Arial"/>
          <w:sz w:val="21"/>
          <w:szCs w:val="21"/>
          <w:color w:val="010000"/>
        </w:rPr>
      </w:pPr>
    </w:p>
    <w:p>
      <w:pPr>
        <w:ind w:left="2600" w:hanging="865"/>
        <w:spacing w:after="0"/>
        <w:tabs>
          <w:tab w:leader="none" w:pos="2600" w:val="left"/>
        </w:tabs>
        <w:numPr>
          <w:ilvl w:val="2"/>
          <w:numId w:val="79"/>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179" w:lineRule="exact"/>
        <w:rPr>
          <w:rFonts w:ascii="Arial" w:cs="Arial" w:eastAsia="Arial" w:hAnsi="Arial"/>
          <w:sz w:val="22"/>
          <w:szCs w:val="22"/>
          <w:color w:val="010000"/>
        </w:rPr>
      </w:pPr>
    </w:p>
    <w:p>
      <w:pPr>
        <w:jc w:val="both"/>
        <w:ind w:firstLine="872"/>
        <w:spacing w:after="0" w:line="234" w:lineRule="auto"/>
        <w:tabs>
          <w:tab w:leader="none" w:pos="1674" w:val="left"/>
        </w:tabs>
        <w:numPr>
          <w:ilvl w:val="1"/>
          <w:numId w:val="80"/>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57" w:lineRule="exact"/>
        <w:rPr>
          <w:rFonts w:ascii="Arial" w:cs="Arial" w:eastAsia="Arial" w:hAnsi="Arial"/>
          <w:sz w:val="21"/>
          <w:szCs w:val="21"/>
          <w:color w:val="010000"/>
        </w:rPr>
      </w:pPr>
    </w:p>
    <w:p>
      <w:pPr>
        <w:ind w:firstLine="1735"/>
        <w:spacing w:after="0" w:line="232" w:lineRule="auto"/>
        <w:tabs>
          <w:tab w:leader="none" w:pos="2615" w:val="left"/>
        </w:tabs>
        <w:numPr>
          <w:ilvl w:val="2"/>
          <w:numId w:val="80"/>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58" w:lineRule="exact"/>
        <w:rPr>
          <w:rFonts w:ascii="Arial" w:cs="Arial" w:eastAsia="Arial" w:hAnsi="Arial"/>
          <w:sz w:val="22"/>
          <w:szCs w:val="22"/>
          <w:color w:val="010000"/>
        </w:rPr>
      </w:pPr>
    </w:p>
    <w:p>
      <w:pPr>
        <w:jc w:val="both"/>
        <w:ind w:firstLine="1735"/>
        <w:spacing w:after="0" w:line="298" w:lineRule="auto"/>
        <w:tabs>
          <w:tab w:leader="none" w:pos="2627" w:val="left"/>
        </w:tabs>
        <w:numPr>
          <w:ilvl w:val="2"/>
          <w:numId w:val="80"/>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05" w:lineRule="exact"/>
        <w:rPr>
          <w:rFonts w:ascii="Arial" w:cs="Arial" w:eastAsia="Arial" w:hAnsi="Arial"/>
          <w:sz w:val="19"/>
          <w:szCs w:val="19"/>
          <w:color w:val="010000"/>
        </w:rPr>
      </w:pPr>
    </w:p>
    <w:p>
      <w:pPr>
        <w:jc w:val="both"/>
        <w:ind w:firstLine="1735"/>
        <w:spacing w:after="0" w:line="242" w:lineRule="auto"/>
        <w:tabs>
          <w:tab w:leader="none" w:pos="2615" w:val="left"/>
        </w:tabs>
        <w:numPr>
          <w:ilvl w:val="2"/>
          <w:numId w:val="80"/>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w:t>
      </w:r>
    </w:p>
    <w:p>
      <w:pPr>
        <w:jc w:val="both"/>
        <w:ind w:firstLine="8"/>
        <w:spacing w:after="0" w:line="211" w:lineRule="auto"/>
        <w:tabs>
          <w:tab w:leader="none" w:pos="323" w:val="left"/>
        </w:tabs>
        <w:numPr>
          <w:ilvl w:val="0"/>
          <w:numId w:val="81"/>
        </w:numPr>
        <w:rPr>
          <w:rFonts w:ascii="Arial" w:cs="Arial" w:eastAsia="Arial" w:hAnsi="Arial"/>
          <w:sz w:val="22"/>
          <w:szCs w:val="22"/>
          <w:color w:val="010000"/>
        </w:rPr>
      </w:pPr>
      <w:r>
        <w:rPr>
          <w:rFonts w:ascii="Arial" w:cs="Arial" w:eastAsia="Arial" w:hAnsi="Arial"/>
          <w:sz w:val="22"/>
          <w:szCs w:val="22"/>
          <w:color w:val="010000"/>
        </w:rPr>
        <w:t>day after such separation from service or the Executive’s death (the “</w:t>
      </w:r>
      <w:r>
        <w:rPr>
          <w:rFonts w:ascii="Arial" w:cs="Arial" w:eastAsia="Arial" w:hAnsi="Arial"/>
          <w:sz w:val="22"/>
          <w:szCs w:val="22"/>
          <w:b w:val="1"/>
          <w:bCs w:val="1"/>
          <w:color w:val="010000"/>
        </w:rPr>
        <w:t>New Payment Date</w:t>
      </w:r>
      <w:r>
        <w:rPr>
          <w:rFonts w:ascii="Arial" w:cs="Arial" w:eastAsia="Arial" w:hAnsi="Arial"/>
          <w:sz w:val="22"/>
          <w:szCs w:val="22"/>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4" w:name="page135"/>
    <w:bookmarkEnd w:id="134"/>
    <w:p>
      <w:pPr>
        <w:jc w:val="both"/>
        <w:ind w:firstLine="1735"/>
        <w:spacing w:after="0" w:line="226" w:lineRule="auto"/>
        <w:tabs>
          <w:tab w:leader="none" w:pos="2627" w:val="left"/>
        </w:tabs>
        <w:numPr>
          <w:ilvl w:val="1"/>
          <w:numId w:val="82"/>
        </w:numPr>
        <w:rPr>
          <w:rFonts w:ascii="Arial" w:cs="Arial" w:eastAsia="Arial" w:hAnsi="Arial"/>
          <w:sz w:val="21"/>
          <w:szCs w:val="21"/>
          <w:color w:val="010000"/>
        </w:rPr>
      </w:pPr>
      <w:r>
        <w:rPr>
          <w:rFonts w:ascii="Arial" w:cs="Arial" w:eastAsia="Arial" w:hAnsi="Arial"/>
          <w:sz w:val="21"/>
          <w:szCs w:val="21"/>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59" w:lineRule="exact"/>
        <w:rPr>
          <w:rFonts w:ascii="Arial" w:cs="Arial" w:eastAsia="Arial" w:hAnsi="Arial"/>
          <w:sz w:val="21"/>
          <w:szCs w:val="21"/>
          <w:color w:val="010000"/>
        </w:rPr>
      </w:pPr>
    </w:p>
    <w:p>
      <w:pPr>
        <w:jc w:val="both"/>
        <w:ind w:firstLine="1735"/>
        <w:spacing w:after="0" w:line="234" w:lineRule="auto"/>
        <w:tabs>
          <w:tab w:leader="none" w:pos="2615" w:val="left"/>
        </w:tabs>
        <w:numPr>
          <w:ilvl w:val="1"/>
          <w:numId w:val="82"/>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7" w:lineRule="exact"/>
        <w:rPr>
          <w:rFonts w:ascii="Arial" w:cs="Arial" w:eastAsia="Arial" w:hAnsi="Arial"/>
          <w:sz w:val="21"/>
          <w:szCs w:val="21"/>
          <w:color w:val="010000"/>
        </w:rPr>
      </w:pPr>
    </w:p>
    <w:p>
      <w:pPr>
        <w:ind w:left="2600" w:hanging="865"/>
        <w:spacing w:after="0"/>
        <w:tabs>
          <w:tab w:leader="none" w:pos="2600" w:val="left"/>
        </w:tabs>
        <w:numPr>
          <w:ilvl w:val="1"/>
          <w:numId w:val="82"/>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179" w:lineRule="exact"/>
        <w:rPr>
          <w:rFonts w:ascii="Arial" w:cs="Arial" w:eastAsia="Arial" w:hAnsi="Arial"/>
          <w:sz w:val="22"/>
          <w:szCs w:val="22"/>
          <w:color w:val="010000"/>
        </w:rPr>
      </w:pPr>
    </w:p>
    <w:p>
      <w:pPr>
        <w:ind w:left="1780" w:hanging="908"/>
        <w:spacing w:after="0"/>
        <w:tabs>
          <w:tab w:leader="none" w:pos="1780" w:val="left"/>
        </w:tabs>
        <w:numPr>
          <w:ilvl w:val="0"/>
          <w:numId w:val="83"/>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179" w:lineRule="exact"/>
        <w:rPr>
          <w:rFonts w:ascii="Arial" w:cs="Arial" w:eastAsia="Arial" w:hAnsi="Arial"/>
          <w:sz w:val="22"/>
          <w:szCs w:val="22"/>
          <w:color w:val="010000"/>
        </w:rPr>
      </w:pPr>
    </w:p>
    <w:p>
      <w:pPr>
        <w:jc w:val="both"/>
        <w:ind w:firstLine="1735"/>
        <w:spacing w:after="0" w:line="242" w:lineRule="auto"/>
        <w:tabs>
          <w:tab w:leader="none" w:pos="2615" w:val="left"/>
        </w:tabs>
        <w:numPr>
          <w:ilvl w:val="1"/>
          <w:numId w:val="83"/>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64" w:lineRule="exact"/>
        <w:rPr>
          <w:rFonts w:ascii="Arial" w:cs="Arial" w:eastAsia="Arial" w:hAnsi="Arial"/>
          <w:sz w:val="19"/>
          <w:szCs w:val="19"/>
          <w:color w:val="010000"/>
        </w:rPr>
      </w:pPr>
    </w:p>
    <w:p>
      <w:pPr>
        <w:jc w:val="both"/>
        <w:ind w:firstLine="1735"/>
        <w:spacing w:after="0" w:line="216" w:lineRule="auto"/>
        <w:tabs>
          <w:tab w:leader="none" w:pos="2627" w:val="left"/>
        </w:tabs>
        <w:numPr>
          <w:ilvl w:val="1"/>
          <w:numId w:val="83"/>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57" w:lineRule="exact"/>
        <w:rPr>
          <w:rFonts w:ascii="Arial" w:cs="Arial" w:eastAsia="Arial" w:hAnsi="Arial"/>
          <w:sz w:val="22"/>
          <w:szCs w:val="22"/>
          <w:color w:val="010000"/>
        </w:rPr>
      </w:pPr>
    </w:p>
    <w:p>
      <w:pPr>
        <w:jc w:val="both"/>
        <w:ind w:firstLine="1735"/>
        <w:spacing w:after="0" w:line="226" w:lineRule="auto"/>
        <w:tabs>
          <w:tab w:leader="none" w:pos="2615" w:val="left"/>
        </w:tabs>
        <w:numPr>
          <w:ilvl w:val="1"/>
          <w:numId w:val="83"/>
        </w:numPr>
        <w:rPr>
          <w:rFonts w:ascii="Arial" w:cs="Arial" w:eastAsia="Arial" w:hAnsi="Arial"/>
          <w:sz w:val="21"/>
          <w:szCs w:val="21"/>
          <w:color w:val="010000"/>
        </w:rPr>
      </w:pPr>
      <w:r>
        <w:rPr>
          <w:rFonts w:ascii="Arial" w:cs="Arial" w:eastAsia="Arial" w:hAnsi="Arial"/>
          <w:sz w:val="21"/>
          <w:szCs w:val="21"/>
          <w:color w:val="auto"/>
        </w:rPr>
        <w:t>Any determination required under this Section 10 shall be made in writing in good faith by the accounting firm that was the Company’s independent auditor immediately before the Change of Control (the “</w:t>
      </w:r>
      <w:r>
        <w:rPr>
          <w:rFonts w:ascii="Arial" w:cs="Arial" w:eastAsia="Arial" w:hAnsi="Arial"/>
          <w:sz w:val="21"/>
          <w:szCs w:val="21"/>
          <w:b w:val="1"/>
          <w:bCs w:val="1"/>
          <w:color w:val="auto"/>
        </w:rPr>
        <w:t>Accounting</w:t>
      </w:r>
      <w:r>
        <w:rPr>
          <w:rFonts w:ascii="Arial" w:cs="Arial" w:eastAsia="Arial" w:hAnsi="Arial"/>
          <w:sz w:val="21"/>
          <w:szCs w:val="21"/>
          <w:color w:val="auto"/>
        </w:rPr>
        <w:t xml:space="preserve"> </w:t>
      </w:r>
      <w:r>
        <w:rPr>
          <w:rFonts w:ascii="Arial" w:cs="Arial" w:eastAsia="Arial" w:hAnsi="Arial"/>
          <w:sz w:val="21"/>
          <w:szCs w:val="21"/>
          <w:b w:val="1"/>
          <w:bCs w:val="1"/>
          <w:color w:val="auto"/>
        </w:rPr>
        <w:t>Firm</w:t>
      </w:r>
      <w:r>
        <w:rPr>
          <w:rFonts w:ascii="Arial" w:cs="Arial" w:eastAsia="Arial" w:hAnsi="Arial"/>
          <w:sz w:val="21"/>
          <w:szCs w:val="21"/>
          <w:color w:val="auto"/>
        </w:rPr>
        <w:t>”). The Accounting Firm shall provide detailed supporting calculations to the Company and the Executive as requested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the Executive. The Company and the Executive shall provide the Accounting Firm with such information and documents as the Accounting Firm may reasonably request in order to make 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jc w:val="both"/>
        <w:spacing w:after="0" w:line="216" w:lineRule="auto"/>
        <w:rPr>
          <w:sz w:val="20"/>
          <w:szCs w:val="20"/>
          <w:color w:val="auto"/>
        </w:rPr>
      </w:pPr>
      <w:r>
        <w:rPr>
          <w:rFonts w:ascii="Arial" w:cs="Arial" w:eastAsia="Arial" w:hAnsi="Arial"/>
          <w:sz w:val="22"/>
          <w:szCs w:val="22"/>
          <w:color w:val="auto"/>
        </w:rPr>
        <w:t>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spacing w:after="0" w:line="158" w:lineRule="exact"/>
        <w:rPr>
          <w:sz w:val="20"/>
          <w:szCs w:val="20"/>
          <w:color w:val="auto"/>
        </w:rPr>
      </w:pPr>
    </w:p>
    <w:p>
      <w:pPr>
        <w:jc w:val="both"/>
        <w:ind w:firstLine="1735"/>
        <w:spacing w:after="0" w:line="223" w:lineRule="auto"/>
        <w:tabs>
          <w:tab w:leader="none" w:pos="2627" w:val="left"/>
        </w:tabs>
        <w:numPr>
          <w:ilvl w:val="1"/>
          <w:numId w:val="84"/>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58" w:lineRule="exact"/>
        <w:rPr>
          <w:rFonts w:ascii="Arial" w:cs="Arial" w:eastAsia="Arial" w:hAnsi="Arial"/>
          <w:sz w:val="22"/>
          <w:szCs w:val="22"/>
          <w:color w:val="010000"/>
        </w:rPr>
      </w:pPr>
    </w:p>
    <w:p>
      <w:pPr>
        <w:jc w:val="both"/>
        <w:ind w:firstLine="2600"/>
        <w:spacing w:after="0" w:line="226" w:lineRule="auto"/>
        <w:tabs>
          <w:tab w:leader="none" w:pos="3444" w:val="left"/>
        </w:tabs>
        <w:numPr>
          <w:ilvl w:val="2"/>
          <w:numId w:val="84"/>
        </w:numPr>
        <w:rPr>
          <w:rFonts w:ascii="Arial" w:cs="Arial" w:eastAsia="Arial" w:hAnsi="Arial"/>
          <w:sz w:val="21"/>
          <w:szCs w:val="21"/>
          <w:color w:val="010000"/>
        </w:rPr>
      </w:pPr>
      <w:r>
        <w:rPr>
          <w:rFonts w:ascii="Arial" w:cs="Arial" w:eastAsia="Arial" w:hAnsi="Arial"/>
          <w:sz w:val="21"/>
          <w:szCs w:val="21"/>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59" w:lineRule="exact"/>
        <w:rPr>
          <w:rFonts w:ascii="Arial" w:cs="Arial" w:eastAsia="Arial" w:hAnsi="Arial"/>
          <w:sz w:val="21"/>
          <w:szCs w:val="21"/>
          <w:color w:val="010000"/>
        </w:rPr>
      </w:pPr>
    </w:p>
    <w:p>
      <w:pPr>
        <w:jc w:val="both"/>
        <w:ind w:firstLine="2600"/>
        <w:spacing w:after="0" w:line="218" w:lineRule="auto"/>
        <w:tabs>
          <w:tab w:leader="none" w:pos="3504" w:val="left"/>
        </w:tabs>
        <w:numPr>
          <w:ilvl w:val="2"/>
          <w:numId w:val="84"/>
        </w:numPr>
        <w:rPr>
          <w:rFonts w:ascii="Arial" w:cs="Arial" w:eastAsia="Arial" w:hAnsi="Arial"/>
          <w:sz w:val="22"/>
          <w:szCs w:val="22"/>
          <w:color w:val="010000"/>
        </w:rPr>
      </w:pPr>
      <w:r>
        <w:rPr>
          <w:rFonts w:ascii="Arial" w:cs="Arial" w:eastAsia="Arial" w:hAnsi="Arial"/>
          <w:sz w:val="22"/>
          <w:szCs w:val="22"/>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60" w:lineRule="exact"/>
        <w:rPr>
          <w:rFonts w:ascii="Arial" w:cs="Arial" w:eastAsia="Arial" w:hAnsi="Arial"/>
          <w:sz w:val="22"/>
          <w:szCs w:val="22"/>
          <w:color w:val="010000"/>
        </w:rPr>
      </w:pPr>
    </w:p>
    <w:p>
      <w:pPr>
        <w:ind w:left="1780" w:hanging="908"/>
        <w:spacing w:after="0"/>
        <w:tabs>
          <w:tab w:leader="none" w:pos="1780"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firstLine="1735"/>
        <w:spacing w:after="0" w:line="232" w:lineRule="auto"/>
        <w:tabs>
          <w:tab w:leader="none" w:pos="2615"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58" w:lineRule="exact"/>
        <w:rPr>
          <w:rFonts w:ascii="Arial" w:cs="Arial" w:eastAsia="Arial" w:hAnsi="Arial"/>
          <w:sz w:val="22"/>
          <w:szCs w:val="22"/>
          <w:color w:val="010000"/>
        </w:rPr>
      </w:pPr>
    </w:p>
    <w:p>
      <w:pPr>
        <w:jc w:val="both"/>
        <w:ind w:firstLine="1735"/>
        <w:spacing w:after="0" w:line="252" w:lineRule="auto"/>
        <w:tabs>
          <w:tab w:leader="none" w:pos="2627" w:val="left"/>
        </w:tabs>
        <w:numPr>
          <w:ilvl w:val="1"/>
          <w:numId w:val="85"/>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11</w:t>
      </w:r>
      <w:r>
        <w:rPr>
          <w:rFonts w:ascii="Arial" w:cs="Arial" w:eastAsia="Arial" w:hAnsi="Arial"/>
          <w:sz w:val="19"/>
          <w:szCs w:val="19"/>
          <w:color w:val="010000"/>
        </w:rPr>
        <w:t>(g) below.</w:t>
      </w:r>
    </w:p>
    <w:p>
      <w:pPr>
        <w:spacing w:after="0" w:line="148" w:lineRule="exact"/>
        <w:rPr>
          <w:rFonts w:ascii="Arial" w:cs="Arial" w:eastAsia="Arial" w:hAnsi="Arial"/>
          <w:sz w:val="19"/>
          <w:szCs w:val="19"/>
          <w:color w:val="010000"/>
        </w:rPr>
      </w:pPr>
    </w:p>
    <w:p>
      <w:pPr>
        <w:ind w:firstLine="1735"/>
        <w:spacing w:after="0" w:line="232" w:lineRule="auto"/>
        <w:tabs>
          <w:tab w:leader="none" w:pos="2615"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58" w:lineRule="exact"/>
        <w:rPr>
          <w:rFonts w:ascii="Arial" w:cs="Arial" w:eastAsia="Arial" w:hAnsi="Arial"/>
          <w:sz w:val="22"/>
          <w:szCs w:val="22"/>
          <w:color w:val="010000"/>
        </w:rPr>
      </w:pPr>
    </w:p>
    <w:p>
      <w:pPr>
        <w:jc w:val="both"/>
        <w:ind w:firstLine="1735"/>
        <w:spacing w:after="0" w:line="218" w:lineRule="auto"/>
        <w:tabs>
          <w:tab w:leader="none" w:pos="2627"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6" w:name="page137"/>
    <w:bookmarkEnd w:id="136"/>
    <w:p>
      <w:pPr>
        <w:ind w:firstLine="1735"/>
        <w:spacing w:after="0" w:line="232" w:lineRule="auto"/>
        <w:tabs>
          <w:tab w:leader="none" w:pos="2615" w:val="left"/>
        </w:tabs>
        <w:numPr>
          <w:ilvl w:val="0"/>
          <w:numId w:val="86"/>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58" w:lineRule="exact"/>
        <w:rPr>
          <w:rFonts w:ascii="Arial" w:cs="Arial" w:eastAsia="Arial" w:hAnsi="Arial"/>
          <w:sz w:val="22"/>
          <w:szCs w:val="22"/>
          <w:color w:val="010000"/>
        </w:rPr>
      </w:pPr>
    </w:p>
    <w:p>
      <w:pPr>
        <w:jc w:val="both"/>
        <w:ind w:firstLine="1735"/>
        <w:spacing w:after="0" w:line="257" w:lineRule="auto"/>
        <w:tabs>
          <w:tab w:leader="none" w:pos="2591" w:val="left"/>
        </w:tabs>
        <w:numPr>
          <w:ilvl w:val="0"/>
          <w:numId w:val="86"/>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4" w:lineRule="exact"/>
        <w:rPr>
          <w:rFonts w:ascii="Arial" w:cs="Arial" w:eastAsia="Arial" w:hAnsi="Arial"/>
          <w:sz w:val="19"/>
          <w:szCs w:val="19"/>
          <w:color w:val="010000"/>
        </w:rPr>
      </w:pPr>
    </w:p>
    <w:p>
      <w:pPr>
        <w:jc w:val="both"/>
        <w:ind w:firstLine="1735"/>
        <w:spacing w:after="0" w:line="249" w:lineRule="auto"/>
        <w:tabs>
          <w:tab w:leader="none" w:pos="2627" w:val="left"/>
        </w:tabs>
        <w:numPr>
          <w:ilvl w:val="0"/>
          <w:numId w:val="86"/>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1" w:lineRule="exact"/>
        <w:rPr>
          <w:rFonts w:ascii="Arial" w:cs="Arial" w:eastAsia="Arial" w:hAnsi="Arial"/>
          <w:sz w:val="19"/>
          <w:szCs w:val="19"/>
          <w:color w:val="010000"/>
        </w:rPr>
      </w:pPr>
    </w:p>
    <w:p>
      <w:pPr>
        <w:jc w:val="both"/>
        <w:ind w:firstLine="1735"/>
        <w:spacing w:after="0" w:line="257" w:lineRule="auto"/>
        <w:tabs>
          <w:tab w:leader="none" w:pos="2627" w:val="left"/>
        </w:tabs>
        <w:numPr>
          <w:ilvl w:val="0"/>
          <w:numId w:val="86"/>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44" w:lineRule="exact"/>
        <w:rPr>
          <w:rFonts w:ascii="Arial" w:cs="Arial" w:eastAsia="Arial" w:hAnsi="Arial"/>
          <w:sz w:val="19"/>
          <w:szCs w:val="19"/>
          <w:color w:val="010000"/>
        </w:rPr>
      </w:pPr>
    </w:p>
    <w:p>
      <w:pPr>
        <w:ind w:right="20" w:firstLine="1735"/>
        <w:spacing w:after="0" w:line="232" w:lineRule="auto"/>
        <w:tabs>
          <w:tab w:leader="none" w:pos="2579" w:val="left"/>
        </w:tabs>
        <w:numPr>
          <w:ilvl w:val="0"/>
          <w:numId w:val="86"/>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58" w:lineRule="exact"/>
        <w:rPr>
          <w:rFonts w:ascii="Arial" w:cs="Arial" w:eastAsia="Arial" w:hAnsi="Arial"/>
          <w:sz w:val="22"/>
          <w:szCs w:val="22"/>
          <w:color w:val="010000"/>
        </w:rPr>
      </w:pPr>
    </w:p>
    <w:p>
      <w:pPr>
        <w:ind w:firstLine="1735"/>
        <w:spacing w:after="0" w:line="232" w:lineRule="auto"/>
        <w:tabs>
          <w:tab w:leader="none" w:pos="2579" w:val="left"/>
        </w:tabs>
        <w:numPr>
          <w:ilvl w:val="0"/>
          <w:numId w:val="86"/>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58" w:lineRule="exact"/>
        <w:rPr>
          <w:rFonts w:ascii="Arial" w:cs="Arial" w:eastAsia="Arial" w:hAnsi="Arial"/>
          <w:sz w:val="22"/>
          <w:szCs w:val="22"/>
          <w:color w:val="010000"/>
        </w:rPr>
      </w:pPr>
    </w:p>
    <w:p>
      <w:pPr>
        <w:jc w:val="both"/>
        <w:ind w:firstLine="1735"/>
        <w:spacing w:after="0" w:line="214" w:lineRule="auto"/>
        <w:tabs>
          <w:tab w:leader="none" w:pos="2627"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ind w:firstLine="864"/>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ASSEMBLY BIOSCIENCES, INC.</w:t>
      </w:r>
    </w:p>
    <w:p>
      <w:pPr>
        <w:spacing w:after="0" w:line="180"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G. McHutchison, A.O., M.D.</w:t>
      </w:r>
    </w:p>
    <w:p>
      <w:pPr>
        <w:ind w:left="5620"/>
        <w:spacing w:after="0" w:line="204" w:lineRule="auto"/>
        <w:rPr>
          <w:sz w:val="20"/>
          <w:szCs w:val="20"/>
          <w:color w:val="auto"/>
        </w:rPr>
      </w:pPr>
      <w:r>
        <w:rPr>
          <w:rFonts w:ascii="Arial" w:cs="Arial" w:eastAsia="Arial" w:hAnsi="Arial"/>
          <w:sz w:val="22"/>
          <w:szCs w:val="22"/>
          <w:color w:val="auto"/>
        </w:rPr>
        <w:t>Name: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-133985</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5620"/>
        <w:spacing w:after="0"/>
        <w:tabs>
          <w:tab w:leader="none" w:pos="6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 and President</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EXECUTIVE</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William E. Delaney IV, Ph.D.</w:t>
      </w:r>
    </w:p>
    <w:p>
      <w:pPr>
        <w:ind w:left="5620"/>
        <w:spacing w:after="0"/>
        <w:tabs>
          <w:tab w:leader="none" w:pos="6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William E. Delaney IV,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-158115</wp:posOffset>
            </wp:positionV>
            <wp:extent cx="3566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860" w:type="dxa"/>
            <w:vAlign w:val="bottom"/>
            <w:gridSpan w:val="3"/>
          </w:tcPr>
          <w:p>
            <w:pPr>
              <w:ind w:left="3600"/>
              <w:spacing w:after="0"/>
              <w:rPr>
                <w:sz w:val="20"/>
                <w:szCs w:val="20"/>
                <w:color w:val="auto"/>
              </w:rPr>
            </w:pPr>
            <w:r>
              <w:rPr>
                <w:rFonts w:ascii="Arial" w:cs="Arial" w:eastAsia="Arial" w:hAnsi="Arial"/>
                <w:sz w:val="18"/>
                <w:szCs w:val="18"/>
                <w:b w:val="1"/>
                <w:bCs w:val="1"/>
                <w:color w:val="auto"/>
                <w:w w:val="87"/>
              </w:rPr>
              <w:t>Subsidiaries of Assembly Biosciences, Inc.</w:t>
            </w:r>
          </w:p>
        </w:tc>
        <w:tc>
          <w:tcPr>
            <w:tcW w:w="3960" w:type="dxa"/>
            <w:vAlign w:val="bottom"/>
          </w:tcPr>
          <w:p>
            <w:pPr>
              <w:spacing w:after="0"/>
              <w:rPr>
                <w:sz w:val="20"/>
                <w:szCs w:val="20"/>
                <w:color w:val="auto"/>
              </w:rPr>
            </w:pPr>
          </w:p>
        </w:tc>
      </w:tr>
      <w:tr>
        <w:trPr>
          <w:trHeight w:val="427"/>
        </w:trPr>
        <w:tc>
          <w:tcPr>
            <w:tcW w:w="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State or Other Jurisdiction of</w:t>
            </w:r>
          </w:p>
        </w:tc>
      </w:tr>
      <w:tr>
        <w:trPr>
          <w:trHeight w:val="234"/>
        </w:trPr>
        <w:tc>
          <w:tcPr>
            <w:tcW w:w="7280" w:type="dxa"/>
            <w:vAlign w:val="bottom"/>
            <w:gridSpan w:val="4"/>
          </w:tcPr>
          <w:p>
            <w:pPr>
              <w:spacing w:after="0"/>
              <w:rPr>
                <w:sz w:val="20"/>
                <w:szCs w:val="20"/>
                <w:color w:val="auto"/>
              </w:rPr>
            </w:pPr>
            <w:r>
              <w:rPr>
                <w:rFonts w:ascii="Arial" w:cs="Arial" w:eastAsia="Arial" w:hAnsi="Arial"/>
                <w:sz w:val="18"/>
                <w:szCs w:val="18"/>
                <w:b w:val="1"/>
                <w:bCs w:val="1"/>
                <w:color w:val="auto"/>
              </w:rPr>
              <w:t>Subsidiaries</w:t>
            </w:r>
          </w:p>
        </w:tc>
        <w:tc>
          <w:tcPr>
            <w:tcW w:w="39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195"/>
        </w:trPr>
        <w:tc>
          <w:tcPr>
            <w:tcW w:w="5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Assembly Pharmaceuticals, Inc.</w:t>
            </w: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center"/>
              <w:ind w:right="1450"/>
              <w:spacing w:after="0" w:line="195" w:lineRule="exact"/>
              <w:rPr>
                <w:sz w:val="20"/>
                <w:szCs w:val="20"/>
                <w:color w:val="auto"/>
              </w:rPr>
            </w:pPr>
            <w:r>
              <w:rPr>
                <w:rFonts w:ascii="Arial" w:cs="Arial" w:eastAsia="Arial" w:hAnsi="Arial"/>
                <w:sz w:val="18"/>
                <w:szCs w:val="18"/>
                <w:color w:val="auto"/>
                <w:w w:val="92"/>
              </w:rPr>
              <w:t>Delaware</w:t>
            </w:r>
          </w:p>
        </w:tc>
      </w:t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rPr>
              <w:t>Assembly Biosciences Ireland Limited*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90"/>
              </w:rPr>
              <w:t>Ireland</w:t>
            </w:r>
          </w:p>
        </w:tc>
      </w:tr>
      <w:tr>
        <w:trPr>
          <w:trHeight w:val="229"/>
        </w:trPr>
        <w:tc>
          <w:tcPr>
            <w:tcW w:w="7280" w:type="dxa"/>
            <w:vAlign w:val="bottom"/>
            <w:gridSpan w:val="4"/>
          </w:tcPr>
          <w:p>
            <w:pPr>
              <w:spacing w:after="0"/>
              <w:rPr>
                <w:sz w:val="20"/>
                <w:szCs w:val="20"/>
                <w:color w:val="auto"/>
              </w:rPr>
            </w:pPr>
            <w:r>
              <w:rPr>
                <w:rFonts w:ascii="Arial" w:cs="Arial" w:eastAsia="Arial" w:hAnsi="Arial"/>
                <w:sz w:val="18"/>
                <w:szCs w:val="18"/>
                <w:color w:val="auto"/>
              </w:rPr>
              <w:t>ASMB Microbiome China Holdco Limited*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90"/>
              </w:rPr>
              <w:t>Ireland</w:t>
            </w:r>
          </w:p>
        </w:tc>
      </w:tr>
      <w:tr>
        <w:trPr>
          <w:trHeight w:val="229"/>
        </w:trPr>
        <w:tc>
          <w:tcPr>
            <w:tcW w:w="7280" w:type="dxa"/>
            <w:vAlign w:val="bottom"/>
            <w:gridSpan w:val="4"/>
          </w:tcPr>
          <w:p>
            <w:pPr>
              <w:spacing w:after="0"/>
              <w:rPr>
                <w:sz w:val="20"/>
                <w:szCs w:val="20"/>
                <w:color w:val="auto"/>
              </w:rPr>
            </w:pPr>
            <w:r>
              <w:rPr>
                <w:rFonts w:ascii="Arial" w:cs="Arial" w:eastAsia="Arial" w:hAnsi="Arial"/>
                <w:sz w:val="18"/>
                <w:szCs w:val="18"/>
                <w:color w:val="auto"/>
              </w:rPr>
              <w:t>ASMB HBV China Holdco Limited*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90"/>
              </w:rPr>
              <w:t>Ireland</w:t>
            </w:r>
          </w:p>
        </w:tc>
      </w:tr>
      <w:tr>
        <w:trPr>
          <w:trHeight w:val="216"/>
        </w:trPr>
        <w:tc>
          <w:tcPr>
            <w:tcW w:w="7280" w:type="dxa"/>
            <w:vAlign w:val="bottom"/>
            <w:gridSpan w:val="4"/>
          </w:tcPr>
          <w:p>
            <w:pPr>
              <w:spacing w:after="0"/>
              <w:rPr>
                <w:sz w:val="20"/>
                <w:szCs w:val="20"/>
                <w:color w:val="auto"/>
              </w:rPr>
            </w:pPr>
            <w:r>
              <w:rPr>
                <w:rFonts w:ascii="Arial" w:cs="Arial" w:eastAsia="Arial" w:hAnsi="Arial"/>
                <w:sz w:val="18"/>
                <w:szCs w:val="18"/>
                <w:color w:val="auto"/>
              </w:rPr>
              <w:t>Assembly Biotechnology Development (Shanghai) Co, Ltd.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89"/>
              </w:rPr>
              <w:t>China</w:t>
            </w:r>
          </w:p>
        </w:tc>
      </w:tr>
      <w:tr>
        <w:trPr>
          <w:trHeight w:val="229"/>
        </w:trPr>
        <w:tc>
          <w:tcPr>
            <w:tcW w:w="7280" w:type="dxa"/>
            <w:vAlign w:val="bottom"/>
            <w:gridSpan w:val="4"/>
          </w:tcPr>
          <w:p>
            <w:pPr>
              <w:spacing w:after="0"/>
              <w:rPr>
                <w:sz w:val="20"/>
                <w:szCs w:val="20"/>
                <w:color w:val="auto"/>
              </w:rPr>
            </w:pPr>
            <w:r>
              <w:rPr>
                <w:rFonts w:ascii="Arial" w:cs="Arial" w:eastAsia="Arial" w:hAnsi="Arial"/>
                <w:sz w:val="18"/>
                <w:szCs w:val="18"/>
                <w:color w:val="auto"/>
              </w:rPr>
              <w:t>Assembly Biosciences Hong Kong Limited</w:t>
            </w:r>
          </w:p>
        </w:tc>
        <w:tc>
          <w:tcPr>
            <w:tcW w:w="3960" w:type="dxa"/>
            <w:vAlign w:val="bottom"/>
          </w:tcPr>
          <w:p>
            <w:pPr>
              <w:jc w:val="center"/>
              <w:ind w:right="1430"/>
              <w:spacing w:after="0"/>
              <w:rPr>
                <w:sz w:val="20"/>
                <w:szCs w:val="20"/>
                <w:color w:val="auto"/>
              </w:rPr>
            </w:pPr>
            <w:r>
              <w:rPr>
                <w:rFonts w:ascii="Arial" w:cs="Arial" w:eastAsia="Arial" w:hAnsi="Arial"/>
                <w:sz w:val="18"/>
                <w:szCs w:val="18"/>
                <w:color w:val="auto"/>
                <w:w w:val="93"/>
              </w:rPr>
              <w:t>Hong Kong</w:t>
            </w:r>
          </w:p>
        </w:tc>
      </w:tr>
      <w:tr>
        <w:trPr>
          <w:trHeight w:val="228"/>
        </w:trPr>
        <w:tc>
          <w:tcPr>
            <w:tcW w:w="7280" w:type="dxa"/>
            <w:vAlign w:val="bottom"/>
            <w:gridSpan w:val="4"/>
          </w:tcPr>
          <w:p>
            <w:pPr>
              <w:spacing w:after="0"/>
              <w:rPr>
                <w:sz w:val="20"/>
                <w:szCs w:val="20"/>
                <w:color w:val="auto"/>
              </w:rPr>
            </w:pPr>
            <w:r>
              <w:rPr>
                <w:rFonts w:ascii="Arial" w:cs="Arial" w:eastAsia="Arial" w:hAnsi="Arial"/>
                <w:sz w:val="18"/>
                <w:szCs w:val="18"/>
                <w:color w:val="auto"/>
              </w:rPr>
              <w:t>Assembly Biosciences Cayman</w:t>
            </w:r>
          </w:p>
        </w:tc>
        <w:tc>
          <w:tcPr>
            <w:tcW w:w="3960" w:type="dxa"/>
            <w:vAlign w:val="bottom"/>
          </w:tcPr>
          <w:p>
            <w:pPr>
              <w:jc w:val="center"/>
              <w:ind w:right="1430"/>
              <w:spacing w:after="0"/>
              <w:rPr>
                <w:sz w:val="20"/>
                <w:szCs w:val="20"/>
                <w:color w:val="auto"/>
              </w:rPr>
            </w:pPr>
            <w:r>
              <w:rPr>
                <w:rFonts w:ascii="Arial" w:cs="Arial" w:eastAsia="Arial" w:hAnsi="Arial"/>
                <w:sz w:val="18"/>
                <w:szCs w:val="18"/>
                <w:color w:val="auto"/>
                <w:w w:val="89"/>
              </w:rPr>
              <w:t>Cayman Islands</w:t>
            </w:r>
          </w:p>
        </w:tc>
      </w:tr>
      <w:tr>
        <w:trPr>
          <w:trHeight w:val="70"/>
        </w:trPr>
        <w:tc>
          <w:tcPr>
            <w:tcW w:w="5520" w:type="dxa"/>
            <w:vAlign w:val="bottom"/>
            <w:gridSpan w:val="2"/>
          </w:tcPr>
          <w:p>
            <w:pPr>
              <w:spacing w:after="0" w:line="71" w:lineRule="exact"/>
              <w:rPr>
                <w:sz w:val="20"/>
                <w:szCs w:val="20"/>
                <w:color w:val="auto"/>
              </w:rPr>
            </w:pPr>
            <w:r>
              <w:rPr>
                <w:rFonts w:ascii="Arial" w:cs="Arial" w:eastAsia="Arial" w:hAnsi="Arial"/>
                <w:sz w:val="7"/>
                <w:szCs w:val="7"/>
                <w:color w:val="auto"/>
              </w:rPr>
              <w:t>_______________________________________</w:t>
            </w: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60" w:type="dxa"/>
            <w:vAlign w:val="bottom"/>
          </w:tcPr>
          <w:p>
            <w:pPr>
              <w:spacing w:after="0"/>
              <w:rPr>
                <w:sz w:val="6"/>
                <w:szCs w:val="6"/>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6860" w:type="dxa"/>
            <w:vAlign w:val="bottom"/>
            <w:gridSpan w:val="3"/>
          </w:tcPr>
          <w:p>
            <w:pPr>
              <w:ind w:left="320"/>
              <w:spacing w:after="0"/>
              <w:rPr>
                <w:sz w:val="20"/>
                <w:szCs w:val="20"/>
                <w:color w:val="auto"/>
              </w:rPr>
            </w:pPr>
            <w:r>
              <w:rPr>
                <w:rFonts w:ascii="Arial" w:cs="Arial" w:eastAsia="Arial" w:hAnsi="Arial"/>
                <w:sz w:val="18"/>
                <w:szCs w:val="18"/>
                <w:color w:val="auto"/>
              </w:rPr>
              <w:t>In process of voluntary liquidation.</w:t>
            </w:r>
          </w:p>
        </w:tc>
        <w:tc>
          <w:tcPr>
            <w:tcW w:w="396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1160" w:hanging="57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S-3 No. 333-248469) of Assembly Biosciences, Inc.,</w:t>
      </w:r>
    </w:p>
    <w:p>
      <w:pPr>
        <w:spacing w:after="0" w:line="225"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333-173613) pertaining to the Ventrus Biosciences, Inc. 2007 Stock Incentive Plan and the Ventrus Biosciences, Inc. 2010 Equity Incentive Plan,</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333-182167) pertaining to the Ventrus Biosciences, Inc. 2010 Equity Incentive Plan,</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333-198803) pertaining to the Assembly Biosciences, Inc. 2014 Stock Incentive Plan,</w:t>
      </w:r>
    </w:p>
    <w:p>
      <w:pPr>
        <w:spacing w:after="0" w:line="22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333-213019) pertaining to the Assembly Biosciences, Inc. Amended and Restated 2014 Stock Incentive Plan,</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Registration Statement (Form S-8 No. 333-216902) pertaining to certain Non-Qualified Stock Option Agreements dated May 16, 2014,</w:t>
      </w:r>
    </w:p>
    <w:p>
      <w:pPr>
        <w:spacing w:after="0" w:line="236" w:lineRule="exact"/>
        <w:rPr>
          <w:rFonts w:ascii="Arial" w:cs="Arial" w:eastAsia="Arial" w:hAnsi="Arial"/>
          <w:sz w:val="17"/>
          <w:szCs w:val="17"/>
          <w:color w:val="auto"/>
        </w:rPr>
      </w:pPr>
    </w:p>
    <w:p>
      <w:pPr>
        <w:ind w:left="1160" w:hanging="572"/>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Registration Statement (Form S-8 No. 333-219919) pertaining to the Assembly Biosciences, Inc. 2017 Inducement Award Plan,</w:t>
      </w:r>
    </w:p>
    <w:p>
      <w:pPr>
        <w:spacing w:after="0" w:line="236"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333-226703) pertaining to the Assembly Biosciences, Inc. 2018 Stock Incentive Plan and the Assembly Biosciences, Inc. 2018 Employee Stock Purchase Plan,</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333-233030) pertaining to the Assembly Biosciences, Inc. 2018 Stock Incentive Plan,</w:t>
      </w:r>
    </w:p>
    <w:p>
      <w:pPr>
        <w:spacing w:after="0" w:line="22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333-234580) pertaining to the Assembly Biosciences, Inc. 2019 Inducement Award Plan and the Assembly Biosciences, Inc. Amended and Restated 2014 Stock Incentive Plan, and</w:t>
      </w:r>
    </w:p>
    <w:p>
      <w:pPr>
        <w:spacing w:after="0" w:line="170"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Statement (Form S-8 No. 333-248476) pertaining to the Assembly Biosciences, Inc. 2018 Stock Incentive Plan and the Assembly Biosciences, Inc. 2020 Inducement Award Plan;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25, 2021, with respect to the consolidated financial statements of Assembly Biosciences, Inc. and the effectiveness of internal control over financial reporting of Assembly Biosciences, Inc. included in this Annual Report (Form 10-K) of Assembly Biosciences, Inc.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85" w:lineRule="exact"/>
        <w:rPr>
          <w:sz w:val="20"/>
          <w:szCs w:val="20"/>
          <w:color w:val="auto"/>
        </w:rPr>
      </w:pPr>
    </w:p>
    <w:p>
      <w:pPr>
        <w:ind w:left="500" w:hanging="371"/>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Assembly Biosciences, Inc.;</w:t>
      </w:r>
    </w:p>
    <w:p>
      <w:pPr>
        <w:spacing w:after="0" w:line="184" w:lineRule="exact"/>
        <w:rPr>
          <w:rFonts w:ascii="Arial" w:cs="Arial" w:eastAsia="Arial" w:hAnsi="Arial"/>
          <w:sz w:val="18"/>
          <w:szCs w:val="18"/>
          <w:color w:val="auto"/>
        </w:rPr>
      </w:pPr>
    </w:p>
    <w:p>
      <w:pPr>
        <w:jc w:val="both"/>
        <w:ind w:left="500" w:right="280" w:hanging="371"/>
        <w:spacing w:after="0" w:line="263"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0" w:hanging="371"/>
        <w:spacing w:after="0" w:line="308"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371"/>
        <w:spacing w:after="0" w:line="263"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500" w:right="20" w:hanging="371"/>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500" w:right="20" w:hanging="371"/>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500" w:right="60" w:hanging="371"/>
        <w:spacing w:after="0" w:line="308"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500" w:right="100" w:hanging="371"/>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ind w:left="500" w:right="240" w:hanging="371"/>
        <w:spacing w:after="0" w:line="342" w:lineRule="auto"/>
        <w:tabs>
          <w:tab w:leader="none" w:pos="5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3" w:lineRule="exact"/>
        <w:rPr>
          <w:sz w:val="20"/>
          <w:szCs w:val="20"/>
          <w:color w:val="auto"/>
        </w:rPr>
      </w:pPr>
    </w:p>
    <w:p>
      <w:pPr>
        <w:ind w:left="500" w:right="440" w:hanging="371"/>
        <w:spacing w:after="0" w:line="277"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40" w:hanging="371"/>
        <w:spacing w:after="0" w:line="277"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85" w:lineRule="exact"/>
        <w:rPr>
          <w:sz w:val="20"/>
          <w:szCs w:val="20"/>
          <w:color w:val="auto"/>
        </w:rPr>
      </w:pPr>
    </w:p>
    <w:p>
      <w:pPr>
        <w:ind w:left="500" w:hanging="371"/>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Assembly Biosciences, Inc.;</w:t>
      </w:r>
    </w:p>
    <w:p>
      <w:pPr>
        <w:spacing w:after="0" w:line="184" w:lineRule="exact"/>
        <w:rPr>
          <w:rFonts w:ascii="Arial" w:cs="Arial" w:eastAsia="Arial" w:hAnsi="Arial"/>
          <w:sz w:val="18"/>
          <w:szCs w:val="18"/>
          <w:color w:val="auto"/>
        </w:rPr>
      </w:pPr>
    </w:p>
    <w:p>
      <w:pPr>
        <w:jc w:val="both"/>
        <w:ind w:left="500" w:right="280" w:hanging="371"/>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0" w:hanging="371"/>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371"/>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500" w:right="20" w:hanging="371"/>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500" w:right="20" w:hanging="371"/>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500" w:right="60" w:hanging="371"/>
        <w:spacing w:after="0" w:line="308"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500" w:right="100" w:hanging="371"/>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ind w:left="500" w:right="240" w:hanging="371"/>
        <w:spacing w:after="0" w:line="342"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500" w:right="440" w:hanging="371"/>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40" w:hanging="371"/>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2020, as filed with the Securities and Exchange Commission on the date hereof (the Report), I, John G. McHutchison, A.O., M.D., Chief Executive Officer and President (Principal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580" w:hanging="437"/>
        <w:spacing w:after="0"/>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20" w:firstLine="143"/>
        <w:spacing w:after="0" w:line="481"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2021</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2020, as filed with the Securities and Exchange Commission on the date hereof (the Report), I, Thomas J. Russo, CFA, Chief Financial Officer (Principal Financial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580" w:hanging="437"/>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20" w:firstLine="143"/>
        <w:spacing w:after="0" w:line="481" w:lineRule="auto"/>
        <w:tabs>
          <w:tab w:leader="none" w:pos="5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2021</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04"/>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2"/>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lvl w:ilvl="1">
      <w:lvlJc w:val="left"/>
      <w:lvlText w:val="(%2)"/>
      <w:numFmt w:val="lowerLetter"/>
      <w:start w:val="1"/>
    </w:lvl>
  </w:abstractNum>
  <w:abstractNum w:abstractNumId="39">
    <w:nsid w:val="100F8FCA"/>
    <w:multiLevelType w:val="hybridMultilevel"/>
    <w:lvl w:ilvl="0">
      <w:lvlJc w:val="left"/>
      <w:lvlText w:val="%1."/>
      <w:numFmt w:val="decimal"/>
      <w:start w:val="4"/>
    </w:lvl>
    <w:lvl w:ilvl="1">
      <w:lvlJc w:val="left"/>
      <w:lvlText w:val="(%2)"/>
      <w:numFmt w:val="lowerLetter"/>
      <w:start w:val="1"/>
    </w:lvl>
  </w:abstractNum>
  <w:abstractNum w:abstractNumId="40">
    <w:nsid w:val="6590700B"/>
    <w:multiLevelType w:val="hybridMultilevel"/>
    <w:lvl w:ilvl="0">
      <w:lvlJc w:val="left"/>
      <w:lvlText w:val="(%1)"/>
      <w:numFmt w:val="lowerLetter"/>
      <w:start w:val="4"/>
    </w:lvl>
    <w:lvl w:ilvl="1">
      <w:lvlJc w:val="left"/>
      <w:lvlText w:val="(%2)"/>
      <w:numFmt w:val="upperLetter"/>
      <w:start w:val="1"/>
    </w:lvl>
  </w:abstractNum>
  <w:abstractNum w:abstractNumId="41">
    <w:nsid w:val="15014AC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2">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3">
    <w:nsid w:val="98A314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
    <w:nsid w:val="799D0247"/>
    <w:multiLevelType w:val="hybridMultilevel"/>
    <w:lvl w:ilvl="0">
      <w:lvlJc w:val="left"/>
      <w:lvlText w:val="(%1)"/>
      <w:numFmt w:val="lowerLetter"/>
      <w:start w:val="2"/>
    </w:lvl>
  </w:abstractNum>
  <w:abstractNum w:abstractNumId="45">
    <w:nsid w:val="6B94764"/>
    <w:multiLevelType w:val="hybridMultilevel"/>
    <w:lvl w:ilvl="0">
      <w:lvlJc w:val="left"/>
      <w:lvlText w:val="(%1)"/>
      <w:numFmt w:val="decimal"/>
      <w:start w:val="30"/>
    </w:lvl>
    <w:lvl w:ilvl="1">
      <w:lvlJc w:val="left"/>
      <w:lvlText w:val="%2."/>
      <w:numFmt w:val="decimal"/>
      <w:start w:val="7"/>
    </w:lvl>
    <w:lvl w:ilvl="2">
      <w:lvlJc w:val="left"/>
      <w:lvlText w:val="(%3)"/>
      <w:numFmt w:val="lowerLetter"/>
      <w:start w:val="5"/>
    </w:lvl>
  </w:abstractNum>
  <w:abstractNum w:abstractNumId="46">
    <w:nsid w:val="42C296B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7">
    <w:nsid w:val="168E121F"/>
    <w:multiLevelType w:val="hybridMultilevel"/>
    <w:lvl w:ilvl="0">
      <w:lvlJc w:val="left"/>
      <w:lvlText w:val="%1"/>
      <w:numFmt w:val="lowerLetter"/>
      <w:start w:val="1"/>
    </w:lvl>
    <w:lvl w:ilvl="1">
      <w:lvlJc w:val="left"/>
      <w:lvlText w:val="(%2)"/>
      <w:numFmt w:val="lowerLetter"/>
      <w:start w:val="2"/>
    </w:lvl>
  </w:abstractNum>
  <w:abstractNum w:abstractNumId="48">
    <w:nsid w:val="1EBA5D23"/>
    <w:multiLevelType w:val="hybridMultilevel"/>
    <w:lvl w:ilvl="0">
      <w:lvlJc w:val="left"/>
      <w:lvlText w:val="(%1)"/>
      <w:numFmt w:val="lowerLetter"/>
      <w:start w:val="61"/>
    </w:lvl>
    <w:lvl w:ilvl="1">
      <w:lvlJc w:val="left"/>
      <w:lvlText w:val="(%2)"/>
      <w:numFmt w:val="lowerLetter"/>
      <w:start w:val="3"/>
    </w:lvl>
  </w:abstractNum>
  <w:abstractNum w:abstractNumId="49">
    <w:nsid w:val="661E3F1E"/>
    <w:multiLevelType w:val="hybridMultilevel"/>
    <w:lvl w:ilvl="0">
      <w:lvlJc w:val="left"/>
      <w:lvlText w:val="%1"/>
      <w:numFmt w:val="decimal"/>
      <w:start w:val="1"/>
    </w:lvl>
    <w:lvl w:ilvl="1">
      <w:lvlJc w:val="left"/>
      <w:lvlText w:val="(%2)"/>
      <w:numFmt w:val="lowerLetter"/>
      <w:start w:val="4"/>
    </w:lvl>
  </w:abstractNum>
  <w:abstractNum w:abstractNumId="50">
    <w:nsid w:val="5DC79EA8"/>
    <w:multiLevelType w:val="hybridMultilevel"/>
    <w:lvl w:ilvl="0">
      <w:lvlJc w:val="left"/>
      <w:lvlText w:val="%1."/>
      <w:numFmt w:val="decimal"/>
      <w:start w:val="9"/>
    </w:lvl>
    <w:lvl w:ilvl="1">
      <w:lvlJc w:val="left"/>
      <w:lvlText w:val="(%2)"/>
      <w:numFmt w:val="lowerLetter"/>
      <w:start w:val="1"/>
    </w:lvl>
  </w:abstractNum>
  <w:abstractNum w:abstractNumId="51">
    <w:nsid w:val="540A47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2">
    <w:nsid w:val="7BD3EE7B"/>
    <w:multiLevelType w:val="hybridMultilevel"/>
    <w:lvl w:ilvl="0">
      <w:lvlJc w:val="left"/>
      <w:lvlText w:val="(%1)"/>
      <w:numFmt w:val="decimal"/>
      <w:start w:val="1"/>
    </w:lvl>
    <w:lvl w:ilvl="1">
      <w:lvlJc w:val="left"/>
      <w:lvlText w:val="%2."/>
      <w:numFmt w:val="decimal"/>
      <w:start w:val="9"/>
    </w:lvl>
    <w:lvl w:ilvl="2">
      <w:lvlJc w:val="left"/>
      <w:lvlText w:val="(%3)"/>
      <w:numFmt w:val="lowerLetter"/>
      <w:start w:val="4"/>
    </w:lvl>
  </w:abstractNum>
  <w:abstractNum w:abstractNumId="53">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4">
    <w:nsid w:val="613EFD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
    <w:nsid w:val="BF72B1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6">
    <w:nsid w:val="11447B73"/>
    <w:multiLevelType w:val="hybridMultilevel"/>
    <w:lvl w:ilvl="0">
      <w:lvlJc w:val="left"/>
      <w:lvlText w:val="(%1)"/>
      <w:numFmt w:val="lowerLetter"/>
      <w:start w:val="3"/>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2"/>
    </w:lvl>
    <w:lvl w:ilvl="1">
      <w:lvlJc w:val="left"/>
      <w:lvlText w:val="(%2)"/>
      <w:numFmt w:val="lowerLetter"/>
      <w:start w:val="1"/>
    </w:lvl>
  </w:abstractNum>
  <w:abstractNum w:abstractNumId="59">
    <w:nsid w:val="8F2B15E"/>
    <w:multiLevelType w:val="hybridMultilevel"/>
    <w:lvl w:ilvl="0">
      <w:lvlJc w:val="left"/>
      <w:lvlText w:val="%1."/>
      <w:numFmt w:val="decimal"/>
      <w:start w:val="4"/>
    </w:lvl>
  </w:abstractNum>
  <w:abstractNum w:abstractNumId="60">
    <w:nsid w:val="1A32234B"/>
    <w:multiLevelType w:val="hybridMultilevel"/>
    <w:lvl w:ilvl="0">
      <w:lvlJc w:val="left"/>
      <w:lvlText w:val="%1."/>
      <w:numFmt w:val="decimal"/>
      <w:start w:val="5"/>
    </w:lvl>
  </w:abstractNum>
  <w:abstractNum w:abstractNumId="61">
    <w:nsid w:val="3B0FD379"/>
    <w:multiLevelType w:val="hybridMultilevel"/>
    <w:lvl w:ilvl="0">
      <w:lvlJc w:val="left"/>
      <w:lvlText w:val="%1."/>
      <w:numFmt w:val="decimal"/>
      <w:start w:val="6"/>
    </w:lvl>
  </w:abstractNum>
  <w:abstractNum w:abstractNumId="62">
    <w:nsid w:val="68EB2F63"/>
    <w:multiLevelType w:val="hybridMultilevel"/>
    <w:lvl w:ilvl="0">
      <w:lvlJc w:val="left"/>
      <w:lvlText w:val="%1."/>
      <w:numFmt w:val="decimal"/>
      <w:start w:val="7"/>
    </w:lvl>
    <w:lvl w:ilvl="1">
      <w:lvlJc w:val="left"/>
      <w:lvlText w:val="(%2)"/>
      <w:numFmt w:val="lowerLetter"/>
      <w:start w:val="1"/>
    </w:lvl>
  </w:abstractNum>
  <w:abstractNum w:abstractNumId="63">
    <w:nsid w:val="4962813B"/>
    <w:multiLevelType w:val="hybridMultilevel"/>
    <w:lvl w:ilvl="0">
      <w:lvlJc w:val="left"/>
      <w:lvlText w:val="(%1)"/>
      <w:numFmt w:val="lowerLetter"/>
      <w:start w:val="2"/>
    </w:lvl>
  </w:abstractNum>
  <w:abstractNum w:abstractNumId="64">
    <w:nsid w:val="60B6DF70"/>
    <w:multiLevelType w:val="hybridMultilevel"/>
    <w:lvl w:ilvl="0">
      <w:lvlJc w:val="left"/>
      <w:lvlText w:val="(%1)"/>
      <w:numFmt w:val="lowerLetter"/>
      <w:start w:val="8"/>
    </w:lvl>
  </w:abstractNum>
  <w:abstractNum w:abstractNumId="65">
    <w:nsid w:val="6A5EE64"/>
    <w:multiLevelType w:val="hybridMultilevel"/>
    <w:lvl w:ilvl="0">
      <w:lvlJc w:val="left"/>
      <w:lvlText w:val="%1."/>
      <w:numFmt w:val="decimal"/>
      <w:start w:val="1"/>
    </w:lvl>
    <w:lvl w:ilvl="1">
      <w:lvlJc w:val="left"/>
      <w:lvlText w:val="(%2)"/>
      <w:numFmt w:val="lowerLetter"/>
      <w:start w:val="1"/>
    </w:lvl>
  </w:abstractNum>
  <w:abstractNum w:abstractNumId="66">
    <w:nsid w:val="14330624"/>
    <w:multiLevelType w:val="hybridMultilevel"/>
    <w:lvl w:ilvl="0">
      <w:lvlJc w:val="left"/>
      <w:lvlText w:val="%1."/>
      <w:numFmt w:val="decimal"/>
      <w:start w:val="2"/>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lowerRoman"/>
      <w:start w:val="1"/>
    </w:lvl>
  </w:abstractNum>
  <w:abstractNum w:abstractNumId="69">
    <w:nsid w:val="71EA1109"/>
    <w:multiLevelType w:val="hybridMultilevel"/>
    <w:lvl w:ilvl="0">
      <w:lvlJc w:val="left"/>
      <w:lvlText w:val="(%1)"/>
      <w:numFmt w:val="lowerLetter"/>
      <w:start w:val="6"/>
    </w:lvl>
  </w:abstractNum>
  <w:abstractNum w:abstractNumId="70">
    <w:nsid w:val="100F59D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1">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6EB5BD4"/>
    <w:multiLevelType w:val="hybridMultilevel"/>
    <w:lvl w:ilvl="0">
      <w:lvlJc w:val="left"/>
      <w:lvlText w:val="(%1)"/>
      <w:numFmt w:val="lowerRoman"/>
      <w:start w:val="3"/>
    </w:lvl>
  </w:abstractNum>
  <w:abstractNum w:abstractNumId="73">
    <w:nsid w:val="6F6DD9AC"/>
    <w:multiLevelType w:val="hybridMultilevel"/>
    <w:lvl w:ilvl="0">
      <w:lvlJc w:val="left"/>
      <w:lvlText w:val="(%1)"/>
      <w:numFmt w:val="lowerLetter"/>
      <w:start w:val="2"/>
    </w:lvl>
  </w:abstractNum>
  <w:abstractNum w:abstractNumId="74">
    <w:nsid w:val="94211F2"/>
    <w:multiLevelType w:val="hybridMultilevel"/>
    <w:lvl w:ilvl="0">
      <w:lvlJc w:val="left"/>
      <w:lvlText w:val="(%1)"/>
      <w:numFmt w:val="lowerLetter"/>
      <w:start w:val="3"/>
    </w:lvl>
  </w:abstractNum>
  <w:abstractNum w:abstractNumId="75">
    <w:nsid w:val="885E1B"/>
    <w:multiLevelType w:val="hybridMultilevel"/>
    <w:lvl w:ilvl="0">
      <w:lvlJc w:val="left"/>
      <w:lvlText w:val="%1"/>
      <w:numFmt w:val="decimal"/>
      <w:start w:val="1"/>
    </w:lvl>
    <w:lvl w:ilvl="1">
      <w:lvlJc w:val="left"/>
      <w:lvlText w:val="(%2)"/>
      <w:numFmt w:val="lowerLetter"/>
      <w:start w:val="5"/>
    </w:lvl>
  </w:abstractNum>
  <w:abstractNum w:abstractNumId="76">
    <w:nsid w:val="76272110"/>
    <w:multiLevelType w:val="hybridMultilevel"/>
    <w:lvl w:ilvl="0">
      <w:lvlJc w:val="left"/>
      <w:lvlText w:val="%1."/>
      <w:numFmt w:val="decimal"/>
      <w:start w:val="8"/>
    </w:lvl>
    <w:lvl w:ilvl="1">
      <w:lvlJc w:val="left"/>
      <w:lvlText w:val="(%2)"/>
      <w:numFmt w:val="lowerLetter"/>
      <w:start w:val="1"/>
    </w:lvl>
  </w:abstractNum>
  <w:abstractNum w:abstractNumId="77">
    <w:nsid w:val="4C04A8AF"/>
    <w:multiLevelType w:val="hybridMultilevel"/>
    <w:lvl w:ilvl="0">
      <w:lvlJc w:val="left"/>
      <w:lvlText w:val="(%1)"/>
      <w:numFmt w:val="upperLetter"/>
      <w:start w:val="2"/>
    </w:lvl>
    <w:lvl w:ilvl="1">
      <w:lvlJc w:val="left"/>
      <w:lvlText w:val="(%2)"/>
      <w:numFmt w:val="lowerLetter"/>
      <w:start w:val="3"/>
    </w:lvl>
  </w:abstractNum>
  <w:abstractNum w:abstractNumId="78">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9">
    <w:nsid w:val="14E17E3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80">
    <w:nsid w:val="3222E7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74DE0EE3"/>
    <w:multiLevelType w:val="hybridMultilevel"/>
    <w:lvl w:ilvl="0">
      <w:lvlJc w:val="left"/>
      <w:lvlText w:val="%1"/>
      <w:numFmt w:val="decimal"/>
      <w:start w:val="1"/>
    </w:lvl>
    <w:lvl w:ilvl="1">
      <w:lvlJc w:val="left"/>
      <w:lvlText w:val="(%2)"/>
      <w:numFmt w:val="lowerLetter"/>
      <w:start w:val="4"/>
    </w:lvl>
  </w:abstractNum>
  <w:abstractNum w:abstractNumId="82">
    <w:nsid w:val="68EBC550"/>
    <w:multiLevelType w:val="hybridMultilevel"/>
    <w:lvl w:ilvl="0">
      <w:lvlJc w:val="left"/>
      <w:lvlText w:val="%1."/>
      <w:numFmt w:val="decimal"/>
      <w:start w:val="10"/>
    </w:lvl>
    <w:lvl w:ilvl="1">
      <w:lvlJc w:val="left"/>
      <w:lvlText w:val="(%2)"/>
      <w:numFmt w:val="lowerLetter"/>
      <w:start w:val="1"/>
    </w:lvl>
  </w:abstractNum>
  <w:abstractNum w:abstractNumId="83">
    <w:nsid w:val="2DF6D64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4">
    <w:nsid w:val="46B7D44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5">
    <w:nsid w:val="4A2AC315"/>
    <w:multiLevelType w:val="hybridMultilevel"/>
    <w:lvl w:ilvl="0">
      <w:lvlJc w:val="left"/>
      <w:lvlText w:val="(%1)"/>
      <w:numFmt w:val="lowerLetter"/>
      <w:start w:val="5"/>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5"/>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5"/>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106"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75" Type="http://schemas.openxmlformats.org/officeDocument/2006/relationships/hyperlink" Target="http://www.sec.gov/Archives/edgar/data/1426800/000156459020029542/asmb-ex31_26.htm" TargetMode="External"/><Relationship Id="rId76" Type="http://schemas.openxmlformats.org/officeDocument/2006/relationships/hyperlink" Target="http://www.sec.gov/Archives/edgar/data/1426800/000156459021002592/asmb-ex31_15.htm" TargetMode="External"/><Relationship Id="rId77" Type="http://schemas.openxmlformats.org/officeDocument/2006/relationships/hyperlink" Target="http://www.sec.gov/Archives/edgar/data/1426800/000114420415073414/v427997_ex4-1.htm" TargetMode="External"/><Relationship Id="rId78" Type="http://schemas.openxmlformats.org/officeDocument/2006/relationships/hyperlink" Target="http://www.sec.gov/Archives/edgar/data/0001426800/000119312519315242/d849253dex41.htm" TargetMode="External"/><Relationship Id="rId79" Type="http://schemas.openxmlformats.org/officeDocument/2006/relationships/hyperlink" Target="http://www.sec.gov/Archives/edgar/data/1426800/000114420418058118/tv505055_ex10-1.htm" TargetMode="External"/><Relationship Id="rId80" Type="http://schemas.openxmlformats.org/officeDocument/2006/relationships/hyperlink" Target="http://www.sec.gov/Archives/edgar/data/1426800/000114420414069040/v393386_ex10-29.htm" TargetMode="External"/><Relationship Id="rId83" Type="http://schemas.openxmlformats.org/officeDocument/2006/relationships/hyperlink" Target="http://www.sec.gov/Archives/edgar/data/1426800/000156459020051470/asmb-ex101_29.htm" TargetMode="External"/><Relationship Id="rId84" Type="http://schemas.openxmlformats.org/officeDocument/2006/relationships/hyperlink" Target="http://www.sec.gov/Archives/edgar/data/1426800/000156459020051470/asmb-ex102_30.htm" TargetMode="External"/><Relationship Id="rId85" Type="http://schemas.openxmlformats.org/officeDocument/2006/relationships/hyperlink" Target="http://www.sec.gov/Archives/edgar/data/1426800/000156459020051470/asmb-ex103_251.htm" TargetMode="External"/><Relationship Id="rId86" Type="http://schemas.openxmlformats.org/officeDocument/2006/relationships/hyperlink" Target="http://www.sec.gov/Archives/edgar/data/1426800/000095012319010301/asmb-ex101_188.htm" TargetMode="External"/><Relationship Id="rId87" Type="http://schemas.openxmlformats.org/officeDocument/2006/relationships/hyperlink" Target="http://www.sec.gov/Archives/edgar/data/1426800/000095012319010301/asmb-ex106_713.htm" TargetMode="External"/><Relationship Id="rId88" Type="http://schemas.openxmlformats.org/officeDocument/2006/relationships/hyperlink" Target="http://www.sec.gov/Archives/edgar/data/1426800/000156459020023566/asmb-ex106_465.htm" TargetMode="External"/><Relationship Id="rId89" Type="http://schemas.openxmlformats.org/officeDocument/2006/relationships/hyperlink" Target="http://www.sec.gov/Archives/edgar/data/1426800/000156459020008696/asmb-ex107_183.htm" TargetMode="External"/><Relationship Id="rId90" Type="http://schemas.openxmlformats.org/officeDocument/2006/relationships/hyperlink" Target="http://www.sec.gov/Archives/edgar/data/1426800/000156459020023566/asmb-ex107_81.htm" TargetMode="External"/><Relationship Id="rId91" Type="http://schemas.openxmlformats.org/officeDocument/2006/relationships/hyperlink" Target="http://www.sec.gov/Archives/edgar/data/1426800/000114420410052266/v196825_ex10-14.htm" TargetMode="External"/><Relationship Id="rId92" Type="http://schemas.openxmlformats.org/officeDocument/2006/relationships/hyperlink" Target="http://www.sec.gov/Archives/edgar/data/1426800/000114420416107050/v441808_ex10-1.htm" TargetMode="External"/><Relationship Id="rId93" Type="http://schemas.openxmlformats.org/officeDocument/2006/relationships/hyperlink" Target="http://www.sec.gov/Archives/edgar/data/1426800/000156459020023566/asmb-ex102_85.htm" TargetMode="External"/><Relationship Id="rId94" Type="http://schemas.openxmlformats.org/officeDocument/2006/relationships/hyperlink" Target="http://www.sec.gov/Archives/edgar/data/1426800/000114420414056572/v389114_ex10-28.htm" TargetMode="External"/><Relationship Id="rId95" Type="http://schemas.openxmlformats.org/officeDocument/2006/relationships/hyperlink" Target="http://www.sec.gov/Archives/edgar/data/1426800/000114420417055501/tv477592_ex10-1.htm" TargetMode="External"/><Relationship Id="rId96" Type="http://schemas.openxmlformats.org/officeDocument/2006/relationships/hyperlink" Target="http://www.sec.gov/Archives/edgar/data/1426800/000114420417041660/v472206_ex10-1.htm" TargetMode="External"/><Relationship Id="rId97" Type="http://schemas.openxmlformats.org/officeDocument/2006/relationships/hyperlink" Target="http://www.sec.gov/Archives/edgar/data/1426800/000114420417041660/v472206_ex10-2.htm" TargetMode="External"/><Relationship Id="rId98" Type="http://schemas.openxmlformats.org/officeDocument/2006/relationships/hyperlink" Target="http://www.sec.gov/Archives/edgar/data/1426800/000114420417041660/v472206_ex10-3.htm" TargetMode="External"/><Relationship Id="rId99" Type="http://schemas.openxmlformats.org/officeDocument/2006/relationships/hyperlink" Target="http://www.sec.gov/Archives/edgar/data/1426800/000114420418032371/tv495357_ex10-1.htm" TargetMode="External"/><Relationship Id="rId100" Type="http://schemas.openxmlformats.org/officeDocument/2006/relationships/hyperlink" Target="http://www.sec.gov/Archives/edgar/data/0001426800/000114420419027502/tv522122_ex10-2.htm" TargetMode="External"/><Relationship Id="rId101" Type="http://schemas.openxmlformats.org/officeDocument/2006/relationships/hyperlink" Target="http://www.sec.gov/Archives/edgar/data/1426800/000156459020029542/asmb-ex101_25.htm" TargetMode="External"/><Relationship Id="rId102" Type="http://schemas.openxmlformats.org/officeDocument/2006/relationships/hyperlink" Target="http://www.sec.gov/Archives/edgar/data/1426800/000114420418032371/tv495357_ex10-2.htm" TargetMode="External"/><Relationship Id="rId103" Type="http://schemas.openxmlformats.org/officeDocument/2006/relationships/hyperlink" Target="http://www.sec.gov/Archives/edgar/data/1426800/000114420418032371/tv495357_ex10-3.htm" TargetMode="External"/><Relationship Id="rId104" Type="http://schemas.openxmlformats.org/officeDocument/2006/relationships/hyperlink" Target="http://www.sec.gov/Archives/edgar/data/1426800/000114420418053659/tv504698_ex10-4.htm" TargetMode="External"/><Relationship Id="rId105" Type="http://schemas.openxmlformats.org/officeDocument/2006/relationships/hyperlink" Target="http://www.sec.gov/Archives/edgar/data/1426800/000114420418032371/tv495357_ex10-4.htm" TargetMode="External"/><Relationship Id="rId107" Type="http://schemas.openxmlformats.org/officeDocument/2006/relationships/hyperlink" Target="http://www.sec.gov/Archives/edgar/data/1426800/000095012319010301/asmb-ex104_186.htm" TargetMode="External"/><Relationship Id="rId108" Type="http://schemas.openxmlformats.org/officeDocument/2006/relationships/hyperlink" Target="http://www.sec.gov/Archives/edgar/data/0001426800/000095012319010301/asmb-ex105_185.htm" TargetMode="External"/><Relationship Id="rId109" Type="http://schemas.openxmlformats.org/officeDocument/2006/relationships/hyperlink" Target="http://www.sec.gov/Archives/edgar/data/1426800/000156459020023566/asmb-ex103_84.htm" TargetMode="External"/><Relationship Id="rId110" Type="http://schemas.openxmlformats.org/officeDocument/2006/relationships/hyperlink" Target="http://www.sec.gov/Archives/edgar/data/1426800/000156459020023566/asmb-ex104_83.htm" TargetMode="External"/><Relationship Id="rId111" Type="http://schemas.openxmlformats.org/officeDocument/2006/relationships/hyperlink" Target="http://www.sec.gov/Archives/edgar/data/1426800/000156459020023566/asmb-ex105_82.htm" TargetMode="External"/><Relationship Id="rId112" Type="http://schemas.openxmlformats.org/officeDocument/2006/relationships/hyperlink" Target="http://www.sec.gov/Archives/edgar/data/1426800/000156459020004234/asmb-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2021-02-25T16:09:13Z</dcterms:created>
  <dcterms:modified xsi:type="dcterms:W3CDTF">2021-02-25T16:09:13Z</dcterms:modified>
</cp:coreProperties>
</file>