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51" w:lineRule="exact"/>
        <w:rPr>
          <w:sz w:val="24"/>
          <w:szCs w:val="24"/>
          <w:color w:val="auto"/>
        </w:rPr>
      </w:pPr>
    </w:p>
    <w:p>
      <w:pPr>
        <w:ind w:left="4320" w:right="3740" w:hanging="4312"/>
        <w:spacing w:after="0" w:line="244" w:lineRule="auto"/>
        <w:tabs>
          <w:tab w:leader="none" w:pos="475"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ANNUAL REPORT PURSUANT TO SECTION 13 OR 15(d) OF THE SECURITIES EXCHANGE ACT OF 1934 </w:t>
      </w:r>
      <w:r>
        <w:rPr>
          <w:rFonts w:ascii="Times New Roman" w:cs="Times New Roman" w:eastAsia="Times New Roman" w:hAnsi="Times New Roman"/>
          <w:sz w:val="14"/>
          <w:szCs w:val="14"/>
          <w:color w:val="auto"/>
        </w:rPr>
        <w:t>For the fiscal year ended December 31, 2025</w:t>
      </w:r>
    </w:p>
    <w:p>
      <w:pPr>
        <w:spacing w:after="0" w:line="1" w:lineRule="exact"/>
        <w:rPr>
          <w:rFonts w:ascii="MS PGothic" w:cs="MS PGothic" w:eastAsia="MS PGothic" w:hAnsi="MS PGothic"/>
          <w:sz w:val="14"/>
          <w:szCs w:val="14"/>
          <w:color w:val="auto"/>
        </w:rPr>
      </w:pPr>
    </w:p>
    <w:p>
      <w:pPr>
        <w:ind w:left="5560"/>
        <w:spacing w:after="0" w:line="233" w:lineRule="auto"/>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ind w:left="3920" w:right="3440" w:hanging="3912"/>
        <w:spacing w:after="0" w:line="266" w:lineRule="auto"/>
        <w:tabs>
          <w:tab w:leader="none" w:pos="475"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TRANSITION REPORT PURSUANT TO SECTION 13 OR 15(d) OF THE SECURITIES EXCHANGE ACT OF 1934 </w:t>
      </w:r>
      <w:r>
        <w:rPr>
          <w:rFonts w:ascii="Times New Roman" w:cs="Times New Roman" w:eastAsia="Times New Roman" w:hAnsi="Times New Roman"/>
          <w:sz w:val="14"/>
          <w:szCs w:val="14"/>
          <w:color w:val="auto"/>
        </w:rPr>
        <w:t>For the Transition Period from __________ to __________</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color w:val="auto"/>
              </w:rPr>
              <w:t>Commission File Number</w:t>
            </w:r>
            <w:r>
              <w:rPr>
                <w:rFonts w:ascii="Times New Roman" w:cs="Times New Roman" w:eastAsia="Times New Roman" w:hAnsi="Times New Roman"/>
                <w:sz w:val="14"/>
                <w:szCs w:val="14"/>
                <w:b w:val="1"/>
                <w:bCs w:val="1"/>
                <w:color w:val="auto"/>
              </w:rPr>
              <w:t>: 001-35005</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3600" w:type="dxa"/>
            <w:vAlign w:val="bottom"/>
          </w:tcPr>
          <w:p>
            <w:pPr>
              <w:spacing w:after="0"/>
              <w:rPr>
                <w:sz w:val="24"/>
                <w:szCs w:val="24"/>
                <w:color w:val="auto"/>
              </w:rPr>
            </w:pPr>
          </w:p>
        </w:tc>
        <w:tc>
          <w:tcPr>
            <w:tcW w:w="4220" w:type="dxa"/>
            <w:vAlign w:val="bottom"/>
            <w:gridSpan w:val="5"/>
          </w:tcPr>
          <w:p>
            <w:pPr>
              <w:jc w:val="center"/>
              <w:ind w:right="180"/>
              <w:spacing w:after="0"/>
              <w:rPr>
                <w:sz w:val="20"/>
                <w:szCs w:val="20"/>
                <w:color w:val="auto"/>
              </w:rPr>
            </w:pPr>
            <w:r>
              <w:rPr>
                <w:rFonts w:ascii="Times New Roman" w:cs="Times New Roman" w:eastAsia="Times New Roman" w:hAnsi="Times New Roman"/>
                <w:sz w:val="23"/>
                <w:szCs w:val="23"/>
                <w:b w:val="1"/>
                <w:bCs w:val="1"/>
                <w:color w:val="auto"/>
              </w:rPr>
              <w:t>ASSEMBLY BIOSCIENCES, INC.</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00" w:type="dxa"/>
            <w:vAlign w:val="bottom"/>
          </w:tcPr>
          <w:p>
            <w:pPr>
              <w:jc w:val="center"/>
              <w:ind w:left="165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20" w:type="dxa"/>
            <w:vAlign w:val="bottom"/>
          </w:tcPr>
          <w:p>
            <w:pPr>
              <w:jc w:val="center"/>
              <w:ind w:right="1811"/>
              <w:spacing w:after="0"/>
              <w:rPr>
                <w:sz w:val="20"/>
                <w:szCs w:val="20"/>
                <w:color w:val="auto"/>
              </w:rPr>
            </w:pPr>
            <w:r>
              <w:rPr>
                <w:rFonts w:ascii="Times New Roman" w:cs="Times New Roman" w:eastAsia="Times New Roman" w:hAnsi="Times New Roman"/>
                <w:sz w:val="14"/>
                <w:szCs w:val="14"/>
                <w:b w:val="1"/>
                <w:bCs w:val="1"/>
                <w:color w:val="auto"/>
              </w:rPr>
              <w:t>20-8729264</w:t>
            </w:r>
          </w:p>
        </w:tc>
        <w:tc>
          <w:tcPr>
            <w:tcW w:w="0" w:type="dxa"/>
            <w:vAlign w:val="bottom"/>
          </w:tcPr>
          <w:p>
            <w:pPr>
              <w:spacing w:after="0"/>
              <w:rPr>
                <w:sz w:val="1"/>
                <w:szCs w:val="1"/>
                <w:color w:val="auto"/>
              </w:rPr>
            </w:pPr>
          </w:p>
        </w:tc>
      </w:tr>
      <w:tr>
        <w:trPr>
          <w:trHeight w:val="148"/>
        </w:trPr>
        <w:tc>
          <w:tcPr>
            <w:tcW w:w="3600" w:type="dxa"/>
            <w:vAlign w:val="bottom"/>
          </w:tcPr>
          <w:p>
            <w:pPr>
              <w:jc w:val="center"/>
              <w:ind w:left="1651"/>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20" w:type="dxa"/>
            <w:vAlign w:val="bottom"/>
          </w:tcPr>
          <w:p>
            <w:pPr>
              <w:jc w:val="center"/>
              <w:ind w:right="1811"/>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8"/>
        </w:trPr>
        <w:tc>
          <w:tcPr>
            <w:tcW w:w="3600" w:type="dxa"/>
            <w:vAlign w:val="bottom"/>
          </w:tcPr>
          <w:p>
            <w:pPr>
              <w:jc w:val="center"/>
              <w:ind w:left="1651"/>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20" w:type="dxa"/>
            <w:vAlign w:val="bottom"/>
          </w:tcPr>
          <w:p>
            <w:pPr>
              <w:jc w:val="center"/>
              <w:ind w:right="1811"/>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Two Tower Place, 7th Floor</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gridSpan w:val="3"/>
          </w:tcPr>
          <w:p>
            <w:pPr>
              <w:jc w:val="center"/>
              <w:ind w:right="660"/>
              <w:spacing w:after="0" w:line="151" w:lineRule="exact"/>
              <w:rPr>
                <w:sz w:val="20"/>
                <w:szCs w:val="20"/>
                <w:color w:val="auto"/>
              </w:rPr>
            </w:pPr>
            <w:r>
              <w:rPr>
                <w:rFonts w:ascii="Times New Roman" w:cs="Times New Roman" w:eastAsia="Times New Roman" w:hAnsi="Times New Roman"/>
                <w:sz w:val="14"/>
                <w:szCs w:val="14"/>
                <w:b w:val="1"/>
                <w:bCs w:val="1"/>
                <w:color w:val="auto"/>
              </w:rPr>
              <w:t>South San Francisco, California 94080</w:t>
            </w:r>
          </w:p>
        </w:tc>
        <w:tc>
          <w:tcPr>
            <w:tcW w:w="3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2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(833) 509-4583</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42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600" w:type="dxa"/>
            <w:vAlign w:val="bottom"/>
          </w:tcPr>
          <w:p>
            <w:pPr>
              <w:jc w:val="center"/>
              <w:ind w:left="291"/>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40" w:type="dxa"/>
            <w:vAlign w:val="bottom"/>
            <w:gridSpan w:val="3"/>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420" w:type="dxa"/>
            <w:vAlign w:val="bottom"/>
          </w:tcPr>
          <w:p>
            <w:pPr>
              <w:jc w:val="center"/>
              <w:ind w:right="431"/>
              <w:spacing w:after="0"/>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c>
          <w:tcPr>
            <w:tcW w:w="0" w:type="dxa"/>
            <w:vAlign w:val="bottom"/>
          </w:tcPr>
          <w:p>
            <w:pPr>
              <w:spacing w:after="0"/>
              <w:rPr>
                <w:sz w:val="1"/>
                <w:szCs w:val="1"/>
                <w:color w:val="auto"/>
              </w:rPr>
            </w:pPr>
          </w:p>
        </w:tc>
      </w:tr>
      <w:tr>
        <w:trPr>
          <w:trHeight w:val="158"/>
        </w:trPr>
        <w:tc>
          <w:tcPr>
            <w:tcW w:w="3600" w:type="dxa"/>
            <w:vAlign w:val="bottom"/>
            <w:tcBorders>
              <w:top w:val="single" w:sz="8" w:color="auto"/>
            </w:tcBorders>
          </w:tcPr>
          <w:p>
            <w:pPr>
              <w:jc w:val="center"/>
              <w:ind w:left="291"/>
              <w:spacing w:after="0"/>
              <w:rPr>
                <w:sz w:val="20"/>
                <w:szCs w:val="20"/>
                <w:color w:val="auto"/>
              </w:rPr>
            </w:pPr>
            <w:r>
              <w:rPr>
                <w:rFonts w:ascii="Times New Roman" w:cs="Times New Roman" w:eastAsia="Times New Roman" w:hAnsi="Times New Roman"/>
                <w:sz w:val="13"/>
                <w:szCs w:val="13"/>
                <w:color w:val="auto"/>
                <w:w w:val="96"/>
              </w:rPr>
              <w:t>Common Stock, $0.001 Par Value</w:t>
            </w:r>
          </w:p>
        </w:tc>
        <w:tc>
          <w:tcPr>
            <w:tcW w:w="3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ASMB</w:t>
            </w: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tcPr>
          <w:p>
            <w:pPr>
              <w:jc w:val="center"/>
              <w:ind w:right="431"/>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r>
        <w:trPr>
          <w:trHeight w:val="200"/>
        </w:trPr>
        <w:tc>
          <w:tcPr>
            <w:tcW w:w="3600" w:type="dxa"/>
            <w:vAlign w:val="bottom"/>
          </w:tcPr>
          <w:p>
            <w:pPr>
              <w:spacing w:after="0"/>
              <w:rPr>
                <w:sz w:val="17"/>
                <w:szCs w:val="17"/>
                <w:color w:val="auto"/>
              </w:rPr>
            </w:pPr>
          </w:p>
        </w:tc>
        <w:tc>
          <w:tcPr>
            <w:tcW w:w="42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tc>
        <w:tc>
          <w:tcPr>
            <w:tcW w:w="3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82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3420" w:type="dxa"/>
            <w:vAlign w:val="bottom"/>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9"/>
        </w:trPr>
        <w:tc>
          <w:tcPr>
            <w:tcW w:w="7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 Yes</w:t>
            </w:r>
          </w:p>
        </w:tc>
        <w:tc>
          <w:tcPr>
            <w:tcW w:w="3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4940" w:type="dxa"/>
            <w:vAlign w:val="bottom"/>
          </w:tcPr>
          <w:p>
            <w:pPr>
              <w:ind w:left="286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9"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140" w:val="left"/>
          <w:tab w:leader="none" w:pos="74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No</w:t>
      </w:r>
      <w:r>
        <w:rPr>
          <w:sz w:val="20"/>
          <w:szCs w:val="20"/>
          <w:color w:val="auto"/>
        </w:rPr>
        <w:tab/>
      </w: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74"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2025, was $97.8 million. Such aggregate market value was computed by reference to the closing price of the common stock as reported on the Nasdaq Global Select Market on June 30, 2025. For purposes of making this calculation only, the registrant has defined affiliates as including only (1) directors, (2) executive officers and (3) certain stockholders, if any, that hold greater than 10% of the voting stock of the registrant, in each case, as of June 30, 2025. Shares of common stock held by other persons, including certain other holders of more than 10% of the registrant’s outstanding common stock, if any, have not been excluded from the above calculation in that such persons are not deemed to be affiliates. The determination of affiliate status is not necessarily a conclusive determination for other purposes.</w:t>
      </w:r>
    </w:p>
    <w:p>
      <w:pPr>
        <w:spacing w:after="0" w:line="15" w:lineRule="exact"/>
        <w:rPr>
          <w:sz w:val="24"/>
          <w:szCs w:val="24"/>
          <w:color w:val="auto"/>
        </w:rPr>
      </w:pPr>
    </w:p>
    <w:p>
      <w:pPr>
        <w:jc w:val="right"/>
        <w:ind w:right="3900"/>
        <w:spacing w:after="0" w:line="301" w:lineRule="auto"/>
        <w:rPr>
          <w:sz w:val="20"/>
          <w:szCs w:val="20"/>
          <w:color w:val="auto"/>
        </w:rPr>
      </w:pPr>
      <w:r>
        <w:rPr>
          <w:rFonts w:ascii="Times New Roman" w:cs="Times New Roman" w:eastAsia="Times New Roman" w:hAnsi="Times New Roman"/>
          <w:sz w:val="14"/>
          <w:szCs w:val="14"/>
          <w:color w:val="auto"/>
        </w:rPr>
        <w:t xml:space="preserve">As of March 13, 2026, there were 15,862,705 shares of the registrant’s common stock, $0.001 par value per share, outstanding. </w:t>
      </w:r>
      <w:r>
        <w:rPr>
          <w:rFonts w:ascii="Times New Roman" w:cs="Times New Roman" w:eastAsia="Times New Roman" w:hAnsi="Times New Roman"/>
          <w:sz w:val="14"/>
          <w:szCs w:val="14"/>
          <w:b w:val="1"/>
          <w:bCs w:val="1"/>
          <w:color w:val="auto"/>
        </w:rPr>
        <w:t>DOCUMENTS INCORPORATED BY REFERENCE</w:t>
      </w:r>
    </w:p>
    <w:p>
      <w:pPr>
        <w:spacing w:after="0" w:line="1"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Part III of this Annual Report on Form 10-K incorporates information by reference to portions of the definitive proxy statement for the Company’s Annual Meeting of Stockholders to be held in 2026, to be filed within 120 days of the registrant’s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80" w:type="dxa"/>
            <w:vAlign w:val="bottom"/>
            <w:gridSpan w:val="10"/>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ASSEMBLY BIOSCIENCES, INC.</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9"/>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0"/>
        </w:trPr>
        <w:tc>
          <w:tcPr>
            <w:tcW w:w="10120" w:type="dxa"/>
            <w:vAlign w:val="bottom"/>
            <w:gridSpan w:val="3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0000FF"/>
              </w:rPr>
              <w:t>Forward-Looking Statements</w:t>
            </w:r>
          </w:p>
        </w:tc>
        <w:tc>
          <w:tcPr>
            <w:tcW w:w="1120" w:type="dxa"/>
            <w:vAlign w:val="bottom"/>
            <w:tcBorders>
              <w:top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Borders>
              <w:top w:val="single" w:sz="8" w:color="0000FF"/>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FF"/>
              </w:rPr>
              <w:t>Risk Factors Summary</w:t>
            </w:r>
          </w:p>
        </w:tc>
        <w:tc>
          <w:tcPr>
            <w:tcW w:w="8000" w:type="dxa"/>
            <w:vAlign w:val="bottom"/>
            <w:tcBorders>
              <w:top w:val="single" w:sz="8" w:color="CFF0FC"/>
            </w:tcBorders>
            <w:gridSpan w:val="19"/>
          </w:tcPr>
          <w:p>
            <w:pPr>
              <w:spacing w:after="0"/>
              <w:rPr>
                <w:sz w:val="15"/>
                <w:szCs w:val="15"/>
                <w:color w:val="auto"/>
              </w:rPr>
            </w:pPr>
          </w:p>
        </w:tc>
        <w:tc>
          <w:tcPr>
            <w:tcW w:w="112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7"/>
              </w:rPr>
              <w:t>Item 1.</w:t>
            </w:r>
          </w:p>
        </w:tc>
        <w:tc>
          <w:tcPr>
            <w:tcW w:w="620" w:type="dxa"/>
            <w:vAlign w:val="bottom"/>
            <w:gridSpan w:val="6"/>
            <w:shd w:val="clear" w:color="auto" w:fill="CFF0FC"/>
          </w:tcPr>
          <w:p>
            <w:pPr>
              <w:spacing w:after="0"/>
              <w:rPr>
                <w:sz w:val="15"/>
                <w:szCs w:val="15"/>
                <w:color w:val="auto"/>
              </w:rPr>
            </w:pPr>
          </w:p>
        </w:tc>
        <w:tc>
          <w:tcPr>
            <w:tcW w:w="8980" w:type="dxa"/>
            <w:vAlign w:val="bottom"/>
            <w:gridSpan w:val="2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Business</w:t>
            </w: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1A.</w:t>
            </w:r>
          </w:p>
        </w:tc>
        <w:tc>
          <w:tcPr>
            <w:tcW w:w="89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FF"/>
            </w:tcBorders>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Item 1B.</w:t>
            </w:r>
          </w:p>
        </w:tc>
        <w:tc>
          <w:tcPr>
            <w:tcW w:w="500" w:type="dxa"/>
            <w:vAlign w:val="bottom"/>
            <w:tcBorders>
              <w:bottom w:val="single" w:sz="8" w:color="CFF0FC"/>
            </w:tcBorders>
            <w:gridSpan w:val="3"/>
            <w:shd w:val="clear" w:color="auto" w:fill="CFF0FC"/>
          </w:tcPr>
          <w:p>
            <w:pPr>
              <w:spacing w:after="0"/>
              <w:rPr>
                <w:sz w:val="17"/>
                <w:szCs w:val="17"/>
                <w:color w:val="auto"/>
              </w:rPr>
            </w:pPr>
          </w:p>
        </w:tc>
        <w:tc>
          <w:tcPr>
            <w:tcW w:w="2060" w:type="dxa"/>
            <w:vAlign w:val="bottom"/>
            <w:tcBorders>
              <w:bottom w:val="single" w:sz="8" w:color="0000FF"/>
            </w:tcBorders>
            <w:gridSpan w:val="1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6920" w:type="dxa"/>
            <w:vAlign w:val="bottom"/>
            <w:tcBorders>
              <w:bottom w:val="single" w:sz="8" w:color="CFF0FC"/>
            </w:tcBorders>
            <w:gridSpan w:val="12"/>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1C.</w:t>
            </w:r>
          </w:p>
        </w:tc>
        <w:tc>
          <w:tcPr>
            <w:tcW w:w="89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FF"/>
              </w:rPr>
              <w:t>Cybersecurity</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FF"/>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7"/>
              </w:rPr>
              <w:t>Item 2.</w:t>
            </w:r>
          </w:p>
        </w:tc>
        <w:tc>
          <w:tcPr>
            <w:tcW w:w="620" w:type="dxa"/>
            <w:vAlign w:val="bottom"/>
            <w:tcBorders>
              <w:bottom w:val="single" w:sz="8" w:color="CFF0FC"/>
            </w:tcBorders>
            <w:gridSpan w:val="6"/>
            <w:shd w:val="clear" w:color="auto" w:fill="CFF0FC"/>
          </w:tcPr>
          <w:p>
            <w:pPr>
              <w:spacing w:after="0"/>
              <w:rPr>
                <w:sz w:val="17"/>
                <w:szCs w:val="17"/>
                <w:color w:val="auto"/>
              </w:rPr>
            </w:pPr>
          </w:p>
        </w:tc>
        <w:tc>
          <w:tcPr>
            <w:tcW w:w="740" w:type="dxa"/>
            <w:vAlign w:val="bottom"/>
            <w:tcBorders>
              <w:bottom w:val="single" w:sz="8" w:color="0000FF"/>
            </w:tcBorders>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Properties</w:t>
            </w:r>
          </w:p>
        </w:tc>
        <w:tc>
          <w:tcPr>
            <w:tcW w:w="8240" w:type="dxa"/>
            <w:vAlign w:val="bottom"/>
            <w:tcBorders>
              <w:bottom w:val="single" w:sz="8" w:color="CFF0FC"/>
            </w:tcBorders>
            <w:gridSpan w:val="22"/>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3.</w:t>
            </w:r>
          </w:p>
        </w:tc>
        <w:tc>
          <w:tcPr>
            <w:tcW w:w="89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FF"/>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7"/>
              </w:rPr>
              <w:t>Item 4.</w:t>
            </w:r>
          </w:p>
        </w:tc>
        <w:tc>
          <w:tcPr>
            <w:tcW w:w="620" w:type="dxa"/>
            <w:vAlign w:val="bottom"/>
            <w:tcBorders>
              <w:bottom w:val="single" w:sz="8" w:color="CFF0FC"/>
            </w:tcBorders>
            <w:gridSpan w:val="6"/>
            <w:shd w:val="clear" w:color="auto" w:fill="CFF0FC"/>
          </w:tcPr>
          <w:p>
            <w:pPr>
              <w:spacing w:after="0"/>
              <w:rPr>
                <w:sz w:val="17"/>
                <w:szCs w:val="17"/>
                <w:color w:val="auto"/>
              </w:rPr>
            </w:pPr>
          </w:p>
        </w:tc>
        <w:tc>
          <w:tcPr>
            <w:tcW w:w="1780" w:type="dxa"/>
            <w:vAlign w:val="bottom"/>
            <w:tcBorders>
              <w:bottom w:val="single" w:sz="8" w:color="0000FF"/>
            </w:tcBorders>
            <w:gridSpan w:val="1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200" w:type="dxa"/>
            <w:vAlign w:val="bottom"/>
            <w:tcBorders>
              <w:bottom w:val="single" w:sz="8" w:color="CFF0FC"/>
            </w:tcBorders>
            <w:gridSpan w:val="14"/>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FF"/>
            </w:tcBorders>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7"/>
              </w:rPr>
              <w:t>Item 5.</w:t>
            </w:r>
          </w:p>
        </w:tc>
        <w:tc>
          <w:tcPr>
            <w:tcW w:w="620" w:type="dxa"/>
            <w:vAlign w:val="bottom"/>
            <w:tcBorders>
              <w:bottom w:val="single" w:sz="8" w:color="CFF0FC"/>
            </w:tcBorders>
            <w:gridSpan w:val="6"/>
            <w:shd w:val="clear" w:color="auto" w:fill="CFF0FC"/>
          </w:tcPr>
          <w:p>
            <w:pPr>
              <w:spacing w:after="0"/>
              <w:rPr>
                <w:sz w:val="17"/>
                <w:szCs w:val="17"/>
                <w:color w:val="auto"/>
              </w:rPr>
            </w:pPr>
          </w:p>
        </w:tc>
        <w:tc>
          <w:tcPr>
            <w:tcW w:w="8100" w:type="dxa"/>
            <w:vAlign w:val="bottom"/>
            <w:tcBorders>
              <w:bottom w:val="single" w:sz="8" w:color="0000FF"/>
            </w:tcBorders>
            <w:gridSpan w:val="2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88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6.</w:t>
            </w:r>
          </w:p>
        </w:tc>
        <w:tc>
          <w:tcPr>
            <w:tcW w:w="89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FF"/>
              </w:rPr>
              <w:t>[Reserved]</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7"/>
              </w:rPr>
              <w:t>Item 7.</w:t>
            </w:r>
          </w:p>
        </w:tc>
        <w:tc>
          <w:tcPr>
            <w:tcW w:w="620" w:type="dxa"/>
            <w:vAlign w:val="bottom"/>
            <w:gridSpan w:val="6"/>
            <w:shd w:val="clear" w:color="auto" w:fill="CFF0FC"/>
          </w:tcPr>
          <w:p>
            <w:pPr>
              <w:spacing w:after="0"/>
              <w:rPr>
                <w:sz w:val="15"/>
                <w:szCs w:val="15"/>
                <w:color w:val="auto"/>
              </w:rPr>
            </w:pPr>
          </w:p>
        </w:tc>
        <w:tc>
          <w:tcPr>
            <w:tcW w:w="8980" w:type="dxa"/>
            <w:vAlign w:val="bottom"/>
            <w:gridSpan w:val="2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60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10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7A.</w:t>
            </w:r>
          </w:p>
        </w:tc>
        <w:tc>
          <w:tcPr>
            <w:tcW w:w="89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7"/>
              </w:rPr>
              <w:t>Item 8.</w:t>
            </w:r>
          </w:p>
        </w:tc>
        <w:tc>
          <w:tcPr>
            <w:tcW w:w="620" w:type="dxa"/>
            <w:vAlign w:val="bottom"/>
            <w:gridSpan w:val="6"/>
            <w:shd w:val="clear" w:color="auto" w:fill="CFF0FC"/>
          </w:tcPr>
          <w:p>
            <w:pPr>
              <w:spacing w:after="0"/>
              <w:rPr>
                <w:sz w:val="15"/>
                <w:szCs w:val="15"/>
                <w:color w:val="auto"/>
              </w:rPr>
            </w:pPr>
          </w:p>
        </w:tc>
        <w:tc>
          <w:tcPr>
            <w:tcW w:w="8980" w:type="dxa"/>
            <w:vAlign w:val="bottom"/>
            <w:gridSpan w:val="2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0000FF"/>
                <w:w w:val="97"/>
              </w:rPr>
              <w:t>Item 9.</w:t>
            </w:r>
          </w:p>
        </w:tc>
        <w:tc>
          <w:tcPr>
            <w:tcW w:w="620" w:type="dxa"/>
            <w:vAlign w:val="bottom"/>
            <w:gridSpan w:val="6"/>
          </w:tcPr>
          <w:p>
            <w:pPr>
              <w:spacing w:after="0"/>
              <w:rPr>
                <w:sz w:val="15"/>
                <w:szCs w:val="15"/>
                <w:color w:val="auto"/>
              </w:rPr>
            </w:pPr>
          </w:p>
        </w:tc>
        <w:tc>
          <w:tcPr>
            <w:tcW w:w="89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9A.</w:t>
            </w:r>
          </w:p>
        </w:tc>
        <w:tc>
          <w:tcPr>
            <w:tcW w:w="8980" w:type="dxa"/>
            <w:vAlign w:val="bottom"/>
            <w:gridSpan w:val="2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0" w:type="dxa"/>
            <w:vAlign w:val="bottom"/>
            <w:tcBorders>
              <w:top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FF"/>
                <w:w w:val="98"/>
              </w:rPr>
              <w:t>Item 9B.</w:t>
            </w:r>
          </w:p>
        </w:tc>
        <w:tc>
          <w:tcPr>
            <w:tcW w:w="500" w:type="dxa"/>
            <w:vAlign w:val="bottom"/>
            <w:tcBorders>
              <w:top w:val="single" w:sz="8" w:color="CFF0FC"/>
            </w:tcBorders>
            <w:gridSpan w:val="3"/>
          </w:tcPr>
          <w:p>
            <w:pPr>
              <w:spacing w:after="0"/>
              <w:rPr>
                <w:sz w:val="15"/>
                <w:szCs w:val="15"/>
                <w:color w:val="auto"/>
              </w:rPr>
            </w:pPr>
          </w:p>
        </w:tc>
        <w:tc>
          <w:tcPr>
            <w:tcW w:w="1780" w:type="dxa"/>
            <w:vAlign w:val="bottom"/>
            <w:tcBorders>
              <w:top w:val="single" w:sz="8" w:color="0000FF"/>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7200" w:type="dxa"/>
            <w:vAlign w:val="bottom"/>
            <w:tcBorders>
              <w:top w:val="single" w:sz="8" w:color="CFF0FC"/>
            </w:tcBorders>
            <w:gridSpan w:val="14"/>
          </w:tcPr>
          <w:p>
            <w:pPr>
              <w:spacing w:after="0"/>
              <w:rPr>
                <w:sz w:val="15"/>
                <w:szCs w:val="15"/>
                <w:color w:val="auto"/>
              </w:rPr>
            </w:pPr>
          </w:p>
        </w:tc>
        <w:tc>
          <w:tcPr>
            <w:tcW w:w="112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FF"/>
            </w:tcBorders>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Item 9C.</w:t>
            </w:r>
          </w:p>
        </w:tc>
        <w:tc>
          <w:tcPr>
            <w:tcW w:w="500" w:type="dxa"/>
            <w:vAlign w:val="bottom"/>
            <w:tcBorders>
              <w:bottom w:val="single" w:sz="8" w:color="CFF0FC"/>
            </w:tcBorders>
            <w:gridSpan w:val="3"/>
            <w:shd w:val="clear" w:color="auto" w:fill="CFF0FC"/>
          </w:tcPr>
          <w:p>
            <w:pPr>
              <w:spacing w:after="0"/>
              <w:rPr>
                <w:sz w:val="17"/>
                <w:szCs w:val="17"/>
                <w:color w:val="auto"/>
              </w:rPr>
            </w:pPr>
          </w:p>
        </w:tc>
        <w:tc>
          <w:tcPr>
            <w:tcW w:w="4900" w:type="dxa"/>
            <w:vAlign w:val="bottom"/>
            <w:tcBorders>
              <w:bottom w:val="single" w:sz="8" w:color="0000FF"/>
            </w:tcBorders>
            <w:gridSpan w:val="2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80" w:type="dxa"/>
            <w:vAlign w:val="bottom"/>
            <w:tcBorders>
              <w:bottom w:val="single" w:sz="8" w:color="CFF0FC"/>
            </w:tcBorders>
            <w:gridSpan w:val="6"/>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10.</w:t>
            </w:r>
          </w:p>
        </w:tc>
        <w:tc>
          <w:tcPr>
            <w:tcW w:w="8980" w:type="dxa"/>
            <w:vAlign w:val="bottom"/>
            <w:gridSpan w:val="2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11.</w:t>
            </w:r>
          </w:p>
        </w:tc>
        <w:tc>
          <w:tcPr>
            <w:tcW w:w="89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FF"/>
              </w:rPr>
              <w:t>Executive Compensation</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12.</w:t>
            </w:r>
          </w:p>
        </w:tc>
        <w:tc>
          <w:tcPr>
            <w:tcW w:w="8980" w:type="dxa"/>
            <w:vAlign w:val="bottom"/>
            <w:gridSpan w:val="2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420" w:type="dxa"/>
            <w:vAlign w:val="bottom"/>
            <w:tcBorders>
              <w:top w:val="single" w:sz="8" w:color="0000FF"/>
            </w:tcBorders>
            <w:shd w:val="clear" w:color="auto" w:fill="CFF0FC"/>
          </w:tcPr>
          <w:p>
            <w:pPr>
              <w:spacing w:after="0" w:line="20" w:lineRule="exact"/>
              <w:rPr>
                <w:sz w:val="1"/>
                <w:szCs w:val="1"/>
                <w:color w:val="auto"/>
              </w:rPr>
            </w:pPr>
          </w:p>
        </w:tc>
        <w:tc>
          <w:tcPr>
            <w:tcW w:w="780" w:type="dxa"/>
            <w:vAlign w:val="bottom"/>
            <w:tcBorders>
              <w:top w:val="single" w:sz="8" w:color="0000FF"/>
            </w:tcBorders>
            <w:shd w:val="clear" w:color="auto" w:fill="CFF0FC"/>
          </w:tcPr>
          <w:p>
            <w:pPr>
              <w:spacing w:after="0" w:line="20" w:lineRule="exact"/>
              <w:rPr>
                <w:sz w:val="1"/>
                <w:szCs w:val="1"/>
                <w:color w:val="auto"/>
              </w:rPr>
            </w:pPr>
          </w:p>
        </w:tc>
        <w:tc>
          <w:tcPr>
            <w:tcW w:w="200" w:type="dxa"/>
            <w:vAlign w:val="bottom"/>
            <w:tcBorders>
              <w:top w:val="single" w:sz="8" w:color="0000FF"/>
            </w:tcBorders>
            <w:shd w:val="clear" w:color="auto" w:fill="CFF0FC"/>
          </w:tcPr>
          <w:p>
            <w:pPr>
              <w:spacing w:after="0" w:line="20" w:lineRule="exact"/>
              <w:rPr>
                <w:sz w:val="1"/>
                <w:szCs w:val="1"/>
                <w:color w:val="auto"/>
              </w:rPr>
            </w:pPr>
          </w:p>
        </w:tc>
        <w:tc>
          <w:tcPr>
            <w:tcW w:w="600" w:type="dxa"/>
            <w:vAlign w:val="bottom"/>
            <w:tcBorders>
              <w:top w:val="single" w:sz="8" w:color="0000FF"/>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10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82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13.</w:t>
            </w:r>
          </w:p>
        </w:tc>
        <w:tc>
          <w:tcPr>
            <w:tcW w:w="89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14.</w:t>
            </w:r>
          </w:p>
        </w:tc>
        <w:tc>
          <w:tcPr>
            <w:tcW w:w="8980" w:type="dxa"/>
            <w:vAlign w:val="bottom"/>
            <w:gridSpan w:val="2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60" w:type="dxa"/>
            <w:vAlign w:val="bottom"/>
            <w:tcBorders>
              <w:top w:val="single" w:sz="8" w:color="0000FF"/>
            </w:tcBorders>
            <w:shd w:val="clear" w:color="auto" w:fill="CFF0FC"/>
          </w:tcPr>
          <w:p>
            <w:pPr>
              <w:spacing w:after="0" w:line="20" w:lineRule="exact"/>
              <w:rPr>
                <w:sz w:val="1"/>
                <w:szCs w:val="1"/>
                <w:color w:val="auto"/>
              </w:rPr>
            </w:pPr>
          </w:p>
        </w:tc>
        <w:tc>
          <w:tcPr>
            <w:tcW w:w="8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Item 15.</w:t>
            </w:r>
          </w:p>
        </w:tc>
        <w:tc>
          <w:tcPr>
            <w:tcW w:w="8980" w:type="dxa"/>
            <w:vAlign w:val="bottom"/>
            <w:gridSpan w:val="26"/>
          </w:tcPr>
          <w:p>
            <w:pPr>
              <w:spacing w:after="0" w:line="176"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Item 16.</w:t>
            </w:r>
          </w:p>
        </w:tc>
        <w:tc>
          <w:tcPr>
            <w:tcW w:w="8980" w:type="dxa"/>
            <w:vAlign w:val="bottom"/>
            <w:gridSpan w:val="2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Form 10-K Summary</w:t>
            </w:r>
          </w:p>
        </w:tc>
        <w:tc>
          <w:tcPr>
            <w:tcW w:w="112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8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520" w:type="dxa"/>
            <w:vAlign w:val="bottom"/>
            <w:tcBorders>
              <w:bottom w:val="single" w:sz="8" w:color="0000FF"/>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FF"/>
                <w:w w:val="99"/>
              </w:rPr>
              <w:t>Financial Statements</w:t>
            </w:r>
          </w:p>
        </w:tc>
        <w:tc>
          <w:tcPr>
            <w:tcW w:w="8600" w:type="dxa"/>
            <w:vAlign w:val="bottom"/>
            <w:gridSpan w:val="25"/>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gridSpan w:val="20"/>
          </w:tcPr>
          <w:p>
            <w:pPr>
              <w:jc w:val="center"/>
              <w:ind w:left="3970"/>
              <w:spacing w:after="0"/>
              <w:rPr>
                <w:sz w:val="20"/>
                <w:szCs w:val="20"/>
                <w:color w:val="auto"/>
              </w:rPr>
            </w:pPr>
            <w:r>
              <w:rPr>
                <w:rFonts w:ascii="Times New Roman" w:cs="Times New Roman" w:eastAsia="Times New Roman" w:hAnsi="Times New Roman"/>
                <w:sz w:val="18"/>
                <w:szCs w:val="18"/>
                <w:color w:val="auto"/>
                <w:w w:val="88"/>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References to Assembly Biosciences, Inc.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Annual Report on Form 10-K, the “Company,” “Assembly Bio,” “Assembly,” “we,” “us,” and “our,” except where the context requires otherwise, refer to Assembly Biosciences, Inc. and its consolidated subsidiaries, and “our board of directors” or “the Board” refers to the board of directors of Assembly Biosciences,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are subject to certain risks and uncertainties, including, without limitation, those set forth in Part I, Item 1A under the heading “Risk Factors,” that could cause actual results to materially differ. Such risks and uncertainties include, among other things:</w:t>
      </w:r>
    </w:p>
    <w:p>
      <w:pPr>
        <w:spacing w:after="0" w:line="68"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potential benefits of our collaboration with Gilead Sciences, Inc. (Gilead), including all financial aspects of the collaboration and equity investments;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clinical studies involving our therapeutic product candidates, including studies contemplated by our collaboration with Gilead, in the currently anticipated timeframes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data from clinical or nonclinical studies may not warrant further development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nonclinical data may not differentiate our product candidates from other companies’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financial resources and secure additional funding necessary to continue our research activities, clinical studies and other business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changes in government regulation;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nonclinical studies may not be representative of disease behavior in a clinical setting and may not be predictive of the outcomes of clinical studies.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are urged to consider statements that include the words may, will, would, could, should, might, believes, hopes, estimates, projects, potential, enable,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or therapeutic product candidates that Gilead has licensed from us;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For more information, see “Item 1A. Risk Factors” in this Annual Report on Form 10-K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approved products and depend on the future success of the product candidates in our research and development pipeline.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currently profitable and might never become profitable, and we will need additional financing to complete the development of any product candidates and fund our activities into the future.</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collaboration with Gilead to be a critical part of the development, manufacture and commercialization of our product candidates.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Nonclinical and clinical studies required for our product candidates are expensive and time-consuming and may fail to demonstrate the level of safety and efficacy necessary for product approval.</w:t>
      </w:r>
    </w:p>
    <w:p>
      <w:pPr>
        <w:spacing w:after="0" w:line="53" w:lineRule="exact"/>
        <w:rPr>
          <w:rFonts w:ascii="Times New Roman" w:cs="Times New Roman" w:eastAsia="Times New Roman" w:hAnsi="Times New Roman"/>
          <w:sz w:val="18"/>
          <w:szCs w:val="18"/>
          <w:color w:val="auto"/>
        </w:rPr>
      </w:pPr>
    </w:p>
    <w:p>
      <w:pPr>
        <w:ind w:left="1020" w:right="3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 resource organizations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spacing w:after="0" w:line="67" w:lineRule="exact"/>
        <w:rPr>
          <w:rFonts w:ascii="Times New Roman" w:cs="Times New Roman" w:eastAsia="Times New Roman" w:hAnsi="Times New Roman"/>
          <w:sz w:val="18"/>
          <w:szCs w:val="18"/>
          <w:color w:val="auto"/>
        </w:rPr>
      </w:pPr>
    </w:p>
    <w:p>
      <w:pPr>
        <w:ind w:left="1020" w:right="8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shutdown of the U.S. Department of Homeland Security could prevent the U.S. Customs and Border Protection from performing normal business functions on which the operation of our business relies.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preliminary or interim data may not accurately reflect the final results of a particular study.</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key management personnel and cannot recruit and retain similarly qualified replacements, our business may materially suffer.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partners might delay, prevent or undermine the success of our product candidates.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and maintaining collaborations, which could adversely affect our ability to develop certain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data provided by third parties that has not been independently.</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commercialization goals, including data releases, may not be achieved in the timeframes that we publicly estimate, which could have an adverse impact on our business and could cause our stock price to decline.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developments may render our product candidates or technologies obsolete or non-competitive.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including cybersecurity incidents, could materially and adversely affect our business.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86"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and credit carryforwards and certain other tax attributes may be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and Legal Environment</w:t>
      </w:r>
    </w:p>
    <w:p>
      <w:pPr>
        <w:spacing w:after="0" w:line="121" w:lineRule="exact"/>
        <w:rPr>
          <w:sz w:val="20"/>
          <w:szCs w:val="20"/>
          <w:color w:val="auto"/>
        </w:rPr>
      </w:pPr>
    </w:p>
    <w:p>
      <w:pPr>
        <w:ind w:left="1020" w:right="4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will be subject to extensive and costly government regulation, and the failure to comply with these regulations may have a material adverse effect on our operations and business.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approval processes of the FDA and comparable foreign authorities are lengthy, time consuming and inherently unpredictable.</w:t>
      </w:r>
    </w:p>
    <w:p>
      <w:pPr>
        <w:spacing w:after="0" w:line="128" w:lineRule="exact"/>
        <w:rPr>
          <w:rFonts w:ascii="Times New Roman" w:cs="Times New Roman" w:eastAsia="Times New Roman" w:hAnsi="Times New Roman"/>
          <w:sz w:val="17"/>
          <w:szCs w:val="17"/>
          <w:color w:val="auto"/>
        </w:rPr>
      </w:pPr>
    </w:p>
    <w:p>
      <w:pPr>
        <w:ind w:left="1020" w:right="16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partners and service providers are subject to stringent privacy laws, information security laws, regulations, policies and contractual obligations related to data privacy and security, and compliance with such laws, regulations, policies and contractual obligations could result in additional costs and liabilities to us and failure to comply could adversely affect our business.</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may be subject, directly or indirectly, to applicable U.S. federal and state anti-kickback, false claims laws, physician payment transparency laws, other fraud and abuse laws or similar healthcare and security laws and regulations, and health information privacy and security laws, which could expose us or them to criminal sanctions, civil penalties, exclusion or suspension from federal and state healthcare programs, contractual damages, reputational harm and diminished profits and future earnings.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the risk of product liability claims and might not be able to obtain insurance.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be exposed to liability claims associated with the use of hazardous materials and chemicals.</w:t>
      </w:r>
    </w:p>
    <w:p>
      <w:pPr>
        <w:spacing w:after="0" w:line="117" w:lineRule="exact"/>
        <w:rPr>
          <w:rFonts w:ascii="Times New Roman" w:cs="Times New Roman" w:eastAsia="Times New Roman" w:hAnsi="Times New Roman"/>
          <w:sz w:val="18"/>
          <w:szCs w:val="18"/>
          <w:color w:val="auto"/>
        </w:rPr>
      </w:pPr>
    </w:p>
    <w:p>
      <w:pPr>
        <w:jc w:val="both"/>
        <w:ind w:left="1020" w:right="4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collaborators and CROs may engage in misconduct or other improper activities, including noncompliance with regulatory standards and requirements for which we may be held responsible and which could result in significant liability for us and harm our reputation.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protecting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our patents and other intellectual property rights.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infringe the intellectual property rights of others, which may prevent or delay our product development efforts and stop us from commercializing or increase the costs of commercializing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maintaining our patent protection globally is high and requires continuous review and compliance.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 do not address all potential threats to any competitive advantage we may have.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21"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in the past and may continue to fluctuate significantly.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biotechnology company developing innovative therapeutics targeting serious viral diseases with the potential to improve the lives of patients worldwide. Our pipeline includes multiple clinical-stage investigational therapies, including: (1) two long-acting helicase-primase inhibitors (HPIs) for the treatment of recurrent genital herpes; (2) an orally bioavailable hepatitis delta virus (HDV) entry inhibitor; and (3) a highly potent next-generation capsid assembly modulator (CAM) designed to disrupt the replication cycle of hepatitis B virus (HBV) at several key points. Our pipeline also includes a novel, oral broad-spectrum non-nucleoside polymerase inhibitor (NNPI) for the treatment of transplant-related herpesviruses, which is currently undergoing studies to enable a regulatory filing, and we have additional research programs against multiple antiviral targets. In December 2025, pursuant to our collaboration (Gilead Collaboration) with Gilead Sciences, Inc. (Gilead), Gilead exercised its option to license our HPI program for the treatment of recurrent genital herpes, including our long-acting investigational candidates ABI-1179 (1179) and ABI-5366 (5366). For additional information regarding Gilead’s exercise of its option, see “Collaboration and License Agreement—Gilead Sciences, Inc.—Option Exercise.”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business strategy focuses on applying our deep research and development expertise in virology to discover, develop and advance next-generation therapeutics to patients in areas of high unmet medical need with significant market opportunities to market. We continue to rapidly advance our portfolio toward near-term clinical readouts, highlighted by the following on-going and future activities by doing the following:</w:t>
      </w:r>
    </w:p>
    <w:p>
      <w:pPr>
        <w:spacing w:after="0" w:line="64" w:lineRule="exact"/>
        <w:rPr>
          <w:sz w:val="20"/>
          <w:szCs w:val="20"/>
          <w:color w:val="auto"/>
        </w:rPr>
      </w:pPr>
    </w:p>
    <w:p>
      <w:pPr>
        <w:jc w:val="both"/>
        <w:ind w:left="10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Recurrent Genital Herpes (HSV-1, HSV-2) </w:t>
      </w:r>
      <w:r>
        <w:rPr>
          <w:rFonts w:ascii="Times New Roman" w:cs="Times New Roman" w:eastAsia="Times New Roman" w:hAnsi="Times New Roman"/>
          <w:sz w:val="18"/>
          <w:szCs w:val="18"/>
          <w:color w:val="auto"/>
        </w:rPr>
        <w:t>– Transitioning our HPI program, including 5366 and 1179 to Gilead and, upon receiving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development plan and budget from Gilead, deciding whether to opt in to the Profit-Share (as defined below under the heading “Collaboration and License Agreement—Gilead Sciences, Inc.—Option Exercise”).</w:t>
      </w:r>
    </w:p>
    <w:p>
      <w:pPr>
        <w:spacing w:after="0" w:line="6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HDV </w:t>
      </w:r>
      <w:r>
        <w:rPr>
          <w:rFonts w:ascii="Times New Roman" w:cs="Times New Roman" w:eastAsia="Times New Roman" w:hAnsi="Times New Roman"/>
          <w:sz w:val="18"/>
          <w:szCs w:val="18"/>
          <w:color w:val="auto"/>
        </w:rPr>
        <w:t>– Completing Phase 2 preparation activities and studies of ABI-6250 (6250), with Phase 2 initiation expected in the fourth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HBV </w:t>
      </w:r>
      <w:r>
        <w:rPr>
          <w:rFonts w:ascii="Times New Roman" w:cs="Times New Roman" w:eastAsia="Times New Roman" w:hAnsi="Times New Roman"/>
          <w:sz w:val="18"/>
          <w:szCs w:val="18"/>
          <w:color w:val="auto"/>
        </w:rPr>
        <w:t>– Evaluating partnering opportunities for ABI-4334 (4334), for which we have initiated a structured process to find potential partners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further advance the program.</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Transplant-Associated Herpesviruses </w:t>
      </w:r>
      <w:r>
        <w:rPr>
          <w:rFonts w:ascii="Times New Roman" w:cs="Times New Roman" w:eastAsia="Times New Roman" w:hAnsi="Times New Roman"/>
          <w:sz w:val="18"/>
          <w:szCs w:val="18"/>
          <w:color w:val="auto"/>
        </w:rPr>
        <w:t>– Advancing ABI-7272 (7272), our oral broad-spectrum NNPI for the treatment of transplant-associated herpesviruses through nonclinical studies to enable a regulatory filing.</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Discovery </w:t>
      </w:r>
      <w:r>
        <w:rPr>
          <w:rFonts w:ascii="Times New Roman" w:cs="Times New Roman" w:eastAsia="Times New Roman" w:hAnsi="Times New Roman"/>
          <w:sz w:val="18"/>
          <w:szCs w:val="18"/>
          <w:color w:val="auto"/>
        </w:rPr>
        <w:t>– Continuing to leverage our research team's expertise to identify and nominate new viral targets and novel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compounds to address significant unmet medical needs.</w:t>
      </w:r>
    </w:p>
    <w:p>
      <w:pPr>
        <w:spacing w:after="0" w:line="15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recruited an accomplished leadership team and research and development organization, with a collective team track record of over 15 approved drugs across multiple viral diseases. In addition, our collaboration with Gilead also brings us an industry-leading partner and brings together the teams’ expertise in virology and provides an established partner for late-stage development and commercialization. For additional information regarding the Gilead Collaboration, see “Collaboration and License Agreements—Gilead Sciences, Inc.”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Programs and Regulatory Filing-Enabling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was a pivotal year for us, as we reported positive data readouts for 5366, 1179, 4334 and 6250 as follows:</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1179 – Positive Phase 1a interim results in the Phase 1a/b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4334 – Positive Phase 1b topline results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spacing w:after="0" w:line="8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5366 – Positive Phase 1b interim results from the weekly dosing cohorts in the Phase 1a/b study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6250 – Positive Phase 1a interim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1179 – Positive Phase 1b interim results in the Phase 1a/b study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5366 – Positive Phase 1b interim results from the monthly dosing cohorts in the Phase 1a/b study</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during December 2024, we identified a development candidate, ABI-7423 (7423), in our broad-spectrum NNPI program targeting transplant-associated herpesviruses. 7423 is a prodrug of the parent molecule 7272, and in October 2025, we transitioned our development from 7423 to 7272. 7272 is currently in regulatory filing enabling studies.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Recurrent Genital Herpes/HSV-1 and HSV-2</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individual’s life and periodically reactivate, with the virus spreading, replicating and causing disease in epithelial tissues. Initial infection can be asymptomatic or can be marked by serious symptoms, including painful skin lesions, swelling of lymph nodes and urinary problems that can persist for two to three weeks. While genital herpes can be caused by either HSV-1 or HSV-2, recurrences are more likely to be experienced by individuals infected by HSV-2. Genital herpes recurrence can cause painful genital lesions that can lead to increased transmission and debilitate individuals, and symptoms may become more serious with additional episodes. Additional complications include increased risk of HIV infection, as 30% of HIV infections acquired through sexual transmission are attributable to HSV-2 infection. In addition, people with recurrent genital herpes often experience associated psychosocial impacts, including anxiety, concerns about transmission, depression and social stigma. Immunocompromised individuals may experience more severe and prolonged symptoms due to increased recurrence rates.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HPIs are antiviral agents in development for the treatment of recurrent genital herpes, with a clinically-validated mechanism of action. HPIs inhibit the HSV helicase-primase complex, which is a unique viral enzyme complex without a human homolog, consisting of helicase, primase and cofactor subunits.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against TK-deficient HSV-1 and HSV-2, which is a major mechanism of resistance to nucleoside analogs.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people with initial symptomatic genital herpes who are infected with HSV-2 have frequent recurrences, generally between three and 15 per year, impacting over four million people in the United States and France, Germany, Italy and Spain (collectively, the EU4) and the United Kingdom (UK).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people with recurrent genital herpes with six or more recurrences per year are able to make it through a year of treatment without a recurrence. There are still high titer (greater than 10</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HSV-2 DNA copies/mL) shedding episodes under this current standard of care for recurrent genital herpes, which can lead to recurrent episodes and transmission of genital herpes. In addition, nucleoside analogs also carry a high pill burden as a lifelong daily treatment, with doses ranging from one to three times daily. There is also high treatment variability among those taking nucleoside analogs, as many seeking care may not consistently receive suppressive therapy.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limitations of current therapies, we see a path to advancing the treatment paradigm for people suffering from recurrent genital herpes. To reach that goal, we discovered and began the clinical development of a novel, potent, long-acting HPI for recurrent genital herpes, 5366, which demonstrated low nanomolar potency in vitro against both HSV-1 and HSV-2 clinical isolates and a favorable nonclinical safety profile in the U.S. Food and Drug Administration's (FDA) Good Laboratory Practice (GLP) toxicology studies. In addition, we began development of a second novel, potent, long-acting HPI for genital herpes, 1179, which was in-licensed to us as part of our collaboration with Gilead. As Gilead has exercised its option to exclusively license our HPI program, including 5366 and 1179, development will be in Gilead’s sole control following completion of the Phase 1a/b studies of 5366 and 1179, which we are managing until they are complete. For additional information regarding the option exercise, see “Collaboration and License Agreements—Gilead Sciences, Inc.—Option Exercise.”</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we filed a Clinical Trial Application (CTA) to support initiation of a Phase 1a/b clinical study for 5366, which was approved in April 2024, and we dosed our first participant in the Phase 1a portion of this study during the second quarter of 2024.</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2024, we announced positive interim data for the Phase 1a portion of the 5366 study and complete data was presented at the STI &amp; HIV 2025 World Congress in July 2025. Results exceeded our objectives for this Phase 1a study and supported 5366’s progression into Phase 1b, which we initiated during the third quarter of 2024. Across the Part A (Phase 1a) cohorts evaluated, 5366 had a mean half-life of approximately 20 days when dosed orally, supporting once-weekly oral dosing, the target profile for 5366, as well as showing the potential for once-monthly oral dosing. In the Phase 1a cohorts, 5366 was well-tolerated with a favorable safety profile, with exposures of up to 99 days.</w:t>
      </w:r>
    </w:p>
    <w:p>
      <w:pPr>
        <w:spacing w:after="0" w:line="1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reported interim data from the Phase 1b portion of the 5366 study in August 2025, focused on two different oral doses of 5366 administered on a once-weekly basis. For the powered antiviral endpoint, HSV-2 shedding rate, highly potent antiviral activity was observed with a 94% reduction compared to placebo (p&lt;0.01) over the 29-day evaluation period in the cohort evaluating a 350 mg weekly dose. This reduction exceeded our target for the study of an 80-85% reduction in the rate of HSV-2 shedding. For a secondary clinical endpoint of genital lesion rate, a 94% reduction compared to placebo (p&lt;0.01) was observed with the 350 mg weekly dose. The rate of genital swabs with high viral load (i.e., &gt;10</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copies/mL HSV DNA), a potential surrogate for HSV-2 transmission and a secondary endpoint, was reduced by 98% compared to placebo (p&lt;0.05) in this cohort.</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additional interim data from the Phase 1b portion of the 5366 study in December 2025, which included data from a monthly oral dosing regimen. In the 5366 monthly dose cohort, potent antiviral activity was observed, with a 76% reduction in HSV-2 shedding rate compared to placebo (p&lt;0.01) over the 29-day evaluation period. The majority of positive swabs (89%) were collected in the last two weeks of the evaluation period when drug levels were declining. We observed an 88% reduction in virologically confirmed genital lesion rate (p=0.01), along with an 81% reduction in the number of samples with high viral load (p&lt;0.01) compared to placebo in the monthly dose cohort.</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Across the two weekly oral dose cohorts and the monthly oral dose cohort of the Phase 1b study, 5366 demonstrated a pharmacokinetic (PK) profile that continues to support once-weekly and potentially once-monthly dosing.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5366 was observed to be well-tolerated at all dose levels tested in the Phase 1b portion of the study. The two weekly oral cohorts are complete and unblinded safety data has been reported; the oral monthly cohort is ongoing and safety data remains blinded. Across all cohorts, the proportion of participants reporting treatment-emergent adverse events (AEs) was similar between 5366 and placebo recipients, and all were Grade 1 or Grade 2. One Grade 3 AE was reported, hypertriglyceridemia, in a participant with relevant medical history who had Grade 4 elevated triglycerides pre-dose on Day 1. This AE resulted in study discontinuation but was not considered treatment related. The proportion of participants reporting treatment-emergent lab abnormalities was similar in 5366 and placebo recipients with the majority being Grade 1 or Grade 2. In the unblinded weekly oral dose cohorts: there were three participants with treatment-emergent Grade 3 lab abnormalities, all of which are considered unrelated to assigned treatment; one participant with exercise-associated elevation in creatine kinase (150/30 mg QW); one participant with an elevation of cholesterol in the follow up period, which participant had a Grade 2 elevation at baseline (350 gm QW); and one participant, who was dosed with placebo, with decreased neutrophils. There did not appear to be a dose-response relationship in either the frequency or severity of the treatment-emergent AEs or lab abnormalities. No serious AEs have been reported to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participants in the Phase 1b portion of the 5366 study have completed dosing and follow up. The observed PK profile continues to support once-weekly dosing and the potential for once-monthly oral dosing regimens. Additionally, all chronic toxicology studies have been completed. With these data, 5366 is ready to move into a Phase 2 clinical study.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late-breaking oral presentation of the interim 5366 Phase 1b data reported in August 2025 was presented at the 38th Congress of the International Union Against Sexually Transmitted Infections – Europe, which took place in October 2025 in Athens, Greece. The 5366 data reported in August and December 2025 will be presented at the Congress of the European Society of Clinical Microbiology and Infectious Diseases (ESCMID) taking place in Munich, Germany in April 2026.</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5366, we have also begun the clinical development of 1179, a structurally-differentiated HPI with single digit nanomolar potency against HSV-1 and HSV-2 and a nonclinical PK and safety profile to date that is supportive of a potential long-acting treatment by once-weekly oral administration. We submitted the CTA for the study in September 2024, which was approved in October 2024. We dosed our first participant in the Phase 1a portion of this study during the fourth quarter of 2024.</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2025, we announced positive interim data for the Phase 1a portion of the 1179 study, and in July 2025, we announced additional data for the Phase 1a portion of the study at the STI &amp; HIV 2025 World Congress. Results exceeded our objectives for this Phase 1a study and supported 1179’s progression into Phase 1b. We dosed our first participant in the Phase 1b portion of the study in participants with recurrent genital herpes during the second quarter of 2025. We submitted an Investigational New Drug (IND) application in May 2025 to support expansion of the Phase 1b study to sites in the United States, and we received clearance for the IND in June 2025.</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all three single-dose Phase 1a cohorts (50 mg, 100 mg and 300 mg), 1179 was well-tolerated with a favorable safety profile observed. Treatment-emergent AEs were generally Grade 1 in intensity and all were considered not related to study treatment by the study investigators; there were no serious AEs in any dose cohort. A single, self-limited Grade 2 alanine transaminase (ALT) elevation was observed in a subject receiving the highest dose of 300 mg. There were no clinically significant ECG abnormalities, no significant treatment-related laboratory abnormalities and no protocol-defined stopping criteria were met. Plasma concentrations exceeded necessary protein-adjusted EC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for inhibition of HSV replication at all dose levels and the observed half-life of approximately four days supports weekly dosing, the target profile for 1179.</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interim data from two oral weekly dose cohorts in the Phase 1b portion of the 1179 study in December 2025. For the powered antiviral endpoint, HSV-2 shedding rate, highly potent antiviral activity was observed with a 98% reduction in HSV-2 shedding rate compared to placebo (p&lt;0.01) over the 29-day evaluation period in the 50 mg weekly dose cohort. This reduction exceeded our target for the study of an 80-85% reduction in HSV-2 shedding rate. Further, data revealed a 91% reduction in virologically confirmed lesion rate compared to placebo (p&lt;0.01) with the 50 mg weekly dose. There was also a &gt;99% reduction in the number of samples with high viral load, a potential surrogate for HSV-2 transmission and a secondary endpoint.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Across both oral weekly dose cohorts, 1179 demonstrated a PK profile that continues to support once-weekly dosing. 1179 was observed to be well-tolerated at both doses. Overall, the proportion of participants reporting treatment-emergent AEs was similar between 1179 and placebo recipients. Of the treatment-emergent AEs reported, the majority were Grade 1 or Grade 2. The most common AEs were upper respiratory tract infection and headache. There have been no serious AEs reported to date. One Grade 3 AE of migraine was reported in a participant enrolled in the 20 mg/placebo cohort.</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participants in the Phase 1b portion of the 1179 study have completed dosing and follow up. With these data, 1179 is ready to move into Phase 2 enabling studies for a once-weekly treatment regimen, subject to completion of chronic toxicology studies, which are currently underway. The completion of the Phase 1b studies of both 5366 and 1179 constitute an option triggering point under the terms of the Gilead Collaboration Agreement, as defined below under "Collaboration and License Agreement — Gilead Sciences, Inc." The 1179 data reported in December 2025 will be presented at ESCMID in April 2026.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Gilead exercised its option early to license our HPI program for the treatment of recurrent genital herpes, including 5366 and 1179. We expect to receive Gilead’s development plan and budget for the HPI program and make our decision regarding the Profit-Share by mid-2026. We anticipate Gilead will initiate a Phase 2 clinical study for the HPI program in 2026. For more information regarding Gilead’s exercise of its option, see “Collaboration and License Agreement—Gilead Sciences, Inc.—Option Exercise.”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HBV and HDV Programs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Of the 254 million people living with chronic HBV infection, only approximately 33 million, or 13%, were aware of their infection, and only approximately 7 million, or 3%, of those diagnosed received treatment. HBV is a highly prevalent disease that infects almost three times the number of people infected with hepatitis C virus and HIV infections combined, according to the WHO.</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HDV is a “satellite virus” of HBV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the European Union (EU), Australia and Canada. HDV is known to accelerate disease progression and increase the incidence of liver cirrhosis and liver cancer, which results in higher morbidity and mortality rates than HBV alone.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standard of care treatment for HDV is off-label pegylated interferon-α (IFN-α) injected weekly or, in the EU, Australia and Canada, a large, complex peptide inhibitor that requires daily injections, bulevirtide. There are no approved HDV treatments in the United States. We believe a safe and effective oral small molecule entry inhibitor would be a significant innovation for people living with HDV, who face a significant and immediate disease burden.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HDV Entry Inhibitor</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inhibition of HBV and HDV infection by molecules that bind NTCP has been demonstrated in vitro, in animal models and clinically. Notably, bulevirtide, a peptide blocker of NTCP, is the only approved therapy for HDV. 6250 has the same clinically-validated MOA as bulevirtide. The binding of NTCP-targeted HBV/HDV entry inhibitors to NTCP has also been shown to inhibit the transport of certain bile acids into cells, which results in plasma elevations of bile acids; this effect has been well-tolerated clinically and may serve as a biomarker of pharmacologically active concentrations of drug in the plasma. In nonclinical studies in non-human primates, clinically-relevant doses of 6250 elevated bile acids to levels similar to those seen in humans with bulevirtide.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 safe and effective oral small molecule entry inhibitor would be a significant innovation for people living with HDV and could significantly improve treatment uptake and diagnosis rates, especially when compared with currently available injectable products.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Phase 1a clinical study of 6250 was initiated in the fourth quarter of 2024, and in August 2025, we announced interim PK, biomarker and safety data from single-ascending and multiple-ascending doses cohorts in healthy participants. Across the cohorts evaluated to date, a mean half-life of approximately four days was observed for 6250 when dosed orally, supporting the once-daily oral dosing profile target. Given this half-life, accumulation was observed in the multiple-dose cohorts with exposures on the last day of dosing generally reaching six- to seven-fold higher than the exposure seen after the first dose.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Dose-dependent elevations of total serum bile acids (TBAs) were observed for both the 5 mg and 25 mg single-dose cohorts, indicative of NTCP target engagement. In the highest single-dose cohort of 25 mg, coproporphyrin I (CP-1), a biomarker for off-target engagement of the organic anion transporters, OATP1B1 and/or OATP1B3, was also elevated. CP-1 elevation was not noted at the other doses.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predicted 6250 accumulation driven by the long half-life and the observed elevations of TBAs for the single-dose cohorts, doses at and below 1 mg daily were selected for the multiple-dose cohorts to characterize the lower end of the dose-response curve. Elevation of TBAs was observed for both the 0.2 mg and 1 mg daily multiple-dose cohorts, consistent with the respective 6250 exposures. Minimal TBA elevation was observed in the 0.05 mg daily multiple-dose cohort.</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Treatment-emergent AEs and laboratory abnormalities were all Grade 1 or 2 in severity with the majority being Grade 1. There were no serious AEs in any dose cohort. No protocol defined stopping criteria were met. There were no clinically significant electrocardiogram (ECG) abnormalities or patterns of AEs noted.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Grade 2 ALT elevation was observed in the cohort evaluating the highest single-dose level of 25 mg. In this cohort, off-target engagement of other liver transporters was also seen as indicated by elevated CP-1 levels. Grade 1 ALT elevations were observed at a low frequency across the other cohorts. All ALT elevations were self-limited, and none were accompanied with elevations in bilirubin or other markers of liver injury. The elevations resolved in the study period with ongoing drug exposure due to 6250's four-day half-life.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completed enrollment and the follow-up period in the Phase 1a study, as well as the chronic toxicology studies to enable longer term dosing and we are preparing for Phase 2 clinical studies, with Phase 2 initiation expected in the fourth quarter of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6250 Phase 1a data will be presented at the European Association for the Study of the Liver (EASL) Congress taking place in Barcelona, Spain in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Capsid Assembly Modulator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As a result, we have worked to discover and develop compounds targeting the core protein, a viral protein involved in numerous aspects of the HBV replication cycle, including the generation of HBV cccDNA.</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 the surrogate markers for cccDNA establishment: HBV e antigen (HBeAg), HBV core-related antigen (HBcrAg) and HBV pre-genomic RNA (pgRNA).</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next-generation CAM, 4334 was optimized to potently disrupt viral replication (MOA #1) and prevent the establishment and replenishment of new cccDNA (MOA #2). In contrast, while active against MOA #1, first-generation CAMs have not demonstrated adequate potency to sufficiently block MOA #2. Further, the current standard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care, NrtIs, impacts the viral life cycle after establishment of cccDNA and can only inhibit production of new viral particles, and it does so incompletely.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chemical scaffold of 4334 is novel and distinct from all our prior CAM candidates.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w:t>
      </w:r>
    </w:p>
    <w:p>
      <w:pPr>
        <w:spacing w:after="0" w:line="13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 Phase 1a study demonstrated that 4334 was well-tolerated when administered orally as single or multiple doses. During the second quarter of 2024, we dosed our first participant in a Phase 1b clinical study of 4334. We reported interim clinical results from the initial 150 mg cohort in December 2024, and topline clinical results including a subsequent 400 mg cohort in June 2025. In both the 150 mg and 400 mg cohorts, 4334 continued to show a half-life supportive of once-daily oral dosing. In addition, results for both cohorts indicated that 4334 maintained clinical exposures multiple folds above those anticipated to be required for potent viral activity and inhibition of cccDNA formation. Mean declines in HBV DNA of 2.9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and 3.2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IU/mL were observed over 28 days in a population of predominately HBeAg negative participants receiving 150 mg and 400 mg, respectively. Among the subset of participants with detectable HBV RNA at baseline, mean declines of 2.5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U/mL and 2.3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U/mL were observed over 28 days in the participants receiving 150 mg and 400 mg, respectively. As anticipated, limited changes in viral antigens were observed for the study population over the 28-day treatment period. These antiviral data are consistent with the high potency seen preclinically for 4334. The safety data also demonstrated that 4334 was well-tolerated with a favorable safety profile observed. The 400 mg cohort was the final cohort for this Phase 1b study and final data was presented at the American Association for the Study of Liver Disease, The Liver Meeting® in November 2025. The completion of the Phase 1b study of 4334 constitutes an option-triggering point under the terms of the Gilead Collaboration Agreement, as defined below under "Collaboration and License Agreement — Gilead Sciences, Inc."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Gilead declined to either exercise its option to license 4334 or defer its option until completion of Phase 2 studies. As a result, the Company retains full control of 4334, including the right to evaluate partnering opportunities for 4334 outside of the Gilead Collaboration. We are actively evaluating partnering opportunities for 4334 and have initiated a structured process to find potential partners. We do not plan to advance 4334 further without a partner.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Transplant-Associated Herpesviruses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 transplant setting, when patients are experiencing immunosuppression, they are at high risk of uncontrolled viral replication and severe disease brought on by one or more herpesviruses, including cytomegalovirus (CMV), HSV-1, HSV-2, varicella zoster virus (VZV) and Epstein-Barr virus (EBV). Each of these herpesviruses are highly prevalent, as approximately (1) 60% of transplant patients are CMV-positive; (2) 60% of transplant patients are HSV-positive; (3) 80% of transplant patients are VZV-positive and (4) 45% of transplant patients are EBV-positive. These viruses establish lifelong latent infections and frequently reactivate in transplant patients due to the use of immunosuppressive drugs following transplantation. These uncontrolled herpesvirus infections increase the risk of severe disease and serious complications, including organ rejection, graft loss and death, and impacted approximately 95,000 people receiving transplants in 2021 in the United States and Europe.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there are approved antivirals that are administered in a transplant setting, currently approved antivirals are not active against a broad spectrum of transplant-associated herpesviruses and pose the risk of potentially serious side effects and drug-drug interactions. As a result of these limitations, we identified an opportunity to develop an oral, broad-spectrum NNPI for transplant-associated herpesvirus infections, which could greatly advance treatment.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we nominated 7423, a prodrug, as our development candidate to undergo regulatory filing-enabling studies. In October 2025, we transitioned our discovery and development from 7423 to its parent molecule, 7272, which is currently in regulatory filing-enabling nonclinical studies.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investigational therapy programs that have nominated development candidates and have advanced into clinical studies or regulatory filing-enabling studies, our research team continues to actively focus on proprietary research to discover and nominate novel antivirals to treat serious viral diseases.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Sciences, Inc.</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upon payment of a deferral fee and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In December 2024, we and Gilead entered into the First Amendment to the Gilead Collaboration Agreement, which restructured the timing of specific options exercisable and the fees payable to us under the terms of the Gilead Collaboration Agreement due to an agreed upon development plan for 6250. To facilitate this development plan, (1) we received a payment of $10.0 million from Gilead and (2)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 This credit was applied toward Gilead’s opt-in fee paid for the HPI program in December 2025.</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we may opt-in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are primarily responsible for all discovery, research and development on both our programs and the two Gilead-contributed programs. Following Gilead’s opt-in, Gilead will control the further discovery, research, development and commercialization on any optioned programs, and is responsible for all related costs unless we opt in to share 40% of all costs and profits in the United States. During the term, Gilead will continue to support the collaboration through extension fees of $75.0 million in each of the third, fifth and seventh anniversaries of the collaboration.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Gilead also entered into a Common Stock Purchase Agreement and an Investor Rights Agreement (together, the Gilead Equity Agreements), which were both amended in June 2024 in connection with a financing transaction, in which a new investor purchased shares of common stock and was issued a warrant (the 2024 Financing Transaction). Pursuant to the Gilead Equity Agreements, Gilead made an upfront equity investment of $15.2 million by purchasing from us 1,089,472 shares of our common stock at a purchase price of $13.92 per share. The terms of the Gilead Equity Agreements provided Gilead the right to elect to purchase additional shares of common stock from us at a premium in an amount that results in Gilead owning 29.9% of our then-outstanding voting common stock. This right was exercised in December 2024, at a purchase price of $21.37 per share, which represents a 35% premium to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30-trading day volume weighted average price immediately prior to the date of purchase. The Gilead Equity Agreements also include a three-year standstill provision and a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Gilead participated in the 2024 Financing Transaction on the same terms as the new investor pursuant to the anti-dilution provision in the Investor Rights Agreement. We and Gilead entered into a Securities Purchase Agreement for the issuance and sale, in a private placement, of 179,500 shares of our common stock and a warrant to purchase up to 179,500 shares of our common stock. The warrant sold to Gilead has an exercise price equal to $17.00 per share, became immediately exercisable on the date of issuance and will expire on June 18, 2029. Subject to certain exceptions, neither Gilead nor its affiliates may exercise any portion of the warrant to the extent that Gilead would own more than 19.9% of the number of our shares of common stock outstanding immediately after giving effect to such exercise.</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Gilead also participated in a financing transaction in August 2025 on the same terms as the new investors. We and Gilead entered into a Securities Purchase Agreement for the issuance and sale, in a private placement, of 2,295,920 shares of our common stock at a combined purchase price of $19.60 per shares and accompanying one-half of one Class A Warrant and one-half of one Class B Warrant (collectively, the August 2025 Private Placement). The common stock, the Class A Warrant and the Class B Warrant were sold to Gilead pursuant to the terms of the Investor Rights Agreement. The Class A Warrant and the Class B Warrant each provide for the right to purchase up to 1,147,960 shares of our common stock. The Class A Warrant has an exercise price of $21.60 per share, became immediately exercisable on the date of issuance and will expire on or prior to the earlier of (a) August 11, 2030 (five years from the date of issuance) and (b) the date that is 30 days after the public announcement that we have completed enrollment of at least 200 patients total for our Phase 2 clinical study evaluating 5366 versus valacyclovir. The Class B Warrant has an exercise price of $21.60 per share and is exercisable between November 15, 2026 and December 31, 2026. Notwithstanding the foregoing, if, prior to November 15, 2026, we publicly announce that we have received at least $75.0 million in the aggregate of non-dilutive capital in connection with a collaboration agreement, then the Class B Warrant automatically terminates in full.</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2025, as required under the registration rights terms of the Investor Rights Agreement, we filed a registration statement on Form S-3 (the Registration Statement) with the Securities and Exchange Commission (SEC) to register all of the shares of our common stock that have been issued and sold to Gilead, as well as all of the shares of common stock underlying the warrants that have been issued and sold to Gilead. The SEC declared the Registration Statement effective in November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Exercise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2025, Gilead exercised its option to exclusively license our HPI program for the treatment of recurrent genital herpes, including 5366 and 1179. This is the first program that Gilead will advance under the Gilead Collaboration.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Gilead Collaboration Agreement, we received a $35 million payment in connection with Gilead’s exercise of our HPI program. The $35 million payment reflects a $45 million option fee, net of $10 million in accelerated funding that we received under the First Amendment to the Gilead Collaboration Agreement, which was creditable against future payments. Gilead received an exclusive license to 5366 and 1179 and will have the sole right and responsibility for further clinical development and commercialization of the HPI program.</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remain eligible to receive up to $330 million in regulatory and commercial milestones, as well as tiered royalties on net sales ranging from the high single-digits to low teens. We will also have the right to opt in to share 40% of all costs and profits in the United States (the Profit-Share) in lieu of receiving milestones and royalties for that program in the United States after receipt of a development plan and budget from Gilead.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published and nationalized international Patent Cooperation Treaty (PCT) patent applications relating to compositions of matter and methods of using 5366 and derivatives/analogs thereof to treat HSV. Any patents issuing therefrom are expected to expire in 2043. We also own unpublished, published and nationalized PCT patent applications relating to synthetic processes, crystal forms and pharmaceutical formulations of 5366. Any patents issuing therefrom are expected to expire in 2043 to 2045.</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a published and nationalized PCT patent application relating to compositions of matter and methods of using compound 6250 and derivatives/analogs thereof to treat HDV and HBV. Any patents issuing therefrom are expected to expire in 2044. We also own a published PCT patent application relating to crystalline forms of 6250. Any patents issuing therefrom are expected to expire in 2045.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a published nationalized PCT patent application relating to compositions of matter and methods of using compound 4334 and derivatives/analogs thereof to treat HBV. Any patents issuing therefrom are expected to expire in 2041. We also own published and nationalized PCT patent applications relating to processes for preparing 4334 and crystalline forms of 4334. Any patents issuing therefrom are expected to expire in 2042.</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we own a published PCT patent application relating to compositions of matter and methods of using broad-spectrum NNPIs to treat various herpes viruses.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including any manufacturing changes, packaging, storage, recordkeeping, labeling, advertising, promotion, distribution, marketing, post-approval monitoring and reporting, import and export of pharmaceutical products, such as those we are developing.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approval process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(FDCA) and implementing regulations. The process of obtaining regulatory approvals and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or sponsor to a variety of administrative or judicial sanctions, such as the FDA’s imposition of a clinical hold, refusal to approve pending applications, withdrawal of an approval, license revocation, imposition of a clinical hold, issuance of warning letters and untitled letters, product recalls, product seizures, total or partial suspension of production or distribution, injunctions, fines, refusals of government contracts, restitution, disgorgement of profits or civil or criminal penalties.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198" w:lineRule="exact"/>
        <w:rPr>
          <w:sz w:val="20"/>
          <w:szCs w:val="20"/>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in compliance with the FDA’s GLP regulations and applicable requirements for the humane use of laboratory animals or other applicable requirements;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which must become effective before human clinical studies may begin;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studies in accordance with good clinical practices (GCP), and any additional requirements for the protection of human research participants and their health information, to establish the safety and efficacy of the proposed drug for each indication;</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3" w:lineRule="exact"/>
        <w:rPr>
          <w:sz w:val="20"/>
          <w:szCs w:val="20"/>
          <w:color w:val="auto"/>
        </w:rPr>
      </w:pPr>
    </w:p>
    <w:p>
      <w:pPr>
        <w:jc w:val="both"/>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current good manufacturing practices (cGMP) requirements and to assure that the facilities, methods and controls are adequate to preserve the product’s identity, strength, quality and purity;</w:t>
      </w:r>
    </w:p>
    <w:p>
      <w:pPr>
        <w:spacing w:after="0" w:line="14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potential FDA audits of the clinical trial sites that generated the data in support of the NDA to assure compliance with GCP requirements and integrity of the clinical data;</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and</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a risk evaluation and mitigation strategy (REMS), where applicable, and post-approval studies required by the FDA as a condition of approval.</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Nonclinical studies and IND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Nonclinical studies include laboratory evaluation of product chemistry and formulation,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potential for AEs and in some cases, to establish a rationale for therapeutic use. The conduct of nonclinical studies is subject to federal regulations and requirements, including GLP regulations for safety/toxicology studies. An IND sponsor must submit the results of the nonclinical tests, together with manufacturing information, analytical data, any available clinical data or literature and plans for clinical studies, among other things, to the FDA as part of an IND application. Some long-term nonclinical testing, such as animal tests of reproductive AEs and carcinogenicity, may continue after the IND is submitted. For some products, the FDA may waive the need for certain nonclinical tests. An IND automatically becomes effective 30 days after receipt by the FDA, unless before that time the FDA raises concerns or questions related to one or more proposed clinical studies and places the trial on clinical hold. If an IND or clinical study is placed on clinical hold, the IND sponsor and the FDA must resolve any outstanding concerns before the clinical study can begin. As a result, submission of an IND may not result in the FDA allowing clinical studies to commence.</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Clinical studies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Clinical studies involve the administration of the investigational new drug to human subjects under the supervision of qualified investigators in accordance with GCP requirements, which include, among other things, the requirement that all research subjects provide their informed consent in writing before their participation in any clinical study. Clinical studies are conducted under written study protocols detailing, among other things, the objectives of the study, the parameters to be used in monitoring safety, and the effectiveness criteria to be evaluated. A protocol for each clinical study and any subsequent protocol amendments must be submitted to the FDA as part of the IND. In addition, an IRB at each institution participating in the clinical study must review and approve the plan for any clinical study before it commences at that institution, and the IRB must conduct continuing review. The IRB must review and approve, among other things, the study protocol and informed consent information to be provided to study subjects. An IRB must operate in compliance with FDA regulations.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Information about certain clinical studies must be submitted within specific timeframes to the National Institutes of Health for public dissemination at www.clinicaltrials.gov. The Food and Drug Omnibus Reform Act (FDORA), which was signed into law on December 29, 2022, made numerous amendments to the FDCA including provisions intended to, among other things, decentralize and modernize clinical trials and enhance diversity in clinical trial populations.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studies are typically conducted in three sequential phases, which may overlap or be combined:</w:t>
      </w:r>
    </w:p>
    <w:p>
      <w:pPr>
        <w:spacing w:after="0" w:line="183" w:lineRule="exact"/>
        <w:rPr>
          <w:sz w:val="20"/>
          <w:szCs w:val="20"/>
          <w:color w:val="auto"/>
        </w:rPr>
      </w:pPr>
    </w:p>
    <w:p>
      <w:pPr>
        <w:ind w:left="760" w:hanging="378"/>
        <w:spacing w:after="0" w:line="284"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drug is initially introduced into healthy human subjects or patients with the target disease or condition and tested for safety, dosage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if possible, to gain an early indication of its effectiveness.</w:t>
      </w:r>
    </w:p>
    <w:p>
      <w:pPr>
        <w:spacing w:after="0" w:line="131"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The drug is administered to a limited patient population to identify possible adverse effects and safety risks, to preliminarily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of the product for specific targeted diseases and to</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53"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determine dosage tolerance and optimal dosage. Multiple Phase 2 clinical trials may be conducted to obtain information prior to beginning larger and more expensive Phase 3 clinical trials.</w:t>
      </w:r>
    </w:p>
    <w:p>
      <w:pPr>
        <w:spacing w:after="0" w:line="133" w:lineRule="exact"/>
        <w:rPr>
          <w:sz w:val="20"/>
          <w:szCs w:val="20"/>
          <w:color w:val="auto"/>
        </w:rPr>
      </w:pPr>
    </w:p>
    <w:p>
      <w:pPr>
        <w:jc w:val="both"/>
        <w:ind w:left="760" w:hanging="378"/>
        <w:spacing w:after="0" w:line="267"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The drug is administered to an expanded patient population in adequate and well-controlled clinical studies to generate sufficient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statistically confirm the efficacy and safety of the product for approval, to establish the overall risk-benefit profile of the product and to provide adequate information for the labeling of the product.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studies must be submitted at least annually to the FDA. Additionally, IND safety reports must be submitted to the FDA and the investigators within 15 calendar days after determining that the information qualifies for reporting. IND safety reports are required for serious and unexpected adverse reactions, findings from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or other studies that suggest a significant risk to humans, and any clinically important increase in the rate of a serious suspected adverse reaction over that listed in the protocol or investigator brochure. In addition, a sponsor must notify the FDA within seven calendar days after receiving information concerning any unexpected fatal or life-threatening suspected adverse reaction. Phase 1, Phase 2 and Phase 3 clinical studies may not be completed successfully within any specified period, or at all. Furthermore, the FDA or the sponsor may suspend or terminate a clinical study at any time on various grounds, including a finding that the research subjects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manufacturer of an investigational drug for a serious disease or condition is required to make available, such as by posting on its website, its policy regarding evaluating and responding to requests for individual patient access to such investigational drug for use outside a clinical trial. This requirement applies on the earlier of the first initiation of a Phase 2 or Phase 3 trial of the investigational drug or, as applicable, 15 days after the drug receives a designation as a breakthrough therapy, Fast Track product, or regenerative advanced therapy. There also are requirements governing the reporting of ongoing clinical trials and completed clinical trial results to public registries.</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completion of required clinical testing, the results of the nonclinical studies and clinical studies, together with detailed information relating to the product’s chemistry, manufacture, controls and proposed labeling, among other things, are submitted to the FDA as part of an NDA requesting approval to market the product for one or more indications. Under federal law, the submission of most NDAs is additionally subject to a substantial application user fee, currently $4.682 million, and the sponsor of an approved NDA is also subject to an annual program fee currently set at $0.44 million through September 30, 2026. These fees are typically adjusted on October 1 each year.</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Under these goals, the FDA has committed to review most original applications for non-priority products within ten months, and most original applications for priority review products, that is, drugs for a serious or life-threatening condition that the FDA determines represent a significant improvement over existing therapy, within six months. For NDAs for novel products, the ten- and six-month time periods runs from the filing date; for all other original applications, the ten- and six-month time periods run from the submission date. The review process may be extended by the FDA for three additional months to consider certain information or clarification regarding information already provided in the submission. The FDA may also refer applications for novel drugs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specifications. In addition, before approving an NDA, the FDA will typically inspect one or more clinical sites to assure compliance with GCP and integrity of the clinical data submitted. With passage of the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After the FDA’s evaluation of the NDA and inspection of the manufacturing facilities, the FDA may issue an approval letter or a complete response letter. An approval letter authorizes commercial marketing of the drug with specific prescribing information for specific indications. A complete response letter indicates that the NDA will not be approved in its present form and generally outlines the deficiencies in the submission, which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and refuse to approve the NDA. Even if the FDA approves a product, it may limit the approved indications for use for the product, require that contraindications, warnings or precautions be included in the product labeling, require that post-approval studies, including Phase 4 clinical studies, be conducted to further assess a drug’s safety after approval, require testing and surveillance programs to monitor the product after commercialization, or impose other conditions, including distribution and use restrictions or other risk management mechanisms, including REMS, which can materially affect the potential market and profitability of the product or impose new labeling, testing or distribution and use requirements.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Fast Track designation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is required to facilitate and expedite the development and review of drugs that are intended for the treatment of a serious or life-threatening disease or condition for which there is no effective treatment and which demonstrate the potential to address unmet medical needs for the disease or condition. Under the Fast Track program, the sponsor of a new product candidate may request the FDA to designate the product for a specific indication as a Fast Track product concurrent with or after the filing of the IND for the product candidate. The FDA must determine if the product candidate qualifies for fast track designation within 60 calendar days after receipt of the sponsor’s request.</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other benefits, such as the ability to have greater interactions with the FDA, the FDA may initiate review of sections of a Fast Track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study process.</w:t>
      </w:r>
    </w:p>
    <w:p>
      <w:pPr>
        <w:spacing w:after="0" w:line="14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Priority review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FDA policies, a product candidate may be eligible for priority review, which means the review is generally completed within a six-month time frame from the date a complete application is filed. Products generally are eligible for priority review if they are intended for treatment of a serious or life-threatening disease or condition and provide a significant improvement in safety or effectiveness compared to marketed products in the treatment, diagnosis or prevention of a serious disease or condition.</w:t>
      </w:r>
    </w:p>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FDA’s accelerated approval regulations,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(IMM). In clinical studies, a surrogate endpoint is a measurement of laboratory or clinical signs of a disease or condition that substitutes for a direct measurement of how a participant feels, functions or survives. Surrogate endpoints can often be measured more easily or more rapidly than clinical endpoints. A product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candidate approved on this basis is subject to rigorous post-marketing compliance requirements, including the completion of Phase 4 or post-approval clinical studies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 With the passage of the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until completion or termination of the study. FDORA further enables the FDA to initiate criminal prosecutions for the failure to conduct with due diligence a required post-approval study, including a failure to meet any required conditions specified by the FDA or to submit timely reports.</w:t>
      </w:r>
    </w:p>
    <w:p>
      <w:pPr>
        <w:spacing w:after="0" w:line="1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also may be eligible for priority review. The FDA must take certain actions, such as holding timely meetings and providing advice, intended to expedite the development and review of an application for approval of a breakthrough therapy. Even if a product qualifies for one or more of these programs, the FDA may later decide that the product no longer meets the conditions for qualification or decide that the time period for FDA review or approval will not be shortened.</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Orphan drugs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Orphan Drug Act, as amended, the FDA may grant orphan drug designation to drugs intended to treat a rare disease or condition, which is generally defined as a disease or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product in the United States. Orphan drug designation must be requested before submitting an NDA for the application to be eligible to receive orphan drug exclusivity upon approval. After the FDA grants orphan drug designation, the identity of the product and its potential orphan indication are disclosed publicly by the FDA. Orphan drug designation does not shorten the duration of the regulatory review and approval process. If a product that has orphan designation subsequently receives the first FDA approval for a particular active ingredient for the disease or condition for which it has such designation, the product is entitled to Orphan Drug exclusivity, which means that the FDA may not approve other applications to market the same product for the same indication for seven years, except in limited circumstances, such as a showing of clinical superiority to the product with orphan drug exclusivity. A drug will be considered clinically superior if it is shown to be safer, more effective or makes a major contribution to patient care. Orphan drug exclusivity does not prevent the FDA from approving a different drug for the same orphan disease or condition, or the same drug for a different disease or condition. Among the other benefits of orphan drug designation are tax credits for certain research and a waiver of the NDA application user fee.</w:t>
      </w:r>
    </w:p>
    <w:p>
      <w:pPr>
        <w:spacing w:after="0" w:line="14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Pediatric information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as amended, an NDA or supplement to an NDA for drug with certain novel features (e.g., new active ingredient, new indication)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of a new drug subject to the above pediatric testing requirements also is required to submit to the FDA a pediatric study plan generally 60 days after an end-of-Phase 2 meeting with the agency. Generally, the pediatric data requirements do not apply to products with orphan drug designation.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requirements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drug manufactured or distributed by us pursuant to FDA approvals will be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may impose a number of post-approval requirements, including REMS, as a condition of approval of an NDA. For example, the FDA may require post-marketing testing, including Phase 4 clinical studies, and surveillance to further assess and monitor the product’s safety and effectiveness after commercialization.</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143"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clinical holds on post-approval studies;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injunctions or the imposition of civil or criminal penalties.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generally may be promoted only for the approved indications and in accordance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Physician Drug Samples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sales and marketing process, pharmaceutical companies frequently provide samples of approved drugs to physicians. The Prescription Drug Marketing Act (PDMA) regulates the distribution of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In addition, the PDMA sets forth civil and criminal penalties for violations.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Regulation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we would need to comply with numerous and varying regulatory requirements of other countries regarding safety and efficacy and governing, among other things, clinical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studies, marketing authorization, commercial sales and distribution of our products. Whether or not we obtain FDA approval for a product, we would need to obtain the necessary approvals by the comparable regulatory authorities of foreign countries before we can commence clinical studies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Coverage, Pricing and Reimbursement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drug products for which we may obtain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Accordingly, we may need to conduct expensive pharmacoeconomic studies in order to demonstrate the medical necessity and cost-effectiveness of our product candidates, in addition to the trials required to obtain FDA or other comparable regulatory approvals. If these third-party payors do not consider our products to be cost-effective compared to other available therapies, they may not cover our products after approval as a benefit under their plans or, if they do, the level of payment may not be sufficient to enable us to maintain price levels high enough to realize an appropriate return on our investment in product development. Further, one payor’s determination to provide coverage for a product, if approved, does not assure that other payors will also provide coverage and reimbursement for the product, and the level of coverage and reimbursement can differ significantly from payor to payor.</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may instead adopt a system of direct or indirect controls on the profitability of us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marketability of any products for which we may receive regulatory approval for commercial sale is dependent on the availability of adequate coverage and reimbursement from government and third-party payors. In addition, the emphasis on managed care in the United States has increased and we expect will continue to increase the pressure on drug pricing. Coverage policies, third-party reimbursement rates and drug pricing regulation may change at any time. For example the Affordable Care Act of 2010, as amended by, the Health Care and Education Reconciliation Act (collectively, ACA), among other things, imposed an annual fee on any entity that manufactures or imports certain branded prescription drugs, increased the minimum Medicaid rebates owed by most manufacturers under the Medicaid Drug Rebate Program, and established the Medicare Part D coverage gap discount program. In addition to these provisions, the ACA established a number of bodies whose work may have a future impact on the market for certain pharmaceutical products, including the Patient-Centered Outcomes Research Institute, established to oversee, identify priorities in, and conduct comparative clinical effectiveness research, and the Center for Medicare and Medicaid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Innovation within the Centers for Medicare and Medicaid Services, established to test innovative payment and service delivery models to lower Medicare and Medicaid spending.</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executive, judicial, and Congressional challenges to certain aspects of the ACA. For example, the administration has issued directives designed to delay the implementation of certain ACA provisions or otherwise circumvent requirements for health insurance mandated by the ACA, and Congress has considered legislation that would repeal, or repeal and replace all or part of the ACA. While Congress has not passed comprehensive repeal legislation, several bills affecting the implementation of certain taxes under the ACA have been signed into law. In addition, the Tax Cuts and Jobs Act, effectively repealed the individual health insurance mandate, which is considered a key component of the ACA. On June 17, 2021, the U.S. Supreme Court dismissed a challenge on procedural grounds that argued the ACA is unconstitutional in its entirety because the “individual mandate” was repealed by Congress. More recently, in June 2025, the U.S. Supreme Court upheld the constitutionality of the ACA's requirement that group health plans and health insurance issuers cover certain preventative services without cost-sharing is unconstitutional.</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included aggregate reductions to certain Medicare payments to providers of up to 2% per fiscal year, which will remain in effect through 2032, unless Congress takes additional action. These and other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there has been increasing legislative and enforcement interest in the United States with respect to drug pricing practices. Specifically, there have been several recent United States Congressional inquiries and proposed and enacted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Inflation Reduction Act of 2022 (IRA) enacted on August 16, 2022, seeks to reduce prescription drug costs by, among other provisions, allowing Medicare to negotiate prices for certain high-cost prescription drugs in Medicare Parts B and D, imposing an excise tax on pharmaceutical manufacturers that refuse to negotiate pricing with Medicare, and requiring inflation rebates to limit annual drug price increases in Medicare. These provisions began taking effect progressively starting in 2023, and, in January 2026, CMS announced the 15 drugs selected for the third cycle of Medicare drug price negotiations. Beginning in 2025, the IRA also eliminated the coverage gap under Medicare Part D by significantly lowering the enrollee maximum out-of-pocket cost and imposing a new manufacturer discount program. However, various industry stakeholders, including certain pharmaceutical companies and industry trade organizations have initiated lawsuits against the federal government asserting that the price negotiation provisions of the IRA are unconstitutional. The impact of these judicial challenges and future government reform measures on us and the pharmaceutical industry as a whole is unclear.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September 2020, the FDA issued a final rule that sets up a legal framework for allowing the importation of certain prescription drugs from Canada, and the CMS issued guidance that addresses the treatment of certain imported drugs under the Medicaid Drug Rebate Program. On January 5, 2024, the FDA authorized the state of Florida’s Section 804 Importation Program, which is the first major step in allowing the state to import certain prescription drugs from Canada. If the program is ultimately approved, it will be the first such program authorized in the United States.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a number of these and other proposed measures may require authorization through additional legislation to become effective, and the current administration may reverse or otherwise change measures implemented by the prior administration, both the current administration and Congress have indicated that they will continue to take action to control drug costs.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product pricing, including price or patient reimbursement constraints, discounts,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restrictions on certain product access and marketing cost disclosure and transparency measures.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Healthcare Laws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United States, our activities are potentially subject to regulation by various federal, state and local authorities in addition to the FDA, including but not limited to, CMS, other divisions of the U.S. Department of Health and Human Services (e.g., the Office of Inspector General), the U.S. Department of Justice (DOJ), and individual U.S. Attorney offices within the DOJ, and state and local governments. For example, the Company’s business practices, including its research and sales, marketing and scientific/ educational grant programs may be required to comply with federal and state fraud and abuse laws, false claims laws, the data privacy, security provisions and breach notification provisions of the Health Insurance Portability and Accountability Act (HIPAA), federal transparency requirements and similar state laws, each as amended. The laws that may affect our ability to operate include, but are not limited to:</w:t>
      </w:r>
    </w:p>
    <w:p>
      <w:pPr>
        <w:spacing w:after="0" w:line="148" w:lineRule="exact"/>
        <w:rPr>
          <w:sz w:val="20"/>
          <w:szCs w:val="20"/>
          <w:color w:val="auto"/>
        </w:rPr>
      </w:pPr>
    </w:p>
    <w:p>
      <w:pPr>
        <w:jc w:val="both"/>
        <w:ind w:left="760" w:hanging="378"/>
        <w:spacing w:after="0" w:line="25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Anti-Kickback Statute has been interpreted to apply to arrangements between pharmaceutical manufacturers on the one hand and patients, prescribers, purchasers, and formulary managers on the other;</w:t>
      </w:r>
    </w:p>
    <w:p>
      <w:pPr>
        <w:spacing w:after="0" w:line="159" w:lineRule="exact"/>
        <w:rPr>
          <w:rFonts w:ascii="Times New Roman" w:cs="Times New Roman" w:eastAsia="Times New Roman" w:hAnsi="Times New Roman"/>
          <w:sz w:val="18"/>
          <w:szCs w:val="18"/>
          <w:color w:val="auto"/>
        </w:rPr>
      </w:pPr>
    </w:p>
    <w:p>
      <w:pPr>
        <w:jc w:val="both"/>
        <w:ind w:left="760" w:hanging="378"/>
        <w:spacing w:after="0" w:line="255"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federal civil and criminal false claims laws, including the federal False Claims Act, which can be enforced by private citizens through civil </w:t>
      </w:r>
      <w:r>
        <w:rPr>
          <w:rFonts w:ascii="Times New Roman" w:cs="Times New Roman" w:eastAsia="Times New Roman" w:hAnsi="Times New Roman"/>
          <w:sz w:val="18"/>
          <w:szCs w:val="18"/>
          <w:i w:val="1"/>
          <w:iCs w:val="1"/>
          <w:color w:val="auto"/>
        </w:rPr>
        <w:t>qui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tam </w:t>
      </w:r>
      <w:r>
        <w:rPr>
          <w:rFonts w:ascii="Times New Roman" w:cs="Times New Roman" w:eastAsia="Times New Roman" w:hAnsi="Times New Roman"/>
          <w:sz w:val="18"/>
          <w:szCs w:val="18"/>
          <w:color w:val="auto"/>
        </w:rPr>
        <w:t>actions, and civil monetary penalty laws that prohibit individuals or entities from, among other things: knowingly presenting, or causing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 Pharmaceutical manufacturers can be held liable under the False Claims Act even when they do not submit claims directly to government payors if they are deemed to “cause” the submission of false or fraudulent claims;</w:t>
      </w:r>
    </w:p>
    <w:p>
      <w:pPr>
        <w:spacing w:after="0" w:line="146"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among other things, imposes criminal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46"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3" w:lineRule="exact"/>
        <w:rPr>
          <w:sz w:val="20"/>
          <w:szCs w:val="20"/>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making a false statement to an agent or agency of the federal government in connection with certain federal matters;</w:t>
      </w:r>
    </w:p>
    <w:p>
      <w:pPr>
        <w:spacing w:after="0" w:line="134"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certain other healthcare professionals (such as nurse practitioners and physicians' assistants, and teaching hospitals, as well as ownership and investment interests held by physicians and their immediate family members;</w:t>
      </w:r>
    </w:p>
    <w:p>
      <w:pPr>
        <w:spacing w:after="0" w:line="142"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companies to calculate and report complex pricing metrics in an accurate and timely manner to government programs; and</w:t>
      </w:r>
    </w:p>
    <w:p>
      <w:pPr>
        <w:spacing w:after="0" w:line="12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are subject to state and non-U.S. equivalents of each of the healthcare laws described above, among others, some of which may be broader in scope and may apply regardless of the payor. For example, many U.S. states have adopted laws similar to the federal Anti-Kickback Statute, some of which apply to the referral of patients for healthcare services reimbursed by any source, not just governmental payors, including private insurers. In addition, some states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There also are state laws that require the reporting of marketing expenditures or drug pricing, including information pertaining to and justifying price increases, state and local laws that require the registration of pharmaceutical sales representatives or other state or local licensure, state laws that prohibit various marketing-related activities, such as the provision of certain kinds of gifts or meals, and state laws that require the posting of information relating to clinical trials and their outcomes. There are ambiguities as to what is required to comply with these state requirements and if we fail to comply with an applicable state law requirement, we could be subject to penalties.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Privacy and Data Security Laws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There are several privacy and data security laws that may impact our business activities, in the United States and in other jurisdictions where we conduct trials or where we may do business in the future. These laws are evolving and may increase both our obligations and our regulatory risks in the future. As described above, in </w:t>
      </w:r>
      <w:r>
        <w:rPr>
          <w:rFonts w:ascii="Times New Roman" w:cs="Times New Roman" w:eastAsia="Times New Roman" w:hAnsi="Times New Roman"/>
          <w:sz w:val="18"/>
          <w:szCs w:val="18"/>
          <w:i w:val="1"/>
          <w:iCs w:val="1"/>
          <w:color w:val="auto"/>
        </w:rPr>
        <w:t>Other Healthcare Laws</w:t>
      </w:r>
      <w:r>
        <w:rPr>
          <w:rFonts w:ascii="Times New Roman" w:cs="Times New Roman" w:eastAsia="Times New Roman" w:hAnsi="Times New Roman"/>
          <w:sz w:val="18"/>
          <w:szCs w:val="18"/>
          <w:color w:val="auto"/>
        </w:rPr>
        <w:t>, in the health care industry generally, under HIPAA, the U.S. Department of Health and Human Services has issued regulations to protect the privacy and security of protected health information, or PHI, used or disclosed by covered entities including certain healthcare providers, health plans and healthcare clearinghouses. HIPAA may apply to us in certain circumstances and may also apply to our business partners in ways that may impact our relationships with them.</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federal privacy regulations under HIPAA, there are a number of state laws in the United States governing confidentiality and security of information that may be applicable to our business. At the state level, California enacted the California Consumer Privacy Act (CCPA), which went into effect on January 1, 2020. The CCPA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Additionally, the California Privacy Rights Act (CPRA), which went into effect on January 1, 2023, significantly expanded the CCPA, imposing additional obligations on companies covered by the legislation and expanding consumers’ rights with respect to certain sensitive personal information, among other things. The CPRA also creates a new state agency that will be vested with authority to implement and enforce the CCPA and the CPRA. While there is currently an exception for protected health information that is subject to HIPAA and clinical trial regulations, as currently written, the CCPA may apply to some of our business activities or those of our business partners.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California, at least twenty other states have passed comprehensive consumer data privacy laws. Like the CCPA and CPRA, these laws create obligations related to the processing of personal information, as well as special obligations for the processing of “sensitive” data (which includes health data in some cases). There are also states that are actively considering comprehensive privacy laws. Additional states may consider such laws in the future, and Congress has also been debating passing a federal privacy law. These laws may impact our business activities or those of our business partners, including identification of research subjects, relationships with business partners and ultimately the marketing and distribution of our products.</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Privacy laws such as the EU General Data Protection Regulation (EU GDPR) and the UK General Data Protection Regulation (UK GDPR) impose strict obligations on lawful processing, transparency and cross-border transfers of personal data (i.e., information which identifies an individual or from which an individual is identifiable). In respect of our engagement of European contract research organizations (CROs) in the context of clinical trials, the EU GDPR and UK GDPR apply. The EU GDPR applies to any company established in the EU as well as to those outside the EU if they process personal data in connection with the offering of goods or services to EU residents or the monitoring of their behavior within the EU, wherever such processing occurs. The EU GDPR includes operational requirements for companies that receive or process personal data of EU residents. The EU GDPR enhances data protection obligations for processors and controllers of personal data, including, for example, expanded disclosures about how personal information is to be used, limitations on retention of information, mandatory data breach notification requirements and notable obligations on services providers. Noncompliance with the EU GDPR may result in monetary penalties of up to €20 million or 4% of worldwide revenue, whichever is higher. The EU GDPR may increase our responsibility and liability in relation to personal data that we process where such processing is subject to the EU GDPR, and we may be required to implement additional mechanisms to ensure compliance with the EU GDPR, including as implemented by individual countries. In addition to the foregoing, a breach of the EU GDPR could result in regulatory investigations, reputational damage, fines and sanctions, orders to change the processing activities of our personal data, enforcement notices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as the EU GDPR confers a private right of action on data subjects and consumer associations to lodge complaints with supervisory authorities, seek judicial remedies, and obtain compensation for damages resulting from violations.</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European Economic Area (EEA) and UK impose rules with respect to cross-border transfers of personal data outside of the EEA and the UK to third countries including the United States. In July 2020, the EU-US Privacy Shield was invalidated as a valid personal data transfer mechanism between the EU and the U.S., and on June 4, 2021, the European Commission finalized new versions of the Standard Contractual Clauses (New SCCs), which apply to the transfer of personal data outside of the EU to a country not approved by the EU as providing an adequate level of protection for the processing of personal data. The New SCCs must be used for all relevant transfers of personal data outside the EEA (since December 27, 2022). On March 21, 2022, the UK implemented its own UK-specific international data transfer agreement and addendum to the New SCCs (collectively, the SCCs). Effective July 11, 2023, the new EU-US Data Privacy Framework (DPF) has been recognized as adequate under EU law (a new framework to allow transfers of personal data from the EU to certified companies in the United States). The UK has also approved a UK extension to the EU-US Data Privacy Framework, which was laid before Parliament on September 21, 2023, and came into force on October, 12 2023. However, the DPF is subject to further legal challenge just as the EU-US Privacy Shield was, which could cause the legal requirements for personal data transfers from the EU to the U.S. to become uncertain once again. EU data protection authorities have and may again block the use of certain U.S.-based services that involve the transfer of personal data to the U.S. In the EU and other markets, potential new rules and restrictions on the flow of personal data across borders could increase the cost and complexity of doing business in those regions. We currently rely on the New SCCs for both intragroup and third-party data transfers from the EEA, however the cross-border data transfer landscape in the EEA is continually developing, and we are monitoring these developments. We may, in addition to other impacts, experience additional costs associated with increased compliance burdens and be required to engage in new contract negotiations with third parties that aid in processing data on our behalf or localize certain data.</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UK’s departure from the EU, commonly referred to as “Brexit”, the UK GDPR exists alongside the UK Data Protection Act 2018, which implements certain derogations in the UK GDPR into UK law. Under the UK GDPR, companies not established in the UK but who process personal data in relation to the offering of goods or services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individuals in the UK, or to monitor their behavior will also be subject to the UK GDPR and will be required to appoint a data protection representative in the UK, provided certain exceptions are not met. While the EU GDPR and the UK GDPR remain substantially similar for the time being, the government of the UK has adopted reforms to its data privacy and cybersecurity legal framework in its Data Use and Access Act 2025, which became law on June 19, 2025 (phasing in between June 2025 and June 2026). Compliance with the EU GDPR and UK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current or future business activities or those of our business partners, including certain clinical research, sales and marketing practices and the provision of certain items and services to our customers, could be subject to challenge under one or more privacy and data security laws. The heightening compliance environment and the need to build and maintain robust and secure systems to comply with different privacy compliance and/or reporting requirements in multiple jurisdictions could increase the possibility that a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Legislation and Regulations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marketing, and reimbursement status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conscious of the extensive and evolving regulatory frameworks in the jurisdictions in which we operate. There are changes in the regulatory landscape relating to new and emerging technologies such as artificial intelligence (AI), which we use in a limited capacities, including to assist our employees in selecting chemical compounds to evaluate, as well as office-related tasks. The EU has developed a standalone law to govern the offering and use of AI systems in the EU (AI Act), which entered into force on August 1, 2024. The AI Act imposes regulatory requirements onto AI system providers, importers, distributors, and deployers, in accordance with the level of risk involved with the AI system (“unacceptable,” “high,” “limited,” and “minimal” risk). General-purpose AI systems have also been made subject to a number of requirements under the AI Act—mostly akin to the requirements that apply to high-risk AI systems. The AI Act will become enforceable in a gradual manner—depending on the regulatory requirement in question, and ranging anywhere from six to 36 months following adoption and entry into force of the AI Act. Non-compliance with the AI Act may be subject to regulatory fines of up to 7% of annual worldwide turnover or €35 million. We are actively assessing the scope of application, impact, and risk of these developments in the EU and the UK on our business and will continue to assess this moving forward. In November 2025, the European Commission proposed a Digital Omnibus package (Digital Omnibus), which would make targeted amendments to several existing EU digital laws, including the AI Act, the EU GDPR, the NIS 2 Directive, the EU’s Data Act (EU Data Act), and other related frameworks, with the stated aim of simplifying and streamlining aspects of the EU digital regulatory landscape. Although the proposal is intended to reduce administrative burden, any amendments to these frameworks may require us to reassess certain compliance positions and adjust technical or legal practices accordingly, which could affect our operations in the EU. The European Health Data Space (EHDS) Regulation entered into force on March 26, 2025, and introduces stricter requirements for the collection, processing, and sharing of electronic health data across the EU. The phased implementation of the EHDS Regulation runs until March 2034, with requirements that may significantly impact our ability to conduct clinical trials, particularly those relying on real-world data, patient registries, or cross-border research collaborations. The EU Data Act is, at this stage, primarily a forward-looking regulatory consideration rather than a current material risk to our business. The EU Data Act has applied since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September 12, 2025, and establishes new requirements concerning access to, use of and sharing of data generated by connected products and related services, as well as certain business-to-business and business-to-government data sharing arrangements. While our current core business is not the primary focus of the regime, the EU Data Act may become relevant to our operations as our research and development activities evolve, particularly if we decide to develop connected medical or health devices in the future. Any such expansion could require us to adapt our data governance, operational processes and contractual arrangements, which may increase compliance costs and administrative complexity. We are actively assessing the potential application and impact of the EU Data Act on our business but currently view it as a forward-looking consideration. The proposed European Health Data Space (EHDS) Regulation introduces stricter requirements for the collection, processing, and sharing of electronic health data across the EU. If enacted, EHDS may significantly impact our ability to conduct clinical trials, particularly those relying on real-world data, patient registries, or cross-border research collaborations. Additionally, the EU Data Act introduces new obligations regarding the access, sharing, and use of data generated by connected devices, digital platforms, and business-to-business and business-to-government data exchanges. As we conduct clinical trials and utilize digital health technologies and real-world data for research and development, compliance with the EU Data Act may introduce significant regulatory and operational challenges. Non-compliance with any of these regulations may result in fines, operational disruptions or reputational harm, and could impact our financial performance. We are actively assessing the scope of application, impact, and risk of these developments in the EU on our business and will continue to assess this moving forward.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pharmaceutical and biotechnology industry is very competitive, and the development and commercialization of new drugs is influenced by rapid technological developments and innovation. We face competition from several companies developing and commercializing products that will be competitive with our drug candidates, including large pharmaceutical and smaller biotechnology companies. Additionally, new entrants may potentially enter the market. Potential competitors include GlaxoSmithKline plc, Enanta Pharmaceuticals, Inc., Arbutus Biopharma Corporation, Vir Bio, Mirum Pharmaceuticals, Huahui Health, Aligos Therapeutics, Innovative Molecules and AiCuris Anti-infective Cures AG (Asahi Kasei, following its pending acquisition of AiCuris), among others. Additionally, we may face competition from currently available HBV treatments. Some of the competitive development programs from these companies may be based on scientific approaches that are similar to our approach, and others may be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 similar to ours or that otherwise target indications that we are pursuing.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rely on third-party manufacturers to supply the quantities of our investigational product candidates used in our clinical and nonclinical studies. We currently have no plans to establish any manufacturing facilities for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we had 73 total employees and contracts with a number of temporary contractors, consultants and CROs. The majority of our employees work out of our facility in South San Francisco, California. We also have a small number of remote employees spread across the United States and one remote employee in the UK.</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our needs and make strategic choices regarding whether to hire internal teams or outsource certain functions to CROs or contract manufacturing organizations (CMOs), as appropriate. We currently outsource our clinical study management to various CROs and utilize certain CMOs to manufacture both the drug substance and the drug product used in our ongoing and planned clinical studies.</w:t>
      </w:r>
    </w:p>
    <w:p>
      <w:pPr>
        <w:spacing w:after="0" w:line="13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We compete with both large and small companies in our industry for a limited number of qualified applicants to fill highly specialized needs. We generally target our base salaries and annual performance-based cash bonuses at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of our peers and our long-term equity incentive compensation, which all employees receive, between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percentiles of our peers. In certain circumstances, we offer compensation above these levels, based on a candidate’s experience, criticality, amount of responsibility and either individual or Company-wide performance. We routinely review our employees’ base salaries to ensure they remain market competitive. Both annual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performance-based cash bonus targets and long-term equity compensation increase based on employees’ levels of responsibility. We also offer comprehensive benefits packages to all of our employees, including: 100% Company-covered medical, dental and vision coverage for employees and their families; a 401k program with a Company match; a comprehensive employee assistance program, an employee stock purchase plan; and paid family leave. Our benefits packages also include paid time-off benefits, flexible spending plans, commuter benefits and life and long-term care benefits.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large majority of our employees have advanced degrees, and we also offer an educational assistance program that reimburses employees up to a maximum amount per year for courses that directly enhance his or her area of professional work or contribute to his or her immediate career growth. This program demonstrates our commitment to analytical growth, enhanced knowledge and professional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September 27, 2023, we received a letter from the Listing Qualifications Department of the Nasdaq Stock Market notifying us that, because the bid price for our common stock had closed below $1.00 per share for the prior 30 consecutive business days, we were not in compliance with Nasdaq Listing Rule 5450(a)(1), which is the minimum bid price requirement for continued listing on the Nasdaq Global Select Market. In accordance with Nasdaq Listing Rule 5810(c)(3)(A), we were provided a 180-calendar day period, or until March 25, 2024, to regain compliance with the minimum bid price requirement. To regain compliance with the Nasdaq Listing Rules, on January 31, 2024, our stockholders approved a reverse stock split of our common stock at a range of ratios between 1-for-7 to 1-for-17, and our board of directors approved the implementation of a reverse stock split at a ratio of 1-for-12 shares of our common stock (the Reverse Stock Split). The Reverse Stock Split was effective as of February 9, 2024, our common stock began trading on the Nasdaq Global Select Market on an as-split basis on February 12, 2024, and the Company regained compliance with the minimum bid price requirement of the Nasdaq Listing Rules on February 27, 2024, by having the closing bid price of our common stock exceed $1.00 for a minimum of ten consecutive trading days during the compliance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incorporated in Delaware in October 2005 under the name South Island Biosciences, Inc. (which was changed to Ventrus Biosciences, Inc. in April 2007). On July 11, 2014, we acquired Assembly Pharmaceuticals, Inc., a private company, through a merger with our wholly owned subsidiary (the Merger). In connection with the Merger, we changed our name from Ventrus Biosciences, Inc. to Assembly Biosciences,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at Two Tower Place, 7th Floor, South San Francisco, California 94080. Our telephone number is (833) 509-4583.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website address is www.assemblybio.com. We routinely post, or have posted, important information for investors on our website in the “Investors” section. We use this website as a means of disclosing material information in compliance with our disclosure obligations under Regulation FD. Accordingly, investors should monitor the “Investors” section of our website, in addition to following our press releases, SEC filings, presentations and webcasts. We make available free of charge through our website our press releases, Annual Reports on Form 10-K, Quarterly Reports on Form 10-Q, Current Reports on Form 8-K and all amendments to those reports as soon as reasonably practicable after electronically filed with or furnished to the SEC.</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on our website is not a part of, and should not be construed as being incorporated by reference, into this report.</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reports filed with the SEC by us and by our officers, directors and significant stockholders are available for review on the SEC’s website at www.sec.gov.</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an NDA to the FDA or comparable applications to other regulatory authorities and do not expect to be in a position to do so in the near future.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our product candidates are in clinical development or in varying stages of nonclinical development. Data supporting our clinical development programs are derived from nonclinical data that support our early stage clinical programs, which will determine whether larger, pivotal studies are appropriate. These pivotal studies are necessary to support regulatory approval, and it may be years before these studies are completed, if ever.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Adverse geopolitical and macroeconomic developments, such as potential worsening global economic conditions or economic downturn, ongoing military conflicts, related sanctions, actual and anticipated changes in interest rates, economic inflation and the responses by central banking authorities to control such inflation, and tariffs or the imposition and enforceability of tariffs, trade wars, barriers or restrictions, or threats of such actions and the related uncertainty thereof including uncertainties regarding the ability to obtain refunds for previously paid tariffs that have subsequently been invalidated, could affect our ability to access capital as and when needed.</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successful in raising any necessary additional capital on terms that are acceptable to us, or at all. If we are unable to develop and commercialize any product candidates and generate sufficient revenue or raise capital, we could be forced to reduce staff, delay, scale back or discontinue product development and clinical studies, forego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our collaboration with Gilead to be a critical part of the development, manufacture and commercialization of our product candidates. If this collaboration is unsuccessful, our business could be adversely affected.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we entered into the Gilead Collaboration Agreement with Gilead, whereby Gilead exclusively licensed to us its HPI program and NNPI program, while retaining opt-in rights to these programs, and has an option 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which were both amended in June 2024. Also in June 2024, we and Gilead subsequently entered into a securities purchase agreement and warrant agreement. In December 2024, Gilead purchased additional shares of our common stock at a premium pursuant to the terms of the common stock purchase agreement, and we amended the Gilead Collaboration Agreement in connection with an updated development plan for 6250. In August 2025, Gilead purchased additional shares of our common stock and warrants to purchase additional shares of our common stock. In December 2025, Gilead exercised its option and took an exclusive license to our HPI program, and in March 2026, Gilead declined to exercise its option to license 4334 or defer its option until completion of Phase 2 studies. Our agreements and relationship with Gilead pose a number of risks, including, but not limited to, the following:</w:t>
      </w:r>
    </w:p>
    <w:p>
      <w:pPr>
        <w:spacing w:after="0" w:line="86" w:lineRule="exact"/>
        <w:rPr>
          <w:sz w:val="20"/>
          <w:szCs w:val="20"/>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development of our investigational products could be delayed and we may need additional resources to develop our investigational products.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heavily dependent on Gilead for further development and commercialization of the investigational products from the programs that it opts into, including our HPI program, and transition of these programs to Gilead could delay these programs' clinical and approval timelines.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of a candidate, Gilead may choose not to exercise its option.</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right to designate (and has designated) two directors for appointment to our board of directors pursuant to the terms of the investor rights agreement and owns approximately 28% of our outstanding common stock. Gilead also has the right to acquire additional shares in the open market, up to an amount resulting in Gilead owning a total of 35% of our outstanding common stock. As a result, Gilead may be able to exert significant influence over us.</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Gilead has an option to all our current, and future, pipeline programs during the collaboration term, it may be difficult for us to enter into new collaborations.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nonclinical studies may not be representative of the product candidates' behavior in a clinical setting and may not be predictive of the outcomes of our clinical studies. In addition, the results of early clinical studies of product candidates may not be predictive of the results of later-stage clinical studies.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Conducting nonclinical and clinical studies is a lengthy, time consuming and expensive process. The length of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rate of completion of clinical studies might be delayed by many factors, including, for example:</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regulatory authorities on study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(CROs) and clinical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or the emergence of unforeseen safety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of qualified materials made using cGMP for use in clinical studies due to manufacturing challenges, delays or interruptions in the supply chain;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participant recruitment or failure to recruit a sufficient number of eligible participants, which may be due to a number of reasons, including the size of the participant population, the proximity of participants to clinical sites, the eligibility criteria for the study, the design of the clinical study, and other potential drug candidates being studied;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available study sites and academic lab facilities due to changes in government funding of clinical research;</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participants completing participation in a study or return for post-treatment follow-up for any reason, including, product side effects or disease progression;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clinical study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integrity of data collected in the study;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suspension, or termination of clinical studies by the institutional review board or ethics committee responsible for overseeing the study at a particular study site;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sufficient facilities or resources to conduct all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CGPs,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 replaced or if the quality or accuracy of the clinical data they obtain is compromised due to the failure to adhere to our clinical protocols, regulatory requirements, including GCPs,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we are exposed to a number of risks related to our CROs, vendors, suppliers and other service providers that are located outside of the United States, many of which may be beyond our control. These risks include:</w:t>
      </w:r>
    </w:p>
    <w:p>
      <w:pPr>
        <w:spacing w:after="0" w:line="54" w:lineRule="exact"/>
        <w:rPr>
          <w:sz w:val="20"/>
          <w:szCs w:val="20"/>
          <w:color w:val="auto"/>
        </w:rPr>
      </w:pPr>
    </w:p>
    <w:p>
      <w:pPr>
        <w:jc w:val="both"/>
        <w:ind w:left="10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such as the war between Russia and Ukraine, the conflicts in the Middle East, including the recent hostilities involving Iran, and in Venezuela, tensions between China and Taiwan, as well as trade tension and/or the imposition and enforceability of tariffs (including tariffs that have been or may be in the future imposed by the United States and other countries and uncertainties regarding the ability to obtain refunds for previously paid tariffs that have subsequently been invalidated), other wars, acts of terrorism, natural disasters or outbreaks of disease;</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or prohibitions on CROs located in foreign countries, including China;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 for which our product candidates are being developed;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economic or other policies by the U.S. or foreign governments, which may result in new or unexpected changes in tariffs, trade wars, barriers or restrictions, or regulatory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United States Foreign Corrupt Practices Act (the FCPA) and other anti-corruption and anti-bribery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compliance with foreign currency exchange rules, which could result in increased operating expenses and reduced revenues, and other obligations incident to doing business in another country.</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shutdown of the U.S. Department of Homeland Security (DHS) could prevent the U.S. Customs and Border Protection (CBP) from performing normal business functions on which the operation of our business relies, which could negatively impact our business.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ongoing DHS shutdown has resulted in agencies, such as CBP, have been deemed “essential” and are continuing to operate. Disruptions at the CBP and other agencies, including furloughs and reductions in workforce, are subject to the political process, which is inherently unpredictable.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yet to encounter significant delays at ports of entry due to the shutdown, in past government shutdowns, CBP delays were common in areas requiring manual review or discretionary approvals. If the current shutdown continues, the resulting delays and other disruptions could have a material adverse effect on our business.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clinical studies require shipping clinical samples from our clinical study sites around the world to the United States for analysis and processing. CBP delays in import operations and CBP delays in inspecting imports, including difficulties with these samples clearing customs, may delay or otherwise adversely affect our ongoing clinical studies and their timelines, many of which have been communicated publicly.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preliminary or interim data may not accurately reflect the final results of a particular study.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publicly disclose top-line, preliminary or interim data based on analysis of then-available efficacy, tolerability, PK and safety data, and the results and related findings and conclusions are subject to change following a more comprehensive data review related to the particular study. We also may make assumptions, estimates, calculations and conclusions as part of our data analyses, and we may not have received or had the opportunity to fully and carefully evaluate all data prior to release. As a result, the top-line, preliminary or interim results that we report may differ from final results of the same studies or different conclusions or considerations may qualify such results once additional data have been received and fully evaluated. Top-line, preliminary or interim data also remain subject to audit and verification procedures that may result in the final data differing materially from previously published top-line, preliminary or interim data. As a result, top-line, preliminary or interim data should be viewed with caution until the final data are available.</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top-line, preliminary or interim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preliminary or interim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4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following risks with respect to the manufacture of our product candidates:</w:t>
      </w:r>
    </w:p>
    <w:p>
      <w:pPr>
        <w:spacing w:after="0" w:line="117" w:lineRule="exact"/>
        <w:rPr>
          <w:sz w:val="20"/>
          <w:szCs w:val="20"/>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be unable to formulate and manufacture our product candidates in the volume and quality required to meet our nonclinical, clinical and, if approved, commercial needs in a timely manner.</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be unable to manufacture or obtain from other third parties the active pharmaceutical ingredient needed to manufacture the finished dosage form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not perform as agreed or might not remain in the contract manufacturing business for the time required to supply our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any third-party manufacturers with whom we contract could be foreign, which increases the risk of shipping delays and adds the risk of import restrictions.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jc w:val="both"/>
        <w:ind w:left="10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share our trade secrets and know-how with third parties, increasing risk of misappropriation or disclosure of our intellectual property by or to third parties.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Furthermore, workforce reductions at the FDA, and any future reductions of staffing or other resources at the FDA, may lead to delays in inspecting facilities and, in turn, delayed FDA approvals for manufacturing changes. This could result in higher costs or deprive us of potential product revenues and materially harm our business,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and cannot recruit and retain similarly qualified replacements, our business may materially suffer.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 partners might delay, prevent or undermine the success of our product candidates.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which could adversely affect our ability to develop certain of our product candidates.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nonclinical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options for support of the development and commercialization of our programs and for financing and would likely have a material adverse impact on our business, results of operations, financial condition and share price.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that has not been independently verified and could prove to be false, misleading, or incomplete.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development and commercialization goals, including data releases, may not be achieved in the timeframes that we publicly estimate, which could have an adverse impact on our business and could cause our stock price to decline.</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might render our product candidates or technologies obsolete or non-competitive.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In addition, the clinical and commercial landscapes for recurrent genital herpes, HDV,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HBV and transplant-related herpesviruses or any other indication or field we might pursue, and successfully commercialize those treatments, our business and prospects could be materially harmed.</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Negative data from clinical studies using a competitor’s product candidates with the same or similar mechanisms of action (MOA) as ours could adversely impact the perception of the therapeutic use of our product candidates and our ability to enroll individuals in clinical studies.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(AEs) in our nonclinical or clinical studies or those of our competitors or of academic researchers utilizing the same MOA as our product candidates, even if not ultimately attributable to our product candidates, and any resulting publicity could result in increased governmental regulation, larger, more complex, or an increased number of clinical trial requirements,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including cybersecurity incidents, could materially and adversely affect our business, results of operations and financial condition.</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collect and maintain information in digital form and are increasingly dependent on information technology systems and infrastructure to operate our business. In the ordinary course of our business, we collect, store and transmit large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amounts of confidential information, including trade secrets, other proprietary business information and confidential personal data. We rely on information technology systems that we or our third-party providers operate to process, transmit and store electronic information and otherwise to conduct our day-to-day operations (including confidential business, personal and patient health information in connection with our preclinical and clinical studies and our employees), which information technology systems may become subject to cyberattacks and other security breaches, and system outages. The information technology systems and infrastructure of our current and any future collaborators, contractors and consultants and other third parties on which we rely, are also vulnerable to such incidents.</w:t>
      </w:r>
    </w:p>
    <w:p>
      <w:pPr>
        <w:spacing w:after="0" w:line="16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risk of a cybersecurity incident or security breach or disruption, particularly through cyberattacks or cyber intrusion, has escalated as the frequency, intensity and sophistication of attempted attacks and intrusions from around the world have increased, become increasingly difficult to detect and could be enhanced or facilitated by artificial intelligence. In addition, the prevalent use of mobile devices that access confidential information increases the risk of data security breaches. A successful cyberattack could cause serious negative consequences for us, including, without limitation, the disruption of operations, the theft, misappropriation, destruction or other compromises of confidential or proprietary information (including financial information, corporate strategic plans, trade secrets and other intellectual property and data), improper access to, use or disclosure of personal and patient health information, other misappropriation of assets, and financial loss. Although we devote resources to protect our information systems, we realize that cyberattacks remain a threat, and there can be no assurance that our efforts (or those of our employees, contractors, consultants and the third-party providers on which we rely) will prevent security breaches that would result in business, legal, financial or reputational harm to us, or would have a material adverse effect on our results of operations and financial condition. In addition, although we carry cyber insurance, in the event of a material security incident, such coverage may not be sufficient to cover all losses. Any failure to prevent or mitigate security breaches or improper access to, use of, or disclosure of our clinical data or patients’ personal data could result in significant liability under various U.S. state and federal laws and regulations and laws of foreign jurisdictions regarding data privacy and security (or require notification to governmental agencies, the media or individuals pursuant to such laws) and may cause a material adverse impact to our reputation, affect our ability to use collected data, conduct new studies and potentially disrupt our business.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internal computer systems, or those of our third-party CROs or other contractors or consultants, may fail or suffer other disruptions, which could result in a material disruption of our current or future product candidates’ development programs. Despite the implementation of security, business continuity and back-up measures, in addition to cyberattacks and security incidents described above, our internal computer systems and those of our third-party CROs and other contractors and consultants are vulnerable to damage from natural disasters, terrorism, war and telecommunication and electrical failures. While we have not experienced any such system failure, or accident to date, if such an event were to occur and cause interruptions in our operations (or those of our business partners or other third parties on which we rely), it could result in a material disruption of our programs. For example, any loss of clinical study data from completed or ongoing or planned clinical studies could result in delays in our regulatory approval efforts and significantly increase our costs to recover or reproduce the data. To the extent that any such disruption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credit carryforwards and certain other tax attributes may be limited.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net operating loss carryforwards due to prior period losses generated before January 1, 2024, which if not utilized, will begin to expire in 2029 for net operating loss carryforwards prior to 2018. If we are unable to generate sufficient taxable income to utilize our net operating loss carryforwards, pre-2018 carryforwards could expire unused and be unavailable to offset future income tax liabilities.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most recently in August 2025,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and Legal Environment</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candidates are subject to extensive and rigorous domestic government regulation, including regulation by the FDA, the Centers for Medicare and Medicaid Services, other divisions of the U.S. Department of Health and Human Services (HHS),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marketing authorization applications or supplements to approved applications, untitled letters or warning letters, fines, import and export restrictions, product recalls or seizures, injunctions, total or partial suspension of production, civil penalties, withdrawals of previously approved marketing authorizations, recommendations by the FDA or other regulatory authorities against governmental contracts, and/or criminal prosecutions.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has been in the past and may in the future be affected by a variety of factors, including government budget and funding levels, authorization and payment of user fees, the ability to hire and retain key personnel, as well as other statutory, regulatory and policy changes. In addition, funding of other government agencies that support research and development activities that pertain to FDA review, such as research to understand new technologies or establish new standards, can shift in response to changing administrative policies and priorities. Such policy shifts, including, for example, the recent efforts to downsize the federal workforce by restructuring the HHS and eliminating positions at the FDA, including teams critical to the FDA's ability to conduct regular inspections, reviews and other regulatory activities, such as issuing guidance for industry and regulations,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federal agencies, may affect the timelines, completeness or duration of the FDA review process. In addition, the HHS may change the user fee reauthorization process or fail to reauthorize user fee programs. As a result, average review times at the FDA may fluctuate, and the outcome of any such review process may be impacted. A prolonged government shutdown or a widespread freeze on federal funding could also significantly impact the ability of the FDA to timely review and process our regulatory submissions and the National Institutes of Health to conduct research or provide grants, or cause other agencies that support the FDA to slow their work. In addition, if future legislation or administrative action or changes in FDA policy prevent the FDA or other regulatory authorities from conducting routine inspections, reviews, or other regulatory activities, it could significantly impact the ability of the FDA to timely review and process our regulatory submissions, which could have a material adverse effect on our business.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partners and service providers are subject to stringent privacy laws, information security laws, regulations, policies and contractual obligations related to data privacy and security, and compliance with such laws, regulations, policies and contractual obligations could result in additional costs and liabilities to us and failure to comply could adversely affect our business, financial condition, results of operations and prospects.</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and process certain confidential, sensitive, or personal information in the operation of our business, and rely on certain third-party vendors to process confidential, sensitive or personal information on our behalf, including in the conduct of our clinical trials. We and our third party partners and service providers, including our CROs and other vendors and contractors, are subject to data privacy and security laws and regulations that govern the collection, transmission, storage, use, processing, destruction, retention and security of personal information, including additional laws or regulations relating to health information. The legislative and regulatory landscape for privacy and data protection continues to evolve in jurisdictions worldwide, and these laws may at times be conflicting. It is possible that these laws may be interpreted or applied in a manner that is inconsistent with the practices we or our third party partners maintain, and any of our efforts to comply with the evolving data protection rules may be unsuccessful. Neither we nor our third party partners can guarantee that we or they are and have been in compliance with all applicable data privacy and protection laws, rules regulations, policies and standards. We may need to devote significant resources to seek to understand and comply with this changing landscape, and it is possible that these ongoing compliance efforts may be costly and require modifications to our policies, procedures and systems over time. Failure, or perceived failure, by us or our third-party partners and service providers to comply with laws and regulations regarding privacy and security of personal information could result in penalties under such laws, such as orders requiring a change in business practices, claims for damages or other liabilities, government investigations and enforcement actions, litigation and significant costs for remediation, any of which could adversely affect our business. Even if it is determined that there was no violation of these laws, government investigations into these issues typically require the expenditure of significant resources and generate negative publicity. Any resulting enforcement actions against us or our third party partners could lead to the imposition of fines, criminal prosecution of employees, claims for damages by affected individuals and reputational damage and loss of goodwill. Additionally, if we and any CROs or third parties we use to conduct clinical trials, are unable to properly protect the privacy and security of personal information, including protected health information, we and they could be found to have breached our and their contracts with certain third parties.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the Health Insurance Portability and Accountability Act (HIPAA), as amended by HITECH and their respective implementing regulations, establish privacy and security standards for Covered Entities and Business Associates (as defined by HIPAA)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We do not believe that we are currently acting as a covered entity or business associate under HIPAA and thus are not directly subject to its requirements or penalties. However,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obtain health information from third parties, including research institutions from which we obtain clinical trial data, that are subject to privacy and security requirements under HIPAA. Determining whether protected health information has been handled in compliance with applicable privacy standards and contractual obligations can be complex and may be subject to changing interpretation. If we or our third party partners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the HHS also has discretion to impose penalties without attempting to first resolve violations. In addition, state attorneys general are authorized pursuant to certain federal and state laws to bring civil actions seeking either injunctions or damages in response to violations that threaten the privacy of state residents. We cannot be sure how these laws and regulations will be interpreted, enforced or applied to our operations or the operations of our third party partners.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U.S. state laws may be more stringent or broader in scope, or offer greater individual rights, with respect to sensitive and personal information than international, federal, or other state laws, and such laws may differ from each other, which may complicate compliance efforts. For example, in June 2018, California enacted the California Consumer Privacy Act (CCPA), which broadly defines personal information, gives California residents expanded privacy rights and protections, including the right to access and delete certain personal information, as well as the right to opt-out of certain sales of personal information, and provides for civil penalties for violations and a private right of action for data breaches. Additional states have passed privacy laws, such as the Virginia Consumer Data Protection Act and the Colorado Privacy Act, which are similar to the CCPA. Such new privacy laws add further complexity in interpreting and implementing data privacy requirements and restrictions and thus create additional potential legal risk, require additional investment in resources for compliance programs, and could impact business strategies and the availability of previously useful data. This complexity applies to data security as well. Certain other states, including California, Massachusetts and Nevada have adopted laws requiring the implementation of certain security measures to protect personal information, and all 50 states and the District of Columbia, Puerto Rico, the U.S. Virgin Islands and Guam have adopted laws including obligations to provide notification of security breaches of computer databases that contain personal information to affected individuals, state officers and others. We may also be subject to U.S. federal rules, regulations and guidance with respect to data privacy and security practices. According to the Federal Trade Commission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These federal and state laws regarding data privacy and security may differ from one another, and the interplay between them may be subject to varying interpretations by courts and government agencies, increasing our costs of compliance and exposing us to potential legal risk.</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European Union (EU), the processing of personal data, including personal health data, is governed by the provisions of the EU General Data Protection Regulation (EU GDPR), in addition to other applicable laws and regulations. The EU GDPR, together with national legislation, regulations and guidelines of the EU Member States governing the processing of personal data, impose strict obligations with respect to, and restrictions on, the collection, use, retention, protection, disclosure, transfer and processing of personal data. The EU GDPR also imposes strict rules on the transfer of personal data to countries outside the EU that are not deemed to have adequate protections for personal information, including the United States. The EU GDPR authorizes fines for certain violations that are in addition to any civil litigation claims by data subjects. Separately, Brexit has led and could lead to further legislative and regulatory changes and may increase our compliance costs. Data processing in the United Kingdom (UK) is governed by the UK General Data Protection Regulation (UK GDPR), creating two parallel regimes, each of which authorizes similar fines and other potentially divergent enforcement actions for certain violations. Failure to comply with the EU GDPR or the UK GDPR can result in significant fines and other liability, including, under the EU GDPR, fines of up to €20 million (or £17.5 million under the UK GDPR) or four percent (4%) of global revenue, whichever is greater.</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jurisdictions worldwide are similarly introducing or enhancing privacy and data security laws, rules and regulations, which could increase our compliance costs and the risks associated with noncompliance. Compliance with data protection laws and regulations in the U.S. and internationally could require us to take on more onerous obligations in our contracts, restrict our ability to collect, use and disclose data, or in some cases, impact our ability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operate in certain jurisdictions. 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development partners or other third party partners and service providers to comply with such requirements or adequately address privacy and security concerns, even if unfounded, could have a material adverse effect on our business, financial condition, results of operations and prospects. We cannot guarantee that we and our employees, representatives, contractors, consultants, CROs, collaborators, development partners and other third parties on whom we rely are, and will be, in compliance with all applicable international laws and regulations as they are enforced now or as such laws and regulations evolve or are interpreted.</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may be subject, directly or indirectly, to applicable U.S. federal and state anti-kickback, false claims laws, physician payment transparency laws, other fraud and abuse laws or similar healthcare and security laws and regulations, and health information privacy and security laws, which could expose us or them to criminal sanctions, civil penalties, exclusion or suspension from federal and state healthcare programs, contractual damages, reputational harm and diminished profits and future earnings.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For example, there are federal and state healthcare laws and regulations that govern prescription drug marketing practices, including off-label promotion, and increased scrutiny of direct-to-consumer advertisements.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might not be able to obtain insurance.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be exposed to liability claims associated with the use of hazardous materials and chemicals.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for which we may be held responsible and which could result in significant liability for us and harm our reputation.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fraud or other misconduct, including failure to:</w:t>
      </w:r>
    </w:p>
    <w:p>
      <w:pPr>
        <w:spacing w:after="0" w:line="117"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regulations of, and 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the U.K. Bribery Act 2010, the PRC Criminal Law, the PRC Anti-unfair Competition Law and other anti-bribery and trade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and data accurately;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protecting our intellectual property.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our patents and other intellectual property rights.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obtain rights from third parties to issued patents covering such products and technologies. We cannot guarantee that the manufacture, use or marketing of any product candidates that we develop will not infringe third-party patents.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54" w:lineRule="exact"/>
        <w:rPr>
          <w:sz w:val="20"/>
          <w:szCs w:val="20"/>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in the past and may continue to fluctuate significantly, and you could lose all or part of your investment.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has in the past and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the critical importance of developing, implementing, and maintaining robust cybersecurity measures to help maintain the security, confidentiality, integrity, and availability of our business systems and confidential information, including personal information and intellectual property. Our cybersecurity program includes systems and processes that are designed to assess, identify and manage material risks from cybersecurity threats and includes: maintenance and monitoring of information security policies aligned with global regulatory controls; user and employee awareness of cyber policies and practices; simulated phishing exercises; information systems configuration management; identity and information asset protection; infrastructure security systems; and cyber threat operations with regular monitoring and threat hunting, including system penetration tests through a third-party service provider. This program includes processes to oversee and identify material risks from cybersecurity threats associated with our use of third-party service providers. We also maintain a cyber incident response plan designed to assist us in identifying, responding to and recovering from cybersecurity incidents. We use the findings from these and other processes to help us improve our information security practices, procedures and technologies. We also collaborate with third parties to assess the effectiveness of our cybersecurity program. These include cybersecurity assessors, consultants, and other external cybersecurity experts to assist in the identification, verification, and validation of material risks from cybersecurity threats, as well as to support associated mitigation plans when necessary.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Cybersecurity is integrated into our overall risk management systems, including our annual enterprise risk management, internal controls, business continuity and crisis management, third-party risk management, insurance risk management, and employee compliance processes. Our Cyber Incident Response Team, comprised of our Vice President, General Counsel and Corporate Secretary, our Vice President, Finance, and our Executive Director, Information Technology, consults with, or provides input to each of these programs to ensure that material risks from cybersecurity threats are appropriately assessed, identified, and managed.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report, there have been no cybersecurity threats, including as a result of any previous cybersecurity incidents, that have materially affected or are reasonably likely to materially affect us, including our business, strategy, results of operations, or financial condition. For additional description of cybersecurity risks and potential related impacts on the Company, refer to the risk factor captioned “Significant disruptions of information technology systems or breaches of data security, including cybersecurity incidents, could materially and adversely affect our business, results of operations and financial condition” in “Item 1A.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our board of directors has oversight responsibility for risk management generally, the Audit Committee is specifically responsible for overseeing our cybersecurity risk management program to ensure cybersecurity risks are identified, assessed, managed, and monitored. Our Executive Director, Information Technology, who has over 15 years of experience in the cybersecurity field and regularly attends cybersecurity conferences and actively implements new technologies to keep our systems up to date and secure, provides periodic updates to the Audit Committee in this regard, and details our cybersecurity program supported by key performance indicators across the range of cybersecurity functions related to risk management and governance, identity and information asset protection, core security and endpoint security, and cyber threat operations. These updates include descriptions of cybersecurity incidents, including those associated with our third-party service providers. The Audit Committee is responsible for updating our full board of directors on material risks from cybersecurity incidents or threats.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office space for corporate and administrative functions and laboratory space in South San Francisco, California under a sublease that expires in September 2029.</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these leased facilities are adequate for our current needs and that additional space will be available in the future on commercially reasonable terms as needed.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effect on us because of defense and settlement costs, diversion of management resources and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under the symbol “ASMB” and is quoted on The Nasdaq Global Select 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13, 2026, there were 56 stockholders of record, which excludes stockholders whose shares were held in nominee or street name by brokers.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declared or paid any dividends and do not anticipate paying any dividends on our common stock in the foreseeable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in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02" w:lineRule="exact"/>
        <w:rPr>
          <w:sz w:val="20"/>
          <w:szCs w:val="20"/>
          <w:color w:val="auto"/>
        </w:rPr>
      </w:pPr>
    </w:p>
    <w:p>
      <w:pPr>
        <w:ind w:right="2100"/>
        <w:spacing w:after="0" w:line="485" w:lineRule="auto"/>
        <w:rPr>
          <w:sz w:val="20"/>
          <w:szCs w:val="20"/>
          <w:color w:val="auto"/>
        </w:rPr>
      </w:pPr>
      <w:r>
        <w:rPr>
          <w:rFonts w:ascii="Times New Roman" w:cs="Times New Roman" w:eastAsia="Times New Roman" w:hAnsi="Times New Roman"/>
          <w:sz w:val="18"/>
          <w:szCs w:val="18"/>
          <w:color w:val="auto"/>
        </w:rPr>
        <w:t xml:space="preserve">We did not purchase any of our registered equity securities during the period covered by this Annual Report on Form 10-K. </w:t>
      </w:r>
      <w:r>
        <w:rPr>
          <w:rFonts w:ascii="Times New Roman" w:cs="Times New Roman" w:eastAsia="Times New Roman" w:hAnsi="Times New Roman"/>
          <w:sz w:val="18"/>
          <w:szCs w:val="18"/>
          <w:b w:val="1"/>
          <w:bCs w:val="1"/>
          <w:color w:val="auto"/>
        </w:rPr>
        <w:t>Item 6. [Reserved]</w:t>
      </w: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13" w:right="5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thereto and other financial information appearing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in this Form 10-K under “Item 1A. Risk Factors.”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biotechnology company developing innovative therapeutics targeting serious viral diseases with the potential to improve the lives of patients worldwide. Our pipeline includes multiple clinical-stage investigational therapies, including: (1) two long-acting helicase-primase inhibitors (HPI) for the treatment of recurrent genital herpes; (2) an orally bioavailable hepatitis delta virus (HDV) entry inhibitor; and (3) a highly potent next-generation capsid assembly modulator (CAM) designed to disrupt the replication cycle of hepatitis B virus (HBV) at several key points. Our pipeline also includes a novel, oral broad-spectrum non-nucleoside polymerase inhibitor (NNPI) for the treatment of transplant-related herpesviruses, which is currently undergoing studies to enable a regulatory filing, and we have additional research programs against multiple antiviral targets. In December 2025, pursuant to our collaboration with Gilead Sciences, Inc. (Gilead and the Gilead Collaboration), Gilead exercised its option to license our HPI program for the treatment of recurrent genital herpes, including our long-acting investigational candidates ABI-1179 (1179) and ABI-5366 (5366). For additional information regarding Gilead’s exercise of its option, see “Collaboration and License Agreement—Gilead Sciences, Inc.—Option Exercise.”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Programs and Regulatory Filing-Enabling Program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was a pivotal year for us, as we reported data readouts for 5366, 1179, 4334 and 6250 as follows:</w:t>
      </w:r>
    </w:p>
    <w:p>
      <w:pPr>
        <w:spacing w:after="0" w:line="117"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1179 – Positive Phase 1a interim results in the Phase 1a/b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4334 – Positive Phase 1b topline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August 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5366 – Positive Phase 1b interim results from the weekly dosing cohorts in the Phase 1a/b study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6250 – Positive Phase 1a interim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2025:</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1179 – Positive Phase 1b interim results in the Phase 1a/b study</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5366 – Positive Phase 1b interim results from the monthly dosing cohorts in the Phase 1a/b study</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during December 2024, we identified a development candidate, ABI-7423 (7423), in our broad-spectrum NNPI program targeting transplant-associated herpesviruses. 7423 is a prodrug, and in October 2025, we transitioned our development from 7423 to 7272, its parent molecule. 7272 is currently in regulatory filing enabling studies.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Recurrent Genital Herpes/HSV-1 and HSV-2</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individual’s life and periodically reactivate, with the virus spreading, replicating and causing disease in epithelial tissues. Initial infection can be asymptomatic or can be marked by serious symptoms, including painful skin lesions, swelling of lymph nodes and urinary problems that can persist for two to three weeks. While genital herpes can be caused by either HSV-1 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HSV-2, recurrences are more likely to be experienced by individuals infected by HSV-2. Genital herpes recurrence can cause painful genital lesions that can lead to increased transmission and debilitate individuals, and symptoms may become more serious with additional episodes. Additional complications include increased risk of HIV infection, as 30% of HIV infections acquired through sexual transmission are attributable to HSV-2 infection. In addition, people with recurrent genital herpes often experience associated psychosocial impacts, including anxiety, concerns about transmission, depression and social stigma. Immunocompromised individuals may experience more severe and prolonged symptoms due to increased recurrence rates.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HPIs are antiviral agents in development for the treatment of recurrent genital herpes, with a clinically-validated mechanism of action. HPIs inhibit the HSV helicase-primase complex, which is a unique viral enzyme complex without a human homolog, consisting of helicase, primase and cofactor subunits.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against TK-deficient HSV-1 and HSV-2, which is a major mechanism of resistance to nucleoside analogs.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people with initial symptomatic genital herpes who are infected with HSV-2 have frequent recurrences, generally between three and 15 per year, impacting over four million people in the United States and France, Germany, Italy and Spain (collectively, the EU4) and the United Kingdom (UK).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w:t>
      </w:r>
    </w:p>
    <w:p>
      <w:pPr>
        <w:spacing w:after="0" w:line="1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people with recurrent genital herpes with six or more recurrences per year are able to make it through a year of treatment without a recurrence. There are still high titer (greater than 10</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HSV-2 DNA copies/mL) shedding episodes under this current standard of care for recurrent genital herpes, which can lead to recurrent episodes and transmission of genital herpes. In addition, nucleoside analogs also carry a high pill burden as a lifelong daily treatment, with doses ranging from one to three times daily. There is also high treatment variability among those taking nucleoside analogs, as many seeking care may not consistently receive suppressive therapy.</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the limitations of current therapies, we see a path to advancing the treatment paradigm for people suffering from recurrent genital herpes. To reach that goal, we discovered and began the clinical development of a novel, potent, long-acting HPI for recurrent genital herpes, 5366, which demonstrated low nanomolar potency in vitro against both HSV-1 and HSV-2 clinical isolates and a favorable nonclinical safety profile in the U.S. Food and Drug Administration's (FDA) Good Laboratory Practice (GLP) toxicology studies. In addition, we began development of a second novel, potent, long-acting HPI for genital herpes, 1179, which was in-licensed to us as part of our collaboration with Gilead. As Gilead has exercised its option to exclusively license our HPI program, including 5366 and 1179, development will be in Gilead’s sole control following completion of the Phase 1a/b studies of 5366 and 1179, which we are managing until they are complete. For additional information regarding the option exercise, see “Collaboration and License Agreements—Gilead Sciences, Inc.—Option Exercise.”</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2024, we filed a Clinical Trial Application (CTA) to support initiation of a Phase 1a/b clinical study for 5366, which was approved in April 2024.</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reported interim data from the Phase 1b portion of the 5366 study in August 2025, focused on two different oral doses of 5366 administered on a once-weekly basis. For the powered antiviral endpoint, HSV-2 shedding rate, highly potent antiviral activity was observed with a 94% reduction compared to placebo (p&lt;0.01) over the 29-day evaluation period in the cohort evaluating a 350 mg weekly dose. This reduction exceeded our target for the study of an 80-85% reduction in the rate of HSV-2 shedding. For a secondary clinical endpoint of genital lesion rate, a 94% reduction compared to placebo (p&lt;0.01) was observed with the 350 mg weekly dose. The rate of genital swabs with high viral load (i.e., &gt;10</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copies/mL HSV DNA), a potential surrogate for HSV-2 transmission and a secondary endpoint, was reduced by 98% compared to placebo (p&lt;0.05) in this cohort.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additional interim data from the Phase 1b portion of the 5366 study in December 2025, which included data from a monthly oral dosing regimen. In the 5366 monthly dose cohort, potent antiviral activity was observed, with a 76% reduction in HSV-2 shedding rate compared to placebo (p&lt;0.01) over the 29-day evaluation period. The majority of positive swabs (89%) were collected in the last two weeks of the evaluation period when drug levels were declining. We observed an 88% reduction in virologically confirmed genital lesion rate (p=0.01), along with an 81% reduction in the number of samples with high viral load (p&lt;0.01) compared to placebo in the monthly dose cohort.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Across the two weekly oral dose cohorts and the monthly oral dose cohort of the Phase 1b study, 5366 demonstrated a pharmacokinetic (PK) profile that continues to support once-weekly and potentially once-monthly dosing.</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5366 was observed to be well-tolerated at all dose levels tested in the Phase 1b portion of the study. The two weekly oral cohorts are complete and unblinded safety data has been reported; the oral monthly cohort is ongoing and safety data remains blinded. Across all cohorts, the proportion of participants reporting treatment-emergent AEs was similar between 5366 and placebo recipients, and all were Grade 1 or Grade 2. One Grade 3 AE was reported, hypertriglyceridemia, in a participant with relevant medical history who had Grade 4 elevated triglycerides pre-dose on Day 1. This AE resulted in study discontinuation but was not considered treatment related. The proportion of participants reporting treatment-emergent lab abnormalities was similar in 5366 and placebo recipients with the majority being Grade 1 or Grade 2. In the unblinded weekly oral dose cohorts: there were three participants with treatment-emergent Grade 3 lab abnormalities, all of which are considered unrelated to assigned treatment; one participant with exercise-associated elevation in creatine kinase (150/30 mg QW); one participant with an elevation of cholesterol in the follow up period, which participant had a Grade 2 elevation at baseline (350 gm QW); and one participant, who was dosed with placebo, with decreased neutrophils. There did not appear to be a dose-response relationship in either the frequency or severity of the treatment-emergent AEs or lab abnormalities. No serious AEs have been reported to date.</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participants in the Phase 1b portion of the 5366 study have completed dosing and follow up. The observed PK profile continues to support once-weekly dosing and the potential for once-monthly oral dosing regimens. Additionally, all chronic toxicology studies have been completed. With these data, 5366 is ready to move into a Phase 2 clinical study.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late-breaking oral presentation of the interim 5366 Phase 1b data reported in August 2025 was presented at the 38th Congress of the International Union Against Sexually Transmitted Infections – Europe, which took place in October 2025 in Athens, Greece. The 5366 data reported in August and December 2025 will be presented at the Congress of the European Society of Clinical Microbiology and Infectious Diseases (ESCMID) taking place in Munich, Germany in April 2026.</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5366, we have also begun the clinical development of 1179, a structurally-differentiated HPI with single digit nanomolar potency against HSV-1 and HSV-2 and a nonclinical PK and safety profile to date that is supportive of a potential long-acting treatment by once-weekly oral administration. We submitted the CTA for the study in September 2024, which was approved in October 2024.</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interim data from two oral weekly dose cohorts in the Phase 1b portion of the 1179 study in December 2025. For the powered antiviral endpoint, HSV-2 shedding rate, highly potent antiviral activity was observed with a 98% reduction in HSV-2 shedding rate compared to placebo (p&lt;0.01) over the 29-day evaluation period in the 50 mg weekly dose cohort. This reduction exceeded our target for the study of an 80-85% reduction in HSV-2 shedding rate. Further, data revealed a 91% reduction in virologically confirmed lesion rate compared to placebo (p&lt;0.01) with the 50 mg weekly dose. There was also a &gt;99% reduction in the number of samples with high viral load, a potential surrogate for HSV-2 transmission and a secondary endpoint.</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Across both oral weekly dose cohorts, 1179 demonstrated a PK profile that continues to support once-weekly dosing. 1179 was observed to be well-tolerated at both doses. Overall, the proportion of participants reporting treatment-emergent AEs was similar between 1179 and placebo recipients. Of the treatment-emergent AEs reported, the majority were Grade 1 or Grade 2. The most common AEs were upper respiratory tract infection and headache. There have been no serious AEs reported to date. One Grade 3 AE of migraine was reported in a participant enrolled in the 20 mg/placebo cohort.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participants in the Phase 1b portion of the 1179 study have completed dosing and follow up. With these data, 1179 can move directly into Phase 2 enabling studies for a once-weekly treatment regimen, subject to the completion of chronic toxicology studies, which are underway. The completion of the Phase 1b studies of both 5366 and 1179 constitute an option triggering point under the terms of the Gilead Collaboration Agreement, as defined below under "Collaboration and License Agreement — Gilead Sciences, Inc." The 1179 data reported in December 2025 will be presented at ESCMID in April 2026.</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Gilead exercised its option early to license our HPI program for the treatment of recurrent genital herpes, including 5366 and 1179. We expect to receive Gilead’s development plan and budget for the HPI program and make our decision regarding the Profit-Share (as defined below) by mid-2026. We anticipate Gilead will initiate a Phase 2 clinical study for the HPI program in 2026. For more information regarding Gilead’s exercise of its option, see “Collaboration and License Agreement—Gilead Sciences, Inc.—Option Exercise.”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HBV and HDV Programs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Of the 254 million people living with chronic HBV infection, only approximately 33 million, or 13%, were aware of their infection, and only approximately 7 million, or 3%, of those diagnosed received treatment. HBV is a highly prevalent disease that infects almost three times the number of people infected with hepatitis C virus and HIV infections combined, according to the WHO.</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HDV is a “satellite virus” of HBV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European Union (EU), Australia and Canada. HDV is known to accelerate disease progression and increase the incidence of liver cirrhosis and liver cancer, which results in higher morbidity and mortality rates than HBV alone.</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current standard of care treatment for HDV is off-label pegylated interferon-α (IFN-α) injected weekly or, in the EU, Australia and Canada, a large, complex peptide inhibitor that requires daily injections, bulevirtide. There are no approved HDV treatments in the United States. We believe a safe and effective oral small molecule entry inhibitor would be a significant innovation for people living with HDV, who face a significant and immediate disease burden.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HDV Entry Inhibitor</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inhibition of HBV and HDV infection by molecules that bind NTCP has been demonstrated in vitro, in animal models and clinically. Notably, bulevirtide, a peptide blocker of NTCP, is the only approved therapy for HDV. 6250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has the same clinically-validated MOA as bulevirtide. The binding of NTCP-targeted HBV/HDV entry inhibitors to NTCP has also been shown to inhibit the transport of certain bile acids into cells, which results in plasma elevations of bile acids; this effect has been well-tolerated clinically and may serve as a biomarker of pharmacologically active concentrations of drug in the plasma. In nonclinical studies in non-human primates, clinically-relevant doses of 6250 elevated bile acids to levels similar to those seen in humans with bulevirtide.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 safe and effective oral small molecule entry inhibitor would be a significant innovation for people living with HDV and could significantly improve treatment uptake and diagnosis rates, especially when compared with currently available injectable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Phase 1a clinical study of 6250 was initiated in the fourth quarter of 2024, and in August 2025, we announced interim PK, biomarker and safety data from single-ascending and multiple-ascending doses cohorts in healthy participants. Across the cohorts evaluated to date, a mean half-life of approximately four days was observed for 6250 when dosed orally, supporting the once-daily oral dosing profile target. Given this half-life, accumulation was observed in the multiple-dose cohorts with exposures on the last day of dosing generally reaching six- to seven-fold higher than the exposure seen after the first dose.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Dose-dependent elevations of total serum bile acids (TBAs) were observed for both the 5 mg and 25 mg single-dose cohorts, indicative of NTCP target engagement. In the highest single-dose cohort of 25 mg, coproporphyrin I (CP-1), a biomarker for off-target engagement of the organic anion transporters, OATP1B1 and/or OATP1B3, was also elevated. CP-1 elevation was not noted at the other doses.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predicted 6250 accumulation driven by the long half-life and the observed elevations of TBAs for the single-dose cohorts, doses at and below 1 mg daily were selected for the multiple-dose cohorts to characterize the lower end of the dose-response curve. Elevation of TBAs was observed for both the 0.2 mg and 1 mg daily multiple-dose cohorts, consistent with the respective 6250 exposures. Minimal TBA elevation was observed in the 0.05 mg daily multiple-dose cohort.</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Treatment-emergent AEs and laboratory abnormalities were all Grade 1 or 2 in severity with the majority being Grade 1. There were no serious AEs in any dose cohort. No protocol defined stopping criteria were met. There were no clinically significant electrocardiogram abnormalities or patterns of AEs noted.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Grade 2 ALT elevation was observed in the cohort evaluating the highest single-dose level of 25 mg. In this cohort, off-target engagement of other liver transporters was also seen as indicated by elevated CP-1 levels. Grade 1 ALT elevations were observed at a low frequency across the other cohorts. All ALT elevations were self-limited, and none were accompanied with elevations in bilirubin or other markers of liver injury. The elevations resolved in the study period with ongoing drug exposure due to 6250's four-day half-life.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completed enrollment and the follow-up period in the Phase 1a study, as well as the chronic toxicology studies to enable longer term dosing and we are preparing for Phase 2 clinical studies, with Phase 2 initiation expected in the fourth quarter of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6250 Phase 1a data will be presented at the European Association for the Study of the Liver (EASL) Congress taking place in Barcelona, Spain in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Capsid Assembly Modulator</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As a result, we have worked to discover and develop compounds targeting the core protein, a viral protein involved in numerous aspects of the HBV replication cycle, including the generation of HBV cccDNA.</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surrogate markers for cccDNA establishment: HBV e antigen (HBeAg), HBV core-related antigen (HBcrAg) and HBV pre-genomic RNA (pgRNA).</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next-generation CAM, 4334 was optimized to potently disrupt viral replication (MOA #1) and prevent the establishment and replenishment of new cccDNA (MOA #2). In contrast, while active against MOA #1, first-generation CAMs have not demonstrated adequate potency to sufficiently block MOA #2. Further, the current standard of care, NrtIs, impacts the viral life cycle after establishment of cccDNA and can only inhibit production of new viral particles, and it does so incompletely. The chemical scaffold of 4334 is novel and distinct from all our prior CAM candidates.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w:t>
      </w:r>
    </w:p>
    <w:p>
      <w:pPr>
        <w:spacing w:after="0" w:line="1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Phase 1a study demonstrated that 4334 was well-tolerated when administered orally as single or multiple doses. During the second quarter of 2024, we dosed our first participant in a Phase 1b clinical study of 4334. We reported interim clinical results from the initial 150 mg cohort in December 2024, and topline clinical results including a subsequent 400 mg cohort in June 2025. In both the 150 mg and 400 mg cohorts, 4334 continued to show a half-life supportive of once-daily oral dosing. In addition, results for both cohorts indicated that 4334 maintained clinical exposures multiple folds above those anticipated to be required for potent viral activity and inhibition of cccDNA formation. Mean declines in HBV DNA of 2.9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and 3.2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were observed over 28 days in a population of predominately HBeAg negative participants receiving 150 mg and 400 mg, respectively. Among the subset of participants with detectable HBV RNA at baseline, mean declines of 2.5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U/mL and 2.3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U/mL were observed over 28 days in the participants receiving 150 mg and 400 mg, respectively. As anticipated, limited changes in viral antigens were observed for the study population over the 28-day treatment period. These antiviral data are consistent with the high potency seen preclinically for 4334. The safety data also demonstrated that 4334 was well-tolerated with a favorable safety profile observed. The 400 mg cohort was the final cohort for this Phase 1b study and final data was presented at the American Association for the Study of Liver Disease, The Liver Meeting® in November 2025. The completion of the Phase 1b study of 4334 constitutes an option triggering point under the terms of the Gilead Collaboration Agreement, as defined below under "Collaboration and License Agreement — Gilead Sciences, Inc."</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Gilead declined to either exercise its option to license 4334 or defer its option until completion of Phase 2 studies. As a result, the Company retains full control of 4334, including the right to evaluate partnering opportunities for 4334 outside of the Gilead Collaboration. We are actively evaluating partnering opportunities for 4334 and have initiated a structured process to find potential partners. We do not plan to advance 4334 further without a partner.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Transplant-Associated Herpesviruses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 transplant setting, when patients are experiencing immunosuppression, they are at high risk of uncontrolled viral replication and severe disease brought on by one or more herpesviruses, including cytomegalovirus (CMV), HSV-1, HSV-2, varicella zoster virus (VZV) and Epstein-Barr virus (EBV). Each of these herpesviruses are highly prevalent, as approximately (1) 60% of transplant patients are CMV-positive; (2) 60% of transplant patients are HSV-positive; (3) 80% of transplant patients are VZV-positive and (4) 45% of transplant patients are EBV-positive. These viruses establish lifelong latent infections and frequently reactivate in transplant patients due to the use of immunosuppressive drugs following transplantation. These uncontrolled herpesvirus infections increase the risk of severe disease and serious complications, including organ rejection, graft loss and death, and impacted approximately 95,000 people receiving transplants in 2021 in the United States and Europe.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there are approved antivirals that are administered in a transplant setting, currently approved antivirals are not active against a broad spectrum of transplant-associated herpesviruses and pose the risk of potentially serious side effects and drug-drug interactions. As a result of these limitations, we identified an opportunity to develop an oral, broad-spectrum NNPI for transplant-associated herpesvirus infections, which could greatly advance treatment.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we nominated 7423, a prodrug, as our development candidate to undergo regulatory filing-enabling studies. In October 2025, we transitioned our discovery and development from 7423 to its parent molecule, 7272, which is currently in regulatory filing-enabling nonclinical studies.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investigational therapy programs that have nominated development candidates and have advanced into clinical studies or regulatory-filing enabling studies, our research team continues to actively focus on proprietary research to discover and nominate novel antivirals to treat serious viral diseases.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Sciences, Inc.</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upon payment of a deferral fee and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In December 2024, we and Gilead entered into the First Amendment to the Gilead Collaboration Agreement, which restructured the timing of specific options exercisable and the fees payable to us under the terms of the Gilead Collaboration Agreement due to an agreed upon development plan for 6250. To facilitate this development plan, (1) we received a payment of $10.0 million from Gilead and (2)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 This credit was applied toward Gilead’s opt-in fee paid for the HPI program in December 2025.</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we may opt-in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are primarily responsible for all discovery, research and development on both our programs and the two Gilead-contributed programs. Following Gilead’s opt-in, Gilead will control the further discovery, research, development and commercialization on any optioned programs, and is responsible for all related costs unless we opt in to share 40% of all costs and profits in the United States. During the term, Gilead will continue to support the collaboration through extension fees of $75.0 million in each of the third, fifth and seventh anniversaries of the collaboration.</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Gilead also entered into a Common Stock Purchase Agreement and an Investor Rights Agreement (together, the Gilead Equity Agreements), which were both amended in June 2024 in connection with a financing transaction, in which a new investor purchased shares of common stock and was issued a warrant (the 2024 Financing Transaction). Pursuant to the Gilead Equity Agreements, Gilead made an upfront equity investment of $15.2 million by purchasing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us 1,089,472 shares of our common stock at a purchase price of $13.92 per share. The terms of the Gilead Equity Agreements provided Gilead the right to elect to purchase additional shares of common stock from us at a premium in an amount that results in Gilead owning 29.9% of our then-outstanding voting common stock. This right was exercised in December 2024, at a purchase price of $21.37 per share, which represents a 35% premium to the 30-trading day volume weighted average price immediately prior to the date of purchase. The Gilead Equity Agreements also include a three-year standstill provision and a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Gilead participated in the 2024 Financing Transaction on the same terms as the new investor pursuant to the anti-dilution provision in the Investor Rights Agreement. We and Gilead entered into a Securities Purchase Agreement for the issuance and sale, in a private placement, of 179,500 shares of our common stock and a warrant to purchase up to 179,500 shares of our common stock. The warrant sold to Gilead has an exercise price equal to $17.00 per share, became immediately exercisable on the date of issuance and will expire on June 18, 2029. Subject to certain exceptions, neither Gilead nor its affiliates may exercise any portion of the warrant to the extent that Gilead would own more than 19.9% of the number of our shares of common stock outstanding immediately after giving effect to such exercise.</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Gilead also participated in a financing transaction in August 2025 on the same terms as the new investors. We and Gilead entered into a Securities Purchase Agreement for the issuance and sale, in a private placement, of 2,295,920 shares of our common stock at a combined purchase price of $19.60 per shares and accompanying one-half of one Class A Warrant and one-half of one Class B Warrant (collectively, the August 2025 Private Placement). The common stock, the Class A Warrant and the Class B Warrant were sold to Gilead pursuant to the terms of the Investor Rights Agreement. The Class A Warrant and the Class B Warrant each provide for the right to purchase up to 1,147,960 shares of our common stock. The Class A Warrant has an exercise price of $21.60 per share, became immediately exercisable on the date of issuance and will expire on or prior to the earlier of (a) August 11, 2030 (five years from the date of issuance) and (b) the date that is 30 days after the public announcement that we have completed enrollment of at least 200 patients total for our Phase 2 clinical study evaluating 5366 versus valacyclovir. The Class B Warrant has an exercise price of $21.60 per share and is exercisable between November 15, 2026 and December 31, 2026. Notwithstanding the foregoing, if, prior to November 15, 2026, we publicly announce that we have received at least $75.0 million in the aggregate of non-dilutive capital in connection with a collaboration agreement, then the Class B Warrant automatically terminates in full.</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2025, as required under the registration rights terms of the Investor Rights Agreement, we filed a registration statement on Form S-3 (the Registration Statement) with the Securities and Exchange Commission (SEC) to register all of the shares of our common stock that have been issued and sold to Gilead, as well as all of the shares of common stock underlying the warrants that have been issued and sold to Gilead. The SEC declared the Registration Statement effective in November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 Exercise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2025, Gilead exercised its option to exclusively license our HPI program for the treatment of recurrent genital herpes, including 5366 and 1179. This is the first program that Gilead will advance under the Gilead Collaboration.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Gilead Collaboration Agreement, we received a $35 million payment in connection with Gilead’s exercise of our HPI program. The $35 million payment reflects a $45 million option fee, net of $10 million in accelerated funding that we received under the First Amendment to the Gilead Collaboration Agreement, which was creditable against future payments. Gilead received an exclusive license to 5366 and 1179 and will have the sole right and responsibility for further clinical development and commercialization of the HPI program.</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remain eligible to receive up to $330 million in regulatory and commercial milestones, as well as tiered royalties on net sales ranging from the high single-digits to low teens. We will also have the right to opt in to share 40% of all costs and profits in the United States (the Profit-Share) in lieu of receiving milestones and royalties for that program in the United States after receipt of a development plan and budget from Gilead.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discovering and developing our product candidates, licensing our product candidates, maintaining and improving our patent portfolio and raising capital.</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generated significant losses to date, and we expect to continue to generate losses as we develop our product candidates. As of December 31, 2025, we had an accumulated deficit of $832.0 million. Because we do not generate revenue from any of our product candidates, our losses will continue as we further develop and seek regulatory approval for, and commercialize, our product candidates. Additionally, we expect our research and development expenses to increase over the coming years as we continue the development of our product candidates. As a result, our operating losses are likely to be substantial over the next several years and thereafter if none of our product candidates are approved or successfully launched. We are unable to predict the extent of any future losses or when we will become profitable, if at all.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we have prepared in accordance with accounting principles generally accepted in the United States.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Note 2 to the Consolidated Financial Statements describes the significant accounting policies and methods used in the preparation of our consolidated financial statements.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from Collaboration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analyze our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we consider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arrangements or transactions between arrangement participants determined to be within the scope of the contracts with customers accounting standard, we evaluate the term of the arrangement and recognize revenue when the customer obtains control of promised goods or services in a contract for an amount that reflects the consideration we expect to receive in exchange for those goods or services. For contracts with customers, we apply the following five-step model, each of which requires judgment, in order to determine this amount: (1) identification of the contract(s) with a customer; (2) identification of the performance obligations in the contract, including whether they are distinct in the context of the contract; (3) measurement of the transaction price, including the constraint on variable consideration; (4) allocation of the transaction price to the performance obligations; and (5) recognition of revenue when (or as) we satisfy each performance obligation.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only apply the five-step model to contracts when it is probable we will collect the consideration we are entitled to in exchange for the goods or services we transfer to the customer. As part of the accounting for contracts with customers, we must develop assumptions that require judgment to determine the estimated relative standalone selling price (SSP) of each performance obligation identified in the contract. We then allocate the total transaction price to each performance obligation based on its SSP and recognize as revenue the amount of the transaction price that is allocated to the respective performance obligation when or as the performance obligation is satisfied.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contract modifications, defined as changes in the scope or price (or both) of a contract that are approved by the parties to the contract, such as a contract amendment, when the parties to a contract approve a modification that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either creates new, or changes existing, enforceable rights and obligations of the parties to the contract. We use one of the following methods depending on facts and circumstances: (i) as a separate contract if the modification adds distinct goods or services and the price reflects the SSP of those additional goods or services; (ii) as a termination of the existing contract and creation of a new contract if the remaining goods or services are distinct from those transferred before the modification; or (iii) as a cumulative catch-up adjustment to the original contract if the remaining goods or services are not distinct from those transferred before the modification.</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entered into the First Amendment to the Gilead Collaboration Agreement in December 2024 and a letter agreement in July 2025. We determined each of these amendments to the Gilead Collaboration Agreement represent a contract modification within the scope of the revenue from contracts with customers guidance. For both contract modifications, we concluded there continues to be a single combined performance obligation consisting of a series of distinct research and development services (R&amp;D Services), and therefore, the remaining services under the modified agreement are distinct from the R&amp;D Services already provided. Accordingly, we accounted for each modification as a termination of the existing contract and the creation of a new contract and are recognizing the revenue prospectively by reassessing the transaction price and allocating it to the remaining R&amp;D Services. We estimated the SSP of extension fees and opt-in rights pursuant to the modified Gilead Collaboration Agreement using significant estimates, including forecasted revenues and costs, development timelines, discount rates, and probabilities of technical and regulatory success. For both modifications, we concluded none of the options in the contract were performance obligations as they were contingent upon option exercise, were capable of being distinct from the R&amp;D Services and were not offered at a discount to their SSP.</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Gilead exercised its option to exclusively license our HPI program, which we determined was a new contract under the contracts with customers accounting standard as it was deemed an exercise of a marketing offer made pursuant to the original terms of the Gilead Collaboration Agreement and First Amendment. We determined the exclusive license granted to Gilead for the HPI program represents a distinct performance obligation because Gilead can benefit from the license together with readily available resources and its ability to sublicense the rights. The $35.0 million opt-in fee is included in the fixed transaction price. Variable consideration related to regulatory and commercial milestone payments, royalties and cost reimbursements are constrained because such amounts are highly susceptible to factors outside our influence.</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revenue from R&amp;D Services under the Gilead Collaboration Agreement over time using a cost-based input method, which continues to be appropriate following subsequent contract modifications of the Gilead Collaboration Agreement. We recognize revenue from exclusive licenses to our programs under the Gilead Collaboration Agreement at a point in time upon transfer of the license, when Gilead obtains the ability to use and benefit from the license.</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related to certain performance obligations that are satisfied over time could be materially impacted as a result of changes in the estimated total research effort required to satisfy those obligations. In addition, amounts of variable consideration (including regulatory and commercial milestones) are included in the transaction price to the extent that it is probable that a significant reversal in the amount of cumulative revenue recognized will not occur and when the uncertainty associated with the variable consideration is subsequently resolved. The effect of any change made to an estimated input component or variable consideration and, therefore revenue recognized, would be recorded as a change in estimate. Such changes in estimate could have a material impact on the revenue recognized in a future period. We regularly review our expectations of the extent of progress, including whether any variable consideration was no longer constrained, and, if any changes in estimates were made, we recognized revenue using the cumulative catch-up method.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Contract Costs and Accruals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certain research and development expenses. This process involves reviewing quotations and contracts, reviewing the terms of our license agreements, communicating with our vendors and applicable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Payments made prior to the receipt of goods or services to be used in research and development are capitalized until the goods or services are received. Such payments are evaluated for current or long-term classification based on when they will be realized or consumed. Examples of estimated amortized or accrued research and development expenses include fees to:</w:t>
      </w:r>
    </w:p>
    <w:p>
      <w:pPr>
        <w:spacing w:after="0" w:line="162" w:lineRule="exact"/>
        <w:rPr>
          <w:sz w:val="20"/>
          <w:szCs w:val="20"/>
          <w:color w:val="auto"/>
        </w:rPr>
      </w:pPr>
    </w:p>
    <w:p>
      <w:pPr>
        <w:ind w:left="5540" w:right="3080" w:hanging="5158"/>
        <w:spacing w:after="0" w:line="783" w:lineRule="auto"/>
        <w:tabs>
          <w:tab w:leader="none" w:pos="7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research organizations (CROs) and other service providers in connection with clinical studies;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53"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(CMOs) in connection with the production of clinical trial materials;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nonclinical development activities.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either amortizing or accruing service fees, we estimate the time period over which services will be performed and the level of effort to be expended in each period. If the actual timing of the performance of services or the level of effort varies from our estimate, we adjust the related prepayment or accrual accordingly. Our understanding of the status and timing of services performed relative to the actual status and timing of services performed may vary and may result in our reporting changes in estimates in any particular period. Adjustments to prior period estimates have not been material for the years ended December 31, 2025 and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collaboration revenue (in thousands, except for percentages):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5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center"/>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2"/>
                <w:szCs w:val="12"/>
                <w:color w:val="auto"/>
              </w:rPr>
            </w:pPr>
          </w:p>
        </w:tc>
        <w:tc>
          <w:tcPr>
            <w:tcW w:w="158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10"/>
        </w:trPr>
        <w:tc>
          <w:tcPr>
            <w:tcW w:w="33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Collaboration revenue from a related party</w:t>
            </w:r>
          </w:p>
        </w:tc>
        <w:tc>
          <w:tcPr>
            <w:tcW w:w="1100" w:type="dxa"/>
            <w:vAlign w:val="bottom"/>
            <w:gridSpan w:val="2"/>
            <w:shd w:val="clear" w:color="auto" w:fill="CCEC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72,303</w:t>
            </w:r>
          </w:p>
        </w:tc>
        <w:tc>
          <w:tcPr>
            <w:tcW w:w="1100" w:type="dxa"/>
            <w:vAlign w:val="bottom"/>
            <w:gridSpan w:val="2"/>
            <w:shd w:val="clear" w:color="auto" w:fill="CCEC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28,520</w:t>
            </w:r>
          </w:p>
        </w:tc>
        <w:tc>
          <w:tcPr>
            <w:tcW w:w="76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CFF"/>
          </w:tcPr>
          <w:p>
            <w:pPr>
              <w:jc w:val="right"/>
              <w:ind w:right="22"/>
              <w:spacing w:after="0"/>
              <w:rPr>
                <w:sz w:val="20"/>
                <w:szCs w:val="20"/>
                <w:color w:val="auto"/>
              </w:rPr>
            </w:pPr>
            <w:r>
              <w:rPr>
                <w:rFonts w:ascii="Times New Roman" w:cs="Times New Roman" w:eastAsia="Times New Roman" w:hAnsi="Times New Roman"/>
                <w:sz w:val="18"/>
                <w:szCs w:val="18"/>
                <w:color w:val="auto"/>
              </w:rPr>
              <w:t>43,783</w:t>
            </w:r>
          </w:p>
        </w:tc>
        <w:tc>
          <w:tcPr>
            <w:tcW w:w="1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Collaboration revenue was $72.3 million for the year ended December 31, 2025 compared to $28.5 million for the year ended December 31, 2024. The $43.8 million increase was primarily driven by the recognition of $35.0 million of revenue associated with the exclusive license granted and transferred to Gilead for the HPI program in December 2025. The increase also reflects the additional $10.0 million payment we received in December 2024 under the First Amendment to the Gilead Collaboration Agreement, which was largely recognized in 2025.</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fees paid to CROs and CMOs, lab supplies and other third-party expenses that support our research and discovery, nonclinical and clinical activities. External program costs represent a significant portion of our research and development expenses, which we track by product candidate once it has been nominated. We use our employee and infrastructure resources, as well as certain third-party costs, across multiple research and development programs, and we do not specifically allocate these costs to our programs.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66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3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8"/>
                <w:szCs w:val="18"/>
                <w:color w:val="auto"/>
              </w:rPr>
            </w:pPr>
          </w:p>
        </w:tc>
        <w:tc>
          <w:tcPr>
            <w:tcW w:w="16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10"/>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External program expenses:</w:t>
            </w:r>
          </w:p>
        </w:tc>
        <w:tc>
          <w:tcPr>
            <w:tcW w:w="820" w:type="dxa"/>
            <w:vAlign w:val="bottom"/>
            <w:tcBorders>
              <w:top w:val="single" w:sz="8" w:color="auto"/>
            </w:tcBorders>
            <w:shd w:val="clear" w:color="auto" w:fill="CCECFF"/>
          </w:tcPr>
          <w:p>
            <w:pPr>
              <w:spacing w:after="0"/>
              <w:rPr>
                <w:sz w:val="18"/>
                <w:szCs w:val="18"/>
                <w:color w:val="auto"/>
              </w:rPr>
            </w:pPr>
          </w:p>
        </w:tc>
        <w:tc>
          <w:tcPr>
            <w:tcW w:w="640" w:type="dxa"/>
            <w:vAlign w:val="bottom"/>
            <w:tcBorders>
              <w:top w:val="single" w:sz="8" w:color="auto"/>
            </w:tcBorders>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40" w:type="dxa"/>
            <w:vAlign w:val="bottom"/>
            <w:tcBorders>
              <w:top w:val="single" w:sz="8" w:color="auto"/>
            </w:tcBorders>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tcBorders>
              <w:top w:val="single" w:sz="8" w:color="auto"/>
            </w:tcBorders>
            <w:shd w:val="clear" w:color="auto" w:fill="CCECFF"/>
          </w:tcPr>
          <w:p>
            <w:pPr>
              <w:spacing w:after="0"/>
              <w:rPr>
                <w:sz w:val="18"/>
                <w:szCs w:val="18"/>
                <w:color w:val="auto"/>
              </w:rPr>
            </w:pPr>
          </w:p>
        </w:tc>
        <w:tc>
          <w:tcPr>
            <w:tcW w:w="1920" w:type="dxa"/>
            <w:vAlign w:val="bottom"/>
            <w:tcBorders>
              <w:top w:val="single" w:sz="8" w:color="auto"/>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40" w:type="dxa"/>
            <w:vAlign w:val="bottom"/>
            <w:tcBorders>
              <w:top w:val="single" w:sz="8" w:color="auto"/>
            </w:tcBorders>
            <w:shd w:val="clear" w:color="auto" w:fill="CCECFF"/>
          </w:tcPr>
          <w:p>
            <w:pPr>
              <w:spacing w:after="0"/>
              <w:rPr>
                <w:sz w:val="18"/>
                <w:szCs w:val="18"/>
                <w:color w:val="auto"/>
              </w:rPr>
            </w:pP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5366</w:t>
            </w:r>
          </w:p>
        </w:tc>
        <w:tc>
          <w:tcPr>
            <w:tcW w:w="820" w:type="dxa"/>
            <w:vAlign w:val="bottom"/>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9,353</w:t>
            </w:r>
          </w:p>
        </w:tc>
        <w:tc>
          <w:tcPr>
            <w:tcW w:w="12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6,215</w:t>
            </w:r>
          </w:p>
        </w:tc>
        <w:tc>
          <w:tcPr>
            <w:tcW w:w="26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3,138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3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1179</w:t>
            </w:r>
          </w:p>
        </w:tc>
        <w:tc>
          <w:tcPr>
            <w:tcW w:w="820" w:type="dxa"/>
            <w:vAlign w:val="bottom"/>
            <w:shd w:val="clear" w:color="auto" w:fill="CCECFF"/>
          </w:tcPr>
          <w:p>
            <w:pPr>
              <w:spacing w:after="0"/>
              <w:rPr>
                <w:sz w:val="18"/>
                <w:szCs w:val="18"/>
                <w:color w:val="auto"/>
              </w:rPr>
            </w:pP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8,119</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4,239</w:t>
            </w: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18"/>
                <w:szCs w:val="18"/>
                <w:color w:val="auto"/>
              </w:rPr>
              <w:t>3,880</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6250</w:t>
            </w:r>
          </w:p>
        </w:tc>
        <w:tc>
          <w:tcPr>
            <w:tcW w:w="8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5,780</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4334</w:t>
            </w:r>
          </w:p>
        </w:tc>
        <w:tc>
          <w:tcPr>
            <w:tcW w:w="820" w:type="dxa"/>
            <w:vAlign w:val="bottom"/>
            <w:shd w:val="clear" w:color="auto" w:fill="CCECFF"/>
          </w:tcPr>
          <w:p>
            <w:pPr>
              <w:spacing w:after="0"/>
              <w:rPr>
                <w:sz w:val="18"/>
                <w:szCs w:val="18"/>
                <w:color w:val="auto"/>
              </w:rPr>
            </w:pP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890</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2,646</w:t>
            </w: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34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7272 </w:t>
            </w:r>
            <w:r>
              <w:rPr>
                <w:rFonts w:ascii="Times New Roman" w:cs="Times New Roman" w:eastAsia="Times New Roman" w:hAnsi="Times New Roman"/>
                <w:sz w:val="24"/>
                <w:szCs w:val="24"/>
                <w:color w:val="auto"/>
                <w:vertAlign w:val="superscript"/>
              </w:rPr>
              <w:t>(1)</w:t>
            </w:r>
          </w:p>
        </w:tc>
        <w:tc>
          <w:tcPr>
            <w:tcW w:w="8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Research and discovery</w:t>
            </w:r>
          </w:p>
        </w:tc>
        <w:tc>
          <w:tcPr>
            <w:tcW w:w="820" w:type="dxa"/>
            <w:vAlign w:val="bottom"/>
            <w:shd w:val="clear" w:color="auto" w:fill="CCECFF"/>
          </w:tcPr>
          <w:p>
            <w:pPr>
              <w:spacing w:after="0"/>
              <w:rPr>
                <w:sz w:val="18"/>
                <w:szCs w:val="18"/>
                <w:color w:val="auto"/>
              </w:rPr>
            </w:pPr>
          </w:p>
        </w:tc>
        <w:tc>
          <w:tcPr>
            <w:tcW w:w="64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8,161</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8,985</w:t>
            </w: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VBR</w:t>
            </w:r>
          </w:p>
        </w:tc>
        <w:tc>
          <w:tcPr>
            <w:tcW w:w="8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gridSpan w:val="2"/>
          </w:tcPr>
          <w:p>
            <w:pPr>
              <w:jc w:val="right"/>
              <w:ind w:right="120"/>
              <w:spacing w:after="0" w:line="216" w:lineRule="exact"/>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24"/>
                <w:szCs w:val="24"/>
                <w:color w:val="auto"/>
                <w:vertAlign w:val="superscript"/>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external program expenses</w:t>
            </w:r>
          </w:p>
        </w:tc>
        <w:tc>
          <w:tcPr>
            <w:tcW w:w="820" w:type="dxa"/>
            <w:vAlign w:val="bottom"/>
            <w:tcBorders>
              <w:top w:val="single" w:sz="8" w:color="auto"/>
            </w:tcBorders>
            <w:shd w:val="clear" w:color="auto" w:fill="CCECFF"/>
          </w:tcPr>
          <w:p>
            <w:pPr>
              <w:spacing w:after="0"/>
              <w:rPr>
                <w:sz w:val="18"/>
                <w:szCs w:val="18"/>
                <w:color w:val="auto"/>
              </w:rPr>
            </w:pPr>
          </w:p>
        </w:tc>
        <w:tc>
          <w:tcPr>
            <w:tcW w:w="640" w:type="dxa"/>
            <w:vAlign w:val="bottom"/>
            <w:tcBorders>
              <w:top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34,603</w:t>
            </w:r>
          </w:p>
        </w:tc>
        <w:tc>
          <w:tcPr>
            <w:tcW w:w="360" w:type="dxa"/>
            <w:vAlign w:val="bottom"/>
            <w:shd w:val="clear" w:color="auto" w:fill="CCECFF"/>
          </w:tcPr>
          <w:p>
            <w:pPr>
              <w:spacing w:after="0"/>
              <w:rPr>
                <w:sz w:val="18"/>
                <w:szCs w:val="18"/>
                <w:color w:val="auto"/>
              </w:rPr>
            </w:pPr>
          </w:p>
        </w:tc>
        <w:tc>
          <w:tcPr>
            <w:tcW w:w="840" w:type="dxa"/>
            <w:vAlign w:val="bottom"/>
            <w:tcBorders>
              <w:top w:val="single" w:sz="8" w:color="auto"/>
            </w:tcBorders>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96"/>
              </w:rPr>
              <w:t>28,438</w:t>
            </w:r>
          </w:p>
        </w:tc>
        <w:tc>
          <w:tcPr>
            <w:tcW w:w="26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380" w:type="dxa"/>
            <w:vAlign w:val="bottom"/>
            <w:tcBorders>
              <w:top w:val="single" w:sz="8" w:color="auto"/>
            </w:tcBorders>
            <w:shd w:val="clear" w:color="auto" w:fill="CCECFF"/>
          </w:tcPr>
          <w:p>
            <w:pPr>
              <w:spacing w:after="0"/>
              <w:rPr>
                <w:sz w:val="18"/>
                <w:szCs w:val="18"/>
                <w:color w:val="auto"/>
              </w:rPr>
            </w:pPr>
          </w:p>
        </w:tc>
        <w:tc>
          <w:tcPr>
            <w:tcW w:w="1920" w:type="dxa"/>
            <w:vAlign w:val="bottom"/>
            <w:tcBorders>
              <w:top w:val="single" w:sz="8" w:color="auto"/>
            </w:tcBorders>
            <w:shd w:val="clear" w:color="auto" w:fill="CCECFF"/>
          </w:tcPr>
          <w:p>
            <w:pPr>
              <w:jc w:val="right"/>
              <w:ind w:right="53"/>
              <w:spacing w:after="0"/>
              <w:rPr>
                <w:sz w:val="20"/>
                <w:szCs w:val="20"/>
                <w:color w:val="auto"/>
              </w:rPr>
            </w:pPr>
            <w:r>
              <w:rPr>
                <w:rFonts w:ascii="Times New Roman" w:cs="Times New Roman" w:eastAsia="Times New Roman" w:hAnsi="Times New Roman"/>
                <w:sz w:val="18"/>
                <w:szCs w:val="18"/>
                <w:color w:val="auto"/>
              </w:rPr>
              <w:t>6,165</w:t>
            </w:r>
          </w:p>
        </w:tc>
        <w:tc>
          <w:tcPr>
            <w:tcW w:w="200" w:type="dxa"/>
            <w:vAlign w:val="bottom"/>
            <w:shd w:val="clear" w:color="auto" w:fill="CCECFF"/>
          </w:tcPr>
          <w:p>
            <w:pPr>
              <w:spacing w:after="0"/>
              <w:rPr>
                <w:sz w:val="18"/>
                <w:szCs w:val="18"/>
                <w:color w:val="auto"/>
              </w:rPr>
            </w:pPr>
          </w:p>
        </w:tc>
        <w:tc>
          <w:tcPr>
            <w:tcW w:w="16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8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26,729</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23,819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2,910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4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820" w:type="dxa"/>
            <w:vAlign w:val="bottom"/>
            <w:tcBorders>
              <w:bottom w:val="single" w:sz="8" w:color="auto"/>
            </w:tcBorders>
            <w:shd w:val="clear" w:color="auto" w:fill="CCECFF"/>
          </w:tcPr>
          <w:p>
            <w:pPr>
              <w:spacing w:after="0"/>
              <w:rPr>
                <w:sz w:val="18"/>
                <w:szCs w:val="18"/>
                <w:color w:val="auto"/>
              </w:rPr>
            </w:pPr>
          </w:p>
        </w:tc>
        <w:tc>
          <w:tcPr>
            <w:tcW w:w="64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3,481</w:t>
            </w:r>
          </w:p>
        </w:tc>
        <w:tc>
          <w:tcPr>
            <w:tcW w:w="36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3,676</w:t>
            </w:r>
          </w:p>
        </w:tc>
        <w:tc>
          <w:tcPr>
            <w:tcW w:w="26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spacing w:after="0"/>
              <w:rPr>
                <w:sz w:val="18"/>
                <w:szCs w:val="18"/>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bottom w:val="single" w:sz="8" w:color="CCECFF"/>
            </w:tcBorders>
            <w:shd w:val="clear" w:color="auto" w:fill="CCECFF"/>
          </w:tcPr>
          <w:p>
            <w:pPr>
              <w:spacing w:after="0"/>
              <w:rPr>
                <w:sz w:val="18"/>
                <w:szCs w:val="18"/>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20" w:type="dxa"/>
            <w:vAlign w:val="bottom"/>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64,813</w:t>
            </w:r>
          </w:p>
        </w:tc>
        <w:tc>
          <w:tcPr>
            <w:tcW w:w="12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55,933</w:t>
            </w:r>
          </w:p>
        </w:tc>
        <w:tc>
          <w:tcPr>
            <w:tcW w:w="26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8,880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-170815</wp:posOffset>
            </wp:positionV>
            <wp:extent cx="2228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-170815</wp:posOffset>
            </wp:positionV>
            <wp:extent cx="2228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28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98" w:lineRule="exact"/>
        <w:rPr>
          <w:sz w:val="20"/>
          <w:szCs w:val="20"/>
          <w:color w:val="auto"/>
        </w:rPr>
      </w:pPr>
    </w:p>
    <w:p>
      <w:pPr>
        <w:ind w:left="1020" w:hanging="499"/>
        <w:spacing w:after="0" w:line="192" w:lineRule="auto"/>
        <w:tabs>
          <w:tab w:leader="none" w:pos="102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 October 2025, we transitioned our discovery and development from 7423 to its parent molecule, 7272, which is currently in regulatory filing-enabling preclinical studies.</w:t>
      </w:r>
    </w:p>
    <w:p>
      <w:pPr>
        <w:spacing w:after="0" w:line="100" w:lineRule="exact"/>
        <w:rPr>
          <w:rFonts w:ascii="Times New Roman" w:cs="Times New Roman" w:eastAsia="Times New Roman" w:hAnsi="Times New Roman"/>
          <w:sz w:val="24"/>
          <w:szCs w:val="24"/>
          <w:color w:val="auto"/>
          <w:vertAlign w:val="superscript"/>
        </w:rPr>
      </w:pPr>
    </w:p>
    <w:p>
      <w:pPr>
        <w:ind w:left="1020" w:hanging="499"/>
        <w:spacing w:after="0" w:line="192" w:lineRule="auto"/>
        <w:tabs>
          <w:tab w:leader="none" w:pos="102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Reflects net amounts refundable to us after final reconciliation of costs for the clinical trial conducted pursuant to the Clinical Trial Collaboration Agreement with Arbutus Biopharma Corporation, which was terminated in February 2023. We received the refund in 2025.</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$64.8 million for the year ended December 31, 2025, compared to $55.9 million for the year ended December 31, 2024. The $8.9 million increase was primarily driven by higher external program expenses as we advanced our pipeline. Most notably, our HPI program incurred additional costs as both the 1179 and 5366 Phase 1a/b studies were underway during 2025, with more participants enrolled than in 2024. Employee and contractor-related expenses also increased, reflecting $2.1 million in increased compensation costs driven by annual salary increases and larger bonuses due to strong performance against our 2025 corporate objectives. The increase additionally reflects $1.1 million of higher stock-based compensation expense associated with performance stock units (PSUs) granted in 2025. These increases were partially offset by decreases in external program expenses from the completion of our 4334 Phase 1b study in mid-2025.</w:t>
      </w:r>
    </w:p>
    <w:p>
      <w:pPr>
        <w:spacing w:after="0" w:line="1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for personnel in executive, finance, accounting, business development, information technology, legal and human resources functions. Other significant costs include facility costs not otherwise included in research and development expenses, insurance costs, legal fees relating to patents and corporate matters and fees for accounting and consulting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 in our general and administrative expenses (in thousands, except for percentages):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8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center"/>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2"/>
                <w:szCs w:val="12"/>
                <w:color w:val="auto"/>
              </w:rPr>
            </w:pPr>
          </w:p>
        </w:tc>
        <w:tc>
          <w:tcPr>
            <w:tcW w:w="160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10"/>
        </w:trPr>
        <w:tc>
          <w:tcPr>
            <w:tcW w:w="31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gridSpan w:val="2"/>
            <w:shd w:val="clear" w:color="auto" w:fill="CCEC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19,608</w:t>
            </w:r>
          </w:p>
        </w:tc>
        <w:tc>
          <w:tcPr>
            <w:tcW w:w="1120" w:type="dxa"/>
            <w:vAlign w:val="bottom"/>
            <w:gridSpan w:val="2"/>
            <w:shd w:val="clear" w:color="auto" w:fill="CCEC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18,007</w:t>
            </w: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CFF"/>
          </w:tcPr>
          <w:p>
            <w:pPr>
              <w:jc w:val="right"/>
              <w:ind w:right="22"/>
              <w:spacing w:after="0"/>
              <w:rPr>
                <w:sz w:val="20"/>
                <w:szCs w:val="20"/>
                <w:color w:val="auto"/>
              </w:rPr>
            </w:pPr>
            <w:r>
              <w:rPr>
                <w:rFonts w:ascii="Times New Roman" w:cs="Times New Roman" w:eastAsia="Times New Roman" w:hAnsi="Times New Roman"/>
                <w:sz w:val="18"/>
                <w:szCs w:val="18"/>
                <w:color w:val="auto"/>
              </w:rPr>
              <w:t>1,601</w:t>
            </w:r>
          </w:p>
        </w:tc>
        <w:tc>
          <w:tcPr>
            <w:tcW w:w="1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$19.6 million for the year ended December 31, 2025, compared to $18.0 million for the year ended December 31, 2024. The $1.6 million increase was primarily driven by $1.2 million of higher professional fees related to patent filings as well as an increase of $0.5 million in stock-based compensation expense associated with PSUs granted in 2025.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and available-for-sale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interest and other income, net (in thousands, except for percentages):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5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2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center"/>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2"/>
                <w:szCs w:val="12"/>
                <w:color w:val="auto"/>
              </w:rPr>
            </w:pPr>
          </w:p>
        </w:tc>
        <w:tc>
          <w:tcPr>
            <w:tcW w:w="1580" w:type="dxa"/>
            <w:vAlign w:val="bottom"/>
            <w:tcBorders>
              <w:bottom w:val="single" w:sz="8" w:color="auto"/>
            </w:tcBorders>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09"/>
        </w:trPr>
        <w:tc>
          <w:tcPr>
            <w:tcW w:w="28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620" w:type="dxa"/>
            <w:vAlign w:val="bottom"/>
            <w:gridSpan w:val="2"/>
            <w:shd w:val="clear" w:color="auto" w:fill="CCEC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5,996</w:t>
            </w:r>
          </w:p>
        </w:tc>
        <w:tc>
          <w:tcPr>
            <w:tcW w:w="1140" w:type="dxa"/>
            <w:vAlign w:val="bottom"/>
            <w:gridSpan w:val="2"/>
            <w:shd w:val="clear" w:color="auto" w:fill="CCECFF"/>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CFF"/>
          </w:tcPr>
          <w:p>
            <w:pPr>
              <w:jc w:val="right"/>
              <w:ind w:right="10"/>
              <w:spacing w:after="0"/>
              <w:rPr>
                <w:sz w:val="20"/>
                <w:szCs w:val="20"/>
                <w:color w:val="auto"/>
              </w:rPr>
            </w:pPr>
            <w:r>
              <w:rPr>
                <w:rFonts w:ascii="Times New Roman" w:cs="Times New Roman" w:eastAsia="Times New Roman" w:hAnsi="Times New Roman"/>
                <w:sz w:val="18"/>
                <w:szCs w:val="18"/>
                <w:color w:val="auto"/>
              </w:rPr>
              <w:t>5,573</w:t>
            </w:r>
          </w:p>
        </w:tc>
        <w:tc>
          <w:tcPr>
            <w:tcW w:w="760" w:type="dxa"/>
            <w:vAlign w:val="bottom"/>
            <w:gridSpan w:val="2"/>
            <w:shd w:val="clear" w:color="auto" w:fill="CCEC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CFF"/>
          </w:tcPr>
          <w:p>
            <w:pPr>
              <w:jc w:val="right"/>
              <w:ind w:right="22"/>
              <w:spacing w:after="0"/>
              <w:rPr>
                <w:sz w:val="20"/>
                <w:szCs w:val="20"/>
                <w:color w:val="auto"/>
              </w:rPr>
            </w:pPr>
            <w:r>
              <w:rPr>
                <w:rFonts w:ascii="Times New Roman" w:cs="Times New Roman" w:eastAsia="Times New Roman" w:hAnsi="Times New Roman"/>
                <w:sz w:val="18"/>
                <w:szCs w:val="18"/>
                <w:color w:val="auto"/>
              </w:rPr>
              <w:t>423</w:t>
            </w:r>
          </w:p>
        </w:tc>
        <w:tc>
          <w:tcPr>
            <w:tcW w:w="1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income, net was $6.0 million for the year ended December 31, 2025, compared to $5.6 million for the year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$0.4 million increase was primarily driven by a larger investment portfolio balance following our financing transaction in August 2025.</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income tax expense (in thousands, except for percentages):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4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520" w:type="dxa"/>
            <w:vAlign w:val="bottom"/>
          </w:tcPr>
          <w:p>
            <w:pPr>
              <w:spacing w:after="0"/>
              <w:rPr>
                <w:sz w:val="12"/>
                <w:szCs w:val="12"/>
                <w:color w:val="auto"/>
              </w:rPr>
            </w:pPr>
          </w:p>
        </w:tc>
        <w:tc>
          <w:tcPr>
            <w:tcW w:w="1000" w:type="dxa"/>
            <w:vAlign w:val="bottom"/>
            <w:tcBorders>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center"/>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2"/>
                <w:szCs w:val="12"/>
                <w:color w:val="auto"/>
              </w:rPr>
            </w:pPr>
          </w:p>
        </w:tc>
        <w:tc>
          <w:tcPr>
            <w:tcW w:w="1640" w:type="dxa"/>
            <w:vAlign w:val="bottom"/>
            <w:tcBorders>
              <w:bottom w:val="single" w:sz="8" w:color="auto"/>
            </w:tcBorders>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09"/>
        </w:trPr>
        <w:tc>
          <w:tcPr>
            <w:tcW w:w="3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shd w:val="clear" w:color="auto" w:fill="CCECFF"/>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C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C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income tax expense for the year ended December 31, 2025. Income tax expense was $0.3 million for the year ended December 31, 2024 due to taxable income incurred from the upfront payments received under the Gilead Collaboration in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December 31, 2025 principally through equity financings, raising an aggregate of $821.8 million in net proceeds, and strategic collaborations, raising an aggregate of $236.2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future operating expenses to increase over the coming years as we continue to expand our pipeline and advance our candidates. 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held cash, cash equivalents and marketable securities of $248.1 million. Based on our current operating plan, we believe we have sufficient funds to meet our operating requirements into 2028. We have based our estimate on assumptions that may prove to be wrong, and we may utilize our available capital resources sooner than we currently expect.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contractual obligations include operating lease obligations totaling $3.2 million as of December 31, 2025, of which $0.8 million are short-term. We also enter into contracts in the normal course of business with CROs for clinical trials and CMOs for clinical supply manufacturing and with vendors for nonclinical research studies and other services and products for operating purposes, which generally provide for termination within 30 days of notice.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98"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future potential benefits pursuant to the Gilead Collaboration and maintain the collaboration;</w:t>
      </w:r>
    </w:p>
    <w:p>
      <w:pPr>
        <w:spacing w:after="0" w:line="18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development costs we would incur if we elect to participate in the Profit-Share for programs advanced by Gilead under the Gilead Collaboration;</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34"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to contract with third parties to manufacture, adequate supplies of our product candidates for our clinical studies and any eventual commercialization;</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in the United States and abroad, maintaining and enforcing our intellectual property rights and defending intellectual property-related claims.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Borders>
              <w:bottom w:val="single" w:sz="8" w:color="auto"/>
            </w:tcBorders>
          </w:tcPr>
          <w:p>
            <w:pPr>
              <w:spacing w:after="0"/>
              <w:rPr>
                <w:sz w:val="15"/>
                <w:szCs w:val="15"/>
                <w:color w:val="auto"/>
              </w:rPr>
            </w:pPr>
          </w:p>
        </w:tc>
      </w:tr>
      <w:tr>
        <w:trPr>
          <w:trHeight w:val="196"/>
        </w:trPr>
        <w:tc>
          <w:tcPr>
            <w:tcW w:w="5860" w:type="dxa"/>
            <w:vAlign w:val="bottom"/>
          </w:tcPr>
          <w:p>
            <w:pPr>
              <w:spacing w:after="0"/>
              <w:rPr>
                <w:sz w:val="17"/>
                <w:szCs w:val="17"/>
                <w:color w:val="auto"/>
              </w:rPr>
            </w:pPr>
          </w:p>
        </w:tc>
        <w:tc>
          <w:tcPr>
            <w:tcW w:w="15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8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40" w:type="dxa"/>
            <w:vAlign w:val="bottom"/>
            <w:shd w:val="clear" w:color="auto" w:fill="CCECFF"/>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(41,093)</w:t>
            </w:r>
          </w:p>
        </w:tc>
        <w:tc>
          <w:tcPr>
            <w:tcW w:w="1200" w:type="dxa"/>
            <w:vAlign w:val="bottom"/>
            <w:gridSpan w:val="2"/>
            <w:shd w:val="clear" w:color="auto" w:fill="CCEC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(51,117)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(113,468)</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40,171</w:t>
            </w:r>
          </w:p>
        </w:tc>
      </w:tr>
      <w:tr>
        <w:trPr>
          <w:trHeight w:val="216"/>
        </w:trPr>
        <w:tc>
          <w:tcPr>
            <w:tcW w:w="58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40" w:type="dxa"/>
            <w:vAlign w:val="bottom"/>
            <w:tcBorders>
              <w:bottom w:val="single" w:sz="8" w:color="auto"/>
            </w:tcBorders>
            <w:shd w:val="clear" w:color="auto" w:fill="CCECFF"/>
          </w:tcPr>
          <w:p>
            <w:pPr>
              <w:spacing w:after="0"/>
              <w:rPr>
                <w:sz w:val="18"/>
                <w:szCs w:val="18"/>
                <w:color w:val="auto"/>
              </w:rPr>
            </w:pPr>
          </w:p>
        </w:tc>
        <w:tc>
          <w:tcPr>
            <w:tcW w:w="96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8"/>
                <w:szCs w:val="18"/>
                <w:color w:val="auto"/>
              </w:rPr>
              <w:t>174,667</w:t>
            </w:r>
          </w:p>
        </w:tc>
        <w:tc>
          <w:tcPr>
            <w:tcW w:w="420" w:type="dxa"/>
            <w:vAlign w:val="bottom"/>
            <w:tcBorders>
              <w:bottom w:val="single" w:sz="8" w:color="CCECFF"/>
            </w:tcBorders>
            <w:shd w:val="clear" w:color="auto" w:fill="CCECFF"/>
          </w:tcPr>
          <w:p>
            <w:pPr>
              <w:spacing w:after="0"/>
              <w:rPr>
                <w:sz w:val="18"/>
                <w:szCs w:val="18"/>
                <w:color w:val="auto"/>
              </w:rPr>
            </w:pPr>
          </w:p>
        </w:tc>
        <w:tc>
          <w:tcPr>
            <w:tcW w:w="780" w:type="dxa"/>
            <w:vAlign w:val="bottom"/>
            <w:tcBorders>
              <w:bottom w:val="single" w:sz="8" w:color="auto"/>
            </w:tcBorders>
            <w:shd w:val="clear" w:color="auto" w:fill="CCECFF"/>
          </w:tcPr>
          <w:p>
            <w:pPr>
              <w:spacing w:after="0"/>
              <w:rPr>
                <w:sz w:val="18"/>
                <w:szCs w:val="18"/>
                <w:color w:val="auto"/>
              </w:rPr>
            </w:pPr>
          </w:p>
        </w:tc>
        <w:tc>
          <w:tcPr>
            <w:tcW w:w="168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8"/>
                <w:szCs w:val="18"/>
                <w:color w:val="auto"/>
              </w:rPr>
              <w:t>29,449</w:t>
            </w:r>
          </w:p>
        </w:tc>
      </w:tr>
      <w:tr>
        <w:trPr>
          <w:trHeight w:val="209"/>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540" w:type="dxa"/>
            <w:vAlign w:val="bottom"/>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20,106</w:t>
            </w: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18,503</w:t>
            </w:r>
          </w:p>
        </w:tc>
      </w:tr>
      <w:tr>
        <w:trPr>
          <w:trHeight w:val="20"/>
        </w:trPr>
        <w:tc>
          <w:tcPr>
            <w:tcW w:w="58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-170815</wp:posOffset>
            </wp:positionV>
            <wp:extent cx="274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$41.1 million for the year ended December 31, 2025, compared to $51.1 million for the same period in 2024. The decrease was primarily due to $25.2 million more cash received under the Gilead Collaboration Agreement in 2025 compared to 2024, partially offset by higher operating expenses in 2025 from the advancement of our clinical pipeline, most notably due to costs incurred for our HPI program.</w:t>
      </w:r>
    </w:p>
    <w:p>
      <w:pPr>
        <w:spacing w:after="0" w:line="1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$113.5 million for the year ended December 31, 2025, compared to net cash provided by investing activities of $40.2 million for the same period in 2024. The change was primarily due to our purchases of marketable securities following our financing in August 2025, as we invested the proceeds from those offerings.</w:t>
      </w:r>
    </w:p>
    <w:p>
      <w:pPr>
        <w:spacing w:after="0" w:line="1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$174.7 million for the year ended December 31, 2025, compared to $29.4 million for the same period in 2024. The increase was due to larger net proceeds of $166.4 million from our financing in August 2025 and the subsequent exercise of warrants issued in that transaction, totaling $5.5 million, compared to the $27.3 million net proceeds received from our June and December 2024 financings.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98"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88" w:lineRule="exact"/>
        <w:rPr>
          <w:rFonts w:ascii="Times New Roman" w:cs="Times New Roman" w:eastAsia="Times New Roman" w:hAnsi="Times New Roman"/>
          <w:sz w:val="18"/>
          <w:szCs w:val="18"/>
          <w:b w:val="1"/>
          <w:bCs w:val="1"/>
          <w:color w:val="auto"/>
        </w:rPr>
      </w:pPr>
    </w:p>
    <w:p>
      <w:pPr>
        <w:ind w:left="7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on page F-1.</w:t>
      </w:r>
    </w:p>
    <w:p>
      <w:pPr>
        <w:spacing w:after="0" w:line="117"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Supplementary Data</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promulgated under the Securities Exchange Act of 1934, as amended (the Exchange Act), that is designed to provide reasonable assurance that information, which is required to be disclosed in our reports filed pursuant to the Exchange Act, is accumulated and communicated to management in a timely manner. At the end of fiscal year ending December 31, 2025, we carried out an evaluation, under the supervision, and with the participation of, our management, including our Chief Executive Officer and President, who serves as our principal executive officer, and our VP, Finance, who serves as our principal financial officer, of the effectiveness of the design and operation of our disclosure controls and procedures pursuant to Exchange Act Rule 13a-15(b). Based upon that evaluation, our Chief Executive Officer and President and our VP, Finance concluded that our disclosure controls and procedures for the fiscal year ending as of December 31, 2025 were effective at reasonable assurance levels.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 and all fraud. Under the supervision and with the participation of our management, including our Chief Executive Officer and President, who serves as our principal executive officer, and our VP, Finance, who serves as our principal financial officer, we conducted an evaluation of the effectiveness of our internal control over financial reporting based on the framework in Internal Control-Integrated Framework issued in 2013 by the Committee of Sponsoring Organizations of the Treadway Commission. Based on our evaluation under the framework in Internal Control-Integrated Framework, our management concluded that our internal control over financial reporting was effective as of December 31,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the fourth quarter of 2025 that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right="526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will be contained in our definitive proxy statement to be filed with the SEC in connection with the Annual Meeting of Stockholders (Proxy Statement) within 120 days after the conclusion of our fiscal year ended December 31, 2025 and is incorporated in this Annual Report on Form 10-K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has adopted a Code of Ethics for our principal executive officer and all senior financial officers and a Code of Conduct applicable to all of our employees and our directors. Both Codes are available under the “Investors—Corporate Governance” section of our website at www.assemblybio.com. If we make any substantive amendments to, or grant any waivers from, the Code of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and is incorporated into this Annual Report on Form 10-K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table regarding equity compensation plans, the information required by this item will be contained in the Proxy Statement and is incorporated into this Annual Report on Form 10-K by reference.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indicated information as of December 31, 2025 with respect to our equity compensation plans.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upon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warrants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and</w:t>
            </w:r>
          </w:p>
        </w:tc>
        <w:tc>
          <w:tcPr>
            <w:tcW w:w="100" w:type="dxa"/>
            <w:vAlign w:val="bottom"/>
          </w:tcPr>
          <w:p>
            <w:pPr>
              <w:spacing w:after="0"/>
              <w:rPr>
                <w:sz w:val="17"/>
                <w:szCs w:val="17"/>
                <w:color w:val="auto"/>
              </w:rPr>
            </w:pPr>
          </w:p>
        </w:tc>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reflected in</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right="130"/>
              <w:spacing w:after="0" w:line="236" w:lineRule="exact"/>
              <w:rPr>
                <w:sz w:val="20"/>
                <w:szCs w:val="20"/>
                <w:color w:val="auto"/>
              </w:rPr>
            </w:pPr>
            <w:r>
              <w:rPr>
                <w:rFonts w:ascii="Times New Roman" w:cs="Times New Roman" w:eastAsia="Times New Roman" w:hAnsi="Times New Roman"/>
                <w:sz w:val="18"/>
                <w:szCs w:val="18"/>
                <w:b w:val="1"/>
                <w:bCs w:val="1"/>
                <w:color w:val="auto"/>
                <w:w w:val="91"/>
              </w:rPr>
              <w:t>rights</w:t>
            </w:r>
            <w:r>
              <w:rPr>
                <w:rFonts w:ascii="Times New Roman" w:cs="Times New Roman" w:eastAsia="Times New Roman" w:hAnsi="Times New Roman"/>
                <w:sz w:val="24"/>
                <w:szCs w:val="24"/>
                <w:b w:val="1"/>
                <w:bCs w:val="1"/>
                <w:color w:val="auto"/>
                <w:w w:val="91"/>
                <w:vertAlign w:val="superscript"/>
              </w:rPr>
              <w:t>(1)</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60" w:type="dxa"/>
            <w:vAlign w:val="bottom"/>
            <w:tcBorders>
              <w:bottom w:val="single" w:sz="8" w:color="auto"/>
            </w:tcBorders>
          </w:tcPr>
          <w:p>
            <w:pPr>
              <w:spacing w:after="0"/>
              <w:rPr>
                <w:sz w:val="20"/>
                <w:szCs w:val="20"/>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60" w:type="dxa"/>
            <w:vAlign w:val="bottom"/>
            <w:tcBorders>
              <w:bottom w:val="single" w:sz="8" w:color="auto"/>
            </w:tcBorders>
          </w:tcPr>
          <w:p>
            <w:pPr>
              <w:spacing w:after="0"/>
              <w:rPr>
                <w:sz w:val="20"/>
                <w:szCs w:val="20"/>
                <w:color w:val="auto"/>
              </w:rPr>
            </w:pPr>
          </w:p>
        </w:tc>
        <w:tc>
          <w:tcPr>
            <w:tcW w:w="40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w w:val="85"/>
              </w:rPr>
              <w:t>(3)</w:t>
            </w:r>
          </w:p>
        </w:tc>
        <w:tc>
          <w:tcPr>
            <w:tcW w:w="0" w:type="dxa"/>
            <w:vAlign w:val="bottom"/>
          </w:tcPr>
          <w:p>
            <w:pPr>
              <w:spacing w:after="0"/>
              <w:rPr>
                <w:sz w:val="1"/>
                <w:szCs w:val="1"/>
                <w:color w:val="auto"/>
              </w:rPr>
            </w:pPr>
          </w:p>
        </w:tc>
      </w:tr>
      <w:tr>
        <w:trPr>
          <w:trHeight w:val="36"/>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1,368,993</w:t>
            </w:r>
          </w:p>
        </w:tc>
        <w:tc>
          <w:tcPr>
            <w:tcW w:w="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23.71</w:t>
            </w: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479,093</w:t>
            </w:r>
          </w:p>
        </w:tc>
        <w:tc>
          <w:tcPr>
            <w:tcW w:w="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6060" w:type="dxa"/>
            <w:vAlign w:val="bottom"/>
            <w:vMerge w:val="continue"/>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20" w:type="dxa"/>
            <w:vAlign w:val="bottom"/>
            <w:vMerge w:val="restart"/>
          </w:tcPr>
          <w:p>
            <w:pPr>
              <w:spacing w:after="0"/>
              <w:rPr>
                <w:sz w:val="22"/>
                <w:szCs w:val="22"/>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10,679,161</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14,594</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27"/>
        </w:trPr>
        <w:tc>
          <w:tcPr>
            <w:tcW w:w="606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20.66</w:t>
            </w:r>
          </w:p>
        </w:tc>
        <w:tc>
          <w:tcPr>
            <w:tcW w:w="16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12,048,154</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493,687</w:t>
            </w:r>
          </w:p>
        </w:tc>
        <w:tc>
          <w:tcPr>
            <w:tcW w:w="60" w:type="dxa"/>
            <w:vAlign w:val="bottom"/>
            <w:tcBorders>
              <w:top w:val="single" w:sz="8" w:color="auto"/>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10" w:lineRule="exact"/>
        <w:rPr>
          <w:sz w:val="20"/>
          <w:szCs w:val="20"/>
          <w:color w:val="auto"/>
        </w:rPr>
      </w:pPr>
    </w:p>
    <w:p>
      <w:pPr>
        <w:ind w:left="1020" w:right="120" w:hanging="499"/>
        <w:spacing w:after="0" w:line="210" w:lineRule="auto"/>
        <w:tabs>
          <w:tab w:leader="none" w:pos="102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weighted average exercise price is calculated solely based on the exercise prices of the outstanding stock options and warrants and does not reflect the shares that will be issued upon the vesting of outstanding awards of restricted stock units (RSUs) or performance stock units (PSUs), which have no exercise price.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spacing w:after="0" w:line="126" w:lineRule="exact"/>
        <w:rPr>
          <w:sz w:val="20"/>
          <w:szCs w:val="20"/>
          <w:color w:val="auto"/>
        </w:rPr>
      </w:pPr>
    </w:p>
    <w:p>
      <w:pPr>
        <w:ind w:left="1020" w:right="300" w:hanging="499"/>
        <w:spacing w:after="0" w:line="231" w:lineRule="auto"/>
        <w:tabs>
          <w:tab w:leader="none" w:pos="102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number includes the following: 15,196 shares subject to stock options granted under the 2010 Equity Incentive Plan (2010 Plan); 205,462 shares subject to outstanding awards granted under the Assembly Biosciences, Inc. Amended and Restated 2014 Stock Incentive Plan (2014 Plan), of which 204,692 were subject to outstanding stock options and 770 were subject to outstanding RSUs; and 1,148,335 shares subject to outstanding awards granted under the Assembly Biosciences, Inc. Amended and Restated 2018 Stock Incentive Plan, as amended (2018 Plan), of which 822,690 were subject to outstanding stock options, 84,813 were subject to outstanding RSUs and 240,832 were subject to outstanding PSUs. This number excludes purchase rights currently accruing under the Assembly Biosciences, Inc. Second Amended and Restated 2018 Employee Stock Purchase Plan (ESPP).</w:t>
      </w:r>
    </w:p>
    <w:p>
      <w:pPr>
        <w:spacing w:after="0" w:line="133" w:lineRule="exact"/>
        <w:rPr>
          <w:rFonts w:ascii="Times New Roman" w:cs="Times New Roman" w:eastAsia="Times New Roman" w:hAnsi="Times New Roman"/>
          <w:sz w:val="30"/>
          <w:szCs w:val="30"/>
          <w:color w:val="auto"/>
          <w:vertAlign w:val="superscript"/>
        </w:rPr>
      </w:pPr>
    </w:p>
    <w:p>
      <w:pPr>
        <w:ind w:left="1020" w:right="560" w:hanging="499"/>
        <w:spacing w:after="0" w:line="195" w:lineRule="auto"/>
        <w:tabs>
          <w:tab w:leader="none" w:pos="102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number includes: no shares under the 2010 Plan, which has been frozen; 9,606 shares available for issuance under the 2014 Plan; 383,390 shares available for issuance under the 2018 Plan; and 86,097 shares reserved for issuance under the ESPP.</w:t>
      </w:r>
    </w:p>
    <w:p>
      <w:pPr>
        <w:spacing w:after="0" w:line="132" w:lineRule="exact"/>
        <w:rPr>
          <w:rFonts w:ascii="Times New Roman" w:cs="Times New Roman" w:eastAsia="Times New Roman" w:hAnsi="Times New Roman"/>
          <w:sz w:val="30"/>
          <w:szCs w:val="30"/>
          <w:color w:val="auto"/>
          <w:vertAlign w:val="superscript"/>
        </w:rPr>
      </w:pPr>
    </w:p>
    <w:p>
      <w:pPr>
        <w:ind w:left="1020" w:hanging="499"/>
        <w:spacing w:after="0" w:line="219" w:lineRule="auto"/>
        <w:tabs>
          <w:tab w:leader="none" w:pos="102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number includes 50,452 shares subject to stock options granted under the 2017 Inducement Award Plan (2017 Inducement Plan); 41,666 shares subject to stock options granted under the 2019 Inducement Award Plan (2019 Inducement Plan); 58,746 shares subject to stock options granted under the 2020 Inducement Award Plan (2020 Inducement Plan); and 10,528,297 warrants granted in offerings in June 2024 and August 2025.</w:t>
      </w:r>
    </w:p>
    <w:p>
      <w:pPr>
        <w:spacing w:after="0" w:line="131" w:lineRule="exact"/>
        <w:rPr>
          <w:rFonts w:ascii="Times New Roman" w:cs="Times New Roman" w:eastAsia="Times New Roman" w:hAnsi="Times New Roman"/>
          <w:sz w:val="30"/>
          <w:szCs w:val="30"/>
          <w:color w:val="auto"/>
          <w:vertAlign w:val="superscript"/>
        </w:rPr>
      </w:pPr>
    </w:p>
    <w:p>
      <w:pPr>
        <w:ind w:left="1020" w:right="140" w:hanging="499"/>
        <w:spacing w:after="0" w:line="195" w:lineRule="auto"/>
        <w:tabs>
          <w:tab w:leader="none" w:pos="1020" w:val="left"/>
        </w:tabs>
        <w:numPr>
          <w:ilvl w:val="0"/>
          <w:numId w:val="3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This number includes: 14,589 shares available for issuance under the 2017 Inducement Plan, no shares under the 2019 Inducement Plan and 5 shares available for issuance under the 2020 Inducement Plan.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stockholder-approved equity compensation plans consist of the 2018 Plan, the 2014 Plan, the 2010 Plan and the ESPP. Effective on June 2, 2016, the 2010 Plan was frozen, and no further grants will be made under the 2010 Plan. Shares that are forfeited under the 2010 Plan on or after June 2, 2016 will become available for issuance under the 2014 Plan. An “Award” under the 2018 Plan, 2014 Plan or 2010 Plan is any right to receive our common stock consisting of non-statutory stock options, incentive stock options, stock appreciation rights, RSUs, PSUs, or any other stock award.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2018, our stockholders approved the ESPP, which was amended and restated in May 2021, May 2024 and June 2025. The ESPP provides for the purchase by employees of up to an aggregate of 225,000 shares of the Company’s common stock at the end of predetermined offering periods at 85% of the lower of the fair market value at the beginning or end of each offering period. Eligible employees may participate in the ESPP at a minimum of 1% and up to a maximum of 15% of such employee’s compensation for each pay period, subject to annual statutory limits.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outstanding equity compensation arrangements that have not been approved by our stockholders consist of the 2017 Inducement Plan, the 2019 Inducement Plan, the 2020 Inducement Plan and warrants granted in a registered direct offering and a private placement in June 2024. In April 2017, our board of directors adopted the 2017 Inducement Plan and reserved 66,666 shares of our common stock for issuance under the 2017 Inducement Plan. In August 2019, our board of directors adopted the 2019 Inducement Plan and reserved 41,666 shares of our common stock for issuance under the 2019 Inducement Plan. In March 2020, our board of directors adopted the 2020 Inducement Plan and reserved 66,666 shares of our common stock for issuance under the 2020 Inducement Plan. The only persons eligible to receive grants of awards under the 2017 Inducement Plan, the 2019 Inducement Plan or the 2020 Inducement Plan are individuals who satisfy the standards for inducement grants under Nasdaq Marketplace Rule 5635(c)(4) and the related guidance under Nasdaq IM 5635-1-that is, generally, a person not previously an employee or director of ours, or following a bona fide period of non-employment, as an inducement material to the individual's entering into employment with us. An “Award” is any right to receive our common stock pursuant to the Inducement Plan, consisting of non-statutory stock options, stock appreciation rights, restricted stock awards, RSUs, PSUs, or any other stock award.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and is incorporated into this Annual Report on Form 10-K by reference.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contained in the Proxy Statement and is incorporated into this Annual Report on Form 10-K by reference.</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64" w:name="page65"/>
    <w:bookmarkEnd w:id="6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following exhibits are filed as part of this Annual Report on Form 10-K:</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gridSpan w:val="19"/>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173"/>
        </w:trPr>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r>
      <w:tr>
        <w:trPr>
          <w:trHeight w:val="169"/>
        </w:trPr>
        <w:tc>
          <w:tcPr>
            <w:tcW w:w="1040" w:type="dxa"/>
            <w:vAlign w:val="bottom"/>
          </w:tcPr>
          <w:p>
            <w:pPr>
              <w:jc w:val="center"/>
              <w:ind w:right="531"/>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14"/>
                <w:szCs w:val="14"/>
                <w:color w:val="auto"/>
              </w:rPr>
            </w:pPr>
          </w:p>
        </w:tc>
        <w:tc>
          <w:tcPr>
            <w:tcW w:w="522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Sixth Amended and Restated Certificate of Incorporation dated May 25,</w:t>
              </w:r>
            </w:hyperlink>
          </w:p>
        </w:tc>
        <w:tc>
          <w:tcPr>
            <w:tcW w:w="200" w:type="dxa"/>
            <w:vAlign w:val="bottom"/>
            <w:gridSpan w:val="4"/>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540" w:type="dxa"/>
            <w:vAlign w:val="bottom"/>
            <w:gridSpan w:val="3"/>
          </w:tcPr>
          <w:p>
            <w:pPr>
              <w:ind w:left="120"/>
              <w:spacing w:after="0" w:line="196" w:lineRule="exact"/>
              <w:rPr>
                <w:rFonts w:ascii="Times New Roman" w:cs="Times New Roman" w:eastAsia="Times New Roman" w:hAnsi="Times New Roman"/>
                <w:sz w:val="18"/>
                <w:szCs w:val="18"/>
                <w:color w:val="0000FF"/>
                <w:w w:val="93"/>
              </w:rPr>
            </w:pPr>
            <w:hyperlink r:id="rId80">
              <w:r>
                <w:rPr>
                  <w:rFonts w:ascii="Times New Roman" w:cs="Times New Roman" w:eastAsia="Times New Roman" w:hAnsi="Times New Roman"/>
                  <w:sz w:val="18"/>
                  <w:szCs w:val="18"/>
                  <w:color w:val="0000FF"/>
                  <w:w w:val="93"/>
                </w:rPr>
                <w:t>2022.</w:t>
              </w:r>
            </w:hyperlink>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Certificate of Amendment to Sixth Amended and Restated Certificate of</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Incorporation of Assembly Biosciences, Inc., dated February 9, 2024</w:t>
              </w:r>
              <w:r>
                <w:rPr>
                  <w:rFonts w:ascii="Times New Roman" w:cs="Times New Roman" w:eastAsia="Times New Roman" w:hAnsi="Times New Roman"/>
                  <w:sz w:val="18"/>
                  <w:szCs w:val="18"/>
                  <w:color w:val="000000"/>
                </w:rPr>
                <w:t>.</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Amended and Restated Bylaws as amended through December 12, 2024.</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Specimen of Common Stock Certificate.</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Description of Securities.</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Registered Warrant.</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Private Placement Warrant.</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of Class A Warrant.</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of Class B Warrant.</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Pre-Funded Warrant.</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Private Placement Class A Warrant.</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FF"/>
            </w:tcBorders>
            <w:gridSpan w:val="5"/>
            <w:shd w:val="clear" w:color="auto" w:fill="0000FF"/>
          </w:tcPr>
          <w:p>
            <w:pPr>
              <w:spacing w:after="0" w:line="20" w:lineRule="exact"/>
              <w:rPr>
                <w:sz w:val="1"/>
                <w:szCs w:val="1"/>
                <w:color w:val="auto"/>
              </w:rPr>
            </w:pPr>
          </w:p>
        </w:tc>
        <w:tc>
          <w:tcPr>
            <w:tcW w:w="880" w:type="dxa"/>
            <w:vAlign w:val="bottom"/>
            <w:tcBorders>
              <w:left w:val="single" w:sz="8" w:color="0000FF"/>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Private Placement Class B Warrant.</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EE"/>
            </w:tcBorders>
            <w:gridSpan w:val="5"/>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Sublease, dated July 26, 2023, by and between Arsenal Biosciences, Inc.,</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as Sublandlord, and Assembly Biosciences, Inc., as Subtenant.</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First Amendment to Sublease, dated December 30, 2024, by and between</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Arsenal Biosciences, Inc. and Assembly Biosciences, Inc.</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Option, License and Collaboration Agreement, dated October 15, 2023, by</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and between Assembly Biosciences, Inc. and Gilead Sciences, Inc.</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First Amendment to Option, License and Collaboration Agreement, dated</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December 19, 2024, by and between Assembly Biosciences, Inc. and</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Gilead Sciences, Inc.</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Common Stock Purchase Agreement, dated October 15, 2023, by and</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between Assembly Biosciences, Inc. and Gilead Sciences, Inc.</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Amendment No. 1 to Common Stock Purchase Agreement, dated June 17,</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2024, by and between Assembly Biosciences, Inc. and Gilead Sciences,</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Inc.</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Investor Rights Agreement, dated October 15, 2023, by and between</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Assembly Biosciences, Inc. and Gilead Sciences, Inc.</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Amendment No. 1 to Investor Rights Agreement, dated June 17, 2024, by</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and between Assembly Biosciences, Inc. and Gilead Sciences, Inc.</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1040" w:type="dxa"/>
            <w:vAlign w:val="bottom"/>
          </w:tcPr>
          <w:p>
            <w:pPr>
              <w:jc w:val="center"/>
              <w:ind w:right="531"/>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Amended and Restated Employment Agreement, dated December 12,</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36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2022, between Assembly Biosciences, Inc. and Jason A. Okazaki.</w:t>
              </w:r>
            </w:hyperlink>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Employment Agreement, dated May 1, 2020, between Assembly</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gridSpan w:val="9"/>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Biosciences, Inc. and William E. Delaney IV, Ph.D., effective as of May</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20" w:type="dxa"/>
            <w:vAlign w:val="bottom"/>
            <w:gridSpan w:val="4"/>
          </w:tcPr>
          <w:p>
            <w:pPr>
              <w:ind w:left="120"/>
              <w:spacing w:after="0" w:line="196" w:lineRule="exact"/>
              <w:rPr>
                <w:rFonts w:ascii="Times New Roman" w:cs="Times New Roman" w:eastAsia="Times New Roman" w:hAnsi="Times New Roman"/>
                <w:sz w:val="18"/>
                <w:szCs w:val="18"/>
                <w:color w:val="0000FF"/>
                <w:w w:val="97"/>
              </w:rPr>
            </w:pPr>
            <w:hyperlink r:id="rId101">
              <w:r>
                <w:rPr>
                  <w:rFonts w:ascii="Times New Roman" w:cs="Times New Roman" w:eastAsia="Times New Roman" w:hAnsi="Times New Roman"/>
                  <w:sz w:val="18"/>
                  <w:szCs w:val="18"/>
                  <w:color w:val="0000FF"/>
                  <w:w w:val="97"/>
                </w:rPr>
                <w:t>27, 2020.</w:t>
              </w:r>
            </w:hyperlink>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2780" w:type="dxa"/>
            <w:vAlign w:val="bottom"/>
            <w:gridSpan w:val="9"/>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Employment Agreement, dated November 8, 2023, between Assembly</w:t>
              </w:r>
            </w:hyperlink>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gridSpan w:val="12"/>
            <w:shd w:val="clear" w:color="auto" w:fill="0000FF"/>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6"/>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Biosciences, Inc. and Anuj Gaggar, M.D., Ph.D.</w:t>
              </w:r>
            </w:hyperlink>
          </w:p>
        </w:tc>
      </w:tr>
      <w:tr>
        <w:trPr>
          <w:trHeight w:val="668"/>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Borders>
              <w:top w:val="single" w:sz="8" w:color="0000FF"/>
            </w:tcBorders>
            <w:gridSpan w:val="12"/>
          </w:tcPr>
          <w:p>
            <w:pPr>
              <w:spacing w:after="0"/>
              <w:rPr>
                <w:sz w:val="24"/>
                <w:szCs w:val="24"/>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Dated</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73"/>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22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03/28/2024</w:t>
            </w: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1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02/13/2024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12/13/2024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03/20/2025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03/28/2024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06/18/2024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06/18/2024</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11/10/2025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11/10/2025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11/10/2025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11/10/2025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11/10/2025</w:t>
            </w:r>
          </w:p>
        </w:tc>
        <w:tc>
          <w:tcPr>
            <w:tcW w:w="1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11/08/2023</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01/03/2025</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10/17/2023</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12/19/2024</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4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10/17/2023</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06/18/2024</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4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10/17/2023</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06/18/2024</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12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03/22/2023</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2"/>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02/25/2021</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48"/>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03/28/2024</w:t>
            </w:r>
          </w:p>
        </w:tc>
        <w:tc>
          <w:tcPr>
            <w:tcW w:w="10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2">
            <w:col w:w="6600" w:space="140"/>
            <w:col w:w="4500"/>
          </w:cols>
          <w:pgMar w:left="320" w:top="1440"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w:t>
            </w:r>
          </w:p>
        </w:tc>
        <w:tc>
          <w:tcPr>
            <w:tcW w:w="120" w:type="dxa"/>
            <w:vAlign w:val="bottom"/>
          </w:tcPr>
          <w:p>
            <w:pPr>
              <w:spacing w:after="0"/>
              <w:rPr>
                <w:sz w:val="13"/>
                <w:szCs w:val="13"/>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Dated</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73"/>
        </w:trPr>
        <w:tc>
          <w:tcPr>
            <w:tcW w:w="10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169"/>
        </w:trPr>
        <w:tc>
          <w:tcPr>
            <w:tcW w:w="1040" w:type="dxa"/>
            <w:vAlign w:val="bottom"/>
          </w:tcPr>
          <w:p>
            <w:pPr>
              <w:jc w:val="right"/>
              <w:ind w:right="451"/>
              <w:spacing w:after="0" w:line="169" w:lineRule="exact"/>
              <w:rPr>
                <w:sz w:val="20"/>
                <w:szCs w:val="20"/>
                <w:color w:val="auto"/>
              </w:rPr>
            </w:pPr>
            <w:r>
              <w:rPr>
                <w:rFonts w:ascii="Times New Roman" w:cs="Times New Roman" w:eastAsia="Times New Roman" w:hAnsi="Times New Roman"/>
                <w:sz w:val="18"/>
                <w:szCs w:val="18"/>
                <w:color w:val="auto"/>
                <w:w w:val="96"/>
              </w:rPr>
              <w:t>10.12#</w:t>
            </w:r>
          </w:p>
        </w:tc>
        <w:tc>
          <w:tcPr>
            <w:tcW w:w="140" w:type="dxa"/>
            <w:vAlign w:val="bottom"/>
          </w:tcPr>
          <w:p>
            <w:pPr>
              <w:spacing w:after="0"/>
              <w:rPr>
                <w:sz w:val="14"/>
                <w:szCs w:val="14"/>
                <w:color w:val="auto"/>
              </w:rPr>
            </w:pPr>
          </w:p>
        </w:tc>
        <w:tc>
          <w:tcPr>
            <w:tcW w:w="510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Employment Agreement, dated February 10, 2022, between Assembly</w:t>
              </w:r>
            </w:hyperlink>
          </w:p>
        </w:tc>
        <w:tc>
          <w:tcPr>
            <w:tcW w:w="320" w:type="dxa"/>
            <w:vAlign w:val="bottom"/>
            <w:gridSpan w:val="5"/>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12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03/28/2024</w:t>
            </w:r>
          </w:p>
        </w:tc>
        <w:tc>
          <w:tcPr>
            <w:tcW w:w="100" w:type="dxa"/>
            <w:vAlign w:val="bottom"/>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Biosciences, Inc. and Nicole S. White, Ph.D., effective as of February 16,</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60" w:type="dxa"/>
            <w:vAlign w:val="bottom"/>
            <w:gridSpan w:val="3"/>
          </w:tcPr>
          <w:p>
            <w:pPr>
              <w:ind w:left="120"/>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2022.</w:t>
              </w:r>
            </w:hyperlink>
          </w:p>
        </w:tc>
        <w:tc>
          <w:tcPr>
            <w:tcW w:w="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10.13#</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2010 Equity Incentive Plan.</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rPr>
              <w:t>10/4/2010</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10.14#</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Assembly Biosciences, Inc. Amended and Restated 2014 Stock Incentive</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06/06/2016</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10.15#</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Omnibus Amendment to Assembly Biosciences, Inc. Stock Incentive</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05/08/2020</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Plans.</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10.16#</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Form of Notice of Stock Option Grant and Stock Option Agreement under</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03/22/2023</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the Amended and Restated 2014 Stock Incentive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10.17#</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of Restricted Stock Unit Award Notice and Restricted Stock Unit</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11/01/2017</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Award Agreement under the Amended and Restated 2014 Stock Incentive</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10.18#</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Assembly Biosciences, Inc. 2017 Inducement Award Plan.</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08/09/2017</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10.19#</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Form of Notice of Stock Option Grant and Stock Option Agreement under</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08/09/2017</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the 2017 Inducement Award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10.20#</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Form of Restricted Stock Unit Award Notice and Restricted Stock Unit</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08/09/2017</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Award Agreement under the 2017 Inducement Award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10.21#</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Assembly Biosciences, Inc. Amended and Restated 2018 Stock Incentive</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06/03/2024</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10.22#</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Amendment No. 1 to Assembly Biosciences, Inc. Amended and Restated</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06/09/2025</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2018 Stock Incentive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10.23#</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Amendment No. 2 to Assembly Biosciences, Inc. Amended and Restated</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06/09/2025</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2018 Stock Incentive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10.24#</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Notice of Stock Option Grant and Stock Option Agreement under</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03/22/2023</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the 2018 Stock Incentive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10.25#</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Restricted Stock Unit Award Notice and Restricted Stock Unit</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06/01/2018</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Award Agreement under the 2018 Stock Incentive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10.26#</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Stock Appreciation Right Award Agreement for Non-U.S.</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10/12/2018</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Grantees under the Assembly Biosciences, Inc. 2018 Stock Incentive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10.27#</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Performance-Based Stock Appreciation Right Award Agreement</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03/11/2022</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 Non-U.S. Grantees under the Assembly Biosciences, Inc. 2018 Stock</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Incentive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10.28#</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Assembly Biosciences, Inc. Second Amended and Restated 2018</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06/03/2024</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Employee Stock Purchase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10.29#</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Amendment No. 1 to Assembly Biosciences, Inc. Second Amended and</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06/09/2025</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Borders>
              <w:right w:val="single" w:sz="8" w:color="0000FF"/>
            </w:tcBorders>
            <w:gridSpan w:val="7"/>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40" w:type="dxa"/>
            <w:vAlign w:val="bottom"/>
            <w:gridSpan w:val="10"/>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Restated 2018 Employee Stock Purchase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7"/>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10.30#</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Assembly Biosciences, Inc. 2019 Inducement Award Plan.</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11/07/2019</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7"/>
            <w:shd w:val="clear" w:color="auto" w:fill="0000FF"/>
          </w:tcPr>
          <w:p>
            <w:pPr>
              <w:spacing w:after="0" w:line="20" w:lineRule="exact"/>
              <w:rPr>
                <w:sz w:val="1"/>
                <w:szCs w:val="1"/>
                <w:color w:val="auto"/>
              </w:rPr>
            </w:pPr>
          </w:p>
        </w:tc>
        <w:tc>
          <w:tcPr>
            <w:tcW w:w="176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10.31#</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Notice of Stock Option Grant and Stock Option Agreement under</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11/07/2019</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Borders>
              <w:right w:val="single" w:sz="8" w:color="0000FF"/>
            </w:tcBorders>
            <w:gridSpan w:val="7"/>
            <w:shd w:val="clear" w:color="auto" w:fill="0000FF"/>
          </w:tcPr>
          <w:p>
            <w:pPr>
              <w:spacing w:after="0" w:line="20" w:lineRule="exact"/>
              <w:rPr>
                <w:sz w:val="1"/>
                <w:szCs w:val="1"/>
                <w:color w:val="auto"/>
              </w:rPr>
            </w:pPr>
          </w:p>
        </w:tc>
        <w:tc>
          <w:tcPr>
            <w:tcW w:w="2880" w:type="dxa"/>
            <w:vAlign w:val="bottom"/>
            <w:tcBorders>
              <w:left w:val="single" w:sz="8" w:color="0000FF"/>
            </w:tcBorders>
            <w:gridSpan w:val="1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the 2019 Inducement Award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7"/>
            <w:shd w:val="clear" w:color="auto" w:fill="0000FF"/>
          </w:tcPr>
          <w:p>
            <w:pPr>
              <w:spacing w:after="0" w:line="20" w:lineRule="exact"/>
              <w:rPr>
                <w:sz w:val="1"/>
                <w:szCs w:val="1"/>
                <w:color w:val="auto"/>
              </w:rPr>
            </w:pPr>
          </w:p>
        </w:tc>
        <w:tc>
          <w:tcPr>
            <w:tcW w:w="2960" w:type="dxa"/>
            <w:vAlign w:val="bottom"/>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10.32#</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Assembly Biosciences, Inc. 2020 Inducement Award Plan.</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05/08/2020</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FF"/>
            </w:tcBorders>
            <w:gridSpan w:val="7"/>
            <w:shd w:val="clear" w:color="auto" w:fill="0000FF"/>
          </w:tcPr>
          <w:p>
            <w:pPr>
              <w:spacing w:after="0" w:line="20" w:lineRule="exact"/>
              <w:rPr>
                <w:sz w:val="1"/>
                <w:szCs w:val="1"/>
                <w:color w:val="auto"/>
              </w:rPr>
            </w:pPr>
          </w:p>
        </w:tc>
        <w:tc>
          <w:tcPr>
            <w:tcW w:w="176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1200" w:type="dxa"/>
            <w:vAlign w:val="bottom"/>
            <w:gridSpan w:val="1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10.33#</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Form of Notice of Stock Option Grant and Stock Option Agreement under</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05/08/2020</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Borders>
              <w:right w:val="single" w:sz="8" w:color="0000FF"/>
            </w:tcBorders>
            <w:gridSpan w:val="7"/>
            <w:shd w:val="clear" w:color="auto" w:fill="0000FF"/>
          </w:tcPr>
          <w:p>
            <w:pPr>
              <w:spacing w:after="0" w:line="20" w:lineRule="exact"/>
              <w:rPr>
                <w:sz w:val="1"/>
                <w:szCs w:val="1"/>
                <w:color w:val="auto"/>
              </w:rPr>
            </w:pPr>
          </w:p>
        </w:tc>
        <w:tc>
          <w:tcPr>
            <w:tcW w:w="2880" w:type="dxa"/>
            <w:vAlign w:val="bottom"/>
            <w:tcBorders>
              <w:left w:val="single" w:sz="8" w:color="0000FF"/>
            </w:tcBorders>
            <w:gridSpan w:val="1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the 2020 Inducement Award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60" w:type="dxa"/>
            <w:vAlign w:val="bottom"/>
            <w:tcBorders>
              <w:right w:val="single" w:sz="8" w:color="0000EE"/>
            </w:tcBorders>
            <w:gridSpan w:val="7"/>
            <w:shd w:val="clear" w:color="auto" w:fill="0000FF"/>
          </w:tcPr>
          <w:p>
            <w:pPr>
              <w:spacing w:after="0" w:line="20" w:lineRule="exact"/>
              <w:rPr>
                <w:sz w:val="1"/>
                <w:szCs w:val="1"/>
                <w:color w:val="auto"/>
              </w:rPr>
            </w:pPr>
          </w:p>
        </w:tc>
        <w:tc>
          <w:tcPr>
            <w:tcW w:w="2960" w:type="dxa"/>
            <w:vAlign w:val="bottom"/>
            <w:tcBorders>
              <w:left w:val="single" w:sz="8" w:color="0000EE"/>
            </w:tcBorders>
            <w:gridSpan w:val="1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jc w:val="right"/>
              <w:ind w:right="451"/>
              <w:spacing w:after="0" w:line="196" w:lineRule="exact"/>
              <w:rPr>
                <w:sz w:val="20"/>
                <w:szCs w:val="20"/>
                <w:color w:val="auto"/>
              </w:rPr>
            </w:pPr>
            <w:r>
              <w:rPr>
                <w:rFonts w:ascii="Times New Roman" w:cs="Times New Roman" w:eastAsia="Times New Roman" w:hAnsi="Times New Roman"/>
                <w:sz w:val="18"/>
                <w:szCs w:val="18"/>
                <w:color w:val="auto"/>
                <w:w w:val="96"/>
              </w:rPr>
              <w:t>10.34#</w:t>
            </w: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Form of Restricted Stock Unit Award Notice and Restricted Stock Unit</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05/08/2020</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160" w:type="dxa"/>
            <w:vAlign w:val="bottom"/>
            <w:gridSpan w:val="17"/>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21"/>
          </w:tcPr>
          <w:p>
            <w:pPr>
              <w:spacing w:after="0" w:line="19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Award Agreement under the 2020 Inducement Award Plan.</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669"/>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00" w:type="dxa"/>
            <w:vAlign w:val="bottom"/>
            <w:tcBorders>
              <w:top w:val="single" w:sz="8" w:color="0000FF"/>
            </w:tcBorders>
            <w:gridSpan w:val="12"/>
          </w:tcPr>
          <w:p>
            <w:pPr>
              <w:spacing w:after="0"/>
              <w:rPr>
                <w:sz w:val="24"/>
                <w:szCs w:val="24"/>
                <w:color w:val="auto"/>
              </w:rPr>
            </w:pP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10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160" w:type="dxa"/>
            <w:vAlign w:val="bottom"/>
            <w:gridSpan w:val="12"/>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w:t>
            </w:r>
          </w:p>
        </w:tc>
        <w:tc>
          <w:tcPr>
            <w:tcW w:w="1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Dated</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r>
      <w:tr>
        <w:trPr>
          <w:trHeight w:val="173"/>
        </w:trPr>
        <w:tc>
          <w:tcPr>
            <w:tcW w:w="10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169"/>
        </w:trPr>
        <w:tc>
          <w:tcPr>
            <w:tcW w:w="10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14"/>
                <w:szCs w:val="14"/>
                <w:color w:val="auto"/>
              </w:rPr>
            </w:pPr>
          </w:p>
        </w:tc>
        <w:tc>
          <w:tcPr>
            <w:tcW w:w="4980" w:type="dxa"/>
            <w:vAlign w:val="bottom"/>
            <w:tcBorders>
              <w:bottom w:val="single" w:sz="8" w:color="0000FF"/>
            </w:tcBorders>
            <w:gridSpan w:val="10"/>
          </w:tcPr>
          <w:p>
            <w:pPr>
              <w:spacing w:after="0" w:line="169"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Securities Purchase Agreement, dated June 16, 2024, by and between</w:t>
              </w:r>
            </w:hyperlink>
          </w:p>
        </w:tc>
        <w:tc>
          <w:tcPr>
            <w:tcW w:w="440" w:type="dxa"/>
            <w:vAlign w:val="bottom"/>
            <w:gridSpan w:val="4"/>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4"/>
                <w:szCs w:val="14"/>
                <w:color w:val="auto"/>
              </w:rPr>
            </w:pPr>
          </w:p>
        </w:tc>
        <w:tc>
          <w:tcPr>
            <w:tcW w:w="11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06/18/2024</w:t>
            </w:r>
          </w:p>
        </w:tc>
        <w:tc>
          <w:tcPr>
            <w:tcW w:w="100" w:type="dxa"/>
            <w:vAlign w:val="bottom"/>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Assembly Biosciences, Inc. and the Purchaser.</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Securities Purchase Agreement, dated June 17, 2024, by and between</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06/18/2024</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Assembly Biosciences, Inc. and Gilead Sciences, Inc.</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Securities Purchase Agreement, dated August 8, 2025, by and between</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08/11/2025</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Assembly Biosciences, Inc. and Gilead Sciences, Inc.</w:t>
              </w:r>
            </w:hyperlink>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Assembly Biosciences, Inc. 2024 Corporate Bonus Plan.</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03/15/2024</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Assembly Biosciences, Inc. Insider Trading Policy.</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03/20/2025</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List of Subsidiaries of Assembly Biosciences, Inc.</w:t>
              </w:r>
            </w:hyperlink>
          </w:p>
        </w:tc>
        <w:tc>
          <w:tcPr>
            <w:tcW w:w="140" w:type="dxa"/>
            <w:vAlign w:val="bottom"/>
          </w:tcPr>
          <w:p>
            <w:pPr>
              <w:spacing w:after="0"/>
              <w:rPr>
                <w:sz w:val="17"/>
                <w:szCs w:val="17"/>
                <w:color w:val="auto"/>
              </w:rPr>
            </w:pPr>
          </w:p>
        </w:tc>
        <w:tc>
          <w:tcPr>
            <w:tcW w:w="1240" w:type="dxa"/>
            <w:vAlign w:val="bottom"/>
          </w:tcPr>
          <w:p>
            <w:pPr>
              <w:ind w:left="4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03/20/2025</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 (included on signature page).</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gridSpan w:val="2"/>
            <w:shd w:val="clear" w:color="auto" w:fill="0000FF"/>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Section 302 of</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Section 302 of</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8"/>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Executive Officer Pursuant to 18 U.S.C.</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8"/>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720" w:type="dxa"/>
            <w:vAlign w:val="bottom"/>
            <w:gridSpan w:val="8"/>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Principal Financial Officer Pursuant to 18 U.S.C.</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3720" w:type="dxa"/>
            <w:vAlign w:val="bottom"/>
            <w:gridSpan w:val="8"/>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3980" w:type="dxa"/>
            <w:vAlign w:val="bottom"/>
            <w:gridSpan w:val="10"/>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6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4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Clawback Policy.</w:t>
              </w:r>
            </w:hyperlink>
          </w:p>
        </w:tc>
        <w:tc>
          <w:tcPr>
            <w:tcW w:w="14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gridSpan w:val="2"/>
          </w:tcPr>
          <w:p>
            <w:pPr>
              <w:jc w:val="center"/>
              <w:ind w:left="10"/>
              <w:spacing w:after="0" w:line="196" w:lineRule="exact"/>
              <w:rPr>
                <w:sz w:val="20"/>
                <w:szCs w:val="20"/>
                <w:color w:val="auto"/>
              </w:rPr>
            </w:pPr>
            <w:r>
              <w:rPr>
                <w:rFonts w:ascii="Times New Roman" w:cs="Times New Roman" w:eastAsia="Times New Roman" w:hAnsi="Times New Roman"/>
                <w:sz w:val="18"/>
                <w:szCs w:val="18"/>
                <w:color w:val="auto"/>
                <w:w w:val="99"/>
              </w:rPr>
              <w:t>03/28/2024</w:t>
            </w:r>
          </w:p>
        </w:tc>
        <w:tc>
          <w:tcPr>
            <w:tcW w:w="100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gridSpan w:val="2"/>
            <w:shd w:val="clear" w:color="auto" w:fill="0000FF"/>
          </w:tcPr>
          <w:p>
            <w:pPr>
              <w:spacing w:after="0" w:line="20" w:lineRule="exact"/>
              <w:rPr>
                <w:sz w:val="1"/>
                <w:szCs w:val="1"/>
                <w:color w:val="auto"/>
              </w:rPr>
            </w:pPr>
          </w:p>
        </w:tc>
        <w:tc>
          <w:tcPr>
            <w:tcW w:w="416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8"/>
                <w:szCs w:val="18"/>
                <w:color w:val="auto"/>
              </w:rPr>
            </w:pPr>
          </w:p>
        </w:tc>
        <w:tc>
          <w:tcPr>
            <w:tcW w:w="542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Inline XBRL Instance Document-the instance document does not appear in</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Interactive Data File as its XBRL</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8"/>
                <w:szCs w:val="18"/>
                <w:color w:val="auto"/>
              </w:rPr>
            </w:pPr>
          </w:p>
        </w:tc>
        <w:tc>
          <w:tcPr>
            <w:tcW w:w="54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ind w:left="1160" w:right="4840" w:hanging="1152"/>
        <w:spacing w:after="0" w:line="260" w:lineRule="auto"/>
        <w:tabs>
          <w:tab w:leader="none" w:pos="11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26403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schedules to this exhibit have been omitted pursuant to Item 601(a)(5) of Regulation S-K.</w:t>
      </w:r>
    </w:p>
    <w:p>
      <w:pPr>
        <w:spacing w:after="0" w:line="50" w:lineRule="exact"/>
        <w:rPr>
          <w:sz w:val="20"/>
          <w:szCs w:val="20"/>
          <w:color w:val="auto"/>
        </w:rPr>
      </w:pPr>
    </w:p>
    <w:p>
      <w:pPr>
        <w:ind w:left="140" w:hanging="132"/>
        <w:spacing w:after="0"/>
        <w:tabs>
          <w:tab w:leader="none" w:pos="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Represents management contracts or compensatory plans or arrangements.</w:t>
      </w:r>
    </w:p>
    <w:p>
      <w:pPr>
        <w:spacing w:after="0" w:line="20"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certification attached as Exhibit 32.1 that accompanies this Annual Report on Form 10-K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Section 13 or 15(d) of the Securities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ASSEMBLY BIOSCIENCES,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A. Okazaki</w:t>
            </w:r>
          </w:p>
        </w:tc>
      </w:tr>
      <w:tr>
        <w:trPr>
          <w:trHeight w:val="191"/>
        </w:trPr>
        <w:tc>
          <w:tcPr>
            <w:tcW w:w="3500" w:type="dxa"/>
            <w:vAlign w:val="bottom"/>
          </w:tcPr>
          <w:p>
            <w:pPr>
              <w:spacing w:after="0"/>
              <w:rPr>
                <w:sz w:val="16"/>
                <w:szCs w:val="16"/>
                <w:color w:val="auto"/>
              </w:rPr>
            </w:pPr>
          </w:p>
        </w:tc>
        <w:tc>
          <w:tcPr>
            <w:tcW w:w="26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Jason A. Okazaki</w:t>
            </w:r>
          </w:p>
        </w:tc>
      </w:tr>
      <w:tr>
        <w:trPr>
          <w:trHeight w:val="234"/>
        </w:trPr>
        <w:tc>
          <w:tcPr>
            <w:tcW w:w="3500" w:type="dxa"/>
            <w:vAlign w:val="bottom"/>
          </w:tcPr>
          <w:p>
            <w:pPr>
              <w:spacing w:after="0"/>
              <w:rPr>
                <w:sz w:val="20"/>
                <w:szCs w:val="20"/>
                <w:color w:val="auto"/>
              </w:rPr>
            </w:pPr>
          </w:p>
        </w:tc>
        <w:tc>
          <w:tcPr>
            <w:tcW w:w="26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Jason A. Okazaki and John O. Gunderson,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0"/>
                <w:szCs w:val="20"/>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18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31"/>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A. Okazaki</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191"/>
        </w:trPr>
        <w:tc>
          <w:tcPr>
            <w:tcW w:w="3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Jason A. Okazaki</w:t>
            </w:r>
          </w:p>
        </w:tc>
        <w:tc>
          <w:tcPr>
            <w:tcW w:w="562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34"/>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Jeanette M. Bjorkquist</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VP, Finance</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Jeanette M. Bjorkquist</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R. Ringo, Jr.</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William R. Ringo, Jr.</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Anthony E. Altig</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Anthony E. Altig</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Tomas Cihlar, Ph.D.</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Tomas Cihlar, Ph.D.</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Gina Consylman</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Gina Consylman</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D. Cook II</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Robert D. Cook II</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Sir Michael Houghton, Ph.D.</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Sir Michael Houghton, Ph.D.</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R. Johnson-Pratt, M.D.</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Lisa R. Johnson-Pratt, M.D.</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Susan Mahony, Ph.D.</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Susan Mahony, Ph.D.</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9"/>
        </w:trPr>
        <w:tc>
          <w:tcPr>
            <w:tcW w:w="3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G. McHutchison, A.O., M.D.</w:t>
            </w:r>
          </w:p>
        </w:tc>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John G. McHutchison, A.O., M.D.</w:t>
            </w:r>
          </w:p>
        </w:tc>
        <w:tc>
          <w:tcPr>
            <w:tcW w:w="1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0000FF"/>
            </w:tcBorders>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840" w:type="dxa"/>
            <w:vAlign w:val="bottom"/>
            <w:tcBorders>
              <w:bottom w:val="single" w:sz="8" w:color="CFF0FC"/>
            </w:tcBorders>
            <w:gridSpan w:val="4"/>
            <w:shd w:val="clear" w:color="auto" w:fill="CFF0FC"/>
          </w:tcPr>
          <w:p>
            <w:pPr>
              <w:spacing w:after="0"/>
              <w:rPr>
                <w:sz w:val="16"/>
                <w:szCs w:val="16"/>
                <w:color w:val="auto"/>
              </w:rPr>
            </w:pPr>
          </w:p>
        </w:tc>
        <w:tc>
          <w:tcPr>
            <w:tcW w:w="900" w:type="dxa"/>
            <w:vAlign w:val="bottom"/>
            <w:tcBorders>
              <w:top w:val="single" w:sz="8" w:color="auto"/>
              <w:bottom w:val="single" w:sz="8" w:color="CFF0FC"/>
            </w:tcBorders>
            <w:shd w:val="clear" w:color="auto" w:fill="CFF0FC"/>
          </w:tcPr>
          <w:p>
            <w:pPr>
              <w:ind w:left="660"/>
              <w:spacing w:after="0" w:line="169"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3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90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w w:val="87"/>
              </w:rPr>
              <w:t>F-4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40" w:type="dxa"/>
            <w:vAlign w:val="bottom"/>
            <w:gridSpan w:val="7"/>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2025 and 2024</w:t>
            </w:r>
          </w:p>
        </w:tc>
        <w:tc>
          <w:tcPr>
            <w:tcW w:w="900" w:type="dxa"/>
            <w:vAlign w:val="bottom"/>
            <w:shd w:val="clear" w:color="auto" w:fill="CFF0FC"/>
          </w:tcPr>
          <w:p>
            <w:pPr>
              <w:ind w:left="660"/>
              <w:spacing w:after="0" w:line="176" w:lineRule="exact"/>
              <w:rPr>
                <w:sz w:val="20"/>
                <w:szCs w:val="20"/>
                <w:color w:val="auto"/>
              </w:rPr>
            </w:pPr>
            <w:r>
              <w:rPr>
                <w:rFonts w:ascii="Times New Roman" w:cs="Times New Roman" w:eastAsia="Times New Roman" w:hAnsi="Times New Roman"/>
                <w:sz w:val="18"/>
                <w:szCs w:val="18"/>
                <w:color w:val="auto"/>
                <w:w w:val="87"/>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40" w:type="dxa"/>
            <w:vAlign w:val="bottom"/>
            <w:tcBorders>
              <w:top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2025 and 2024</w:t>
            </w:r>
          </w:p>
        </w:tc>
        <w:tc>
          <w:tcPr>
            <w:tcW w:w="200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ind w:left="660"/>
              <w:spacing w:after="0" w:line="176" w:lineRule="exact"/>
              <w:rPr>
                <w:sz w:val="20"/>
                <w:szCs w:val="20"/>
                <w:color w:val="auto"/>
              </w:rPr>
            </w:pPr>
            <w:r>
              <w:rPr>
                <w:rFonts w:ascii="Times New Roman" w:cs="Times New Roman" w:eastAsia="Times New Roman" w:hAnsi="Times New Roman"/>
                <w:sz w:val="18"/>
                <w:szCs w:val="18"/>
                <w:color w:val="auto"/>
                <w:w w:val="87"/>
              </w:rPr>
              <w:t>F-6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1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80" w:type="dxa"/>
            <w:vAlign w:val="bottom"/>
            <w:tcBorders>
              <w:bottom w:val="single" w:sz="8" w:color="0000EE"/>
            </w:tcBorders>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and 2024</w:t>
            </w:r>
          </w:p>
        </w:tc>
        <w:tc>
          <w:tcPr>
            <w:tcW w:w="3760" w:type="dxa"/>
            <w:vAlign w:val="bottom"/>
            <w:tcBorders>
              <w:bottom w:val="single" w:sz="8" w:color="CFF0FC"/>
            </w:tcBorders>
            <w:gridSpan w:val="3"/>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ind w:left="660"/>
              <w:spacing w:after="0" w:line="176" w:lineRule="exact"/>
              <w:rPr>
                <w:sz w:val="20"/>
                <w:szCs w:val="20"/>
                <w:color w:val="auto"/>
              </w:rPr>
            </w:pPr>
            <w:r>
              <w:rPr>
                <w:rFonts w:ascii="Times New Roman" w:cs="Times New Roman" w:eastAsia="Times New Roman" w:hAnsi="Times New Roman"/>
                <w:sz w:val="18"/>
                <w:szCs w:val="18"/>
                <w:color w:val="auto"/>
                <w:w w:val="87"/>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3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0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w w:val="87"/>
              </w:rPr>
              <w:t>F-8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4"/>
        </w:trPr>
        <w:tc>
          <w:tcPr>
            <w:tcW w:w="3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568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F-1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and the Board of Directors of Assembly Biosciences,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Assembly Biosciences, Inc. (the Company) as of December 31, 2025 and 2024, the related consolidated statements of operations and comprehensive loss, changes in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0" w:name="page71"/>
    <w:bookmarkEnd w:id="70"/>
    <w:p>
      <w:pPr>
        <w:ind w:left="18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Gilead Sciences, Inc.</w:t>
      </w:r>
    </w:p>
    <w:p>
      <w:pPr>
        <w:sectPr>
          <w:pgSz w:w="11900" w:h="16838" w:orient="portrait"/>
          <w:cols w:equalWidth="0" w:num="1">
            <w:col w:w="11240"/>
          </w:cols>
          <w:pgMar w:left="320" w:top="1413" w:right="339" w:bottom="1440" w:gutter="0" w:footer="0" w:header="0"/>
        </w:sectPr>
      </w:pPr>
    </w:p>
    <w:p>
      <w:pPr>
        <w:spacing w:after="0" w:line="227"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ind w:left="60"/>
        <w:spacing w:after="0" w:line="254" w:lineRule="auto"/>
        <w:rPr>
          <w:sz w:val="20"/>
          <w:szCs w:val="20"/>
          <w:color w:val="auto"/>
        </w:rPr>
      </w:pPr>
      <w:r>
        <w:rPr>
          <w:rFonts w:ascii="Times New Roman" w:cs="Times New Roman" w:eastAsia="Times New Roman" w:hAnsi="Times New Roman"/>
          <w:sz w:val="18"/>
          <w:szCs w:val="18"/>
          <w:color w:val="auto"/>
        </w:rPr>
        <w:t>As described in Note 8 to the consolidated financial statements, in July 2025, the Company entered into a letter agreement related to its 2023 Gilead Collaboration Agreement, which provided reimbursement to the Company for certain nonclinical study activities. The Company determined the letter agreement represents a contract modification within the scope of the revenue from contracts with customers guidance. The Company concluded there is a single combined performance obligation for research and development services during the remaining collaboration term and will recognize revenue over time using a cost-based input method. Additionally, in December 2025, Gilead exercised its option to exclusively license the Company's helicase-primase inhibitor (HPI) program. The Company determined that Gilead’s exercise of the option represents a distinct performance obligation within the scope of the revenue from contracts with customers guidance. The Company recognized the revenue at a point in time upon the transfer of the license to Gilead.</w:t>
      </w:r>
    </w:p>
    <w:p>
      <w:pPr>
        <w:spacing w:after="0" w:line="188" w:lineRule="exact"/>
        <w:rPr>
          <w:sz w:val="20"/>
          <w:szCs w:val="20"/>
          <w:color w:val="auto"/>
        </w:rPr>
      </w:pPr>
    </w:p>
    <w:p>
      <w:pPr>
        <w:jc w:val="both"/>
        <w:ind w:left="60"/>
        <w:spacing w:after="0" w:line="266" w:lineRule="auto"/>
        <w:rPr>
          <w:sz w:val="20"/>
          <w:szCs w:val="20"/>
          <w:color w:val="auto"/>
        </w:rPr>
      </w:pPr>
      <w:r>
        <w:rPr>
          <w:rFonts w:ascii="Times New Roman" w:cs="Times New Roman" w:eastAsia="Times New Roman" w:hAnsi="Times New Roman"/>
          <w:sz w:val="18"/>
          <w:szCs w:val="18"/>
          <w:color w:val="auto"/>
        </w:rPr>
        <w:t>Auditing the Company’s accounting for the contract modification and option exercise required increased audit effort due to the complex and judgmental nature of evaluating the terms and assumptions under the agreements and determining the appropriate accounting under the revenue recognition guidance.</w:t>
      </w:r>
    </w:p>
    <w:p>
      <w:pPr>
        <w:spacing w:after="0" w:line="3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test the conclusions that the July 2025 modification and the December 2025 option exercise were accounted for appropriately, our audit procedures included, among others, reviewing the letter agreement and reviewing the option exercise notice and related communications, and evaluating whether management’s accounting positions considered all relevant facts and terms. We further evaluated management’s technical accounting analyses, including the identification of performance obligation, determination of the transaction price, and assessment of the timing of revenue recognition, and assessed whether management appropriately considered and applied the relevant accounting guidance and interpretations.</w:t>
      </w:r>
    </w:p>
    <w:p>
      <w:pPr>
        <w:spacing w:after="0" w:line="511" w:lineRule="exact"/>
        <w:rPr>
          <w:sz w:val="20"/>
          <w:szCs w:val="20"/>
          <w:color w:val="auto"/>
        </w:rPr>
      </w:pPr>
    </w:p>
    <w:p>
      <w:pPr>
        <w:sectPr>
          <w:pgSz w:w="11900" w:h="16838" w:orient="portrait"/>
          <w:cols w:equalWidth="0" w:num="2">
            <w:col w:w="1680" w:space="140"/>
            <w:col w:w="9420"/>
          </w:cols>
          <w:pgMar w:left="320" w:top="141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 and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10"/>
        </w:trPr>
        <w:tc>
          <w:tcPr>
            <w:tcW w:w="7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58,450</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38,344</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189,656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73,735</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from collaboration with a related party</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5,469</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3,424</w:t>
            </w:r>
          </w:p>
        </w:tc>
      </w:tr>
      <w:tr>
        <w:trPr>
          <w:trHeight w:val="209"/>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254,549</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115,503</w:t>
            </w:r>
          </w:p>
        </w:tc>
      </w:tr>
      <w:tr>
        <w:trPr>
          <w:trHeight w:val="210"/>
        </w:trPr>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3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2,508</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3,069</w:t>
            </w: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257,590</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119,168</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1,171</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2,273</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3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6,862</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from a related party - short-term</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36,904</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37,622</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 short-term</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r>
      <w:tr>
        <w:trPr>
          <w:trHeight w:val="21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48,780</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47,803</w:t>
            </w:r>
          </w:p>
        </w:tc>
      </w:tr>
      <w:tr>
        <w:trPr>
          <w:trHeight w:val="210"/>
        </w:trPr>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revenue from a related party - long-term</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35,378</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2,059</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2,628</w:t>
            </w:r>
          </w:p>
        </w:tc>
      </w:tr>
      <w:tr>
        <w:trPr>
          <w:trHeight w:val="210"/>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50,839</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85,809</w:t>
            </w:r>
          </w:p>
        </w:tc>
      </w:tr>
      <w:tr>
        <w:trPr>
          <w:trHeight w:val="210"/>
        </w:trPr>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3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as of December 31, 2025 and</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2024; 15,855,329 and 7,457,240 shares issued and outstanding as of December 31, 2025</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4"/>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December 31, 2024, respectively</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1,038,823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859,488</w:t>
            </w: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(832,047)</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(825,925)</w:t>
            </w:r>
          </w:p>
        </w:tc>
      </w:tr>
      <w:tr>
        <w:trPr>
          <w:trHeight w:val="209"/>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206,751</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33,359</w:t>
            </w: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257,590</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119,168</w:t>
            </w:r>
          </w:p>
        </w:tc>
      </w:tr>
      <w:tr>
        <w:trPr>
          <w:trHeight w:val="20"/>
        </w:trPr>
        <w:tc>
          <w:tcPr>
            <w:tcW w:w="77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-4371340</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-3813810</wp:posOffset>
            </wp:positionV>
            <wp:extent cx="1028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-2399665</wp:posOffset>
            </wp:positionV>
            <wp:extent cx="1028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-1833880</wp:posOffset>
            </wp:positionV>
            <wp:extent cx="1028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02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420" w:type="dxa"/>
            <w:vAlign w:val="bottom"/>
            <w:tcBorders>
              <w:bottom w:val="single" w:sz="8" w:color="auto"/>
            </w:tcBorders>
          </w:tcPr>
          <w:p>
            <w:pPr>
              <w:spacing w:after="0"/>
              <w:rPr>
                <w:sz w:val="20"/>
                <w:szCs w:val="20"/>
                <w:color w:val="auto"/>
              </w:rPr>
            </w:pPr>
          </w:p>
        </w:tc>
      </w:tr>
      <w:tr>
        <w:trPr>
          <w:trHeight w:val="210"/>
        </w:trPr>
        <w:tc>
          <w:tcPr>
            <w:tcW w:w="64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Collaboration revenue from a related party</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72,303</w:t>
            </w:r>
          </w:p>
        </w:tc>
        <w:tc>
          <w:tcPr>
            <w:tcW w:w="106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28,520</w:t>
            </w:r>
          </w:p>
        </w:tc>
      </w:tr>
      <w:tr>
        <w:trPr>
          <w:trHeight w:val="216"/>
        </w:trPr>
        <w:tc>
          <w:tcPr>
            <w:tcW w:w="6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64,813</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55,933</w:t>
            </w:r>
          </w:p>
        </w:tc>
      </w:tr>
      <w:tr>
        <w:trPr>
          <w:trHeight w:val="216"/>
        </w:trPr>
        <w:tc>
          <w:tcPr>
            <w:tcW w:w="6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19,608</w:t>
            </w:r>
          </w:p>
        </w:tc>
        <w:tc>
          <w:tcPr>
            <w:tcW w:w="2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18,007</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84,421</w:t>
            </w: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73,940</w:t>
            </w:r>
          </w:p>
        </w:tc>
      </w:tr>
      <w:tr>
        <w:trPr>
          <w:trHeight w:val="209"/>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(12,118)</w:t>
            </w:r>
          </w:p>
        </w:tc>
        <w:tc>
          <w:tcPr>
            <w:tcW w:w="2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(45,420)</w:t>
            </w:r>
          </w:p>
        </w:tc>
      </w:tr>
      <w:tr>
        <w:trPr>
          <w:trHeight w:val="210"/>
        </w:trPr>
        <w:tc>
          <w:tcPr>
            <w:tcW w:w="6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5,996</w:t>
            </w: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5,573</w:t>
            </w:r>
          </w:p>
        </w:tc>
      </w:tr>
      <w:tr>
        <w:trPr>
          <w:trHeight w:val="210"/>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5,996</w:t>
            </w:r>
          </w:p>
        </w:tc>
        <w:tc>
          <w:tcPr>
            <w:tcW w:w="20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5,573</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(6,122)</w:t>
            </w: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(39,847)</w:t>
            </w:r>
          </w:p>
        </w:tc>
      </w:tr>
      <w:tr>
        <w:trPr>
          <w:trHeight w:val="209"/>
        </w:trPr>
        <w:tc>
          <w:tcPr>
            <w:tcW w:w="64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r>
      <w:tr>
        <w:trPr>
          <w:trHeight w:val="24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(6,122)</w:t>
            </w:r>
          </w:p>
        </w:tc>
        <w:tc>
          <w:tcPr>
            <w:tcW w:w="106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(40,177)</w:t>
            </w:r>
          </w:p>
        </w:tc>
      </w:tr>
      <w:tr>
        <w:trPr>
          <w:trHeight w:val="197"/>
        </w:trPr>
        <w:tc>
          <w:tcPr>
            <w:tcW w:w="646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6"/>
        </w:trPr>
        <w:tc>
          <w:tcPr>
            <w:tcW w:w="6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5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(5,952)</w:t>
            </w:r>
          </w:p>
        </w:tc>
        <w:tc>
          <w:tcPr>
            <w:tcW w:w="106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(40,307)</w:t>
            </w:r>
          </w:p>
        </w:tc>
      </w:tr>
      <w:tr>
        <w:trPr>
          <w:trHeight w:val="196"/>
        </w:trPr>
        <w:tc>
          <w:tcPr>
            <w:tcW w:w="6460" w:type="dxa"/>
            <w:vAlign w:val="bottom"/>
            <w:tcBorders>
              <w:top w:val="single" w:sz="8" w:color="CFF0F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r>
      <w:tr>
        <w:trPr>
          <w:trHeight w:val="25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60" w:type="dxa"/>
            <w:vAlign w:val="bottom"/>
            <w:gridSpan w:val="2"/>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196"/>
        </w:trPr>
        <w:tc>
          <w:tcPr>
            <w:tcW w:w="64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11,210,934</w:t>
            </w:r>
          </w:p>
        </w:tc>
        <w:tc>
          <w:tcPr>
            <w:tcW w:w="200" w:type="dxa"/>
            <w:vAlign w:val="bottom"/>
            <w:tcBorders>
              <w:top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6,004,560</w:t>
            </w:r>
          </w:p>
        </w:tc>
      </w:tr>
      <w:tr>
        <w:trPr>
          <w:trHeight w:val="20"/>
        </w:trPr>
        <w:tc>
          <w:tcPr>
            <w:tcW w:w="64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-2502535</wp:posOffset>
            </wp:positionV>
            <wp:extent cx="120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-2211070</wp:posOffset>
            </wp:positionV>
            <wp:extent cx="1200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-1645285</wp:posOffset>
            </wp:positionV>
            <wp:extent cx="1200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-1071245</wp:posOffset>
            </wp:positionV>
            <wp:extent cx="1200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-1054100</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-488315</wp:posOffset>
            </wp:positionV>
            <wp:extent cx="120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-471170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188" w:lineRule="exact"/>
        <w:rPr>
          <w:sz w:val="20"/>
          <w:szCs w:val="20"/>
          <w:color w:val="auto"/>
        </w:rPr>
      </w:pPr>
    </w:p>
    <w:tbl>
      <w:tblPr>
        <w:tblLayout w:type="fixed"/>
        <w:tblInd w:w="3360" w:type="dxa"/>
        <w:tblCellMar>
          <w:top w:w="0" w:type="dxa"/>
          <w:left w:w="0" w:type="dxa"/>
          <w:bottom w:w="0" w:type="dxa"/>
          <w:right w:w="0" w:type="dxa"/>
        </w:tblCellMar>
      </w:tblPr>
      <w:tr>
        <w:trPr>
          <w:trHeight w:val="161"/>
        </w:trPr>
        <w:tc>
          <w:tcPr>
            <w:tcW w:w="23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80" w:type="dxa"/>
            <w:vAlign w:val="bottom"/>
          </w:tcPr>
          <w:p>
            <w:pPr>
              <w:spacing w:after="0"/>
              <w:rPr>
                <w:sz w:val="13"/>
                <w:szCs w:val="13"/>
                <w:color w:val="auto"/>
              </w:rPr>
            </w:pPr>
          </w:p>
        </w:tc>
        <w:tc>
          <w:tcPr>
            <w:tcW w:w="1120" w:type="dxa"/>
            <w:vAlign w:val="bottom"/>
            <w:vMerge w:val="restart"/>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340" w:type="dxa"/>
            <w:vAlign w:val="bottom"/>
            <w:tcBorders>
              <w:bottom w:val="single" w:sz="8" w:color="auto"/>
            </w:tcBorders>
            <w:gridSpan w:val="2"/>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5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3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tcPr>
          <w:p>
            <w:pPr>
              <w:jc w:val="center"/>
              <w:ind w:left="21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10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33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2"/>
        </w:trPr>
        <w:tc>
          <w:tcPr>
            <w:tcW w:w="336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12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5,482,752</w:t>
            </w:r>
          </w:p>
        </w:tc>
        <w:tc>
          <w:tcPr>
            <w:tcW w:w="560" w:type="dxa"/>
            <w:vAlign w:val="bottom"/>
            <w:gridSpan w:val="2"/>
          </w:tcPr>
          <w:p>
            <w:pPr>
              <w:jc w:val="right"/>
              <w:ind w:right="259"/>
              <w:spacing w:after="0" w:line="162" w:lineRule="exact"/>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5</w:t>
            </w:r>
          </w:p>
        </w:tc>
        <w:tc>
          <w:tcPr>
            <w:tcW w:w="1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w:t>
            </w: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at-the-market</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(ATM) equity offering program, net of issuance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costs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152,666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warrants in a</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registered direct offering, net of issuance costs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634,500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warrants in a</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to a related party, net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1,119,999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exercise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514</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 Purchase Plan (ESPP)</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14,937</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 settlement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units (RSUs)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51,872</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marketable debt securities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r>
      <w:tr>
        <w:trPr>
          <w:trHeight w:val="202"/>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7,457,240</w:t>
            </w:r>
          </w:p>
        </w:tc>
        <w:tc>
          <w:tcPr>
            <w:tcW w:w="14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2"/>
        </w:trPr>
        <w:tc>
          <w:tcPr>
            <w:tcW w:w="33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Issuance of common stock under ATM equity</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offering program, net of issuance costs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161,645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pre-funded warrants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2"/>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and warrants in an underwritten offering, net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5,591,840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and warrants in a</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to a related party, net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2,295,920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exercise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warrants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255,103</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69,320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upon exercise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5,406</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for settlement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RSUs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18,855</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 on marketable debt securities</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-4127500</wp:posOffset>
            </wp:positionV>
            <wp:extent cx="7132320"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-3484245</wp:posOffset>
            </wp:positionV>
            <wp:extent cx="7132320" cy="257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-2969895</wp:posOffset>
            </wp:positionV>
            <wp:extent cx="7132320"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-2584450</wp:posOffset>
            </wp:positionV>
            <wp:extent cx="71323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-1924050</wp:posOffset>
            </wp:positionV>
            <wp:extent cx="7132320" cy="386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-1152525</wp:posOffset>
            </wp:positionV>
            <wp:extent cx="7132320"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-767080</wp:posOffset>
            </wp:positionV>
            <wp:extent cx="7132320" cy="257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-2318385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7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92"/>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6"/>
              </w:rPr>
              <w:t>826,921</w:t>
            </w: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00" w:type="dxa"/>
            <w:vAlign w:val="bottom"/>
          </w:tcPr>
          <w:p>
            <w:pPr>
              <w:spacing w:after="0"/>
              <w:rPr>
                <w:sz w:val="16"/>
                <w:szCs w:val="16"/>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(785,748)</w:t>
            </w:r>
          </w:p>
        </w:tc>
        <w:tc>
          <w:tcPr>
            <w:tcW w:w="5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41,097</w:t>
            </w:r>
          </w:p>
        </w:tc>
      </w:tr>
      <w:tr>
        <w:trPr>
          <w:trHeight w:val="585"/>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2,030</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2,030</w:t>
            </w:r>
          </w:p>
        </w:tc>
      </w:tr>
      <w:tr>
        <w:trPr>
          <w:trHeight w:val="405"/>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9,661</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9,662</w:t>
            </w:r>
          </w:p>
        </w:tc>
      </w:tr>
      <w:tr>
        <w:trPr>
          <w:trHeight w:val="608"/>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17,601</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17,602</w:t>
            </w:r>
          </w:p>
        </w:tc>
      </w:tr>
      <w:tr>
        <w:trPr>
          <w:trHeight w:val="405"/>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r>
      <w:tr>
        <w:trPr>
          <w:trHeight w:val="405"/>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150</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w:t>
            </w:r>
          </w:p>
        </w:tc>
      </w:tr>
      <w:tr>
        <w:trPr>
          <w:trHeight w:val="397"/>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3"/>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3,120</w:t>
            </w:r>
          </w:p>
        </w:tc>
        <w:tc>
          <w:tcPr>
            <w:tcW w:w="5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3,120</w:t>
            </w:r>
          </w:p>
        </w:tc>
      </w:tr>
      <w:tr>
        <w:trPr>
          <w:trHeight w:val="210"/>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(40,177)</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(40,177)</w:t>
            </w:r>
          </w:p>
        </w:tc>
      </w:tr>
      <w:tr>
        <w:trPr>
          <w:trHeight w:val="202"/>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6"/>
              </w:rPr>
              <w:t>859,488</w:t>
            </w:r>
          </w:p>
        </w:tc>
        <w:tc>
          <w:tcPr>
            <w:tcW w:w="5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(825,925)</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33,359</w:t>
            </w:r>
          </w:p>
        </w:tc>
      </w:tr>
      <w:tr>
        <w:trPr>
          <w:trHeight w:val="392"/>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1,921</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1,922</w:t>
            </w:r>
          </w:p>
        </w:tc>
      </w:tr>
      <w:tr>
        <w:trPr>
          <w:trHeight w:val="608"/>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6"/>
              </w:rPr>
              <w:t>123,594</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123,600</w:t>
            </w:r>
          </w:p>
        </w:tc>
      </w:tr>
      <w:tr>
        <w:trPr>
          <w:trHeight w:val="608"/>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42,783</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42,785</w:t>
            </w:r>
          </w:p>
        </w:tc>
      </w:tr>
      <w:tr>
        <w:trPr>
          <w:trHeight w:val="397"/>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5,510</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5,510</w:t>
            </w:r>
          </w:p>
        </w:tc>
      </w:tr>
      <w:tr>
        <w:trPr>
          <w:trHeight w:val="210"/>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725</w:t>
            </w:r>
          </w:p>
        </w:tc>
        <w:tc>
          <w:tcPr>
            <w:tcW w:w="5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725</w:t>
            </w:r>
          </w:p>
        </w:tc>
      </w:tr>
      <w:tr>
        <w:trPr>
          <w:trHeight w:val="405"/>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125</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r>
      <w:tr>
        <w:trPr>
          <w:trHeight w:val="397"/>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w:t>
            </w:r>
          </w:p>
        </w:tc>
      </w:tr>
      <w:tr>
        <w:trPr>
          <w:trHeight w:val="210"/>
        </w:trPr>
        <w:tc>
          <w:tcPr>
            <w:tcW w:w="7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4,677</w:t>
            </w:r>
          </w:p>
        </w:tc>
        <w:tc>
          <w:tcPr>
            <w:tcW w:w="5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-2327275</wp:posOffset>
            </wp:positionV>
            <wp:extent cx="7029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80" w:space="380"/>
            <w:col w:w="498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(6,122)</w:t>
            </w:r>
          </w:p>
        </w:tc>
        <w:tc>
          <w:tcPr>
            <w:tcW w:w="1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(6,122)</w:t>
            </w:r>
          </w:p>
        </w:tc>
      </w:tr>
      <w:tr>
        <w:trPr>
          <w:trHeight w:val="196"/>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15,855,329</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16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1,038,823</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(832,047)</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206,751</w:t>
            </w:r>
          </w:p>
        </w:tc>
      </w:tr>
      <w:tr>
        <w:trPr>
          <w:trHeight w:val="20"/>
        </w:trPr>
        <w:tc>
          <w:tcPr>
            <w:tcW w:w="3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-162560</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-162560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-162560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-162560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-162560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9"/>
        </w:trPr>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(40,177)</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4,677</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3,120</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accretion of investments in marketable debt securities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rent expense</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gain on investments in marketable debt securities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 from collaboration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 from a related party</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(36,096)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(13,294)</w:t>
            </w: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(41,093)</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(51,117)</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116,432</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130,700</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(229,834)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(90,501)</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(113,468)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40,171</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pre-funded warrants and warrants in an underwritten</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offering, net of issuance costs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123,600</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640" w:type="dxa"/>
            <w:vAlign w:val="bottom"/>
            <w:shd w:val="clear" w:color="auto" w:fill="CFF0FC"/>
          </w:tcPr>
          <w:p>
            <w:pPr>
              <w:ind w:left="30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warrants in private placements to a related party,</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of issuance costs</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42,785</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17,602</w:t>
            </w: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5,510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640" w:type="dxa"/>
            <w:vAlign w:val="bottom"/>
            <w:shd w:val="clear" w:color="auto" w:fill="CFF0FC"/>
          </w:tcPr>
          <w:p>
            <w:pPr>
              <w:ind w:left="30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under ATM equity offering program, net of issuance</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1,922</w:t>
            </w: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16"/>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76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warrants in a registered direct offering, net of</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9,662</w:t>
            </w:r>
          </w:p>
        </w:tc>
        <w:tc>
          <w:tcPr>
            <w:tcW w:w="0" w:type="dxa"/>
            <w:vAlign w:val="bottom"/>
          </w:tcPr>
          <w:p>
            <w:pPr>
              <w:spacing w:after="0"/>
              <w:rPr>
                <w:sz w:val="1"/>
                <w:szCs w:val="1"/>
                <w:color w:val="auto"/>
              </w:rPr>
            </w:pPr>
          </w:p>
        </w:tc>
      </w:tr>
      <w:tr>
        <w:trPr>
          <w:trHeight w:val="221"/>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issuance costs</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174,667</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29,449</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20,106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18,503</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38,344</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19,841</w:t>
            </w:r>
          </w:p>
        </w:tc>
        <w:tc>
          <w:tcPr>
            <w:tcW w:w="0" w:type="dxa"/>
            <w:vAlign w:val="bottom"/>
          </w:tcPr>
          <w:p>
            <w:pPr>
              <w:spacing w:after="0"/>
              <w:rPr>
                <w:sz w:val="1"/>
                <w:szCs w:val="1"/>
                <w:color w:val="auto"/>
              </w:rPr>
            </w:pPr>
          </w:p>
        </w:tc>
      </w:tr>
      <w:tr>
        <w:trPr>
          <w:trHeight w:val="25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year</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58,450</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38,344</w:t>
            </w: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22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lease liabilities arising from obtaining ROU assets</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-2922270</wp:posOffset>
            </wp:positionV>
            <wp:extent cx="1028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-299720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-281940</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ind w:left="4240"/>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Assembly Biosciences, Inc. (together with its subsidiaries, Assembly or the Company), incorporated in Delaware in October 2005, is a biotechnology company developing innovative therapeutics targeting serious viral diseases with the potential to improve the lives of patients worldwide. The Company's pipeline includes multiple clinical-stage investigational therapies, including: (1) two long-acting helicase-primase inhibitors (HPI) for the treatment of recurrent genital herpes; (2) an orally bioavailable hepatitis delta virus entry inhibitor; and (3) a highly potent next-generation capsid assembly modulator designed to disrupt the replication cycle of hepatitis B virus (HBV) at several key points. The Company's pipeline also includes a novel, oral broad-spectrum non-nucleoside polymerase inhibitor (NNPI) for the treatment of transplant-related herpesviruses, which is currently undergoing studies to enable a regulatory filing, and it has additional research programs against multiple antiviral targets. In December 2025, pursuant to the collaboration with Gilead Sciences, Inc. (Gilead), Gilead exercised its option to license the Company's HPI program, including its long-acting investigational candidates ABI-1179 (1179) and ABI-5366 (5366). For additional information see Note 8 - Collaboration Agreements. The Company operates in one segment and is headquartered in South San Francisco, California (see Note 13 - Segment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the Company’s initial public offering, its operations have been financed through the sale of equity securities and payments related to collaboration agreements. The Company has incurred losses from operations since inception and expects to continue to incur substantial losses for the next several years as it continues its product development efforts. The Company intends to obtain any additional funding it requires through strategic relationships, public or private equity or debt financings, grants or other arrangements. The Company cannot assure such funding will be available on reasonable terms, if at all. As of December 31, 2025, the Company held cash, cash equivalents and marketable securities of $248.1 million. Management believes the Company currently has sufficient funds to meet its operating requirements beyond one year from the date these consolidated financial statements are issued.</w:t>
      </w:r>
    </w:p>
    <w:p>
      <w:pPr>
        <w:spacing w:after="0" w:line="147" w:lineRule="exact"/>
        <w:rPr>
          <w:sz w:val="20"/>
          <w:szCs w:val="20"/>
          <w:color w:val="auto"/>
        </w:rPr>
      </w:pPr>
    </w:p>
    <w:p>
      <w:pPr>
        <w:ind w:right="4040"/>
        <w:spacing w:after="0" w:line="464" w:lineRule="auto"/>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Recent Accounting Pronouncements Basis of Presentation</w:t>
      </w: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accounting principles generally accepted in the United States (U.S. GAAP) and include the accounts of the Company and its wholly owned subsidiaries. All intercompany balances and transactions have been eliminated in consolidation.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estimates inherent in the preparation of the accompanying consolidated financial statements include estimates for revenue recognition, including the standalone selling price (SSP) for the allocation of transaction price to performance obligations and cost-based inputs, as well as estimates of costs incurred but not yet invoiced for research and development accruals.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and global financial markets have experienced and may continue to experience volatility and disruption due to macroeconomic and geopolitical events such as rising inflation, changes in interest rates to combat inflation, the war between Russia and Ukraine, the conflicts in the Middle East, including the recent hostilities involving Iran, and in Venezuela, tensions between China and Taiwan, as well as tariffs or the imposition and enforceability of tariffs, trade wars, barriers or restrictions, or threats of such actions and the related uncertainty thereof, including uncertainties regarding the ability to obtain refunds for previously paid tariffs that have subsequently been invalidated. The Company cannot predict at this time to what extent, if at all, it and its employees, contract research organizations (CROs), vendors and/or collaborators could potentially be negatively impacted by these events.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highly liquid investments with original maturities of three months or less at the time of purchase are considered to be cash equivalents. All of the Company’s cash equivalents have liquid markets and high credit ratings.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Marketable Securities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designated its investments in marketable securities as available-for-sale and measures these securities at their respective fair values. The Company reviews all available-for-sale securities at each period end to determine if they remain available-for-sale based on their current intent and ability to sell the security if it is required to do so. Marketable securities are classified as short-term or long-term based on the maturity date and their availability to meet current operating requirements. Marketable securities that mature in one year or less from the consolidated balance sheet date are classified as short-term available-for-sale securities, while marketable securities with maturities in one year or beyond one year from the consolidated balance sheet date are classified as long-term.</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periodically reviews its marketable securities for declines in fair value below the amortized cost basis to determine whether the impairment, if any, is due to credit-related or other factors. This review includes the credit worthiness of the security issuers, the severity of the unrealized losses, whether the Company has the intent to sell the securities and whether it is more likely than not the Company will be required to sell the securities before the recovery of the amortized cost basis. Unrealized gains and losses on available-for-sale securities are reported in other comprehensive loss, and as a component of stockholders' equity until their disposition, with the exception of unrealized losses believed to be related to credit losses which are recognized as an allowance for credit losses on the consolidated balance sheet with the corresponding charge in other income in the period the impairment occurs. Impairment assessments are made at the individual security level each reporting period. The Company elected to exclude accrued interest receivable from the amortized cost basis of its available-for-sale debt securities and to not measure an allowance for credit losses for accrued interest receivable. To date, there have been no credit-related declines in value or other impairments of the Company’s investments in marketable securities. Realized gains and losses from the sale of marketable securities, if any, are calculated using the specific-identification method.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Company’s leases are operating leases for facilities and equipment. The Company recognizes a lease asset for its right to use the underlying asset and a lease liability for the corresponding lease obligation. The Company determines if an arrangement is or contains a lease at inception or modification of the arrangement. Operating leases with a duration greater than one year are included in operating lease ROU assets, operating lease liabilities - short-term, and operating lease liabilities - long-term in the Company’s consolidated balance sheets. The Company elected the short-term lease exception policy, permitting it to not apply the recognition requirements to leases with terms of less than one year (short-term leases) for all classes of assets. Operating lease ROU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of a lease. The Company considers a lease term to be the noncancelable period that it has the right to use the underlying asset, including any periods where it is reasonably assured the Company will exercise the option to extend the contract. Periods covered by an option to extend are included in the lease term if the lessor controls the exercise of that option.</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operating lease ROU assets also include any lease payments made and exclude lease incentives. Lease expense is recognized on a straight-line basis over the expected lease term. Variable lease expenses are recorded when incurred. The Company has elected not to separate lease and non-lease components for its leased assets and accounts for all lease and non-lease components of its agreements as a single lease component.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monitors the carrying value of long-lived assets, including ROU operating lease assets, for potential impairment and tests the recoverability of such assets whenever events or changes in circumstances indicate the carrying amounts may not be recoverable. If a change in circumstance occurs, the Company performs a test of recoverability by comparing the carrying value of the asset or asset group to its undiscounted expected future cash flows. If cash flows cannot be separately and independently identified for a single asset, the Company will determine whether impairment has occurred for the group of assets for which the Company can identify the projected cash flows. If the carrying values are in excess of undiscounted expected future cash flows, the Company measures any impairment by comparing the fair value of the asset or asset group to its carrying value. There was no impairment of long-lived assets during the years ended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Observable inputs such as unadjusted quoted prices in active markets for identical instruments.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2: Quoted prices for similar instruments that are directly or indirectly observable in the marketplace.</w:t>
      </w:r>
    </w:p>
    <w:p>
      <w:pPr>
        <w:spacing w:after="0" w:line="185"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8"/>
          <w:szCs w:val="18"/>
          <w:color w:val="auto"/>
        </w:rPr>
        <w:t>Level 3: 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measured at fair value are classified in their entirety based on the lowest level of input that is significant to the fair value measurement. The assessment of the significance of a particular input to the fair value measurement in its entirety requires the Company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the Company or holders of the instruments could realize in a current market exchange.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which approximate their fair value due to their liquid or short-term nature, such as cash, accounts receivable, accounts payable and accrued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Accounts Receivable from Collaboration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analyzes its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elements of collaboration arrangements that are not accounted for pursuant to the revenue from contracts with customers accounting standard, an appropriate recognition method is determined and applied consistently, generally by analogy to the revenue from contracts with customers accounting standard. Amounts related to transactions with a counterparty in a collaborative arrangement that is not a customer are presented on a separate line item from revenue recognized from contracts with customers, if any, in the Company’s consolidated statements of operations and comprehensive loss.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certain agreements under the scope of the collaborative arrangements accounting standard, the Company has been reimbursed for a portion of its research and development expenses or participates in the cost-sharing of such research and development expenses. Such reimbursements and cost-sharing arrangements are reflected as a reduction of research and development expense in the Company’s consolidated statements of operations and comprehensive loss.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arrangements or transactions between arrangement participants determined to be within the scope of the contracts with customers accounting standard, the Company evaluates the term of the arrangement and recognizes revenue when the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(1) identification of the contract(s) with a customer; (2) identification of the performance obligations in the contract, including whether they are distinct in the context of the contract; (3) measurement of the transaction price, including the constraint on variable consideration; (4) allocation of the transaction price to the performance obligations; and (5) recognition of revenue when (or as) the Company satisfies each performance obligation. Amounts of variable consideration are included in the transaction price to the extent it is probable a significant reversal in the amount of cumulative revenue recognized will not occur and when the uncertainty associated with the variable consideration is subsequently resolved.</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provided standard indemnification and protection of licensed intellectual property for its customers. These provisions are part of assurance the licenses meet the agreements, representations and are not obligations to provide goods or services.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only applies the five-step model to contracts when it is probable the Company will collect the consideration it is entitled to in exchange for the goods or services it transfers to the customer. As part of the accounting for contracts with customers, the Company must develop assumptions that require judgment to determine the estimated relative SSP of each performance obligation identified in the contract. The Company then allocates the total transaction price to each performance obligation based on the SSP of each performance obligation. The Company recognizes the amount of the transaction price that is allocated to the respective performance obligation when the performance obligation is satisfied or as it is satisfied as revenue.</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The Company accounts for contract modifications using one of the following methods depending on facts and circumstances: (i) as a separate contract if the modification adds distinct goods or services and the price reflects the SSP of those additional goods or services; (ii) as a termination of the existing contract and creation of a new contract if the remaining goods or services are distinct from those transferred before the modification; or (iii) as a cumulative catch-up adjustment to the original contract if the remaining goods or services are not distinct from those transferred before the modification.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revenues from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license fees. The Company evaluates the measure of progress each reporting period and, if necessary, adjusts the measure of performance and related revenue recognition.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promises under the Company’s agreements may include research and development services to be performed by the Company on behalf of the counterparty. If these services are determined to be distinct from the other promises or performance obligations identified in the arrangement, the Company recognizes the transaction price allocated to these services as revenue over time based on an appropriate measure of progress when the performance by the Company does not create an asset with an alternative use and the Company either has received or has an enforceable right to payment for the performance completed to date. If these services are determined not to be distinct from the other promises or performance obligations identified in the arrangement, the Company recognizes the transaction price allocated to the combined performance obligation as the related performance obligations are satisfied.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Options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an arrangement contains customer options, the Company evaluates whether the options are material rights because they allow the customer to acquire additional goods or services for free or at a discount. If the customer options are determined to represent a material right, the material right is recognized as a separate performance obligation at the outset of the arrangement. The identification of a material right, and if identified as a material right, the allocation of the transaction price to it, is based on the SSP, which is determined using assumptions regarding estimated costs, discount rates, post-option development timeline, the probability of technical and regulatory success and the probability the customer will exercise the option. Amounts allocated to a material right are not recognized as revenue until, at the earliest, the option is exercised or expires. If the options are deemed not to be a material right, they are considered marketing offers which are excluded as performance obligations at the outset of the arrangement.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Regulatory Milestone Payments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Depending on facts and circumstances, the Company may record revenues from certain milestones in a reporting period before the milestone is achieved if the Company concludes achievement of the milestone is probable and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 Company re-evaluates the probability of achievement of such milestones and any related constraint each reporting period. The Company adjusts its estimate of the overall transaction price, including the amount of collaborative revenue that was recorded, if necessary.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Sales-based Milestone and Royalty Payments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customers may be required to pay the Company sales-based milestone payments or 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Company’s licensed intellectual property is deemed to be the predominant item to which the sales-based milestones and/or royalties relate.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the contract. Upfront payments and fees are recorded as deferred revenue upon receipt or when due until the Company performs its obligations under the arrangement. If the related performance obligation is expected to be satisfied within the next twelve months, these amounts will be classified in current liabilities. The Company recognizes a contract asset relating to its conditional right to consideration that is not subject to a constraint. Amounts are recorded as accounts receivable when the Company’s right to consideration is unconditional.</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net contract asset or liability is presented for each contract with a customer.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all accounts receivable from collaboration with a related party are deemed collectible. There were no accounts receivable from collaboration as of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Pre-Funded Warrants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determines the accounting classification of warrants it issues as either liability or equity-classified based on an assessment of the warrant’s specific terms. The assessment considers whether the warrants are freestanding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whether the warrants meet the definition of a liability and whether the warrants meet all the requirements for equity classification. Equity classified warrants are accounted for using a relative fair value allocation method, with fair values determined at issuance using a Black-Scholes model.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measures stock-based compensation to employees and board members at fair value on the grant date of the award. The fair value of RSUs is determined based on the number of shares granted and the quoted market price of the Company’s common stock on the date of grant. The fair value of performance stock units (PSUs), which include awards with performance conditions and market conditions, are determined as follows: (i) PSUs with performance conditions are measured based on the fair value of the award on the grant date, the date performance targets are established, and is expensed over the requisite service period for each separately vesting tranche when achievement of the performance condition becomes probable, and (ii) PSUs with market conditions are measured based on the grant-date fair value of the award and is expensed over the derived service period regardless of whether the underlying market condition is met.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estimates the fair value of stock option grants that do not contain market-based vesting conditions using the Black-Scholes option pricing model. The assumptions used in estimating the fair value of these awards, such as expected term, expected dividend yield, volatility and risk-free interest rate, represent management’s best estimates and involve inherent uncertainties and the application of management’s judgment. The Company calculates the weighted average expected term of options using the simplified method where permitted by accounting guidance for stock-based compensation when there is limited history of relevant stock option exercise activity. The Company uses an expected dividend yield of zero as the Company currently does not intend to pay dividends in the foreseeable future. The Company calculates the expected volatility based on the Company’s historical stock prices. The risk-free interest rate assumption is based on the rates for U.S. Treasury zero-coupon bonds with maturities similar to those of the expected term of the stock option being valued.</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stock-based awards are granted in contemplation of or shortly before a planned release of material nonpublic information, and such information is expected to result in a material increase in the Company’s share price, the Company considers whether an adjustment to the observable market price is required when estimating fair values. Compensation cost is recognized as expense on a straight-line basis over the requisite service period of the award. Stock-based awards with graded vesting schedules are recognized using the accelerated attribution method on a straight-line basis over the requisite service period for each separately vesting portion of the award. Forfeitures are recognized when they occur.</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probability of the performance conditions being met on a continuous basis and is also required to make estimates as to the probability of achieving the specific performance conditions. If actual results are not consistent with the Company’s assumptions and judgments used in making these estimates, the Company may be required to increase or decrease compensation expense, which could be material to the Company’s consolidated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 and Accruals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costs include personnel-related costs, outside contracted services including clinical study costs, facilities costs, fees paid to consultants, milestone payments prior to FDA approval, license fees prior to FDA approval, professional services, travel costs, dues and subscriptions, depreciation and materials used in clinical trials and research and development and costs incurred under the Company’s collaboration agreements. Research and development costs are expensed as incurred unless there is an alternative future use in other research and development projects. Payments made prior to the receipt of goods or services to be used in research and development are capitalized until the goods or services are received. Such payments are evaluated for current or long-term classification based on when they will be realized or consumed.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completion of clinical study milestones. In amortizing or accruing service fees, the Company estimates the time period over which services will be performed, enrollment of subjects, number of sites activated and the level of effort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and may continue to enter into license agreements to access and utilize certain technology. In each case, the Company evaluates if the license agreement results in the acquisition of an asset or a business. To date, none of the Company’s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The Company assesses whether such contingent consideration meets the definition of a derivative and to date the Company has determined that such contingent consideration are not derivatives.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income taxes using the asset and liability method. Deferred income tax assets and liabilities are recognized for the future tax effects attributable to temporary differences between the financial statement carrying amounts of existing assets and liabilities and their respective income tax bases, and operating loss and tax credit carryforwards. The effect of a change in tax rates on deferred tax assets and liabilities is recognized in income in the period that includes the enactment date. The Company establishes a valuation allowance if it is more likely than not the deferred tax assets will not be realized based on an evaluation of objective verifiable evidence.</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and measures tax benefits from uncertain tax positions only if it is more likely than not the tax position will be sustained in an audit, including resolution of any related appeals or litigation processes. The tax benefit recognized for a particular tax position is based on the largest amount that is more than 50% likely to be realized upon ultimate settlement. Significant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The provision for income taxes includes the effects of any accruals which the Company believes are appropriate. It is the Company’s policy to recognize interest and penalties related to income tax matters in income tax expense.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the U.S. enacted tax reform legislation through the One Big Beautiful Bill Act (OBBBA). Some of the provisions of the new tax law affecting corporations include but are not limited to current deduction of domestic research expenses, increasing the limit of the deduction of interest expense deduction to thirty percent of earnings before interest, tax, depreciation and amortization, and one hundred percent bonus depreciation on eligible property acquired after January 19, 2025. The Company has evaluated the impact the new tax law had on its financial condition and results of operations. The impact of the tax law changes from the OBBBA is included in the Company’s consolidated financial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in the years reported, since the effects of potentially dilutive securities are antidilutive given the net loss for each year presented.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diluted net loss per common share computations is as follows (in thousands, except for share and per share amounts):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r>
      <w:tr>
        <w:trPr>
          <w:trHeight w:val="142"/>
        </w:trPr>
        <w:tc>
          <w:tcPr>
            <w:tcW w:w="6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7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(40,177)</w:t>
            </w: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11,210,934</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6,004,560</w:t>
            </w: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60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600" w:type="dxa"/>
            <w:vAlign w:val="bottom"/>
            <w:gridSpan w:val="2"/>
            <w:shd w:val="clear" w:color="auto" w:fill="CFF0FC"/>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960" w:type="dxa"/>
            <w:vAlign w:val="bottom"/>
            <w:gridSpan w:val="2"/>
            <w:shd w:val="clear" w:color="auto" w:fill="CFF0FC"/>
          </w:tcPr>
          <w:p>
            <w:pPr>
              <w:jc w:val="right"/>
              <w:ind w:right="5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(6.69)</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excluded from the computation of diluted net loss per share because including them would have been antidilutive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2640" w:type="dxa"/>
            <w:vAlign w:val="bottom"/>
            <w:tcBorders>
              <w:bottom w:val="single" w:sz="8" w:color="auto"/>
            </w:tcBorders>
            <w:gridSpan w:val="3"/>
          </w:tcPr>
          <w:p>
            <w:pPr>
              <w:ind w:left="1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tcBorders>
              <w:bottom w:val="single" w:sz="8" w:color="auto"/>
            </w:tcBorders>
          </w:tcPr>
          <w:p>
            <w:pPr>
              <w:spacing w:after="0"/>
              <w:rPr>
                <w:sz w:val="15"/>
                <w:szCs w:val="15"/>
                <w:color w:val="auto"/>
              </w:rPr>
            </w:pPr>
          </w:p>
        </w:tc>
      </w:tr>
      <w:tr>
        <w:trPr>
          <w:trHeight w:val="196"/>
        </w:trPr>
        <w:tc>
          <w:tcPr>
            <w:tcW w:w="7180" w:type="dxa"/>
            <w:vAlign w:val="bottom"/>
          </w:tcPr>
          <w:p>
            <w:pPr>
              <w:spacing w:after="0"/>
              <w:rPr>
                <w:sz w:val="17"/>
                <w:szCs w:val="17"/>
                <w:color w:val="auto"/>
              </w:rPr>
            </w:pPr>
          </w:p>
        </w:tc>
        <w:tc>
          <w:tcPr>
            <w:tcW w:w="190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9,487,477</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814,000</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1,193,442</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942,193</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subject to purchase under ESPP</w:t>
            </w:r>
          </w:p>
        </w:tc>
        <w:tc>
          <w:tcPr>
            <w:tcW w:w="1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6,093</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9,386</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85,583</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52,222</w:t>
            </w:r>
          </w:p>
        </w:tc>
      </w:tr>
      <w:tr>
        <w:trPr>
          <w:trHeight w:val="21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PSUs</w:t>
            </w:r>
          </w:p>
        </w:tc>
        <w:tc>
          <w:tcPr>
            <w:tcW w:w="1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240,832</w:t>
            </w:r>
          </w:p>
        </w:tc>
        <w:tc>
          <w:tcPr>
            <w:tcW w:w="2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15,832</w:t>
            </w:r>
          </w:p>
        </w:tc>
      </w:tr>
      <w:tr>
        <w:trPr>
          <w:trHeight w:val="209"/>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11,013,427</w:t>
            </w:r>
          </w:p>
        </w:tc>
        <w:tc>
          <w:tcPr>
            <w:tcW w:w="24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1,833,633</w:t>
            </w:r>
          </w:p>
        </w:tc>
      </w:tr>
      <w:tr>
        <w:trPr>
          <w:trHeight w:val="20"/>
        </w:trPr>
        <w:tc>
          <w:tcPr>
            <w:tcW w:w="71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1543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2025, the Company sold pre-funded warrants to purchase up to 1,040,820 shares of common stock (see Note 6 - Stockholders' Equity). The pre-funded warrants are exercisable at $0.001 per share. The shares of common stock into which the pre-funded warrants may be exercised are considered outstanding for purposes of computing earnings per share because the shares may be issued for little or no consideration, they are fully vested, and are exercisable after the original issuance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loss is comprised of net loss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as of and at times during the year ended December 31, 2025 exceeded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Risk</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materials and key components the Company utilizes in its operations are obtained through single suppliers. Since the suppliers of key components and materials must be named in a New Drug Application filed with the FDA for a product, significant delays can occur if the qualification of a new supplier is required. If delivery of material from the Company’s suppliers were interrupted for any reason, the Company may be unable to supply any of its product candidates for clinical trials.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100% of the Company's collaboration revenue was recognized from a related party, Gilead, under the Gilead Collaboration Agreement (see Note 8 - Collaboration Agreements). If the collaboration with Gilead does not result in the successful development and commercialization of products or if Gilead terminates the Gilead Collaboration Agreement, the Company may not receive any future payments under the collaboration.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(the FASB) issued ASU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The update requires a public business entity to disclose, on an annual basis, a tabular rate reconciliation using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The Company adopted ASU 2023-09 on a prospective basis during the year ended December 31, 2025. See Note 10 - Income Taxes for further details.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to Be Adopted</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the disaggregation of certain expense captions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categories in disclosures within the notes to the financial statements to provide enhanced transparency into the expense captions presented on the face of the income statement. ASU 2024-03 is effective for annual reporting periods beginning after December 15, 2026 and interim periods beginning after December 15, 2027, with early adoption permitted, and may be applied either prospectively or retrospectively to financial statements issued for reporting periods after the effective date of ASU 2024-03 or retrospectively to any or all prior periods presented in the financial statements. The Company does not expect the potential impact of adopting ASU 2024-03 to have a material impact on its disclosures.</w:t>
      </w:r>
    </w:p>
    <w:p>
      <w:pPr>
        <w:spacing w:after="0" w:line="1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does not expect the impact of adopting ASU 2025-11 to have a material impact on its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the Option, License and Collaboration Agreement (Gilead Collaboration Agreement), and a Common Stock Purchase Agreement and an Investor Rights Agreement (collectively, the Gilead Equity Agreements) with Gilead. Following the Company entering into the Gilead Equity Agreements, and as of December 31, 2025, Gilead is considered a related party based on its ownership of the Company's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Gilead Equity Agreements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2024, the Company entered into a Securities Purchase Agreement with Gilead for the issuance and sale of 179,500 shares of common stock and a warrant to purchase up to 179,500 shares of common stock in a private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placement (the June 2024 Private Placement). This transaction, which generated aggregate gross proceeds of $2.8 million, was executed concurrently with the June 2024 Registered Direct Offering (as defined below). See Note 6 - Stockholders' Equity for additional details. Also in June 2024, the Gilead Equity Agreements were amended. The amendments did not have an impact on the Company’s consolidated financial statements.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Gilead exercised its right under the Gilead Equity Agreements to purchase additional shares of common stock from the Company at a purchase price of $21.37 per share, for aggregate proceeds of $20.1 million, resulting in Gilead owning 29.9% of the Company's then-outstanding voting common stock.</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2025, the Company entered into a Securities Purchase Agreement with Gilead for the issuance and sale of 2,295,920 shares of common stock and accompanying Class A and Class B warrants to purchase up to an aggregate of 2,295,920 shares of common stock in a private placement (collectively, the August 2025 Private Placement). This transaction, which generated aggregate gross proceeds of $45.0 million, was executed concurrently with the August 2025 Underwritten Offering (as defined below). See Note 6 - Stockholders' Equity for additional details.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Gilead Collaboration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and Gilead entered into the First Amendment to the Gilead Collaboration Agreement, which restructured the timing of specific options exercisable in the agreement and the fees payable to the Company to support an accelerated development plan for ABI-6250 (6250), under which the Company received a non-refundable payment of $10.0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Company entered into a letter agreement with Gilead under which Gilead has agreed to reimburse the Company up to $1.5 million for certain nonclinical study activities, subject to the terms and conditions set forth in the agreement. The letter agreement does not amend any terms of the Gilead Collaboration Agreement.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2025, Gilead exercised its combined option to obtain an exclusive license to the Company's HPI program, including 5366 and 1179. Upon exercise of the option, the Company received an opt-in payment of $35.0 million.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recorded $1.0 million in accounts receivable from collaboration on the consolidated balance sheet for reimbursable costs incurred under the Gilead Collaboration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$72.3 million and $28.5 million of collaboration revenue under the Gilead Collaboration Agreement during the years ended December 31, 2025 and 2024, respectively. See Note 8 - Collaboration Agreement for additional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Investments in Marketable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available-for-sale securities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1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57,994</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57,994</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9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57,994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57,994</w:t>
            </w: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37,329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37,363</w:t>
            </w: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Asset-backed securities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11,989</w:t>
            </w: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123,267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123,437</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16,858</w:t>
            </w: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16,867</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189,424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189,656</w:t>
            </w:r>
          </w:p>
        </w:tc>
        <w:tc>
          <w:tcPr>
            <w:tcW w:w="0" w:type="dxa"/>
            <w:vAlign w:val="bottom"/>
          </w:tcPr>
          <w:p>
            <w:pPr>
              <w:spacing w:after="0"/>
              <w:rPr>
                <w:sz w:val="1"/>
                <w:szCs w:val="1"/>
                <w:color w:val="auto"/>
              </w:rPr>
            </w:pPr>
          </w:p>
        </w:tc>
      </w:tr>
      <w:tr>
        <w:trPr>
          <w:trHeight w:val="24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247,418</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247,650</w:t>
            </w:r>
          </w:p>
        </w:tc>
        <w:tc>
          <w:tcPr>
            <w:tcW w:w="0" w:type="dxa"/>
            <w:vAlign w:val="bottom"/>
          </w:tcPr>
          <w:p>
            <w:pPr>
              <w:spacing w:after="0"/>
              <w:rPr>
                <w:sz w:val="1"/>
                <w:szCs w:val="1"/>
                <w:color w:val="auto"/>
              </w:rPr>
            </w:pPr>
          </w:p>
        </w:tc>
      </w:tr>
      <w:tr>
        <w:trPr>
          <w:trHeight w:val="844"/>
        </w:trPr>
        <w:tc>
          <w:tcPr>
            <w:tcW w:w="444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gridSpan w:val="2"/>
          </w:tcPr>
          <w:p>
            <w:pPr>
              <w:jc w:val="right"/>
              <w:ind w:right="894"/>
              <w:spacing w:after="0"/>
              <w:rPr>
                <w:sz w:val="20"/>
                <w:szCs w:val="20"/>
                <w:color w:val="auto"/>
              </w:rPr>
            </w:pPr>
            <w:r>
              <w:rPr>
                <w:rFonts w:ascii="Times New Roman" w:cs="Times New Roman" w:eastAsia="Times New Roman" w:hAnsi="Times New Roman"/>
                <w:sz w:val="18"/>
                <w:szCs w:val="18"/>
                <w:color w:val="auto"/>
              </w:rPr>
              <w:t>F-17</w:t>
            </w: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-2214880</wp:posOffset>
            </wp:positionV>
            <wp:extent cx="93980"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-2214880</wp:posOffset>
            </wp:positionV>
            <wp:extent cx="9398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-2214880</wp:posOffset>
            </wp:positionV>
            <wp:extent cx="9398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-1362075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-1362075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-1071245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-1053465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-1071245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-1053465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-1071245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-1053465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5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29,066</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29,066</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8,437</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8,437</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37,503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37,503</w:t>
            </w: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20,988</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48,077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48,117</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4,630</w:t>
            </w: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73,673</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73,735</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111,176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111,238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-1019810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-1019810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-1019810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marketable securities held as of December 31, 2025 and 2024 had contractual maturities of less than one year.</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realized gains on investments in marketable debt securities for the year ended December 31, 2025 were not material. There were no realized gains and losses for the years ended December 31, 2024.</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no investments in an unrealized loss position as of December 31, 2025. As of December 31, 2024, investments which were in an unrealized loss position were not material and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securities are recorded in accumulated other comprehensive loss on the consolidated balance sheets during the years ended December 31, 2025 and 2024.</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interest receivable was $1.5 million and $0.4 million as of December 31, 2025 and 2024, respectively, and was recorded in prepaid expenses and other current assets on the consolidated balance sheets. The Company did not write off any accrued interest receivable during the years ended December 31, 2025 and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20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following tables presents the Company’s financial assets measured at fair value on a recurring basis by level within the fair value hierarchy (in thousands):</w:t>
      </w:r>
    </w:p>
    <w:tbl>
      <w:tblPr>
        <w:tblLayout w:type="fixed"/>
        <w:tblInd w:w="0" w:type="dxa"/>
        <w:tblCellMar>
          <w:top w:w="0" w:type="dxa"/>
          <w:left w:w="0" w:type="dxa"/>
          <w:bottom w:w="0" w:type="dxa"/>
          <w:right w:w="0" w:type="dxa"/>
        </w:tblCellMar>
      </w:tblPr>
      <w:tr>
        <w:trPr>
          <w:trHeight w:val="156"/>
        </w:trPr>
        <w:tc>
          <w:tcPr>
            <w:tcW w:w="4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40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4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57,994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57,994</w:t>
            </w:r>
          </w:p>
        </w:tc>
      </w:tr>
      <w:tr>
        <w:trPr>
          <w:trHeight w:val="209"/>
        </w:trPr>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132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57,994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57,994</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37,363</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37,363</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Asset-backed securities</w:t>
            </w: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11,989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11,989</w:t>
            </w:r>
          </w:p>
        </w:tc>
      </w:tr>
      <w:tr>
        <w:trPr>
          <w:trHeight w:val="216"/>
        </w:trPr>
        <w:tc>
          <w:tcPr>
            <w:tcW w:w="4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123,437</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123,437</w:t>
            </w:r>
          </w:p>
        </w:tc>
      </w:tr>
      <w:tr>
        <w:trPr>
          <w:trHeight w:val="216"/>
        </w:trPr>
        <w:tc>
          <w:tcPr>
            <w:tcW w:w="4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16,867</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16,867</w:t>
            </w:r>
          </w:p>
        </w:tc>
      </w:tr>
      <w:tr>
        <w:trPr>
          <w:trHeight w:val="210"/>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1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189,656</w:t>
            </w: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189,656</w:t>
            </w: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57,994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189,656</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247,650</w:t>
            </w:r>
          </w:p>
        </w:tc>
      </w:tr>
      <w:tr>
        <w:trPr>
          <w:trHeight w:val="20"/>
        </w:trPr>
        <w:tc>
          <w:tcPr>
            <w:tcW w:w="4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44"/>
        </w:trPr>
        <w:tc>
          <w:tcPr>
            <w:tcW w:w="4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F-18</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-2214880</wp:posOffset>
            </wp:positionV>
            <wp:extent cx="9398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-2214880</wp:posOffset>
            </wp:positionV>
            <wp:extent cx="9398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-2214880</wp:posOffset>
            </wp:positionV>
            <wp:extent cx="9398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-1216660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-1216660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-1216660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6" w:name="page87"/>
    <w:bookmarkEnd w:id="86"/>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29,066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29,066</w:t>
            </w:r>
          </w:p>
        </w:tc>
      </w:tr>
      <w:tr>
        <w:trPr>
          <w:trHeight w:val="216"/>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8,437</w:t>
            </w: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8,437</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29,066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8,437</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37,503</w:t>
            </w: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20,988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20,988</w:t>
            </w: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48,117</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48,117</w:t>
            </w: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4,630</w:t>
            </w:r>
          </w:p>
        </w:tc>
      </w:tr>
      <w:tr>
        <w:trPr>
          <w:trHeight w:val="210"/>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73,735</w:t>
            </w: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73,735</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29,066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82,172</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111,238</w:t>
            </w: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-1019810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-1019810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-1019810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Money market funds are highly liquid and actively traded marketable securities that generally transact at a stable $1.00 net asset value representing its estimated fair value. The Company estimates the fair value of its U.S. and foreign corporate debt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for any of the years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Accrued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tcBorders>
              <w:bottom w:val="single" w:sz="8" w:color="auto"/>
            </w:tcBorders>
          </w:tcPr>
          <w:p>
            <w:pPr>
              <w:spacing w:after="0"/>
              <w:rPr>
                <w:sz w:val="15"/>
                <w:szCs w:val="15"/>
                <w:color w:val="auto"/>
              </w:rPr>
            </w:pPr>
          </w:p>
        </w:tc>
      </w:tr>
      <w:tr>
        <w:trPr>
          <w:trHeight w:val="142"/>
        </w:trPr>
        <w:tc>
          <w:tcPr>
            <w:tcW w:w="7320" w:type="dxa"/>
            <w:vAlign w:val="bottom"/>
          </w:tcPr>
          <w:p>
            <w:pPr>
              <w:spacing w:after="0"/>
              <w:rPr>
                <w:sz w:val="12"/>
                <w:szCs w:val="12"/>
                <w:color w:val="auto"/>
              </w:rPr>
            </w:pPr>
          </w:p>
        </w:tc>
        <w:tc>
          <w:tcPr>
            <w:tcW w:w="12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7,523</w:t>
            </w: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6,478</w:t>
            </w:r>
          </w:p>
        </w:tc>
      </w:tr>
      <w:tr>
        <w:trPr>
          <w:trHeight w:val="216"/>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1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384</w:t>
            </w: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200" w:type="dxa"/>
            <w:vAlign w:val="bottom"/>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7,749</w:t>
            </w: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6,862</w:t>
            </w:r>
          </w:p>
        </w:tc>
      </w:tr>
      <w:tr>
        <w:trPr>
          <w:trHeight w:val="20"/>
        </w:trPr>
        <w:tc>
          <w:tcPr>
            <w:tcW w:w="7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939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5,000,000 shares of preferred stock as of December 31, 2025 and 2024. As of December 31, 2025 and 2024, no shares of preferred stock were issued and outstanding. The Company is authorized to issue 150,000,000 shares of common stock as of December 31, 2025 and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2024, the Company's stockholders approved a reverse stock split of its common stock at a range of ratios between 1-for-7 to 1-for-17, and the Company's board of directors approved the implementation of the reverse stock split at a ratio of 1-for-12 (the Reverse Stock Split). The Reverse Stock Split was undertaken to enable the Company to regain compliance with the minimum bid price requirement for continued listing on the Nasdaq Global Select Market, as referenced in the deficiency notice received from the Nasdaq Listing Qualifications Department in September 2023. The Reverse Stock Split became effective in February 2024, at which time the Company regained compliance with the minimum bid price requirement.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effective time of the Reverse Stock Split, every 12 issued and outstanding shares of the Company’s common stock was automatically reclassified into one issued and outstanding share of the Company’s common stock. This reduced the number of shares outstanding from 65.8 million shares to 5.5 million shares. No fractional shares of common stock were issued in connection with the Reverse Stock Split and all fractional shares were rounded down to the nearest whole share with respect to outstanding shares of common stock. Any holders of common stock who would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have otherwise received a fractional share of common stock pursuant to the Reverse Stock Split, received cash in lieu of the fractional share. The Reverse Stock Split did not affect the par value of the common stock. The Company's authorized shares of common stock remained at 150,000,000 and its authorized shares of preferred stock remained at 5,000,000.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Common Stock and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Company entered into a sales agreement under which the Company may offer and sell shares of its common stock having an aggregate offering price of up to $75.0 million through "at-the-market" offerings (the ATM), pursuant to its shelf registration statement on Form S-3 (File No. 333-270760), which became effective in April 2023. During the year ended December 31, 2025, the Company issued and sold 161,645 shares of its common stock under the ATM, for which the Company received net proceeds of $1.9 million, after deducting commissions, fees and expenses. During the year ended December 31, 2024, the Company issued and sold 152,666 shares of its common stock under the ATM, for which the Company received net proceeds of $2.0 million, after deducting commissions, fees and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the Company issued and sold 634,500 shares of common stock and a warrant to purchase up to 634,500 shares of common stock in a registered direct offering pursuant to its shelf registration statement on Form S-3 on file with the SEC (the June 2024 Registered Direct Offering). The common stock and warrant were sold at a combined offering price of $15.46 per share for aggregate gross proceeds to the Company of $9.8 million. After deducting issuance costs, net proceeds totaled $9.7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Underwritten Offering</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2025, the Company issued and sold an aggregate of 5,591,840 shares of common stock and pre-funded warrants to purchase up to 1,040,820 shares of common stock, together with accompanying 3,316,330 Class A and 3,316,330 Class B warrants to purchase up to an aggregated total of 6,632,660 shares of common stock in an underwritten offering (the August 2025 Underwritten Offering). The combined price per share of common stock with the accompanying Class A and Class B warrants was $19.60, while the combined price per pre-funded warrant with accompanying Class A and Class B warrants was $19.599. The offering generated aggregate gross proceeds to the Company of $130.0 million. After deducting issuance costs, net proceeds totaled $123.6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2024, the Company issued and sold 179,500 shares of common stock and a warrant to purchase up to 179,500 shares of common stock under the June 2024 Private Placement with Gilead (as defined in Note 3 - Related Party). This transaction was executed concurrently with the June 2024 Registered Direct Offering pursuant to anti-dilution provisions in the Investor Rights Agreement, with the common stock and warrant sold at the same combined offering price of $15.46 per share for aggregate gross proceeds to the Company of $2.8 million. After deducting issuance costs, net proceeds totaled $2.7 million.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Gilead exercised its right under the Gilead Equity Agreements to purchase an additional 940,499 shares of common stock from the Company at a purchase price of $21.37 per share, which represents a 35% premium to the 30 trading day volume weighted average price immediately prior to the date of purchase. The Company received aggregate proceeds of $20.1 million, of which $5.2 million was determined to be a premium on the purchase of the Company’s common stock and allocated to the single combined performance obligation under the Gilead Collaboration Agreement (see Note 8 - Collaboration Agreements). The fair value of Gilead's common stock purchase was $14.9 million.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2025, the Company entered into the August 2025 Private Placement (as defined in Note 3 - Related Party) with Gilead, which involved the issuance and sale of 2,295,920 shares of common stock and accompanying 1,147,960 Class A and 1,147,960 Class B warrants to purchase up to an aggregate of 2,295,920 shares of common stock in a private placement. This transaction was executed concurrently with the August 2025 Underwritten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price per share of common stock with the accompanying Class A and Class B warrants was $19.60, generating aggregate gross proceeds of $45.0 million. After deducting issuance costs, net proceeds totaled $42.8 million. These warrants have the same exercise price and terms as the warrants sold in the August 2025 Underwritten Offering.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warrants and pre-funded warrants to purchase shares of the Company's common stock were issued and outstanding: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20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40" w:type="dxa"/>
            <w:vAlign w:val="bottom"/>
          </w:tcPr>
          <w:p>
            <w:pPr>
              <w:spacing w:after="0"/>
              <w:rPr>
                <w:sz w:val="10"/>
                <w:szCs w:val="10"/>
                <w:color w:val="auto"/>
              </w:rPr>
            </w:pPr>
          </w:p>
        </w:tc>
        <w:tc>
          <w:tcPr>
            <w:tcW w:w="240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Exercisable Date</w:t>
            </w:r>
          </w:p>
        </w:tc>
        <w:tc>
          <w:tcPr>
            <w:tcW w:w="120" w:type="dxa"/>
            <w:vAlign w:val="bottom"/>
          </w:tcPr>
          <w:p>
            <w:pPr>
              <w:spacing w:after="0"/>
              <w:rPr>
                <w:sz w:val="10"/>
                <w:szCs w:val="10"/>
                <w:color w:val="auto"/>
              </w:rPr>
            </w:pPr>
          </w:p>
        </w:tc>
        <w:tc>
          <w:tcPr>
            <w:tcW w:w="24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620" w:type="dxa"/>
            <w:vAlign w:val="bottom"/>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3"/>
        </w:trPr>
        <w:tc>
          <w:tcPr>
            <w:tcW w:w="12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6/16/2024</w:t>
            </w:r>
          </w:p>
        </w:tc>
        <w:tc>
          <w:tcPr>
            <w:tcW w:w="25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6/16/2024</w:t>
            </w:r>
          </w:p>
        </w:tc>
        <w:tc>
          <w:tcPr>
            <w:tcW w:w="258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6/18/2029</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634,500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634,500</w:t>
            </w:r>
          </w:p>
        </w:tc>
        <w:tc>
          <w:tcPr>
            <w:tcW w:w="0" w:type="dxa"/>
            <w:vAlign w:val="bottom"/>
          </w:tcPr>
          <w:p>
            <w:pPr>
              <w:spacing w:after="0"/>
              <w:rPr>
                <w:sz w:val="1"/>
                <w:szCs w:val="1"/>
                <w:color w:val="auto"/>
              </w:rPr>
            </w:pPr>
          </w:p>
        </w:tc>
      </w:t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6/17/2024</w:t>
            </w:r>
          </w:p>
        </w:tc>
        <w:tc>
          <w:tcPr>
            <w:tcW w:w="2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6/17/2024</w:t>
            </w:r>
          </w:p>
        </w:tc>
        <w:tc>
          <w:tcPr>
            <w:tcW w:w="25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6/18/2029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8"/>
                <w:szCs w:val="18"/>
                <w:color w:val="auto"/>
              </w:rPr>
            </w:pP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179,500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179,500</w:t>
            </w:r>
          </w:p>
        </w:tc>
        <w:tc>
          <w:tcPr>
            <w:tcW w:w="0" w:type="dxa"/>
            <w:vAlign w:val="bottom"/>
          </w:tcPr>
          <w:p>
            <w:pPr>
              <w:spacing w:after="0"/>
              <w:rPr>
                <w:sz w:val="1"/>
                <w:szCs w:val="1"/>
                <w:color w:val="auto"/>
              </w:rPr>
            </w:pPr>
          </w:p>
        </w:tc>
      </w:tr>
      <w:tr>
        <w:trPr>
          <w:trHeight w:val="216"/>
        </w:trPr>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254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8/11/2025</w:t>
            </w:r>
          </w:p>
        </w:tc>
        <w:tc>
          <w:tcPr>
            <w:tcW w:w="120" w:type="dxa"/>
            <w:vAlign w:val="bottom"/>
            <w:shd w:val="clear" w:color="auto" w:fill="CFF0FC"/>
          </w:tcPr>
          <w:p>
            <w:pPr>
              <w:spacing w:after="0"/>
              <w:rPr>
                <w:sz w:val="18"/>
                <w:szCs w:val="18"/>
                <w:color w:val="auto"/>
              </w:rPr>
            </w:pPr>
          </w:p>
        </w:tc>
        <w:tc>
          <w:tcPr>
            <w:tcW w:w="24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No expiration</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0.001</w:t>
            </w:r>
          </w:p>
        </w:tc>
        <w:tc>
          <w:tcPr>
            <w:tcW w:w="1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1,040,820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25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8/11/2025</w:t>
            </w:r>
          </w:p>
        </w:tc>
        <w:tc>
          <w:tcPr>
            <w:tcW w:w="2580" w:type="dxa"/>
            <w:vAlign w:val="bottom"/>
            <w:gridSpan w:val="2"/>
          </w:tcPr>
          <w:p>
            <w:pPr>
              <w:jc w:val="center"/>
              <w:ind w:left="30"/>
              <w:spacing w:after="0" w:line="216" w:lineRule="exact"/>
              <w:rPr>
                <w:sz w:val="20"/>
                <w:szCs w:val="20"/>
                <w:color w:val="auto"/>
              </w:rPr>
            </w:pPr>
            <w:r>
              <w:rPr>
                <w:rFonts w:ascii="Times New Roman" w:cs="Times New Roman" w:eastAsia="Times New Roman" w:hAnsi="Times New Roman"/>
                <w:sz w:val="18"/>
                <w:szCs w:val="18"/>
                <w:color w:val="auto"/>
                <w:w w:val="93"/>
              </w:rPr>
              <w:t xml:space="preserve">8/11/2030 </w:t>
            </w:r>
            <w:r>
              <w:rPr>
                <w:rFonts w:ascii="Times New Roman" w:cs="Times New Roman" w:eastAsia="Times New Roman" w:hAnsi="Times New Roman"/>
                <w:sz w:val="24"/>
                <w:szCs w:val="24"/>
                <w:color w:val="auto"/>
                <w:w w:val="93"/>
                <w:vertAlign w:val="superscript"/>
              </w:rPr>
              <w:t>(1)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8"/>
                <w:szCs w:val="18"/>
                <w:color w:val="auto"/>
              </w:rPr>
            </w:pP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4,209,187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2540" w:type="dxa"/>
            <w:vAlign w:val="bottom"/>
            <w:tcBorders>
              <w:bottom w:val="single" w:sz="8" w:color="CFF0FC"/>
            </w:tcBorders>
            <w:gridSpan w:val="2"/>
            <w:shd w:val="clear" w:color="auto" w:fill="CFF0FC"/>
          </w:tcPr>
          <w:p>
            <w:pPr>
              <w:jc w:val="center"/>
              <w:ind w:left="10"/>
              <w:spacing w:after="0" w:line="216" w:lineRule="exact"/>
              <w:rPr>
                <w:sz w:val="20"/>
                <w:szCs w:val="20"/>
                <w:color w:val="auto"/>
              </w:rPr>
            </w:pPr>
            <w:r>
              <w:rPr>
                <w:rFonts w:ascii="Times New Roman" w:cs="Times New Roman" w:eastAsia="Times New Roman" w:hAnsi="Times New Roman"/>
                <w:sz w:val="18"/>
                <w:szCs w:val="18"/>
                <w:color w:val="auto"/>
                <w:w w:val="95"/>
              </w:rPr>
              <w:t xml:space="preserve">11/15/2026 </w:t>
            </w:r>
            <w:r>
              <w:rPr>
                <w:rFonts w:ascii="Times New Roman" w:cs="Times New Roman" w:eastAsia="Times New Roman" w:hAnsi="Times New Roman"/>
                <w:sz w:val="24"/>
                <w:szCs w:val="24"/>
                <w:color w:val="auto"/>
                <w:w w:val="95"/>
                <w:vertAlign w:val="superscript"/>
              </w:rPr>
              <w:t>(2)</w:t>
            </w:r>
          </w:p>
        </w:tc>
        <w:tc>
          <w:tcPr>
            <w:tcW w:w="2580" w:type="dxa"/>
            <w:vAlign w:val="bottom"/>
            <w:tcBorders>
              <w:bottom w:val="single" w:sz="8" w:color="CFF0FC"/>
            </w:tcBorders>
            <w:gridSpan w:val="2"/>
            <w:shd w:val="clear" w:color="auto" w:fill="CFF0FC"/>
          </w:tcPr>
          <w:p>
            <w:pPr>
              <w:jc w:val="center"/>
              <w:ind w:left="30"/>
              <w:spacing w:after="0" w:line="216" w:lineRule="exact"/>
              <w:rPr>
                <w:sz w:val="20"/>
                <w:szCs w:val="20"/>
                <w:color w:val="auto"/>
              </w:rPr>
            </w:pPr>
            <w:r>
              <w:rPr>
                <w:rFonts w:ascii="Times New Roman" w:cs="Times New Roman" w:eastAsia="Times New Roman" w:hAnsi="Times New Roman"/>
                <w:sz w:val="18"/>
                <w:szCs w:val="18"/>
                <w:color w:val="auto"/>
                <w:w w:val="96"/>
              </w:rPr>
              <w:t xml:space="preserve">12/31/2026 </w:t>
            </w:r>
            <w:r>
              <w:rPr>
                <w:rFonts w:ascii="Times New Roman" w:cs="Times New Roman" w:eastAsia="Times New Roman" w:hAnsi="Times New Roman"/>
                <w:sz w:val="24"/>
                <w:szCs w:val="24"/>
                <w:color w:val="auto"/>
                <w:w w:val="96"/>
                <w:vertAlign w:val="superscript"/>
              </w:rPr>
              <w:t>(2)</w:t>
            </w:r>
          </w:p>
        </w:tc>
        <w:tc>
          <w:tcPr>
            <w:tcW w:w="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4,464,290</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10,528,297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814,000</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1020" w:right="440" w:hanging="499"/>
        <w:spacing w:after="0" w:line="223" w:lineRule="auto"/>
        <w:tabs>
          <w:tab w:leader="none" w:pos="102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Class A warrants will expire 30 days following the public announcement that the Company completed enrollment (of at least 200 patients total) in the ABI-5366 Phase 2 clinical study if prior to August 11, 2030.</w:t>
      </w:r>
    </w:p>
    <w:p>
      <w:pPr>
        <w:spacing w:after="0" w:line="91" w:lineRule="exact"/>
        <w:rPr>
          <w:rFonts w:ascii="Times New Roman" w:cs="Times New Roman" w:eastAsia="Times New Roman" w:hAnsi="Times New Roman"/>
          <w:sz w:val="24"/>
          <w:szCs w:val="24"/>
          <w:color w:val="auto"/>
          <w:vertAlign w:val="superscript"/>
        </w:rPr>
      </w:pPr>
    </w:p>
    <w:p>
      <w:pPr>
        <w:ind w:left="1020" w:right="340" w:hanging="499"/>
        <w:spacing w:after="0" w:line="223" w:lineRule="auto"/>
        <w:tabs>
          <w:tab w:leader="none" w:pos="102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These Class B warrants will be cancelled if the Company publicly announces the receipt of at least $75.0 million in the aggregate of non-dilutive capital in connection with a collaboration agreement prior to November 15,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255,103 Class A warrants exercised during December 31, 2025. No warrants were exercised during December 31, 2024.</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warrants and pre-funded warrants are classified as a component of permanent stockholders’ equity within additional paid-in capital and were recorded at their respective issuance date using a relative fair value allocation method. Of the total proceeds from the issuance of warrants in the August 2025 Underwritten Offering and the August 2025 Private Placement, $16.4 million was allocated to pre-funded warrants, $24.6 million to Class A warrants and $1.2 million to Class B warrants.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and pre-funded warrants are equity classified because they are freestanding financial instruments that are legally detachable and separately exercisable from the equity instruments, do not embody an obligation for the Company to repurchase its shares, permit the holders to receive a fixed number of common shares upon exercise, are indexed to the Company’s common stock and meet the equity classification criteria. In addition, such warrants and pre-funded warrants do not provide any guarantee of value or return.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all warrants and pre-funded warrants cannot exercise any portion of the warrants to the extent they would beneficially own more than the limits defined in the warrant agreements. The exercise price and number of shares of the Company's common stock issuable upon the exercise of the warrants are subject to adjustment in the event of any stock dividends and distributions, stock splits, stock combinations or stock reclassifications, as described in the respective warrant agreements. Under certain circumstances, the warrants may be exercised on a “cashless”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June 2025, the Company's stockholders approved an amendment to the Assembly Biosciences, Inc. Amended and Restated 2018 Stock Incentive Plan (the 2018 Plan), which increased the aggregate number of shares of common stock reserved under the 2018 Plan to 1,703,333.</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awards outstanding under the following shareholder approved plans: 2010 Equity Incentive Plan (the 2010 Plan), which has been frozen since 2016; the Assembly Biosciences, Inc.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Amended and Restated 2014 Stock Incentive Plan (the 2014 Plan); and the 2018 Plan. Shares of common stock underlying awards forfeited under the 2010 Plan on or after June 2, 2016 become available for issuance under the 2014 Plan. As of December 31, 2025, the Company also had awards outstanding under the following plans that are not approved by shareholders: the Assembly Biosciences, Inc. 2017 Inducement Award Plan, the Assembly Biosciences, Inc. 2019 Inducement Award Plan, and the Assembly Biosciences, Inc. 2020 Inducement Award Plan.</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issues new shares of common stock to settle options exercised and vested RSUs or PSUs. The Company also issues new shares of common stock in connection with purchases of shares of common stock by eligible employees under the ESPP.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Plan Activity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stock option activity and related information for 2025 (in thousands, except for share and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restart"/>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restart"/>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66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1060" w:type="dxa"/>
            <w:vAlign w:val="bottom"/>
          </w:tcPr>
          <w:p>
            <w:pPr>
              <w:jc w:val="cente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6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Borders>
              <w:bottom w:val="single" w:sz="8" w:color="auto"/>
            </w:tcBorders>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942,193</w:t>
            </w:r>
          </w:p>
        </w:tc>
        <w:tc>
          <w:tcPr>
            <w:tcW w:w="1240" w:type="dxa"/>
            <w:vAlign w:val="bottom"/>
            <w:gridSpan w:val="2"/>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54.24</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275,225</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11.14</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22.58</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109.69</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8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123.26</w:t>
            </w:r>
          </w:p>
        </w:tc>
        <w:tc>
          <w:tcPr>
            <w:tcW w:w="1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1,193,442</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43.53</w:t>
            </w:r>
          </w:p>
        </w:tc>
        <w:tc>
          <w:tcPr>
            <w:tcW w:w="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17,215</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2025</w:t>
            </w:r>
          </w:p>
        </w:tc>
        <w:tc>
          <w:tcPr>
            <w:tcW w:w="16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714,173</w:t>
            </w: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64.31</w:t>
            </w:r>
          </w:p>
        </w:tc>
        <w:tc>
          <w:tcPr>
            <w:tcW w:w="18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6,934</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Options expected to vest as of December 31, 2025</w:t>
            </w:r>
          </w:p>
        </w:tc>
        <w:tc>
          <w:tcPr>
            <w:tcW w:w="16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1,193,442</w:t>
            </w:r>
          </w:p>
        </w:tc>
        <w:tc>
          <w:tcPr>
            <w:tcW w:w="180" w:type="dxa"/>
            <w:vAlign w:val="bottom"/>
          </w:tcPr>
          <w:p>
            <w:pPr>
              <w:spacing w:after="0"/>
              <w:rPr>
                <w:sz w:val="18"/>
                <w:szCs w:val="18"/>
                <w:color w:val="auto"/>
              </w:rPr>
            </w:pP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43.53</w:t>
            </w:r>
          </w:p>
        </w:tc>
        <w:tc>
          <w:tcPr>
            <w:tcW w:w="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17,215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-445135</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-445135</wp:posOffset>
            </wp:positionV>
            <wp:extent cx="1028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-445135</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-153670</wp:posOffset>
            </wp:positionV>
            <wp:extent cx="1111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-153670</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80" w:type="dxa"/>
            <w:vAlign w:val="bottom"/>
            <w:tcBorders>
              <w:bottom w:val="single" w:sz="8" w:color="auto"/>
            </w:tcBorders>
          </w:tcPr>
          <w:p>
            <w:pPr>
              <w:spacing w:after="0"/>
              <w:rPr>
                <w:sz w:val="15"/>
                <w:szCs w:val="15"/>
                <w:color w:val="auto"/>
              </w:rPr>
            </w:pPr>
          </w:p>
        </w:tc>
      </w:tr>
      <w:tr>
        <w:trPr>
          <w:trHeight w:val="196"/>
        </w:trPr>
        <w:tc>
          <w:tcPr>
            <w:tcW w:w="5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grant-date fair value of options granted</w:t>
            </w:r>
          </w:p>
        </w:tc>
        <w:tc>
          <w:tcPr>
            <w:tcW w:w="242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8.23</w:t>
            </w:r>
          </w:p>
        </w:tc>
        <w:tc>
          <w:tcPr>
            <w:tcW w:w="122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10.04</w:t>
            </w: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intrinsic value of options exercised</w:t>
            </w:r>
          </w:p>
        </w:tc>
        <w:tc>
          <w:tcPr>
            <w:tcW w:w="2420" w:type="dxa"/>
            <w:vAlign w:val="bottom"/>
            <w:gridSpan w:val="2"/>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r>
    </w:tbl>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periods indicated was estimated using the Black-Scholes option pricing model, based on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40" w:type="dxa"/>
            <w:vAlign w:val="bottom"/>
            <w:tcBorders>
              <w:bottom w:val="single" w:sz="8" w:color="auto"/>
            </w:tcBorders>
          </w:tcPr>
          <w:p>
            <w:pPr>
              <w:spacing w:after="0"/>
              <w:rPr>
                <w:sz w:val="15"/>
                <w:szCs w:val="15"/>
                <w:color w:val="auto"/>
              </w:rPr>
            </w:pPr>
          </w:p>
        </w:tc>
      </w:tr>
      <w:tr>
        <w:trPr>
          <w:trHeight w:val="196"/>
        </w:trPr>
        <w:tc>
          <w:tcPr>
            <w:tcW w:w="36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360" w:type="dxa"/>
            <w:vAlign w:val="bottom"/>
            <w:tcBorders>
              <w:bottom w:val="single" w:sz="8" w:color="auto"/>
            </w:tcBorders>
            <w:gridSpan w:val="2"/>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2340" w:type="dxa"/>
            <w:vAlign w:val="bottom"/>
            <w:tcBorders>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$24.61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$16.75</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- 86.4%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- 86.9%</w:t>
            </w: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- 4.42%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- 4.57%</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- 7.5</w:t>
            </w:r>
          </w:p>
        </w:tc>
      </w:tr>
      <w:tr>
        <w:trPr>
          <w:trHeight w:val="216"/>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40" w:type="dxa"/>
            <w:vAlign w:val="bottom"/>
            <w:gridSpan w:val="3"/>
            <w:shd w:val="clear" w:color="auto" w:fill="CFF0FC"/>
          </w:tcPr>
          <w:p>
            <w:pPr>
              <w:jc w:val="right"/>
              <w:ind w:right="974"/>
              <w:spacing w:after="0"/>
              <w:rPr>
                <w:sz w:val="20"/>
                <w:szCs w:val="20"/>
                <w:color w:val="auto"/>
              </w:rPr>
            </w:pPr>
            <w:r>
              <w:rPr>
                <w:rFonts w:ascii="Times New Roman" w:cs="Times New Roman" w:eastAsia="Times New Roman" w:hAnsi="Times New Roman"/>
                <w:sz w:val="18"/>
                <w:szCs w:val="18"/>
                <w:color w:val="auto"/>
              </w:rPr>
              <w:t>0%</w:t>
            </w:r>
          </w:p>
        </w:tc>
        <w:tc>
          <w:tcPr>
            <w:tcW w:w="2600" w:type="dxa"/>
            <w:vAlign w:val="bottom"/>
            <w:gridSpan w:val="3"/>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0%</w:t>
            </w:r>
          </w:p>
        </w:tc>
      </w:tr>
      <w:tr>
        <w:trPr>
          <w:trHeight w:val="864"/>
        </w:trPr>
        <w:tc>
          <w:tcPr>
            <w:tcW w:w="3600" w:type="dxa"/>
            <w:vAlign w:val="bottom"/>
          </w:tcPr>
          <w:p>
            <w:pPr>
              <w:spacing w:after="0"/>
              <w:rPr>
                <w:sz w:val="24"/>
                <w:szCs w:val="24"/>
                <w:color w:val="auto"/>
              </w:rPr>
            </w:pPr>
          </w:p>
        </w:tc>
        <w:tc>
          <w:tcPr>
            <w:tcW w:w="3800" w:type="dxa"/>
            <w:vAlign w:val="bottom"/>
            <w:gridSpan w:val="2"/>
          </w:tcPr>
          <w:p>
            <w:pPr>
              <w:jc w:val="right"/>
              <w:ind w:right="1528"/>
              <w:spacing w:after="0"/>
              <w:rPr>
                <w:sz w:val="20"/>
                <w:szCs w:val="20"/>
                <w:color w:val="auto"/>
              </w:rPr>
            </w:pPr>
            <w:r>
              <w:rPr>
                <w:rFonts w:ascii="Times New Roman" w:cs="Times New Roman" w:eastAsia="Times New Roman" w:hAnsi="Times New Roman"/>
                <w:sz w:val="18"/>
                <w:szCs w:val="18"/>
                <w:color w:val="auto"/>
              </w:rPr>
              <w:t>F-22</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RSU activity and related information for 2025 (in thousands, except for share and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60" w:type="dxa"/>
            <w:vAlign w:val="bottom"/>
          </w:tcPr>
          <w:p>
            <w:pPr>
              <w:jc w:val="center"/>
              <w:ind w:right="61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tcPr>
          <w:p>
            <w:pPr>
              <w:jc w:val="center"/>
              <w:ind w:right="618"/>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60" w:type="dxa"/>
            <w:vAlign w:val="bottom"/>
          </w:tcPr>
          <w:p>
            <w:pPr>
              <w:jc w:val="center"/>
              <w:ind w:right="618"/>
              <w:spacing w:after="0" w:line="149" w:lineRule="exact"/>
              <w:rPr>
                <w:sz w:val="20"/>
                <w:szCs w:val="20"/>
                <w:color w:val="auto"/>
              </w:rPr>
            </w:pPr>
            <w:r>
              <w:rPr>
                <w:rFonts w:ascii="Times New Roman" w:cs="Times New Roman" w:eastAsia="Times New Roman" w:hAnsi="Times New Roman"/>
                <w:sz w:val="14"/>
                <w:szCs w:val="14"/>
                <w:b w:val="1"/>
                <w:bCs w:val="1"/>
                <w:color w:val="auto"/>
              </w:rPr>
              <w:t>Value Per RSU</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of RSUs</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618"/>
              <w:spacing w:after="0"/>
              <w:rPr>
                <w:sz w:val="20"/>
                <w:szCs w:val="20"/>
                <w:color w:val="auto"/>
              </w:rPr>
            </w:pPr>
            <w:r>
              <w:rPr>
                <w:rFonts w:ascii="Times New Roman" w:cs="Times New Roman" w:eastAsia="Times New Roman" w:hAnsi="Times New Roman"/>
                <w:sz w:val="14"/>
                <w:szCs w:val="14"/>
                <w:b w:val="1"/>
                <w:bCs w:val="1"/>
                <w:color w:val="auto"/>
              </w:rPr>
              <w:t>at Grant Price</w:t>
            </w: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52,222</w:t>
            </w:r>
          </w:p>
        </w:tc>
        <w:tc>
          <w:tcPr>
            <w:tcW w:w="820" w:type="dxa"/>
            <w:vAlign w:val="bottom"/>
            <w:gridSpan w:val="3"/>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16"/>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53,933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10.69</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(18,855)</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16"/>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(1,717)</w:t>
            </w:r>
          </w:p>
        </w:tc>
        <w:tc>
          <w:tcPr>
            <w:tcW w:w="2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49"/>
        </w:trPr>
        <w:tc>
          <w:tcPr>
            <w:tcW w:w="47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85,583</w:t>
            </w:r>
          </w:p>
        </w:tc>
        <w:tc>
          <w:tcPr>
            <w:tcW w:w="2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372"/>
        </w:trPr>
        <w:tc>
          <w:tcPr>
            <w:tcW w:w="4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Borders>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9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RSUs vested and settled</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shd w:val="clear" w:color="auto" w:fill="CFF0FC"/>
          </w:tcPr>
          <w:p>
            <w:pPr>
              <w:spacing w:after="0"/>
              <w:rPr>
                <w:sz w:val="18"/>
                <w:szCs w:val="18"/>
                <w:color w:val="auto"/>
              </w:rPr>
            </w:pPr>
          </w:p>
        </w:tc>
        <w:tc>
          <w:tcPr>
            <w:tcW w:w="82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intrinsic value of RSUs vested and settled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Pr>
          <w:p>
            <w:pPr>
              <w:spacing w:after="0"/>
              <w:rPr>
                <w:sz w:val="20"/>
                <w:szCs w:val="20"/>
                <w:color w:val="auto"/>
              </w:rPr>
            </w:pPr>
          </w:p>
        </w:tc>
        <w:tc>
          <w:tcPr>
            <w:tcW w:w="8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-705485</wp:posOffset>
            </wp:positionV>
            <wp:extent cx="1543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-688340</wp:posOffset>
            </wp:positionV>
            <wp:extent cx="1543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PSU activity and related information for 2025 (in thousands, except for share and per share amounts):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center"/>
              <w:ind w:right="639"/>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center"/>
              <w:ind w:right="619"/>
              <w:spacing w:after="0" w:line="149" w:lineRule="exact"/>
              <w:rPr>
                <w:sz w:val="20"/>
                <w:szCs w:val="20"/>
                <w:color w:val="auto"/>
              </w:rPr>
            </w:pPr>
            <w:r>
              <w:rPr>
                <w:rFonts w:ascii="Times New Roman" w:cs="Times New Roman" w:eastAsia="Times New Roman" w:hAnsi="Times New Roman"/>
                <w:sz w:val="14"/>
                <w:szCs w:val="14"/>
                <w:b w:val="1"/>
                <w:bCs w:val="1"/>
                <w:color w:val="auto"/>
              </w:rPr>
              <w:t>Value Per PSU</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of PSUs</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at Grant Price</w:t>
            </w: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2024</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15,832</w:t>
            </w:r>
          </w:p>
        </w:tc>
        <w:tc>
          <w:tcPr>
            <w:tcW w:w="8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225,000</w:t>
            </w:r>
          </w:p>
        </w:tc>
        <w:tc>
          <w:tcPr>
            <w:tcW w:w="240" w:type="dxa"/>
            <w:vAlign w:val="bottom"/>
            <w:tcBorders>
              <w:bottom w:val="single" w:sz="8" w:color="CFF0FC"/>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as of December 31, 2025</w:t>
            </w:r>
          </w:p>
        </w:tc>
        <w:tc>
          <w:tcPr>
            <w:tcW w:w="13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240,832</w:t>
            </w:r>
          </w:p>
        </w:tc>
        <w:tc>
          <w:tcPr>
            <w:tcW w:w="2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372"/>
        </w:trPr>
        <w:tc>
          <w:tcPr>
            <w:tcW w:w="4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0" w:type="dxa"/>
            <w:vAlign w:val="bottom"/>
            <w:tcBorders>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PSUs vested and settled</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intrinsic value of PSUs vested and settled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-705485</wp:posOffset>
            </wp:positionV>
            <wp:extent cx="1543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-688340</wp:posOffset>
            </wp:positionV>
            <wp:extent cx="1543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-850900</wp:posOffset>
            </wp:positionV>
            <wp:extent cx="1543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ESPP</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June 2025, the Company's stockholders approved an amendment to the ESPP, which increased the aggregate number of shares of common stock available for purchase by employees up to 225,000 shares at a discount to the market price.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Eligible employees may participate through payroll deductions of up to 15% of such employee’s compensation for each pay period subject to annual statutory limits.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Eligible employees can purchase the Company’s common stock at the end of a predetermined offering period at 85% of the lower of the fair market value at the beginning or end of the offering period. Under the ESPP, the offering periods end on the last business day occurring on or before May 14 or November 14. The ESPP is compensatory and results in stock-based compensation expense.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and November 2025, employees purchased 34,696 and 34,624 shares of common stock, respectively, under the ESPP. In May and November 2024, employees purchased 7,252 and 7,685 shares of common stock, respectively, under the ESPP. As of December 31, 2025, 86,097 shares of common stock are available for future sale under the Company’s ESPP.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ESPP purchase rights were not material for any period presented.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included in the consolidated statement of operations and comprehensive loss for the years presented (in thousands), classified by expense type and award type: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Borders>
              <w:bottom w:val="single" w:sz="8" w:color="auto"/>
            </w:tcBorders>
          </w:tcPr>
          <w:p>
            <w:pPr>
              <w:spacing w:after="0"/>
              <w:rPr>
                <w:sz w:val="15"/>
                <w:szCs w:val="15"/>
                <w:color w:val="auto"/>
              </w:rPr>
            </w:pPr>
          </w:p>
        </w:tc>
      </w:tr>
      <w:tr>
        <w:trPr>
          <w:trHeight w:val="196"/>
        </w:trPr>
        <w:tc>
          <w:tcPr>
            <w:tcW w:w="4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00" w:type="dxa"/>
            <w:vAlign w:val="bottom"/>
            <w:gridSpan w:val="2"/>
            <w:shd w:val="clear" w:color="auto" w:fill="CFF0FC"/>
          </w:tcPr>
          <w:p>
            <w:pPr>
              <w:jc w:val="right"/>
              <w:ind w:right="12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2,628</w:t>
            </w:r>
          </w:p>
        </w:tc>
        <w:tc>
          <w:tcPr>
            <w:tcW w:w="10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1,531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2,049</w:t>
            </w: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1,589</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4,677</w:t>
            </w:r>
          </w:p>
        </w:tc>
        <w:tc>
          <w:tcPr>
            <w:tcW w:w="10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3,120</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r>
        <w:trPr>
          <w:trHeight w:val="305"/>
        </w:trPr>
        <w:tc>
          <w:tcPr>
            <w:tcW w:w="4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Borders>
              <w:bottom w:val="single" w:sz="8" w:color="auto"/>
            </w:tcBorders>
          </w:tcPr>
          <w:p>
            <w:pPr>
              <w:spacing w:after="0"/>
              <w:rPr>
                <w:sz w:val="24"/>
                <w:szCs w:val="24"/>
                <w:color w:val="auto"/>
              </w:rPr>
            </w:pPr>
          </w:p>
        </w:tc>
      </w:tr>
      <w:tr>
        <w:trPr>
          <w:trHeight w:val="196"/>
        </w:trPr>
        <w:tc>
          <w:tcPr>
            <w:tcW w:w="4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0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100" w:type="dxa"/>
            <w:vAlign w:val="bottom"/>
            <w:gridSpan w:val="2"/>
            <w:shd w:val="clear" w:color="auto" w:fill="CFF0FC"/>
          </w:tcPr>
          <w:p>
            <w:pPr>
              <w:jc w:val="right"/>
              <w:ind w:right="125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2,387</w:t>
            </w:r>
          </w:p>
        </w:tc>
        <w:tc>
          <w:tcPr>
            <w:tcW w:w="10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2,511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16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1,552</w:t>
            </w: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ESPP</w:t>
            </w:r>
          </w:p>
        </w:tc>
        <w:tc>
          <w:tcPr>
            <w:tcW w:w="166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4,677</w:t>
            </w:r>
          </w:p>
        </w:tc>
        <w:tc>
          <w:tcPr>
            <w:tcW w:w="10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3,120</w:t>
            </w: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-1096645</wp:posOffset>
            </wp:positionV>
            <wp:extent cx="1543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-1079500</wp:posOffset>
            </wp:positionV>
            <wp:extent cx="15430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1543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1543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$4.6 million of total unrecognized stock-based compensation cost related to outstanding unvested equity awards, which is expected to be recognized over a weighted average remaining amortization period of 1.3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Collaboration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contract liabilities under the Gilead Agreements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0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320" w:type="dxa"/>
            <w:vAlign w:val="bottom"/>
            <w:vMerge w:val="continue"/>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balance at beginning of period</w:t>
            </w:r>
          </w:p>
        </w:tc>
        <w:tc>
          <w:tcPr>
            <w:tcW w:w="106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73,000</w:t>
            </w:r>
          </w:p>
        </w:tc>
        <w:tc>
          <w:tcPr>
            <w:tcW w:w="8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86,294</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0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35,233</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from collaboration with a related party</w:t>
            </w:r>
          </w:p>
        </w:tc>
        <w:tc>
          <w:tcPr>
            <w:tcW w:w="10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Premium on purchase of the Company's common stock</w:t>
            </w:r>
          </w:p>
        </w:tc>
        <w:tc>
          <w:tcPr>
            <w:tcW w:w="10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5,226</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0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(72,303)</w:t>
            </w:r>
          </w:p>
        </w:tc>
        <w:tc>
          <w:tcPr>
            <w:tcW w:w="16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(28,520)</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balance at end of period</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36,904</w:t>
            </w:r>
          </w:p>
        </w:tc>
        <w:tc>
          <w:tcPr>
            <w:tcW w:w="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73,000</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06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(36,904)</w:t>
            </w:r>
          </w:p>
        </w:tc>
        <w:tc>
          <w:tcPr>
            <w:tcW w:w="8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(37,622)</w:t>
            </w:r>
          </w:p>
        </w:tc>
        <w:tc>
          <w:tcPr>
            <w:tcW w:w="0" w:type="dxa"/>
            <w:vAlign w:val="bottom"/>
          </w:tcPr>
          <w:p>
            <w:pPr>
              <w:spacing w:after="0"/>
              <w:rPr>
                <w:sz w:val="1"/>
                <w:szCs w:val="1"/>
                <w:color w:val="auto"/>
              </w:rPr>
            </w:pPr>
          </w:p>
        </w:tc>
      </w:tr>
      <w:tr>
        <w:trPr>
          <w:trHeight w:val="20"/>
        </w:trPr>
        <w:tc>
          <w:tcPr>
            <w:tcW w:w="7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from a related party - long-term</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35,378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Collaboration revenue from a related party recognized in the period from:</w:t>
            </w:r>
          </w:p>
        </w:tc>
        <w:tc>
          <w:tcPr>
            <w:tcW w:w="10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Amounts included in deferred revenue from a related party at the beginning of the period</w:t>
            </w:r>
          </w:p>
        </w:tc>
        <w:tc>
          <w:tcPr>
            <w:tcW w:w="1060" w:type="dxa"/>
            <w:vAlign w:val="bottom"/>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36,841</w:t>
            </w:r>
          </w:p>
        </w:tc>
        <w:tc>
          <w:tcPr>
            <w:tcW w:w="8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28,271</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w:t>
            </w:r>
          </w:p>
        </w:tc>
        <w:tc>
          <w:tcPr>
            <w:tcW w:w="106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-1276350</wp:posOffset>
            </wp:positionV>
            <wp:extent cx="93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-993775</wp:posOffset>
            </wp:positionV>
            <wp:extent cx="939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Gilead Agreements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2023, the Company entered into the Gilead Collaboration Agreement and the Gilead Equity Agreements under which it received total proceeds of $100.0 million. Under the Gilead Collaboration Agreement, Gilead exclusively licensed to the Company its HPI program and NNPI program, while retaining opt-in rights to these programs and has an option to take an exclusive license, on a program-by-program basis, to all of the Company’s other current and future pipeline programs. During the 12-year collaboration term (subject to payment of certain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extension fees) and for a specified period thereafter, Gilead may exercise its opt-in rights, on a program-by-program basis, at one of two timepoints— completion of a certain Phase 1 study or, upon payment of a deferral fee and completion of a certain Phase 2 study for the first product within the program —upon payment of an opt-in fee ranging from $45.0 million to $125.0 million per program depending on the type of program and when the option is exercised.</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2024, the Company and Gilead entered into the First Amendment to the Gilead Collaboration Agreement, which restructured the timing of specific options exercisable in the agreement and the fees payable to the Company to support an accelerated development plan for 6250. To facilitate this development plan, the Company received a non-refundable payment of $10.0 million from Gilead and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 This credit was applied toward Gilead's opt-in fee paid for the HPI program in December 2025.</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Company entered into a letter agreement with Gilead under which Gilead has agreed to reimburse the Company up to $1.5 million for certain nonclinical study activities, subject to the terms and conditions set forth in the agreement. The letter agreement does not amend any terms of the Gilead Collaboration Agreement.</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the Company may opt-in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its programs and the two Gilead-contributed programs. Following Gilead’s opt-in, Gilead will control the further discovery, research, development, and commercialization on any optioned programs, and is responsible for all related costs unless the Company opts in to share 40% of all costs and profits in the United States. During the term, Gilead will continue to support the collaboration through extension fees of $75.0 million in each of the third, fifth and seventh anniversaries of the collaboration.</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Services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commencement of the arrangement, the Company concluded Gilead was a customer and accordingly, the Gilead Collaboration Agreement was within the scope of the revenue from contracts with customers guidance. The Company initially identified a single combined performance obligation for the discovery, research and development services (the R&amp;D Services) consisting of a series of distinct services that are substantially the same and have the same pattern of transfer. The Company concluded the R&amp;D Services were distinct from Gilead's right to obtain an exclusive license to any of the Company's programs as Gilead benefits from the knowledge and expertise gained from the R&amp;D Services and the Company's know-how is not highly specialized in nature. Gilead could perform the R&amp;D Services themselves, particularly considering Gilead contributed its HPI and NNPI programs and Gilead may continue to conduct development activities on programs being developed under the Gilead Collaboration Agreement. None of the options in the contract were deemed to be separate performance obligations as the options did not provide any discounts or other rights which would be considered a material right in the arrangement.</w:t>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Gilead exercised its right under the Gilead Equity Agreements to purchase additional shares of the Company's common stock for aggregate proceeds of $20.1 million, of which $5.2 million was determined to be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 on the purchase of the Company’s common stock and allocated to the single combined performance obligation under the Gilead Collaboration Agreement.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Company determined the First Amendment to the Gilead Collaboration Agreement represented a contract modification within the scope of the revenue from contracts with customers guidance. In July 2025, upon its execution, the Company similarly concluded the letter agreement represented a contract modification under the same guidance. For both modifications, the Company determined no new distinct performance obligations were introduced, there continues to be a single combined performance obligation consisting of a series of distinct R&amp;D Services, and therefore, the remaining services under the modified Gilead Collaboration Agreement are distinct from the R&amp;D Services already provided.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Company accounted for each modification as a termination of the existing contract and the creation of a new contract. The Company reassessed the transaction price upon each modification and recognized revenue prospectively by reassessing the transaction price and allocating it to the remaining R&amp;D Services.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transaction price as a result of the modification upon entering into the letter agreement in July 2025 was determined to be $54.4 million, consisting of the unrecognized portion of the transaction price under the contract immediately before the modification and $1.5 million of variable consideration for reimbursable costs expected to be incurred pursuant to the letter agreement.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variable consideration related to the regulatory milestones has not been included in the transaction price as of December 31, 2025, as these amounts remain highly susceptible to factors outside the Company's influence. Any variable consideration related to commercial milestones and royalties will be recognized when the related sales occur pursuant to the Gilead Collaboration Agreement. The Company will reevaluate the transaction price in each reporting period as uncertain events are resolved or other changes in circumstances occur.</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price is reflected as collaboration revenue when realized in the Company’s consolidated statements of operations. The Company recognizes revenue over time using a cost-based input method, based on internal and external labor cost effort to perform the services, over the initial non-cancellable term of three years since this method best reflects the transfer of services to Gilead. In applying a cost-based input method of revenue recognition, the Company uses actual costs incurred relative to estimated total costs to fulfill each performance obligation. A cost-based input method of revenue recognition requires the Company to make estimates of costs to complete the performance obligation. The cumulative effect of any revisions to estimated costs to complete the performance obligation and associated variable consideration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$37.3 million and $28.5 million of collaboration revenue for R&amp;D Services performed under the Gilead Collaboration Agreement during the years ended December 31, 2025 and 2024, respectively. The Company incurred $0.1 million and $0.3 million in reimbursable expenses due to Gilead during the years ended December 31, 2025 and 2024,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HPI Program License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2025, Gilead exercised its option to exclusively license the Company's HPI program for the treatment of recurrent genital herpes, including 5366 and 1179. Under the terms of the Gilead Collaboration Agreement, the Company received a $35.0 million payment in connection with Gilead’s exercise of its HPI program. The $35.0 million payment reflects a $45.0 million option fee, net of $10.0 million in accelerated funding the Company received under the First Amendment to the Gilead Collaboration Agreement, which was creditable against future payments. Gilead received an exclusive license to 5366 and 1179 and will have the sole right and responsibility for further clinical development and commercialization of the HPI program.</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remains eligible to receive up to $330.0 million in regulatory and commercial milestones, as well as tiered royalties on net sales ranging from the high single-digits to low teens. The Company also has the right to opt in to share 40% of all costs and profits in the United States (the Profit-Share) in lieu of receiving milestones and royalties for that program in the United States after receipt of a development plan and budget from Gilead; The Company has not opted into the Profit-Share as of the date of this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the exclusive license granted to Gilead for the HPI program was a new contract under the contracts from customers accounting standard as it was deemed an exercise of a marketing offer made pursuant to the original terms of the Gilead Collaboration Agreement and First Amendment. The Company concluded the exclusive license granted to Gilead for the HPI program represents a distinct performance obligation because Gilead can benefit from the license together with readily available resources and its ability to sublicense the rights. The $35.0 million opt-in fee is included in the fixed transaction price. Variable consideration related to regulatory and commercial milestone payments, royalties and cost reimbursements are constrained because such amounts are highly susceptible to factors outside the Company's influence.</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$35.0 million of collaboration revenue related to the exclusive license granted for the HPI program at a point in time upon transfer of the license, when Gilead obtained the ability to use and benefit from the license, during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Arbutus Biopharma Agreement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2020, the Company and Arbutus Biopharma Corporation (Arbutus Biopharma) entered into a Clinical Trial Collaboration Agreement (the Arbutus Biopharma Agreement) to conduct a randomized, multi-center, open-label Phase 2 clinical trial to explore the safety, pharmacokinetics and antiviral activity of the triple combination of vebicorvir (VBR), AB-729 and a nucleos(t)ide analog reverse transcriptase inhibitor (NrtI) compared to the double combinations of VBR with a NrtI and AB-729 with a NrtI. Under the Arbutus Biopharma Agreement, Assembly and Arbutus Biopharma shared responsibility for the costs of the trial equally, excluding manufacturing supply which were the burden of each company to supply their respective drugs, VBR and AB-729. Assembly was responsible for conducting this clinical trial with Arbutus Biopharma reimbursing Assembly its share of expenses. In February 2023, Assembly and Arbutus Biopharma terminated the Phase 2 clinical trial early, at the end of the 48-week on-treatment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Arbutus Biopharma Agreement was within the scope of the collaborative arrangements guidance as both parties were active participants and were exposed to significant risks and rewards dependent on the success of the collaborative activity. Reimbursements and cost-sharing portions from Arbutus Biopharma were reflected as a reduction of research and development expense when realized in the Company’s consolidated statements of operations. During the year ended December 31, 2024, the Company recognized research and development expenses of $0.3 million for net amounts refundable to Arbutus Biopharma after the final reconciliation of clinical trial costs.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refundable to Arbutus Biopharma were recorded as accrued research and development expenses on the consolidated balance sheet as of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HBV Research Agreement with Indiana University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September 2013, the Company was party to an exclusive License Agreement with Indiana University Research and Technology Corporation (IURTC) from whom it licensed aspects of the Company’s HBV program held by IURTC. The license agreement required the Company to make milestone payments based upon the successful accomplishment of clinical and regulatory milestones. The aggregate amount of all performance milestone payments under the IURTC license agreement, if all milestones through development were met, was $0.8 million, with a portion having been paid. The Company was obligated to pay IURTC royalty payments based on net sales of the licensed technology as well as a portion of any sublicensing revenue Assembly received. The Company was also required to pay diligence maintenance fees each year to the extent that the royalty, sublicensing, and milestone payments to IURTC were less than such fees for that year. The Company terminated the IURTC license agreement effective April 2024. The Company paid IURTC $0.1 million in diligence maintenance fees during the year ended December 31, 2024, which were included in research and development expenses in the consolidated statements of operations and comprehensive loss.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20" w:type="dxa"/>
            <w:vAlign w:val="bottom"/>
            <w:tcBorders>
              <w:bottom w:val="single" w:sz="8" w:color="auto"/>
            </w:tcBorders>
          </w:tcPr>
          <w:p>
            <w:pPr>
              <w:spacing w:after="0"/>
              <w:rPr>
                <w:sz w:val="15"/>
                <w:szCs w:val="15"/>
                <w:color w:val="auto"/>
              </w:rPr>
            </w:pPr>
          </w:p>
        </w:tc>
      </w:tr>
      <w:tr>
        <w:trPr>
          <w:trHeight w:val="196"/>
        </w:trPr>
        <w:tc>
          <w:tcPr>
            <w:tcW w:w="5620" w:type="dxa"/>
            <w:vAlign w:val="bottom"/>
          </w:tcPr>
          <w:p>
            <w:pPr>
              <w:spacing w:after="0"/>
              <w:rPr>
                <w:sz w:val="17"/>
                <w:szCs w:val="17"/>
                <w:color w:val="auto"/>
              </w:rPr>
            </w:pPr>
          </w:p>
        </w:tc>
        <w:tc>
          <w:tcPr>
            <w:tcW w:w="16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6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20" w:type="dxa"/>
            <w:vAlign w:val="bottom"/>
            <w:shd w:val="clear" w:color="auto" w:fill="CFF0FC"/>
          </w:tcPr>
          <w:p>
            <w:pPr>
              <w:spacing w:after="0"/>
              <w:rPr>
                <w:sz w:val="18"/>
                <w:szCs w:val="18"/>
                <w:color w:val="auto"/>
              </w:rPr>
            </w:pPr>
          </w:p>
        </w:tc>
      </w:tr>
      <w:tr>
        <w:trPr>
          <w:trHeight w:val="216"/>
        </w:trPr>
        <w:tc>
          <w:tcPr>
            <w:tcW w:w="5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tcPr>
          <w:p>
            <w:pPr>
              <w:jc w:val="right"/>
              <w:ind w:right="14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330</w:t>
            </w:r>
          </w:p>
        </w:tc>
      </w:tr>
      <w:tr>
        <w:trPr>
          <w:trHeight w:val="250"/>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80" w:type="dxa"/>
            <w:vAlign w:val="bottom"/>
            <w:tcBorders>
              <w:top w:val="single" w:sz="8" w:color="auto"/>
              <w:bottom w:val="single" w:sz="8" w:color="auto"/>
            </w:tcBorders>
            <w:shd w:val="clear" w:color="auto" w:fill="CFF0FC"/>
          </w:tcPr>
          <w:p>
            <w:pPr>
              <w:jc w:val="right"/>
              <w:ind w:right="149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-24765</wp:posOffset>
            </wp:positionV>
            <wp:extent cx="12890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12890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1289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adopted ASU 2023-09 prospectively for the year ended December 31, 2025. Prior period disclosures have not been retrospectively adjusted and may not be comparable to the current year presentation under the new standard. The reconciliation between the federal statutory tax rate applied to loss before income taxes and the Company's effective tax rate is summarized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computed at federal statutory rate</w:t>
            </w:r>
          </w:p>
        </w:tc>
        <w:tc>
          <w:tcPr>
            <w:tcW w:w="17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58"/>
        </w:trPr>
        <w:tc>
          <w:tcPr>
            <w:tcW w:w="5600" w:type="dxa"/>
            <w:vAlign w:val="bottom"/>
            <w:vMerge w:val="continue"/>
          </w:tcPr>
          <w:p>
            <w:pPr>
              <w:spacing w:after="0"/>
              <w:rPr>
                <w:sz w:val="13"/>
                <w:szCs w:val="13"/>
                <w:color w:val="auto"/>
              </w:rPr>
            </w:pPr>
          </w:p>
        </w:tc>
        <w:tc>
          <w:tcPr>
            <w:tcW w:w="1720" w:type="dxa"/>
            <w:vAlign w:val="bottom"/>
          </w:tcPr>
          <w:p>
            <w:pPr>
              <w:jc w:val="right"/>
              <w:ind w:right="1562"/>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(1,286)</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68"/>
        </w:trPr>
        <w:tc>
          <w:tcPr>
            <w:tcW w:w="560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State tax, net of federal income tax effect </w:t>
            </w:r>
            <w:r>
              <w:rPr>
                <w:rFonts w:ascii="Times New Roman" w:cs="Times New Roman" w:eastAsia="Times New Roman" w:hAnsi="Times New Roman"/>
                <w:sz w:val="24"/>
                <w:szCs w:val="24"/>
                <w:color w:val="auto"/>
                <w:vertAlign w:val="superscript"/>
              </w:rPr>
              <w:t>(1)</w:t>
            </w:r>
          </w:p>
        </w:tc>
        <w:tc>
          <w:tcPr>
            <w:tcW w:w="17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Permanent items</w:t>
            </w:r>
          </w:p>
        </w:tc>
        <w:tc>
          <w:tcPr>
            <w:tcW w:w="172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Covered employee compensation</w:t>
            </w:r>
          </w:p>
        </w:tc>
        <w:tc>
          <w:tcPr>
            <w:tcW w:w="17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72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7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17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17,027</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7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6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 Effective tax rate</w:t>
            </w:r>
          </w:p>
        </w:tc>
        <w:tc>
          <w:tcPr>
            <w:tcW w:w="17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-1542415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939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939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939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ind w:right="2880" w:firstLine="521"/>
        <w:spacing w:after="0" w:line="405" w:lineRule="auto"/>
        <w:tabs>
          <w:tab w:leader="none" w:pos="1018"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State taxes in California comprise the majority (greater than 50.0%) of the tax effect in this category. The effective tax rate of the Company's provision for income taxes differs from the federal statutory rate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364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7600" w:type="dxa"/>
            <w:vAlign w:val="bottom"/>
          </w:tcPr>
          <w:p>
            <w:pPr>
              <w:spacing w:after="0"/>
              <w:rPr>
                <w:sz w:val="17"/>
                <w:szCs w:val="17"/>
                <w:color w:val="auto"/>
              </w:rPr>
            </w:pPr>
          </w:p>
        </w:tc>
        <w:tc>
          <w:tcPr>
            <w:tcW w:w="3640" w:type="dxa"/>
            <w:vAlign w:val="bottom"/>
            <w:tcBorders>
              <w:bottom w:val="single" w:sz="8" w:color="auto"/>
            </w:tcBorders>
          </w:tcPr>
          <w:p>
            <w:pPr>
              <w:jc w:val="right"/>
              <w:ind w:right="15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3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3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49"/>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provision (benefit)</w:t>
            </w:r>
          </w:p>
        </w:tc>
        <w:tc>
          <w:tcPr>
            <w:tcW w:w="3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taxes paid, net of refunds received, were not material during the year ended December 31, 2025. The Company paid $0.4 million of income taxes during the year ended December 31, 2024.</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taxes are as follows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980" w:type="dxa"/>
            <w:vAlign w:val="bottom"/>
            <w:tcBorders>
              <w:bottom w:val="single" w:sz="8" w:color="auto"/>
            </w:tcBorders>
          </w:tcPr>
          <w:p>
            <w:pPr>
              <w:spacing w:after="0"/>
              <w:rPr>
                <w:sz w:val="15"/>
                <w:szCs w:val="15"/>
                <w:color w:val="auto"/>
              </w:rPr>
            </w:pPr>
          </w:p>
        </w:tc>
      </w:tr>
      <w:tr>
        <w:trPr>
          <w:trHeight w:val="196"/>
        </w:trPr>
        <w:tc>
          <w:tcPr>
            <w:tcW w:w="4440" w:type="dxa"/>
            <w:vAlign w:val="bottom"/>
          </w:tcPr>
          <w:p>
            <w:pPr>
              <w:spacing w:after="0"/>
              <w:rPr>
                <w:sz w:val="17"/>
                <w:szCs w:val="17"/>
                <w:color w:val="auto"/>
              </w:rPr>
            </w:pPr>
          </w:p>
        </w:tc>
        <w:tc>
          <w:tcPr>
            <w:tcW w:w="27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jc w:val="right"/>
              <w:ind w:right="12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980" w:type="dxa"/>
            <w:vAlign w:val="bottom"/>
            <w:tcBorders>
              <w:top w:val="single" w:sz="8" w:color="auto"/>
            </w:tcBorders>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 and state-operating loss carryforwards</w:t>
            </w:r>
          </w:p>
        </w:tc>
        <w:tc>
          <w:tcPr>
            <w:tcW w:w="278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123,615</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131,994</w:t>
            </w: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7,359</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7,078</w:t>
            </w: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research expense</w:t>
            </w: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29,377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35,593</w:t>
            </w: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9,382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18,484</w:t>
            </w: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782</w:t>
            </w: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5,377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18,436</w:t>
            </w: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175,810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212,420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(175,113)</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(211,614)</w:t>
            </w: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 net of valuation allowance</w:t>
            </w:r>
          </w:p>
        </w:tc>
        <w:tc>
          <w:tcPr>
            <w:tcW w:w="2780" w:type="dxa"/>
            <w:vAlign w:val="bottom"/>
            <w:gridSpan w:val="2"/>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697</w:t>
            </w:r>
          </w:p>
        </w:tc>
        <w:tc>
          <w:tcPr>
            <w:tcW w:w="10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806</w:t>
            </w:r>
          </w:p>
        </w:tc>
      </w:tr>
      <w:tr>
        <w:trPr>
          <w:trHeight w:val="209"/>
        </w:trPr>
        <w:tc>
          <w:tcPr>
            <w:tcW w:w="444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8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4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0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-873760</wp:posOffset>
            </wp:positionV>
            <wp:extent cx="1289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-316230</wp:posOffset>
            </wp:positionV>
            <wp:extent cx="1289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1289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1289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valuation allowance on deferred tax assets due to the uncertainty regarding the ability to utilize these deferred tax assets in the future. The valuation allowance decreased by $36.5 million for the year ended December 31, 2025, primarily due to a reduction in the Company's research and development credits and federal and state net operating loss carryforwards resulting from an ownership change under Internal Revenue Code (IRC) Sections 382 and 383 (see below). The valuation allowance increased by $9.2 million for the year ended December 31, 2024, primarily due to an increase in the Company’s federal and state net operating loss carryforwards generated during the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 and tax credit carryforwards as of December 31, 2025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Years</w:t>
            </w:r>
          </w:p>
        </w:tc>
      </w:tr>
      <w:tr>
        <w:trPr>
          <w:trHeight w:val="209"/>
        </w:trPr>
        <w:tc>
          <w:tcPr>
            <w:tcW w:w="5480" w:type="dxa"/>
            <w:vAlign w:val="bottom"/>
            <w:shd w:val="clear" w:color="auto" w:fill="CDF2FF"/>
          </w:tcPr>
          <w:p>
            <w:pPr>
              <w:spacing w:after="0"/>
              <w:rPr>
                <w:sz w:val="20"/>
                <w:szCs w:val="20"/>
                <w:color w:val="auto"/>
              </w:rPr>
            </w:pPr>
            <w:r>
              <w:rPr>
                <w:rFonts w:ascii="Times New Roman" w:cs="Times New Roman" w:eastAsia="Times New Roman" w:hAnsi="Times New Roman"/>
                <w:sz w:val="18"/>
                <w:szCs w:val="18"/>
                <w:color w:val="auto"/>
              </w:rPr>
              <w:t>Net operating losses, federal (post December 31, 2017)</w:t>
            </w:r>
          </w:p>
        </w:tc>
        <w:tc>
          <w:tcPr>
            <w:tcW w:w="1860" w:type="dxa"/>
            <w:vAlign w:val="bottom"/>
            <w:shd w:val="clear" w:color="auto" w:fill="CDF2FF"/>
          </w:tcPr>
          <w:p>
            <w:pPr>
              <w:jc w:val="right"/>
              <w:ind w:right="167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DF2FF"/>
          </w:tcPr>
          <w:p>
            <w:pPr>
              <w:jc w:val="right"/>
              <w:ind w:right="280"/>
              <w:spacing w:after="0"/>
              <w:rPr>
                <w:sz w:val="20"/>
                <w:szCs w:val="20"/>
                <w:color w:val="auto"/>
              </w:rPr>
            </w:pPr>
            <w:r>
              <w:rPr>
                <w:rFonts w:ascii="Times New Roman" w:cs="Times New Roman" w:eastAsia="Times New Roman" w:hAnsi="Times New Roman"/>
                <w:sz w:val="18"/>
                <w:szCs w:val="18"/>
                <w:color w:val="auto"/>
              </w:rPr>
              <w:t>432,835</w:t>
            </w:r>
          </w:p>
        </w:tc>
        <w:tc>
          <w:tcPr>
            <w:tcW w:w="2780" w:type="dxa"/>
            <w:vAlign w:val="bottom"/>
            <w:shd w:val="clear" w:color="auto" w:fill="CDF2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federal (pre January 1, 2018)</w:t>
            </w:r>
          </w:p>
        </w:tc>
        <w:tc>
          <w:tcPr>
            <w:tcW w:w="18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67,208</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2029 - 2037</w:t>
            </w:r>
          </w:p>
        </w:tc>
      </w:tr>
      <w:tr>
        <w:trPr>
          <w:trHeight w:val="216"/>
        </w:trPr>
        <w:tc>
          <w:tcPr>
            <w:tcW w:w="5480" w:type="dxa"/>
            <w:vAlign w:val="bottom"/>
            <w:shd w:val="clear" w:color="auto" w:fill="CDF2FF"/>
          </w:tcPr>
          <w:p>
            <w:pPr>
              <w:spacing w:after="0"/>
              <w:rPr>
                <w:sz w:val="20"/>
                <w:szCs w:val="20"/>
                <w:color w:val="auto"/>
              </w:rPr>
            </w:pPr>
            <w:r>
              <w:rPr>
                <w:rFonts w:ascii="Times New Roman" w:cs="Times New Roman" w:eastAsia="Times New Roman" w:hAnsi="Times New Roman"/>
                <w:sz w:val="18"/>
                <w:szCs w:val="18"/>
                <w:color w:val="auto"/>
              </w:rPr>
              <w:t>Net operating loss, state (Indefinite)</w:t>
            </w:r>
          </w:p>
        </w:tc>
        <w:tc>
          <w:tcPr>
            <w:tcW w:w="1860" w:type="dxa"/>
            <w:vAlign w:val="bottom"/>
            <w:shd w:val="clear" w:color="auto" w:fill="CDF2FF"/>
          </w:tcPr>
          <w:p>
            <w:pPr>
              <w:spacing w:after="0"/>
              <w:rPr>
                <w:sz w:val="18"/>
                <w:szCs w:val="18"/>
                <w:color w:val="auto"/>
              </w:rPr>
            </w:pPr>
          </w:p>
        </w:tc>
        <w:tc>
          <w:tcPr>
            <w:tcW w:w="1120" w:type="dxa"/>
            <w:vAlign w:val="bottom"/>
            <w:gridSpan w:val="2"/>
            <w:shd w:val="clear" w:color="auto" w:fill="CDF2FF"/>
          </w:tcPr>
          <w:p>
            <w:pPr>
              <w:jc w:val="right"/>
              <w:ind w:right="280"/>
              <w:spacing w:after="0"/>
              <w:rPr>
                <w:sz w:val="20"/>
                <w:szCs w:val="20"/>
                <w:color w:val="auto"/>
              </w:rPr>
            </w:pPr>
            <w:r>
              <w:rPr>
                <w:rFonts w:ascii="Times New Roman" w:cs="Times New Roman" w:eastAsia="Times New Roman" w:hAnsi="Times New Roman"/>
                <w:sz w:val="18"/>
                <w:szCs w:val="18"/>
                <w:color w:val="auto"/>
              </w:rPr>
              <w:t>880</w:t>
            </w:r>
          </w:p>
        </w:tc>
        <w:tc>
          <w:tcPr>
            <w:tcW w:w="2780" w:type="dxa"/>
            <w:vAlign w:val="bottom"/>
            <w:shd w:val="clear" w:color="auto" w:fill="CDF2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state (Definite)</w:t>
            </w:r>
          </w:p>
        </w:tc>
        <w:tc>
          <w:tcPr>
            <w:tcW w:w="18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315,530</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2029 - 2054</w:t>
            </w:r>
          </w:p>
        </w:tc>
      </w:tr>
      <w:tr>
        <w:trPr>
          <w:trHeight w:val="216"/>
        </w:trPr>
        <w:tc>
          <w:tcPr>
            <w:tcW w:w="5480" w:type="dxa"/>
            <w:vAlign w:val="bottom"/>
            <w:shd w:val="clear" w:color="auto" w:fill="CDF2FF"/>
          </w:tcPr>
          <w:p>
            <w:pPr>
              <w:spacing w:after="0"/>
              <w:rPr>
                <w:sz w:val="20"/>
                <w:szCs w:val="20"/>
                <w:color w:val="auto"/>
              </w:rPr>
            </w:pPr>
            <w:r>
              <w:rPr>
                <w:rFonts w:ascii="Times New Roman" w:cs="Times New Roman" w:eastAsia="Times New Roman" w:hAnsi="Times New Roman"/>
                <w:sz w:val="18"/>
                <w:szCs w:val="18"/>
                <w:color w:val="auto"/>
              </w:rPr>
              <w:t>Research and development tax credits, federal</w:t>
            </w:r>
          </w:p>
        </w:tc>
        <w:tc>
          <w:tcPr>
            <w:tcW w:w="1860" w:type="dxa"/>
            <w:vAlign w:val="bottom"/>
            <w:shd w:val="clear" w:color="auto" w:fill="CDF2FF"/>
          </w:tcPr>
          <w:p>
            <w:pPr>
              <w:spacing w:after="0"/>
              <w:rPr>
                <w:sz w:val="18"/>
                <w:szCs w:val="18"/>
                <w:color w:val="auto"/>
              </w:rPr>
            </w:pPr>
          </w:p>
        </w:tc>
        <w:tc>
          <w:tcPr>
            <w:tcW w:w="1120" w:type="dxa"/>
            <w:vAlign w:val="bottom"/>
            <w:gridSpan w:val="2"/>
            <w:shd w:val="clear" w:color="auto" w:fill="CDF2FF"/>
          </w:tcPr>
          <w:p>
            <w:pPr>
              <w:jc w:val="right"/>
              <w:ind w:right="280"/>
              <w:spacing w:after="0"/>
              <w:rPr>
                <w:sz w:val="20"/>
                <w:szCs w:val="20"/>
                <w:color w:val="auto"/>
              </w:rPr>
            </w:pPr>
            <w:r>
              <w:rPr>
                <w:rFonts w:ascii="Times New Roman" w:cs="Times New Roman" w:eastAsia="Times New Roman" w:hAnsi="Times New Roman"/>
                <w:sz w:val="18"/>
                <w:szCs w:val="18"/>
                <w:color w:val="auto"/>
              </w:rPr>
              <w:t>793</w:t>
            </w:r>
          </w:p>
        </w:tc>
        <w:tc>
          <w:tcPr>
            <w:tcW w:w="2780" w:type="dxa"/>
            <w:vAlign w:val="bottom"/>
            <w:shd w:val="clear" w:color="auto" w:fill="CDF2FF"/>
          </w:tcPr>
          <w:p>
            <w:pPr>
              <w:jc w:val="center"/>
              <w:spacing w:after="0"/>
              <w:rPr>
                <w:sz w:val="20"/>
                <w:szCs w:val="20"/>
                <w:color w:val="auto"/>
              </w:rPr>
            </w:pPr>
            <w:r>
              <w:rPr>
                <w:rFonts w:ascii="Times New Roman" w:cs="Times New Roman" w:eastAsia="Times New Roman" w:hAnsi="Times New Roman"/>
                <w:sz w:val="18"/>
                <w:szCs w:val="18"/>
                <w:color w:val="auto"/>
                <w:w w:val="98"/>
              </w:rPr>
              <w:t>2040 - 2045</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 state</w:t>
            </w:r>
          </w:p>
        </w:tc>
        <w:tc>
          <w:tcPr>
            <w:tcW w:w="18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7,521</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bl>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IRC Sections 382 and 383, use of the Company’s U.S. federal and state net operating loss and research and development income tax credit carryforwards may be limited in the event of a cumulative change in ownership of more than 50% within a three-year period. The Company performed an ownership change study through August 2025 and determined a change in ownership, as defined by IRC Section 382, occurred in December 2010, January 2013, October 2014 and August 2025. As a result, the Company adjusted its federal and California deferred tax assets for net operating loss and research and development carryforwards to reflect attributes which will expire due to the limitation, with a corresponding change to the valuation allowance recorded against such assets. The Company has not completed a similar analysis with respect to its other remaining state net operating loss carryforwards, which totaled $224.1 million as of December 31, 2025, and accordingly, it is possible additional limitations or expirations exist that have not yet been reflected. If further ownership changes occur, additional net operating loss and tax credit carryforwards could be eliminated or restricted. If eliminated, the related deferred tax asset would be removed with a corresponding reduction in the valuation allowance.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7" w:name="page98"/>
    <w:bookmarkEnd w:id="97"/>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the Company’s gross unrecognized tax benefits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920" w:type="dxa"/>
            <w:vAlign w:val="bottom"/>
            <w:tcBorders>
              <w:bottom w:val="single" w:sz="8" w:color="auto"/>
            </w:tcBorders>
          </w:tcPr>
          <w:p>
            <w:pPr>
              <w:spacing w:after="0"/>
              <w:rPr>
                <w:sz w:val="15"/>
                <w:szCs w:val="15"/>
                <w:color w:val="auto"/>
              </w:rPr>
            </w:pPr>
          </w:p>
        </w:tc>
      </w:tr>
      <w:tr>
        <w:trPr>
          <w:trHeight w:val="196"/>
        </w:trPr>
        <w:tc>
          <w:tcPr>
            <w:tcW w:w="5620" w:type="dxa"/>
            <w:vAlign w:val="bottom"/>
          </w:tcPr>
          <w:p>
            <w:pPr>
              <w:spacing w:after="0"/>
              <w:rPr>
                <w:sz w:val="17"/>
                <w:szCs w:val="17"/>
                <w:color w:val="auto"/>
              </w:rPr>
            </w:pPr>
          </w:p>
        </w:tc>
        <w:tc>
          <w:tcPr>
            <w:tcW w:w="1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620" w:type="dxa"/>
            <w:vAlign w:val="bottom"/>
            <w:shd w:val="clear" w:color="auto" w:fill="CDF2FF"/>
          </w:tcPr>
          <w:p>
            <w:pPr>
              <w:spacing w:after="0"/>
              <w:rPr>
                <w:sz w:val="20"/>
                <w:szCs w:val="20"/>
                <w:color w:val="auto"/>
              </w:rPr>
            </w:pPr>
            <w:r>
              <w:rPr>
                <w:rFonts w:ascii="Times New Roman" w:cs="Times New Roman" w:eastAsia="Times New Roman" w:hAnsi="Times New Roman"/>
                <w:sz w:val="18"/>
                <w:szCs w:val="18"/>
                <w:color w:val="auto"/>
              </w:rPr>
              <w:t>Balances as of beginning of year</w:t>
            </w:r>
          </w:p>
        </w:tc>
        <w:tc>
          <w:tcPr>
            <w:tcW w:w="1780" w:type="dxa"/>
            <w:vAlign w:val="bottom"/>
            <w:shd w:val="clear" w:color="auto" w:fill="CDF2FF"/>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DF2FF"/>
          </w:tcPr>
          <w:p>
            <w:pPr>
              <w:jc w:val="right"/>
              <w:ind w:right="34"/>
              <w:spacing w:after="0"/>
              <w:rPr>
                <w:sz w:val="20"/>
                <w:szCs w:val="20"/>
                <w:color w:val="auto"/>
              </w:rPr>
            </w:pPr>
            <w:r>
              <w:rPr>
                <w:rFonts w:ascii="Times New Roman" w:cs="Times New Roman" w:eastAsia="Times New Roman" w:hAnsi="Times New Roman"/>
                <w:sz w:val="18"/>
                <w:szCs w:val="18"/>
                <w:color w:val="auto"/>
              </w:rPr>
              <w:t>5,175</w:t>
            </w:r>
          </w:p>
        </w:tc>
        <w:tc>
          <w:tcPr>
            <w:tcW w:w="1000" w:type="dxa"/>
            <w:vAlign w:val="bottom"/>
            <w:gridSpan w:val="2"/>
            <w:shd w:val="clear" w:color="auto" w:fill="CDF2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DF2FF"/>
          </w:tcPr>
          <w:p>
            <w:pPr>
              <w:jc w:val="right"/>
              <w:ind w:right="54"/>
              <w:spacing w:after="0"/>
              <w:rPr>
                <w:sz w:val="20"/>
                <w:szCs w:val="20"/>
                <w:color w:val="auto"/>
              </w:rPr>
            </w:pPr>
            <w:r>
              <w:rPr>
                <w:rFonts w:ascii="Times New Roman" w:cs="Times New Roman" w:eastAsia="Times New Roman" w:hAnsi="Times New Roman"/>
                <w:sz w:val="18"/>
                <w:szCs w:val="18"/>
                <w:color w:val="auto"/>
              </w:rPr>
              <w:t>4,495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17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620" w:type="dxa"/>
            <w:vAlign w:val="bottom"/>
            <w:tcBorders>
              <w:bottom w:val="single" w:sz="8" w:color="CDF2FF"/>
            </w:tcBorders>
            <w:shd w:val="clear" w:color="auto" w:fill="CDF2FF"/>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1780" w:type="dxa"/>
            <w:vAlign w:val="bottom"/>
            <w:tcBorders>
              <w:bottom w:val="single" w:sz="8" w:color="auto"/>
            </w:tcBorders>
            <w:shd w:val="clear" w:color="auto" w:fill="CDF2FF"/>
          </w:tcPr>
          <w:p>
            <w:pPr>
              <w:spacing w:after="0"/>
              <w:rPr>
                <w:sz w:val="18"/>
                <w:szCs w:val="18"/>
                <w:color w:val="auto"/>
              </w:rPr>
            </w:pPr>
          </w:p>
        </w:tc>
        <w:tc>
          <w:tcPr>
            <w:tcW w:w="920" w:type="dxa"/>
            <w:vAlign w:val="bottom"/>
            <w:tcBorders>
              <w:bottom w:val="single" w:sz="8" w:color="auto"/>
            </w:tcBorders>
            <w:shd w:val="clear" w:color="auto" w:fill="CDF2FF"/>
          </w:tcPr>
          <w:p>
            <w:pPr>
              <w:jc w:val="right"/>
              <w:ind w:right="34"/>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Borders>
              <w:bottom w:val="single" w:sz="8" w:color="CDF2FF"/>
            </w:tcBorders>
            <w:shd w:val="clear" w:color="auto" w:fill="CDF2FF"/>
          </w:tcPr>
          <w:p>
            <w:pPr>
              <w:spacing w:after="0"/>
              <w:rPr>
                <w:sz w:val="18"/>
                <w:szCs w:val="18"/>
                <w:color w:val="auto"/>
              </w:rPr>
            </w:pPr>
          </w:p>
        </w:tc>
        <w:tc>
          <w:tcPr>
            <w:tcW w:w="800" w:type="dxa"/>
            <w:vAlign w:val="bottom"/>
            <w:tcBorders>
              <w:bottom w:val="single" w:sz="8" w:color="auto"/>
            </w:tcBorders>
            <w:shd w:val="clear" w:color="auto" w:fill="CDF2FF"/>
          </w:tcPr>
          <w:p>
            <w:pPr>
              <w:spacing w:after="0"/>
              <w:rPr>
                <w:sz w:val="18"/>
                <w:szCs w:val="18"/>
                <w:color w:val="auto"/>
              </w:rPr>
            </w:pPr>
          </w:p>
        </w:tc>
        <w:tc>
          <w:tcPr>
            <w:tcW w:w="1920" w:type="dxa"/>
            <w:vAlign w:val="bottom"/>
            <w:tcBorders>
              <w:bottom w:val="single" w:sz="8" w:color="auto"/>
            </w:tcBorders>
            <w:shd w:val="clear" w:color="auto" w:fill="CDF2FF"/>
          </w:tcPr>
          <w:p>
            <w:pPr>
              <w:jc w:val="right"/>
              <w:ind w:right="54"/>
              <w:spacing w:after="0"/>
              <w:rPr>
                <w:sz w:val="20"/>
                <w:szCs w:val="20"/>
                <w:color w:val="auto"/>
              </w:rPr>
            </w:pPr>
            <w:r>
              <w:rPr>
                <w:rFonts w:ascii="Times New Roman" w:cs="Times New Roman" w:eastAsia="Times New Roman" w:hAnsi="Times New Roman"/>
                <w:sz w:val="18"/>
                <w:szCs w:val="18"/>
                <w:color w:val="auto"/>
              </w:rPr>
              <w:t>711</w:t>
            </w: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Balances as of end of year</w:t>
            </w:r>
          </w:p>
        </w:tc>
        <w:tc>
          <w:tcPr>
            <w:tcW w:w="1780" w:type="dxa"/>
            <w:vAlign w:val="bottom"/>
          </w:tcPr>
          <w:p>
            <w:pPr>
              <w:jc w:val="right"/>
              <w:ind w:right="159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1,805</w:t>
            </w:r>
          </w:p>
        </w:tc>
        <w:tc>
          <w:tcPr>
            <w:tcW w:w="10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5,175</w:t>
            </w:r>
          </w:p>
        </w:tc>
      </w:tr>
      <w:tr>
        <w:trPr>
          <w:trHeight w:val="20"/>
        </w:trPr>
        <w:tc>
          <w:tcPr>
            <w:tcW w:w="56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-170815</wp:posOffset>
            </wp:positionV>
            <wp:extent cx="1289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unrecognized tax benefits, if recognized, would not have an impact on the Company’s effective tax rate assuming the Company continues to maintain a full valuation allowance position. Based on the prior year’s operations and experience, the Company does not expect a significant change to its unrecognized tax benefits over the next twelve months. The unrecognized tax benefits may increase or change during the next year for unexpected or unusual items that arise in the ordinary course of business. In subsequent periods, any interest and penalties related to uncertain tax positions will be recognized as a component of income tax expense. Interest and penalties related to unrecognized tax benefits were not material for the years ended December 31, 2025 and 2024.</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California and other state and foreign jurisdictions and is not currently under examination by federal, state, or local taxing authorities for any open tax years. Due to net operating loss carryforwards, all years effectively remain open for income tax examination by tax authorities in the U.S. and states in which the Company files tax returns.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Operating Leases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2023, the Company entered into a sublease agreement for office and laboratory space in South San Francisco, California to serve as the Company's corporate headquarters. The sublease originally expired in October 2025, with an option to extend through September 2029. In December 2024, the Company amended the sublease to extend the term through September 2029 and modify the base rent payments beginning in January 2025, with scheduled annual rent increases over the remaining lease term. The Company dissolved its China subsidiary in 2024, allowing the lease for its registrational office in Shanghai to expire in March 2024. The Company also leased certain laboratory equipment accounted for as operating leases, the last of which expired in 2025.</w:t>
      </w:r>
    </w:p>
    <w:p>
      <w:pPr>
        <w:spacing w:after="0" w:line="14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Company had operating lease liabilities of $2.6 million and ROU assets of $2.5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quantitative information about the Company’s operating leases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00" w:type="dxa"/>
            <w:vAlign w:val="bottom"/>
            <w:tcBorders>
              <w:bottom w:val="single" w:sz="8" w:color="auto"/>
            </w:tcBorders>
          </w:tcPr>
          <w:p>
            <w:pPr>
              <w:spacing w:after="0"/>
              <w:rPr>
                <w:sz w:val="15"/>
                <w:szCs w:val="15"/>
                <w:color w:val="auto"/>
              </w:rPr>
            </w:pPr>
          </w:p>
        </w:tc>
      </w:tr>
      <w:tr>
        <w:trPr>
          <w:trHeight w:val="142"/>
        </w:trPr>
        <w:tc>
          <w:tcPr>
            <w:tcW w:w="40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9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cost</w:t>
            </w:r>
          </w:p>
        </w:tc>
        <w:tc>
          <w:tcPr>
            <w:tcW w:w="2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3780" w:type="dxa"/>
            <w:vAlign w:val="bottom"/>
            <w:gridSpan w:val="2"/>
          </w:tcPr>
          <w:p>
            <w:pPr>
              <w:jc w:val="right"/>
              <w:ind w:right="120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851</w:t>
            </w:r>
          </w:p>
        </w:tc>
        <w:tc>
          <w:tcPr>
            <w:tcW w:w="9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1,417</w:t>
            </w:r>
          </w:p>
        </w:tc>
      </w:tr>
      <w:tr>
        <w:trPr>
          <w:trHeight w:val="216"/>
        </w:trPr>
        <w:tc>
          <w:tcPr>
            <w:tcW w:w="4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2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6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2420" w:type="dxa"/>
            <w:vAlign w:val="bottom"/>
            <w:tcBorders>
              <w:bottom w:val="single" w:sz="8" w:color="CFF0FC"/>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727</w:t>
            </w:r>
          </w:p>
        </w:tc>
      </w:tr>
      <w:tr>
        <w:trPr>
          <w:trHeight w:val="250"/>
        </w:trPr>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 net</w:t>
            </w:r>
          </w:p>
        </w:tc>
        <w:tc>
          <w:tcPr>
            <w:tcW w:w="24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20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1,668</w:t>
            </w:r>
          </w:p>
        </w:tc>
        <w:tc>
          <w:tcPr>
            <w:tcW w:w="18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1200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-170815</wp:posOffset>
            </wp:positionV>
            <wp:extent cx="1200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weighted-average remaining lease term for operating leases was 3.8 years and the weighted-average discount rate for operating leases was 10.0%.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maturities of the Company’s operating lease liabilities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380" w:type="dxa"/>
            <w:vAlign w:val="bottom"/>
            <w:gridSpan w:val="2"/>
            <w:shd w:val="clear" w:color="auto" w:fill="CFF0FC"/>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834</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r>
      <w:tr>
        <w:trPr>
          <w:trHeight w:val="216"/>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2029</w:t>
            </w:r>
          </w:p>
        </w:tc>
        <w:tc>
          <w:tcPr>
            <w:tcW w:w="314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671</w:t>
            </w: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3,174</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31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380" w:type="dxa"/>
            <w:vAlign w:val="bottom"/>
            <w:gridSpan w:val="2"/>
            <w:shd w:val="clear" w:color="auto" w:fill="CFF0FC"/>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2,628</w:t>
            </w: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Employee Benefit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2018, the Company established a defined contribution 401(k) plan (the Plan) for all employees who are at least 21 years of age. Employees are eligible to participate in the Plan upon commencement of employment. Under the terms of the Plan, employees may make voluntary contributions as a percentage of compensation. The Plan also permits the Company to make discretionary matching contributions. The Company made discretionary matching contributions of $0.8 million and $0.7 million for the Plan during the years ended December 31, 2025 and 2024,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Segment Reporting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focusing on developing innovative therapeutics targeting serious viral diseases. The Company's chief operating decision maker (CODM) is its Chief Executive Officer and President, who reviews financial information presented on a consolidated basis for purposes of making operating decisions, assessing financial performance, and allocating resources.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 of segment profit or loss used by the CODM to evaluate performance and allocate resources is consolidated net loss as reported in the Company's consolidated statements of operations. This measure is used by the CODM to assess its cash runway and make strategic decisions about resource allocation. The CODM does not use asset measures to evaluate segment performance or make resource allocation decisions.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expenses include all costs necessary to operate the Company's business, primarily consisting of research and development and general and administrative expenses directly related to advancing the Company's programs. These expenses are reviewed by the CODM on a consolidated basis as part of evaluating the Company's overall financial performance. During the years ended December 31, 2025 and 2024, the Company generated all of its collaboration revenue from Gilead, who is a related party (see Notes 3 - Related Party and 8 - Collaboration Agreements). For the years ended December 31, 2025 and 2024, all of the Company's revenue and long-lived assets were in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and other segment items regularly reviewed by the Company's CODM:</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 from a related party</w:t>
            </w:r>
          </w:p>
        </w:tc>
        <w:tc>
          <w:tcPr>
            <w:tcW w:w="1000" w:type="dxa"/>
            <w:vAlign w:val="bottom"/>
            <w:tcBorders>
              <w:top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72,303</w:t>
            </w:r>
          </w:p>
        </w:tc>
        <w:tc>
          <w:tcPr>
            <w:tcW w:w="1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External program expenses:</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ABI-5366</w:t>
            </w:r>
          </w:p>
        </w:tc>
        <w:tc>
          <w:tcPr>
            <w:tcW w:w="10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9,353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ABI-1179</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8,119</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ABI-6250</w:t>
            </w:r>
          </w:p>
        </w:tc>
        <w:tc>
          <w:tcPr>
            <w:tcW w:w="10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5,780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ABI-4334</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ABI-7272 </w:t>
            </w:r>
            <w:r>
              <w:rPr>
                <w:rFonts w:ascii="Times New Roman" w:cs="Times New Roman" w:eastAsia="Times New Roman" w:hAnsi="Times New Roman"/>
                <w:sz w:val="24"/>
                <w:szCs w:val="24"/>
                <w:color w:val="auto"/>
                <w:vertAlign w:val="superscript"/>
              </w:rPr>
              <w:t>(1)</w:t>
            </w:r>
          </w:p>
        </w:tc>
        <w:tc>
          <w:tcPr>
            <w:tcW w:w="10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discovery</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8,161</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8,985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0" w:type="dxa"/>
            <w:vAlign w:val="bottom"/>
          </w:tcPr>
          <w:p>
            <w:pPr>
              <w:spacing w:after="0"/>
              <w:rPr>
                <w:sz w:val="1"/>
                <w:szCs w:val="1"/>
                <w:color w:val="auto"/>
              </w:rPr>
            </w:pPr>
          </w:p>
        </w:tc>
      </w:tr>
      <w:tr>
        <w:trPr>
          <w:trHeight w:val="216"/>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Vebicorvir</w:t>
            </w:r>
          </w:p>
        </w:tc>
        <w:tc>
          <w:tcPr>
            <w:tcW w:w="10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external program expenses</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34,603</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Employee and contractor-related expenses </w:t>
            </w:r>
            <w:r>
              <w:rPr>
                <w:rFonts w:ascii="Times New Roman" w:cs="Times New Roman" w:eastAsia="Times New Roman" w:hAnsi="Times New Roman"/>
                <w:sz w:val="24"/>
                <w:szCs w:val="24"/>
                <w:color w:val="auto"/>
                <w:vertAlign w:val="superscript"/>
              </w:rPr>
              <w:t>(3)</w:t>
            </w:r>
          </w:p>
        </w:tc>
        <w:tc>
          <w:tcPr>
            <w:tcW w:w="10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26,729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10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00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64,813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(3)</w:t>
            </w: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19,608</w:t>
            </w: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0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00" w:type="dxa"/>
            <w:vAlign w:val="bottom"/>
          </w:tcPr>
          <w:p>
            <w:pPr>
              <w:jc w:val="right"/>
              <w:ind w:right="84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(6,122)</w:t>
            </w:r>
          </w:p>
        </w:tc>
        <w:tc>
          <w:tcPr>
            <w:tcW w:w="11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(40,177)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-728345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020" w:right="400" w:hanging="499"/>
        <w:spacing w:after="0" w:line="223" w:lineRule="auto"/>
        <w:tabs>
          <w:tab w:leader="none" w:pos="102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 October 2025, the Company transitioned its discovery and development from ABI-7423 to its parent molecule, ABI-7272, which is currently in regulatory filing-enabling preclinical studies.</w:t>
      </w:r>
    </w:p>
    <w:p>
      <w:pPr>
        <w:spacing w:after="0" w:line="91" w:lineRule="exact"/>
        <w:rPr>
          <w:rFonts w:ascii="Times New Roman" w:cs="Times New Roman" w:eastAsia="Times New Roman" w:hAnsi="Times New Roman"/>
          <w:sz w:val="24"/>
          <w:szCs w:val="24"/>
          <w:color w:val="auto"/>
          <w:vertAlign w:val="superscript"/>
        </w:rPr>
      </w:pPr>
    </w:p>
    <w:p>
      <w:pPr>
        <w:ind w:left="1020" w:hanging="499"/>
        <w:spacing w:after="0" w:line="223" w:lineRule="auto"/>
        <w:tabs>
          <w:tab w:leader="none" w:pos="102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Reflects net amounts refundable to the Company after the final reconciliation of costs of the clinical trial conducted pursuant to the Arbutus Biopharma Agreement, which was terminated in February 2023.</w:t>
      </w:r>
    </w:p>
    <w:p>
      <w:pPr>
        <w:spacing w:after="0" w:line="49" w:lineRule="exact"/>
        <w:rPr>
          <w:rFonts w:ascii="Times New Roman" w:cs="Times New Roman" w:eastAsia="Times New Roman" w:hAnsi="Times New Roman"/>
          <w:sz w:val="24"/>
          <w:szCs w:val="24"/>
          <w:color w:val="auto"/>
          <w:vertAlign w:val="superscript"/>
        </w:rPr>
      </w:pPr>
    </w:p>
    <w:p>
      <w:pPr>
        <w:ind w:left="1020" w:hanging="499"/>
        <w:spacing w:after="0"/>
        <w:tabs>
          <w:tab w:leader="none" w:pos="1020" w:val="left"/>
        </w:tabs>
        <w:numPr>
          <w:ilvl w:val="0"/>
          <w:numId w:val="3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stock-based compensation expense, see Note 7 - Stock-Based Compensation for further details.</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2" w:lineRule="exact"/>
        <w:rPr>
          <w:sz w:val="20"/>
          <w:szCs w:val="20"/>
          <w:color w:val="auto"/>
        </w:rPr>
      </w:pPr>
    </w:p>
    <w:p>
      <w:pPr>
        <w:ind w:left="1420" w:hanging="663"/>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333-270760) of Assembly Biosciences, Inc.,</w:t>
      </w:r>
    </w:p>
    <w:p>
      <w:pPr>
        <w:spacing w:after="0" w:line="211"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333-285970) of Assembly Biosciences, Inc.,</w:t>
      </w:r>
    </w:p>
    <w:p>
      <w:pPr>
        <w:spacing w:after="0" w:line="198"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S-3MEF No. 333-289395) of Assembly Biosciences, Inc.,</w:t>
      </w:r>
    </w:p>
    <w:p>
      <w:pPr>
        <w:spacing w:after="0" w:line="211"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333-290866) of Assembly Biosciences, Inc.,</w:t>
      </w:r>
    </w:p>
    <w:p>
      <w:pPr>
        <w:spacing w:after="0" w:line="211" w:lineRule="exact"/>
        <w:rPr>
          <w:rFonts w:ascii="Times New Roman" w:cs="Times New Roman" w:eastAsia="Times New Roman" w:hAnsi="Times New Roman"/>
          <w:sz w:val="18"/>
          <w:szCs w:val="18"/>
          <w:color w:val="auto"/>
        </w:rPr>
      </w:pPr>
    </w:p>
    <w:p>
      <w:pPr>
        <w:ind w:left="1420" w:hanging="663"/>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333-173613) pertaining to the Ventrus Biosciences, Inc. 2007 Stock Incentive Plan and the Ventrus Biosciences, Inc. 2010 Equity Incentive Plan,</w:t>
      </w:r>
    </w:p>
    <w:p>
      <w:pPr>
        <w:spacing w:after="0" w:line="134"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333-182167) pertaining to the Ventrus Biosciences, Inc. 2010 Equity Incentive Plan,</w:t>
      </w:r>
    </w:p>
    <w:p>
      <w:pPr>
        <w:spacing w:after="0" w:line="211"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333-198803) pertaining to the Assembly Biosciences, Inc. 2014 Stock Incentive Plan,</w:t>
      </w:r>
    </w:p>
    <w:p>
      <w:pPr>
        <w:spacing w:after="0" w:line="211" w:lineRule="exact"/>
        <w:rPr>
          <w:rFonts w:ascii="Times New Roman" w:cs="Times New Roman" w:eastAsia="Times New Roman" w:hAnsi="Times New Roman"/>
          <w:sz w:val="18"/>
          <w:szCs w:val="18"/>
          <w:color w:val="auto"/>
        </w:rPr>
      </w:pPr>
    </w:p>
    <w:p>
      <w:pPr>
        <w:ind w:left="1420" w:hanging="663"/>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333-213019) pertaining to the Assembly Biosciences, Inc. Amended and Restated 2014 Stock Incentive Plan,</w:t>
      </w:r>
    </w:p>
    <w:p>
      <w:pPr>
        <w:spacing w:after="0" w:line="134"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333-216902) pertaining to certain Non-Qualified Stock Option Agreements dated May 16, 2014,</w:t>
      </w:r>
    </w:p>
    <w:p>
      <w:pPr>
        <w:spacing w:after="0" w:line="211"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333-219919) pertaining to the Assembly Biosciences, Inc. 2017 Inducement Award Plan,</w:t>
      </w:r>
    </w:p>
    <w:p>
      <w:pPr>
        <w:spacing w:after="0" w:line="211" w:lineRule="exact"/>
        <w:rPr>
          <w:rFonts w:ascii="Times New Roman" w:cs="Times New Roman" w:eastAsia="Times New Roman" w:hAnsi="Times New Roman"/>
          <w:sz w:val="18"/>
          <w:szCs w:val="18"/>
          <w:color w:val="auto"/>
        </w:rPr>
      </w:pPr>
    </w:p>
    <w:p>
      <w:pPr>
        <w:ind w:left="1420" w:hanging="663"/>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333-226703) pertaining to the Assembly Biosciences, Inc. 2018 Stock Incentive Plan and the Assembly Biosciences, Inc. 2018 Employee Stock Purchase Plan,</w:t>
      </w:r>
    </w:p>
    <w:p>
      <w:pPr>
        <w:spacing w:after="0" w:line="134"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333-233030) pertaining to the Assembly Biosciences, Inc. 2018 Stock Incentive Plan,</w:t>
      </w:r>
    </w:p>
    <w:p>
      <w:pPr>
        <w:spacing w:after="0" w:line="211" w:lineRule="exact"/>
        <w:rPr>
          <w:rFonts w:ascii="Times New Roman" w:cs="Times New Roman" w:eastAsia="Times New Roman" w:hAnsi="Times New Roman"/>
          <w:sz w:val="18"/>
          <w:szCs w:val="18"/>
          <w:color w:val="auto"/>
        </w:rPr>
      </w:pPr>
    </w:p>
    <w:p>
      <w:pPr>
        <w:ind w:left="1420" w:right="20" w:hanging="663"/>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333-234580) pertaining to the Assembly Biosciences, Inc. 2019 Inducement Award Plan and the Assembly Biosciences, Inc. Amended and Restated 2014 Stock Incentive Plan,</w:t>
      </w:r>
    </w:p>
    <w:p>
      <w:pPr>
        <w:spacing w:after="0" w:line="148" w:lineRule="exact"/>
        <w:rPr>
          <w:rFonts w:ascii="Times New Roman" w:cs="Times New Roman" w:eastAsia="Times New Roman" w:hAnsi="Times New Roman"/>
          <w:sz w:val="18"/>
          <w:szCs w:val="18"/>
          <w:color w:val="auto"/>
        </w:rPr>
      </w:pPr>
    </w:p>
    <w:p>
      <w:pPr>
        <w:ind w:left="1420" w:hanging="663"/>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333-248476) pertaining to the Assembly Biosciences, Inc. 2018 Stock Incentive Plan and the Assembly Biosciences, Inc. 2020 Inducement Award Plan,</w:t>
      </w:r>
    </w:p>
    <w:p>
      <w:pPr>
        <w:spacing w:after="0" w:line="134" w:lineRule="exact"/>
        <w:rPr>
          <w:rFonts w:ascii="Times New Roman" w:cs="Times New Roman" w:eastAsia="Times New Roman" w:hAnsi="Times New Roman"/>
          <w:sz w:val="18"/>
          <w:szCs w:val="18"/>
          <w:color w:val="auto"/>
        </w:rPr>
      </w:pPr>
    </w:p>
    <w:p>
      <w:pPr>
        <w:ind w:left="1420" w:hanging="663"/>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333-258516) pertaining to the Assembly Biosciences, Inc. 2018 Stock Incentive Plan and the Assembly Biosciences, Inc. Amended and Restated 2018 Employee Stock Purchase Plan,</w:t>
      </w:r>
    </w:p>
    <w:p>
      <w:pPr>
        <w:spacing w:after="0" w:line="148" w:lineRule="exact"/>
        <w:rPr>
          <w:rFonts w:ascii="Times New Roman" w:cs="Times New Roman" w:eastAsia="Times New Roman" w:hAnsi="Times New Roman"/>
          <w:sz w:val="18"/>
          <w:szCs w:val="18"/>
          <w:color w:val="auto"/>
        </w:rPr>
      </w:pPr>
    </w:p>
    <w:p>
      <w:pPr>
        <w:ind w:left="1420" w:hanging="663"/>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333-266711) pertaining to the Assembly Biosciences, Inc. 2018 Stock Incentive Plan,</w:t>
      </w:r>
    </w:p>
    <w:p>
      <w:pPr>
        <w:spacing w:after="0" w:line="198" w:lineRule="exact"/>
        <w:rPr>
          <w:rFonts w:ascii="Times New Roman" w:cs="Times New Roman" w:eastAsia="Times New Roman" w:hAnsi="Times New Roman"/>
          <w:sz w:val="18"/>
          <w:szCs w:val="18"/>
          <w:color w:val="auto"/>
        </w:rPr>
      </w:pPr>
    </w:p>
    <w:p>
      <w:pPr>
        <w:ind w:left="1420" w:right="340" w:hanging="663"/>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333-273836) pertaining to the Assembly Biosciences, Inc. 2018 Stock Incentive Plan and the Assembly Biosciences, Inc. Amended and Restated 2014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1" w:name="page102"/>
    <w:bookmarkEnd w:id="101"/>
    <w:p>
      <w:pPr>
        <w:spacing w:after="0" w:line="180" w:lineRule="exact"/>
        <w:rPr>
          <w:sz w:val="20"/>
          <w:szCs w:val="20"/>
          <w:color w:val="auto"/>
        </w:rPr>
      </w:pPr>
    </w:p>
    <w:p>
      <w:pPr>
        <w:ind w:left="1420" w:right="280" w:hanging="663"/>
        <w:spacing w:after="0" w:line="282"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333-281388) pertaining to the Assembly Biosciences, Inc. Amended and Restated 2018 Stock Incentive Plan and the Assembly Biosciences, Inc. Second Amended and Restated 2018 Employee Stock Purchase Plan, and</w:t>
      </w:r>
    </w:p>
    <w:p>
      <w:pPr>
        <w:spacing w:after="0" w:line="134" w:lineRule="exact"/>
        <w:rPr>
          <w:rFonts w:ascii="Times New Roman" w:cs="Times New Roman" w:eastAsia="Times New Roman" w:hAnsi="Times New Roman"/>
          <w:sz w:val="18"/>
          <w:szCs w:val="18"/>
          <w:color w:val="auto"/>
        </w:rPr>
      </w:pPr>
    </w:p>
    <w:p>
      <w:pPr>
        <w:ind w:left="1420" w:right="280" w:hanging="663"/>
        <w:spacing w:after="0" w:line="282"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333-289300) pertaining to the Assembly Biosciences, Inc. Amended and Restated 2018 Stock Incentive Plan and the Assembly Biosciences, Inc. Second Amended and Restated 2018 Employee Stock Purchase Plan:</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our report dated March 19, 2026, with respect to the consolidated financial statements of Assembly Biosciences, Inc. included in this Annual Report (Form 10-K) of Assembly Biosciences, Inc. for the year ended December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A. Okazaki, certify that:</w:t>
      </w:r>
    </w:p>
    <w:p>
      <w:pPr>
        <w:spacing w:after="0" w:line="185" w:lineRule="exact"/>
        <w:rPr>
          <w:sz w:val="20"/>
          <w:szCs w:val="20"/>
          <w:color w:val="auto"/>
        </w:rPr>
      </w:pPr>
    </w:p>
    <w:p>
      <w:pPr>
        <w:ind w:left="500" w:hanging="37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Assembly Biosciences, Inc.;</w:t>
      </w:r>
    </w:p>
    <w:p>
      <w:pPr>
        <w:spacing w:after="0" w:line="184" w:lineRule="exact"/>
        <w:rPr>
          <w:rFonts w:ascii="Times New Roman" w:cs="Times New Roman" w:eastAsia="Times New Roman" w:hAnsi="Times New Roman"/>
          <w:sz w:val="18"/>
          <w:szCs w:val="18"/>
          <w:color w:val="auto"/>
        </w:rPr>
      </w:pPr>
    </w:p>
    <w:p>
      <w:pPr>
        <w:jc w:val="both"/>
        <w:ind w:left="500" w:right="280" w:hanging="372"/>
        <w:spacing w:after="0" w:line="266"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right="200" w:hanging="372"/>
        <w:spacing w:after="0" w:line="282"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right="260" w:hanging="372"/>
        <w:spacing w:after="0" w:line="266" w:lineRule="auto"/>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sz w:val="20"/>
          <w:szCs w:val="20"/>
          <w:color w:val="auto"/>
        </w:rPr>
      </w:pPr>
    </w:p>
    <w:p>
      <w:pPr>
        <w:ind w:left="500" w:right="20" w:hanging="372"/>
        <w:spacing w:after="0" w:line="26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500" w:hanging="372"/>
        <w:spacing w:after="0" w:line="26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500" w:right="40" w:hanging="372"/>
        <w:spacing w:after="0" w:line="282"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500" w:right="80" w:hanging="372"/>
        <w:spacing w:after="0" w:line="266" w:lineRule="auto"/>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left="500" w:right="220" w:hanging="372"/>
        <w:spacing w:after="0" w:line="282" w:lineRule="auto"/>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00" w:right="440" w:hanging="372"/>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500" w:right="20" w:hanging="372"/>
        <w:spacing w:after="0" w:line="282" w:lineRule="auto"/>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A. Okazaki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Jeanette M. Bjorkquist, certify that:</w:t>
      </w:r>
    </w:p>
    <w:p>
      <w:pPr>
        <w:spacing w:after="0" w:line="185" w:lineRule="exact"/>
        <w:rPr>
          <w:sz w:val="20"/>
          <w:szCs w:val="20"/>
          <w:color w:val="auto"/>
        </w:rPr>
      </w:pPr>
    </w:p>
    <w:p>
      <w:pPr>
        <w:ind w:left="500" w:hanging="372"/>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Assembly Biosciences, Inc.;</w:t>
      </w:r>
    </w:p>
    <w:p>
      <w:pPr>
        <w:spacing w:after="0" w:line="184" w:lineRule="exact"/>
        <w:rPr>
          <w:rFonts w:ascii="Times New Roman" w:cs="Times New Roman" w:eastAsia="Times New Roman" w:hAnsi="Times New Roman"/>
          <w:sz w:val="18"/>
          <w:szCs w:val="18"/>
          <w:color w:val="auto"/>
        </w:rPr>
      </w:pPr>
    </w:p>
    <w:p>
      <w:pPr>
        <w:jc w:val="both"/>
        <w:ind w:left="500" w:right="280" w:hanging="37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right="200" w:hanging="37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right="260" w:hanging="37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sz w:val="20"/>
          <w:szCs w:val="20"/>
          <w:color w:val="auto"/>
        </w:rPr>
      </w:pPr>
    </w:p>
    <w:p>
      <w:pPr>
        <w:ind w:left="500" w:right="20" w:hanging="37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500" w:hanging="37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500" w:right="40" w:hanging="37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500" w:right="80" w:hanging="37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9" w:lineRule="exact"/>
        <w:rPr>
          <w:sz w:val="20"/>
          <w:szCs w:val="20"/>
          <w:color w:val="auto"/>
        </w:rPr>
      </w:pPr>
    </w:p>
    <w:p>
      <w:pPr>
        <w:ind w:left="500" w:right="220" w:hanging="372"/>
        <w:spacing w:after="0" w:line="282"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sz w:val="20"/>
          <w:szCs w:val="20"/>
          <w:color w:val="auto"/>
        </w:rPr>
      </w:pPr>
    </w:p>
    <w:p>
      <w:pPr>
        <w:ind w:left="500" w:right="440" w:hanging="372"/>
        <w:spacing w:after="0" w:line="282"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500" w:right="20" w:hanging="372"/>
        <w:spacing w:after="0" w:line="282" w:lineRule="auto"/>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Jeanette M. Bjorkquist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Jeanette M. Bjorkquist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Assembly Biosciences, Inc. (the Company) for the fiscal year ended December 31, 2025, as filed with the Securities and Exchange Commission on the date hereof (the Report), I, Jason A. Okazaki, Chief Executive Officer and President (Principal Executive Officer) of the Company, certify, pursuant to 18 U.S.C. Section 1350, as adopted pursuant to Section 906 of the Sarbanes-Oxley Act of 2002, that, to my knowledge:</w:t>
      </w:r>
    </w:p>
    <w:p>
      <w:pPr>
        <w:spacing w:after="0" w:line="139" w:lineRule="exact"/>
        <w:rPr>
          <w:sz w:val="20"/>
          <w:szCs w:val="20"/>
          <w:color w:val="auto"/>
        </w:rPr>
      </w:pPr>
    </w:p>
    <w:p>
      <w:pPr>
        <w:ind w:left="500" w:hanging="372"/>
        <w:spacing w:after="0"/>
        <w:tabs>
          <w:tab w:leader="none" w:pos="5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right="280" w:firstLine="128"/>
        <w:spacing w:after="0" w:line="485" w:lineRule="auto"/>
        <w:tabs>
          <w:tab w:leader="none" w:pos="49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March 19, 2026</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862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A. Okazaki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Assembly Biosciences, Inc. (the Company) for the fiscal year ended December 31, 2025, as filed with the Securities and Exchange Commission on the date hereof (the Report), I, Jeanette M. Bjorkquist (Principal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500" w:hanging="372"/>
        <w:spacing w:after="0"/>
        <w:tabs>
          <w:tab w:leader="none" w:pos="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right="280" w:firstLine="128"/>
        <w:spacing w:after="0" w:line="485" w:lineRule="auto"/>
        <w:tabs>
          <w:tab w:leader="none" w:pos="49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March 19, 2026</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Jeanette M. Bjorkquist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862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Jeanette M. Bjorkquist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2"/>
    </w:lvl>
  </w:abstractNum>
  <w:abstractNum w:abstractNumId="33">
    <w:nsid w:val="70A64E2A"/>
    <w:multiLevelType w:val="hybridMultilevel"/>
    <w:lvl w:ilvl="0">
      <w:lvlJc w:val="left"/>
      <w:lvlText w:val="%1"/>
      <w:numFmt w:val="decimal"/>
      <w:start w:val="104"/>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decimal"/>
      <w:start w:val="18"/>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103" Type="http://schemas.openxmlformats.org/officeDocument/2006/relationships/image" Target="media/image73.png"/><Relationship Id="rId127" Type="http://schemas.openxmlformats.org/officeDocument/2006/relationships/image" Target="media/image74.png"/><Relationship Id="rId128" Type="http://schemas.openxmlformats.org/officeDocument/2006/relationships/image" Target="media/image75.png"/><Relationship Id="rId136" Type="http://schemas.openxmlformats.org/officeDocument/2006/relationships/image" Target="media/image76.png"/><Relationship Id="rId137" Type="http://schemas.openxmlformats.org/officeDocument/2006/relationships/image" Target="media/image77.png"/><Relationship Id="rId138" Type="http://schemas.openxmlformats.org/officeDocument/2006/relationships/image" Target="media/image78.png"/><Relationship Id="rId139" Type="http://schemas.openxmlformats.org/officeDocument/2006/relationships/image" Target="media/image79.png"/><Relationship Id="rId140" Type="http://schemas.openxmlformats.org/officeDocument/2006/relationships/image" Target="media/image80.png"/><Relationship Id="rId141" Type="http://schemas.openxmlformats.org/officeDocument/2006/relationships/image" Target="media/image81.png"/><Relationship Id="rId142" Type="http://schemas.openxmlformats.org/officeDocument/2006/relationships/image" Target="media/image82.png"/><Relationship Id="rId143" Type="http://schemas.openxmlformats.org/officeDocument/2006/relationships/image" Target="media/image83.png"/><Relationship Id="rId144" Type="http://schemas.openxmlformats.org/officeDocument/2006/relationships/image" Target="media/image84.png"/><Relationship Id="rId145" Type="http://schemas.openxmlformats.org/officeDocument/2006/relationships/image" Target="media/image85.png"/><Relationship Id="rId146" Type="http://schemas.openxmlformats.org/officeDocument/2006/relationships/image" Target="media/image86.png"/><Relationship Id="rId147" Type="http://schemas.openxmlformats.org/officeDocument/2006/relationships/image" Target="media/image87.png"/><Relationship Id="rId148" Type="http://schemas.openxmlformats.org/officeDocument/2006/relationships/image" Target="media/image88.png"/><Relationship Id="rId149" Type="http://schemas.openxmlformats.org/officeDocument/2006/relationships/image" Target="media/image89.png"/><Relationship Id="rId150" Type="http://schemas.openxmlformats.org/officeDocument/2006/relationships/image" Target="media/image90.png"/><Relationship Id="rId151" Type="http://schemas.openxmlformats.org/officeDocument/2006/relationships/image" Target="media/image91.png"/><Relationship Id="rId152" Type="http://schemas.openxmlformats.org/officeDocument/2006/relationships/image" Target="media/image92.png"/><Relationship Id="rId153" Type="http://schemas.openxmlformats.org/officeDocument/2006/relationships/image" Target="media/image93.png"/><Relationship Id="rId154" Type="http://schemas.openxmlformats.org/officeDocument/2006/relationships/image" Target="media/image94.png"/><Relationship Id="rId155" Type="http://schemas.openxmlformats.org/officeDocument/2006/relationships/image" Target="media/image95.png"/><Relationship Id="rId156" Type="http://schemas.openxmlformats.org/officeDocument/2006/relationships/image" Target="media/image96.png"/><Relationship Id="rId157" Type="http://schemas.openxmlformats.org/officeDocument/2006/relationships/image" Target="media/image97.png"/><Relationship Id="rId158" Type="http://schemas.openxmlformats.org/officeDocument/2006/relationships/image" Target="media/image98.png"/><Relationship Id="rId159" Type="http://schemas.openxmlformats.org/officeDocument/2006/relationships/image" Target="media/image99.png"/><Relationship Id="rId160" Type="http://schemas.openxmlformats.org/officeDocument/2006/relationships/image" Target="media/image100.png"/><Relationship Id="rId161" Type="http://schemas.openxmlformats.org/officeDocument/2006/relationships/image" Target="media/image101.png"/><Relationship Id="rId162" Type="http://schemas.openxmlformats.org/officeDocument/2006/relationships/image" Target="media/image102.png"/><Relationship Id="rId163" Type="http://schemas.openxmlformats.org/officeDocument/2006/relationships/image" Target="media/image103.png"/><Relationship Id="rId164" Type="http://schemas.openxmlformats.org/officeDocument/2006/relationships/image" Target="media/image104.png"/><Relationship Id="rId165" Type="http://schemas.openxmlformats.org/officeDocument/2006/relationships/image" Target="media/image105.png"/><Relationship Id="rId166" Type="http://schemas.openxmlformats.org/officeDocument/2006/relationships/image" Target="media/image106.png"/><Relationship Id="rId167" Type="http://schemas.openxmlformats.org/officeDocument/2006/relationships/image" Target="media/image107.png"/><Relationship Id="rId168" Type="http://schemas.openxmlformats.org/officeDocument/2006/relationships/image" Target="media/image108.png"/><Relationship Id="rId169" Type="http://schemas.openxmlformats.org/officeDocument/2006/relationships/image" Target="media/image109.png"/><Relationship Id="rId170" Type="http://schemas.openxmlformats.org/officeDocument/2006/relationships/image" Target="media/image110.png"/><Relationship Id="rId171" Type="http://schemas.openxmlformats.org/officeDocument/2006/relationships/image" Target="media/image111.png"/><Relationship Id="rId172" Type="http://schemas.openxmlformats.org/officeDocument/2006/relationships/image" Target="media/image112.png"/><Relationship Id="rId173" Type="http://schemas.openxmlformats.org/officeDocument/2006/relationships/image" Target="media/image113.png"/><Relationship Id="rId174" Type="http://schemas.openxmlformats.org/officeDocument/2006/relationships/image" Target="media/image114.png"/><Relationship Id="rId175" Type="http://schemas.openxmlformats.org/officeDocument/2006/relationships/image" Target="media/image115.png"/><Relationship Id="rId176" Type="http://schemas.openxmlformats.org/officeDocument/2006/relationships/image" Target="media/image116.png"/><Relationship Id="rId177"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255" Type="http://schemas.openxmlformats.org/officeDocument/2006/relationships/image" Target="media/image195.png"/><Relationship Id="rId256" Type="http://schemas.openxmlformats.org/officeDocument/2006/relationships/image" Target="media/image196.png"/><Relationship Id="rId257" Type="http://schemas.openxmlformats.org/officeDocument/2006/relationships/image" Target="media/image197.png"/><Relationship Id="rId258"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66" Type="http://schemas.openxmlformats.org/officeDocument/2006/relationships/image" Target="media/image206.png"/><Relationship Id="rId267" Type="http://schemas.openxmlformats.org/officeDocument/2006/relationships/image" Target="media/image207.png"/><Relationship Id="rId268" Type="http://schemas.openxmlformats.org/officeDocument/2006/relationships/image" Target="media/image208.png"/><Relationship Id="rId269" Type="http://schemas.openxmlformats.org/officeDocument/2006/relationships/image" Target="media/image209.png"/><Relationship Id="rId270" Type="http://schemas.openxmlformats.org/officeDocument/2006/relationships/image" Target="media/image210.png"/><Relationship Id="rId271" Type="http://schemas.openxmlformats.org/officeDocument/2006/relationships/image" Target="media/image211.png"/><Relationship Id="rId272" Type="http://schemas.openxmlformats.org/officeDocument/2006/relationships/image" Target="media/image212.png"/><Relationship Id="rId273" Type="http://schemas.openxmlformats.org/officeDocument/2006/relationships/image" Target="media/image213.png"/><Relationship Id="rId274" Type="http://schemas.openxmlformats.org/officeDocument/2006/relationships/image" Target="media/image214.png"/><Relationship Id="rId275" Type="http://schemas.openxmlformats.org/officeDocument/2006/relationships/image" Target="media/image215.png"/><Relationship Id="rId276" Type="http://schemas.openxmlformats.org/officeDocument/2006/relationships/image" Target="media/image216.png"/><Relationship Id="rId277" Type="http://schemas.openxmlformats.org/officeDocument/2006/relationships/image" Target="media/image217.png"/><Relationship Id="rId278" Type="http://schemas.openxmlformats.org/officeDocument/2006/relationships/image" Target="media/image218.png"/><Relationship Id="rId279" Type="http://schemas.openxmlformats.org/officeDocument/2006/relationships/image" Target="media/image219.png"/><Relationship Id="rId280" Type="http://schemas.openxmlformats.org/officeDocument/2006/relationships/image" Target="media/image220.png"/><Relationship Id="rId80" Type="http://schemas.openxmlformats.org/officeDocument/2006/relationships/hyperlink" Target="https://www.sec.gov/Archives/edgar/data/1426800/000095017024038057/asmb-ex3_1.htm" TargetMode="External"/><Relationship Id="rId81" Type="http://schemas.openxmlformats.org/officeDocument/2006/relationships/hyperlink" Target="https://www.sec.gov/Archives/edgar/data/1426800/000095017024014534/asmb-ex3_1.htm" TargetMode="External"/><Relationship Id="rId82" Type="http://schemas.openxmlformats.org/officeDocument/2006/relationships/hyperlink" Target="https://www.sec.gov/Archives/edgar/data/1426800/000095017024136183/asmb-ex3_1.htm" TargetMode="External"/><Relationship Id="rId83" Type="http://schemas.openxmlformats.org/officeDocument/2006/relationships/hyperlink" Target="https://www.sec.gov/Archives/edgar/data/1426800/000095017025042673/asmb-ex4_1.htm" TargetMode="External"/><Relationship Id="rId84" Type="http://schemas.openxmlformats.org/officeDocument/2006/relationships/hyperlink" Target="https://www.sec.gov/Archives/edgar/data/1426800/000095017024038057/asmb-ex4_2.htm" TargetMode="External"/><Relationship Id="rId85" Type="http://schemas.openxmlformats.org/officeDocument/2006/relationships/hyperlink" Target="https://www.sec.gov/Archives/edgar/data/1426800/000119312524163398/d852840dex41.htm" TargetMode="External"/><Relationship Id="rId86" Type="http://schemas.openxmlformats.org/officeDocument/2006/relationships/hyperlink" Target="https://www.sec.gov/Archives/edgar/data/1426800/000119312524163398/d852840dex42.htm" TargetMode="External"/><Relationship Id="rId87" Type="http://schemas.openxmlformats.org/officeDocument/2006/relationships/hyperlink" Target="https://www.sec.gov/Archives/edgar/data/1426800/000119312525274277/asmb-ex4_1.htm" TargetMode="External"/><Relationship Id="rId88" Type="http://schemas.openxmlformats.org/officeDocument/2006/relationships/hyperlink" Target="https://www.sec.gov/Archives/edgar/data/1426800/000119312525274277/asmb-ex4_2.htm" TargetMode="External"/><Relationship Id="rId89" Type="http://schemas.openxmlformats.org/officeDocument/2006/relationships/hyperlink" Target="https://www.sec.gov/Archives/edgar/data/1426800/000119312525274277/asmb-ex4_3.htm" TargetMode="External"/><Relationship Id="rId90" Type="http://schemas.openxmlformats.org/officeDocument/2006/relationships/hyperlink" Target="https://www.sec.gov/Archives/edgar/data/1426800/000119312525274277/asmb-ex4_4.htm" TargetMode="External"/><Relationship Id="rId91" Type="http://schemas.openxmlformats.org/officeDocument/2006/relationships/hyperlink" Target="https://www.sec.gov/Archives/edgar/data/1426800/000119312525274277/asmb-ex4_5.htm" TargetMode="External"/><Relationship Id="rId92" Type="http://schemas.openxmlformats.org/officeDocument/2006/relationships/hyperlink" Target="https://www.sec.gov/Archives/edgar/data/1426800/000095017023061134/asmb-ex10_1.htm" TargetMode="External"/><Relationship Id="rId93" Type="http://schemas.openxmlformats.org/officeDocument/2006/relationships/hyperlink" Target="https://www.sec.gov/Archives/edgar/data/1426800/000095017025001141/asmb-ex10_1.htm" TargetMode="External"/><Relationship Id="rId94" Type="http://schemas.openxmlformats.org/officeDocument/2006/relationships/hyperlink" Target="https://www.sec.gov/Archives/edgar/data/1426800/000119312523257271/d518980dex101.htm" TargetMode="External"/><Relationship Id="rId95" Type="http://schemas.openxmlformats.org/officeDocument/2006/relationships/hyperlink" Target="https://www.sec.gov/Archives/edgar/data/1426800/000095017024138242/asmb-ex10_1.htm" TargetMode="External"/><Relationship Id="rId96" Type="http://schemas.openxmlformats.org/officeDocument/2006/relationships/hyperlink" Target="https://www.sec.gov/Archives/edgar/data/1426800/000119312523257271/d518980dex102.htm" TargetMode="External"/><Relationship Id="rId97" Type="http://schemas.openxmlformats.org/officeDocument/2006/relationships/hyperlink" Target="https://www.sec.gov/Archives/edgar/data/1426800/000119312524163398/d852840dex103.htm" TargetMode="External"/><Relationship Id="rId98" Type="http://schemas.openxmlformats.org/officeDocument/2006/relationships/hyperlink" Target="https://www.sec.gov/Archives/edgar/data/1426800/000119312523257271/d518980dex103.htm" TargetMode="External"/><Relationship Id="rId99" Type="http://schemas.openxmlformats.org/officeDocument/2006/relationships/hyperlink" Target="https://www.sec.gov/Archives/edgar/data/1426800/000119312524163398/d852840dex104.htm" TargetMode="External"/><Relationship Id="rId100" Type="http://schemas.openxmlformats.org/officeDocument/2006/relationships/hyperlink" Target="https://www.sec.gov/Archives/edgar/data/1426800/000095017023009184/asmb-ex10_7.htm" TargetMode="External"/><Relationship Id="rId101" Type="http://schemas.openxmlformats.org/officeDocument/2006/relationships/hyperlink" Target="https://www.sec.gov/Archives/edgar/data/1426800/000156459021008878/asmb-ex1012_16.htm" TargetMode="External"/><Relationship Id="rId102" Type="http://schemas.openxmlformats.org/officeDocument/2006/relationships/hyperlink" Target="https://www.sec.gov/Archives/edgar/data/1426800/000095017024038057/asmb-ex10_11.htm" TargetMode="External"/><Relationship Id="rId104" Type="http://schemas.openxmlformats.org/officeDocument/2006/relationships/hyperlink" Target="https://www.sec.gov/Archives/edgar/data/1426800/000095017024038057/asmb-ex10_12.htm" TargetMode="External"/><Relationship Id="rId105" Type="http://schemas.openxmlformats.org/officeDocument/2006/relationships/hyperlink" Target="https://www.sec.gov/Archives/edgar/data/1426800/000114420410052266/v196825_ex10-14.htm" TargetMode="External"/><Relationship Id="rId106" Type="http://schemas.openxmlformats.org/officeDocument/2006/relationships/hyperlink" Target="https://www.sec.gov/Archives/edgar/data/1426800/000114420416107050/v441808_ex10-1.htm" TargetMode="External"/><Relationship Id="rId107" Type="http://schemas.openxmlformats.org/officeDocument/2006/relationships/hyperlink" Target="https://www.sec.gov/Archives/edgar/data/1426800/000156459020023566/asmb-ex102_85.htm" TargetMode="External"/><Relationship Id="rId108" Type="http://schemas.openxmlformats.org/officeDocument/2006/relationships/hyperlink" Target="https://www.sec.gov/Archives/edgar/data/1426800/000095017023009184/asmb-ex10_12.htm" TargetMode="External"/><Relationship Id="rId109" Type="http://schemas.openxmlformats.org/officeDocument/2006/relationships/hyperlink" Target="https://www.sec.gov/Archives/edgar/data/1426800/000114420417055501/tv477592_ex10-1.htm" TargetMode="External"/><Relationship Id="rId110" Type="http://schemas.openxmlformats.org/officeDocument/2006/relationships/hyperlink" Target="https://www.sec.gov/Archives/edgar/data/1426800/000114420417041660/v472206_ex10-1.htm" TargetMode="External"/><Relationship Id="rId111" Type="http://schemas.openxmlformats.org/officeDocument/2006/relationships/hyperlink" Target="https://www.sec.gov/Archives/edgar/data/1426800/000114420417041660/v472206_ex10-2.htm" TargetMode="External"/><Relationship Id="rId112" Type="http://schemas.openxmlformats.org/officeDocument/2006/relationships/hyperlink" Target="https://www.sec.gov/Archives/edgar/data/1426800/000114420417041660/v472206_ex10-3.htm" TargetMode="External"/><Relationship Id="rId113" Type="http://schemas.openxmlformats.org/officeDocument/2006/relationships/hyperlink" Target="https://www.sec.gov/Archives/edgar/data/1426800/000095017024067951/asmb-ex10_1.htm" TargetMode="External"/><Relationship Id="rId114" Type="http://schemas.openxmlformats.org/officeDocument/2006/relationships/hyperlink" Target="https://www.sec.gov/Archives/edgar/data/1426800/000095017025083830/asmb-ex10_1.htm" TargetMode="External"/><Relationship Id="rId115" Type="http://schemas.openxmlformats.org/officeDocument/2006/relationships/hyperlink" Target="https://www.sec.gov/Archives/edgar/data/1426800/000095017025083830/asmb-ex10_2.htm" TargetMode="External"/><Relationship Id="rId116" Type="http://schemas.openxmlformats.org/officeDocument/2006/relationships/hyperlink" Target="https://www.sec.gov/Archives/edgar/data/1426800/000095017023009184/asmb-ex10_22.htm" TargetMode="External"/><Relationship Id="rId117" Type="http://schemas.openxmlformats.org/officeDocument/2006/relationships/hyperlink" Target="https://www.sec.gov/Archives/edgar/data/1426800/000114420418032371/tv495357_ex10-3.htm" TargetMode="External"/><Relationship Id="rId118" Type="http://schemas.openxmlformats.org/officeDocument/2006/relationships/hyperlink" Target="https://www.sec.gov/Archives/edgar/data/1426800/000114420418053659/tv504698_ex10-4.htm" TargetMode="External"/><Relationship Id="rId119" Type="http://schemas.openxmlformats.org/officeDocument/2006/relationships/hyperlink" Target="https://www.sec.gov/Archives/edgar/data/1426800/000156459022009855/asmb-ex1027_104.htm" TargetMode="External"/><Relationship Id="rId120" Type="http://schemas.openxmlformats.org/officeDocument/2006/relationships/hyperlink" Target="https://www.sec.gov/Archives/edgar/data/1426800/000095017024067951/asmb-ex10_2.htm" TargetMode="External"/><Relationship Id="rId121" Type="http://schemas.openxmlformats.org/officeDocument/2006/relationships/hyperlink" Target="https://www.sec.gov/Archives/edgar/data/1426800/000095017025083830/asmb-ex10_3.htm" TargetMode="External"/><Relationship Id="rId122" Type="http://schemas.openxmlformats.org/officeDocument/2006/relationships/hyperlink" Target="https://www.sec.gov/Archives/edgar/data/1426800/000095012319010301/asmb-ex104_186.htm" TargetMode="External"/><Relationship Id="rId123" Type="http://schemas.openxmlformats.org/officeDocument/2006/relationships/hyperlink" Target="https://www.sec.gov/Archives/edgar/data/1426800/000095012319010301/asmb-ex105_185.htm" TargetMode="External"/><Relationship Id="rId124" Type="http://schemas.openxmlformats.org/officeDocument/2006/relationships/hyperlink" Target="https://www.sec.gov/Archives/edgar/data/1426800/000156459020023566/asmb-ex103_84.htm" TargetMode="External"/><Relationship Id="rId125" Type="http://schemas.openxmlformats.org/officeDocument/2006/relationships/hyperlink" Target="https://www.sec.gov/Archives/edgar/data/1426800/000156459020023566/asmb-ex104_83.htm" TargetMode="External"/><Relationship Id="rId126" Type="http://schemas.openxmlformats.org/officeDocument/2006/relationships/hyperlink" Target="https://www.sec.gov/Archives/edgar/data/1426800/000156459020023566/asmb-ex105_82.htm" TargetMode="External"/><Relationship Id="rId129" Type="http://schemas.openxmlformats.org/officeDocument/2006/relationships/hyperlink" Target="https://www.sec.gov/Archives/edgar/data/1426800/000119312524163398/d852840dex101.htm" TargetMode="External"/><Relationship Id="rId130" Type="http://schemas.openxmlformats.org/officeDocument/2006/relationships/hyperlink" Target="https://www.sec.gov/Archives/edgar/data/1426800/000119312524163398/d852840dex102.htm" TargetMode="External"/><Relationship Id="rId131" Type="http://schemas.openxmlformats.org/officeDocument/2006/relationships/hyperlink" Target="https://www.sec.gov/Archives/edgar/data/1426800/000119312525178092/d442009dex101.htm" TargetMode="External"/><Relationship Id="rId132" Type="http://schemas.openxmlformats.org/officeDocument/2006/relationships/hyperlink" Target="https://www.sec.gov/Archives/edgar/data/1426800/000095017024032162/asmb-ex10_1.htm" TargetMode="External"/><Relationship Id="rId133" Type="http://schemas.openxmlformats.org/officeDocument/2006/relationships/hyperlink" Target="https://www.sec.gov/Archives/edgar/data/1426800/000095017025042673/asmb-ex19_1.htm" TargetMode="External"/><Relationship Id="rId134" Type="http://schemas.openxmlformats.org/officeDocument/2006/relationships/hyperlink" Target="https://www.sec.gov/Archives/edgar/data/1426800/000095017025042673/asmb-ex21_1.htm" TargetMode="External"/><Relationship Id="rId135" Type="http://schemas.openxmlformats.org/officeDocument/2006/relationships/hyperlink" Target="https://www.sec.gov/Archives/edgar/data/1426800/000095017024038057/asmb-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2026-03-19T15:26:52Z</dcterms:created>
  <dcterms:modified xsi:type="dcterms:W3CDTF">2026-03-19T15:26:52Z</dcterms:modified>
</cp:coreProperties>
</file>