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77" w:lineRule="exact"/>
        <w:rPr>
          <w:sz w:val="24"/>
          <w:szCs w:val="24"/>
          <w:color w:val="auto"/>
        </w:rPr>
      </w:pPr>
    </w:p>
    <w:p>
      <w:pPr>
        <w:ind w:left="4420" w:right="3920" w:hanging="4412"/>
        <w:spacing w:after="0" w:line="233" w:lineRule="auto"/>
        <w:tabs>
          <w:tab w:leader="none" w:pos="46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2019</w:t>
      </w:r>
    </w:p>
    <w:p>
      <w:pPr>
        <w:ind w:left="5660"/>
        <w:spacing w:after="0" w:line="233" w:lineRule="auto"/>
        <w:rPr>
          <w:rFonts w:ascii="MS PGothic" w:cs="MS PGothic" w:eastAsia="MS PGothic" w:hAnsi="MS PGothic"/>
          <w:sz w:val="14"/>
          <w:szCs w:val="14"/>
          <w:color w:val="auto"/>
        </w:rPr>
      </w:pPr>
      <w:r>
        <w:rPr>
          <w:rFonts w:ascii="Arial" w:cs="Arial" w:eastAsia="Arial" w:hAnsi="Arial"/>
          <w:sz w:val="14"/>
          <w:szCs w:val="14"/>
          <w:color w:val="auto"/>
        </w:rPr>
        <w:t>or</w:t>
      </w:r>
    </w:p>
    <w:p>
      <w:pPr>
        <w:spacing w:after="0" w:line="3" w:lineRule="exact"/>
        <w:rPr>
          <w:sz w:val="24"/>
          <w:szCs w:val="24"/>
          <w:color w:val="auto"/>
        </w:rPr>
      </w:pPr>
    </w:p>
    <w:p>
      <w:pPr>
        <w:ind w:left="4000" w:right="3620" w:hanging="3992"/>
        <w:spacing w:after="0" w:line="259" w:lineRule="auto"/>
        <w:tabs>
          <w:tab w:leader="none" w:pos="464"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w:t>
      </w:r>
      <w:r>
        <w:rPr>
          <w:rFonts w:ascii="Arial" w:cs="Arial" w:eastAsia="Arial" w:hAnsi="Arial"/>
          <w:sz w:val="14"/>
          <w:szCs w:val="14"/>
          <w:b w:val="1"/>
          <w:bCs w:val="1"/>
          <w:color w:val="auto"/>
        </w:rPr>
        <w:t>: 001-35005</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ASSEMBLY BIOSCIENCES,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specified in its charter)</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jc w:val="center"/>
              <w:ind w:left="392"/>
              <w:spacing w:after="0"/>
              <w:rPr>
                <w:sz w:val="20"/>
                <w:szCs w:val="20"/>
                <w:color w:val="auto"/>
              </w:rPr>
            </w:pPr>
            <w:r>
              <w:rPr>
                <w:rFonts w:ascii="Arial" w:cs="Arial" w:eastAsia="Arial" w:hAnsi="Arial"/>
                <w:sz w:val="14"/>
                <w:szCs w:val="14"/>
                <w:b w:val="1"/>
                <w:bCs w:val="1"/>
                <w:color w:val="auto"/>
                <w:w w:val="94"/>
              </w:rPr>
              <w:t>Delaware</w:t>
            </w:r>
          </w:p>
        </w:tc>
        <w:tc>
          <w:tcPr>
            <w:tcW w:w="4020" w:type="dxa"/>
            <w:vAlign w:val="bottom"/>
            <w:gridSpan w:val="3"/>
          </w:tcPr>
          <w:p>
            <w:pPr>
              <w:jc w:val="center"/>
              <w:ind w:left="1108"/>
              <w:spacing w:after="0"/>
              <w:rPr>
                <w:sz w:val="20"/>
                <w:szCs w:val="20"/>
                <w:color w:val="auto"/>
              </w:rPr>
            </w:pPr>
            <w:r>
              <w:rPr>
                <w:rFonts w:ascii="Arial" w:cs="Arial" w:eastAsia="Arial" w:hAnsi="Arial"/>
                <w:sz w:val="14"/>
                <w:szCs w:val="14"/>
                <w:b w:val="1"/>
                <w:bCs w:val="1"/>
                <w:color w:val="auto"/>
                <w:w w:val="89"/>
              </w:rPr>
              <w:t>2834</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20" w:type="dxa"/>
            <w:vAlign w:val="bottom"/>
          </w:tcPr>
          <w:p>
            <w:pPr>
              <w:jc w:val="center"/>
              <w:ind w:right="231"/>
              <w:spacing w:after="0"/>
              <w:rPr>
                <w:sz w:val="20"/>
                <w:szCs w:val="20"/>
                <w:color w:val="auto"/>
              </w:rPr>
            </w:pPr>
            <w:r>
              <w:rPr>
                <w:rFonts w:ascii="Arial" w:cs="Arial" w:eastAsia="Arial" w:hAnsi="Arial"/>
                <w:sz w:val="14"/>
                <w:szCs w:val="14"/>
                <w:b w:val="1"/>
                <w:bCs w:val="1"/>
                <w:color w:val="auto"/>
                <w:w w:val="93"/>
              </w:rPr>
              <w:t>20-8729264</w:t>
            </w:r>
          </w:p>
        </w:tc>
      </w:tr>
      <w:tr>
        <w:trPr>
          <w:trHeight w:val="149"/>
        </w:trPr>
        <w:tc>
          <w:tcPr>
            <w:tcW w:w="20" w:type="dxa"/>
            <w:vAlign w:val="bottom"/>
          </w:tcPr>
          <w:p>
            <w:pPr>
              <w:spacing w:after="0"/>
              <w:rPr>
                <w:sz w:val="12"/>
                <w:szCs w:val="12"/>
                <w:color w:val="auto"/>
              </w:rPr>
            </w:pPr>
          </w:p>
        </w:tc>
        <w:tc>
          <w:tcPr>
            <w:tcW w:w="3280" w:type="dxa"/>
            <w:vAlign w:val="bottom"/>
          </w:tcPr>
          <w:p>
            <w:pPr>
              <w:jc w:val="center"/>
              <w:ind w:left="412"/>
              <w:spacing w:after="0" w:line="149" w:lineRule="exact"/>
              <w:rPr>
                <w:sz w:val="20"/>
                <w:szCs w:val="20"/>
                <w:color w:val="auto"/>
              </w:rPr>
            </w:pPr>
            <w:r>
              <w:rPr>
                <w:rFonts w:ascii="Arial" w:cs="Arial" w:eastAsia="Arial" w:hAnsi="Arial"/>
                <w:sz w:val="14"/>
                <w:szCs w:val="14"/>
                <w:color w:val="auto"/>
                <w:w w:val="94"/>
              </w:rPr>
              <w:t>(State or Other Jurisdiction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4"/>
              </w:rPr>
              <w:t>(Primary Standard Industrial</w:t>
            </w:r>
          </w:p>
        </w:tc>
        <w:tc>
          <w:tcPr>
            <w:tcW w:w="3120" w:type="dxa"/>
            <w:vAlign w:val="bottom"/>
          </w:tcPr>
          <w:p>
            <w:pPr>
              <w:jc w:val="center"/>
              <w:ind w:right="231"/>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0" w:type="dxa"/>
            <w:vAlign w:val="bottom"/>
          </w:tcPr>
          <w:p>
            <w:pPr>
              <w:spacing w:after="0"/>
              <w:rPr>
                <w:sz w:val="15"/>
                <w:szCs w:val="15"/>
                <w:color w:val="auto"/>
              </w:rPr>
            </w:pPr>
          </w:p>
        </w:tc>
        <w:tc>
          <w:tcPr>
            <w:tcW w:w="3280" w:type="dxa"/>
            <w:vAlign w:val="bottom"/>
          </w:tcPr>
          <w:p>
            <w:pPr>
              <w:jc w:val="center"/>
              <w:ind w:left="392"/>
              <w:spacing w:after="0"/>
              <w:rPr>
                <w:sz w:val="20"/>
                <w:szCs w:val="20"/>
                <w:color w:val="auto"/>
              </w:rPr>
            </w:pPr>
            <w:r>
              <w:rPr>
                <w:rFonts w:ascii="Arial" w:cs="Arial" w:eastAsia="Arial" w:hAnsi="Arial"/>
                <w:sz w:val="14"/>
                <w:szCs w:val="14"/>
                <w:color w:val="auto"/>
                <w:w w:val="95"/>
              </w:rPr>
              <w:t>Incorporation or Organization)</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80" w:type="dxa"/>
            <w:vAlign w:val="bottom"/>
            <w:gridSpan w:val="3"/>
          </w:tcPr>
          <w:p>
            <w:pPr>
              <w:jc w:val="center"/>
              <w:ind w:right="620"/>
              <w:spacing w:after="0"/>
              <w:rPr>
                <w:sz w:val="20"/>
                <w:szCs w:val="20"/>
                <w:color w:val="auto"/>
              </w:rPr>
            </w:pPr>
            <w:r>
              <w:rPr>
                <w:rFonts w:ascii="Arial" w:cs="Arial" w:eastAsia="Arial" w:hAnsi="Arial"/>
                <w:sz w:val="14"/>
                <w:szCs w:val="14"/>
                <w:color w:val="auto"/>
                <w:w w:val="94"/>
              </w:rPr>
              <w:t>Classification Code Number)</w:t>
            </w:r>
          </w:p>
        </w:tc>
        <w:tc>
          <w:tcPr>
            <w:tcW w:w="3120" w:type="dxa"/>
            <w:vAlign w:val="bottom"/>
          </w:tcPr>
          <w:p>
            <w:pPr>
              <w:jc w:val="center"/>
              <w:ind w:right="231"/>
              <w:spacing w:after="0"/>
              <w:rPr>
                <w:sz w:val="20"/>
                <w:szCs w:val="20"/>
                <w:color w:val="auto"/>
              </w:rPr>
            </w:pPr>
            <w:r>
              <w:rPr>
                <w:rFonts w:ascii="Arial" w:cs="Arial" w:eastAsia="Arial" w:hAnsi="Arial"/>
                <w:sz w:val="14"/>
                <w:szCs w:val="14"/>
                <w:color w:val="auto"/>
                <w:w w:val="97"/>
              </w:rPr>
              <w:t>Identification No.)</w:t>
            </w:r>
          </w:p>
        </w:tc>
      </w:tr>
      <w:tr>
        <w:trPr>
          <w:trHeight w:val="178"/>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8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4"/>
              </w:rPr>
              <w:t>331 Oyster Point Blvd., Fourth Floor</w:t>
            </w:r>
          </w:p>
        </w:tc>
        <w:tc>
          <w:tcPr>
            <w:tcW w:w="31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80" w:type="dxa"/>
            <w:vAlign w:val="bottom"/>
            <w:gridSpan w:val="3"/>
          </w:tcPr>
          <w:p>
            <w:pPr>
              <w:jc w:val="center"/>
              <w:ind w:right="980"/>
              <w:spacing w:after="0" w:line="153" w:lineRule="exact"/>
              <w:rPr>
                <w:sz w:val="20"/>
                <w:szCs w:val="20"/>
                <w:color w:val="auto"/>
              </w:rPr>
            </w:pPr>
            <w:r>
              <w:rPr>
                <w:rFonts w:ascii="Arial" w:cs="Arial" w:eastAsia="Arial" w:hAnsi="Arial"/>
                <w:sz w:val="14"/>
                <w:szCs w:val="14"/>
                <w:b w:val="1"/>
                <w:bCs w:val="1"/>
                <w:color w:val="auto"/>
                <w:w w:val="92"/>
              </w:rPr>
              <w:t>South San Francisco, California 94080</w:t>
            </w:r>
          </w:p>
        </w:tc>
        <w:tc>
          <w:tcPr>
            <w:tcW w:w="3120" w:type="dxa"/>
            <w:vAlign w:val="bottom"/>
          </w:tcPr>
          <w:p>
            <w:pPr>
              <w:spacing w:after="0"/>
              <w:rPr>
                <w:sz w:val="13"/>
                <w:szCs w:val="13"/>
                <w:color w:val="auto"/>
              </w:rPr>
            </w:pPr>
          </w:p>
        </w:tc>
      </w:tr>
      <w:tr>
        <w:trPr>
          <w:trHeight w:val="182"/>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80" w:type="dxa"/>
            <w:vAlign w:val="bottom"/>
            <w:gridSpan w:val="3"/>
          </w:tcPr>
          <w:p>
            <w:pPr>
              <w:jc w:val="center"/>
              <w:ind w:right="1000"/>
              <w:spacing w:after="0"/>
              <w:rPr>
                <w:sz w:val="20"/>
                <w:szCs w:val="20"/>
                <w:color w:val="auto"/>
              </w:rPr>
            </w:pPr>
            <w:r>
              <w:rPr>
                <w:rFonts w:ascii="Arial" w:cs="Arial" w:eastAsia="Arial" w:hAnsi="Arial"/>
                <w:sz w:val="14"/>
                <w:szCs w:val="14"/>
                <w:color w:val="auto"/>
                <w:w w:val="95"/>
              </w:rPr>
              <w:t>(Address of Principal Executive Offices)</w:t>
            </w:r>
          </w:p>
        </w:tc>
        <w:tc>
          <w:tcPr>
            <w:tcW w:w="3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000" w:type="dxa"/>
            <w:vAlign w:val="bottom"/>
            <w:gridSpan w:val="5"/>
          </w:tcPr>
          <w:p>
            <w:pPr>
              <w:jc w:val="center"/>
              <w:ind w:right="160"/>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(833) 509-4583</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000" w:type="dxa"/>
            <w:vAlign w:val="bottom"/>
            <w:gridSpan w:val="5"/>
          </w:tcPr>
          <w:p>
            <w:pPr>
              <w:jc w:val="center"/>
              <w:ind w:right="180"/>
              <w:spacing w:after="0"/>
              <w:rPr>
                <w:sz w:val="20"/>
                <w:szCs w:val="20"/>
                <w:color w:val="auto"/>
              </w:rPr>
            </w:pPr>
            <w:r>
              <w:rPr>
                <w:rFonts w:ascii="Arial" w:cs="Arial" w:eastAsia="Arial" w:hAnsi="Arial"/>
                <w:sz w:val="14"/>
                <w:szCs w:val="14"/>
                <w:color w:val="auto"/>
                <w:w w:val="92"/>
              </w:rPr>
              <w:t>Securities Registered Pursuant to Section 12(b) of the Exchange Act:</w:t>
            </w:r>
          </w:p>
        </w:tc>
        <w:tc>
          <w:tcPr>
            <w:tcW w:w="31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3280" w:type="dxa"/>
            <w:vAlign w:val="bottom"/>
          </w:tcPr>
          <w:p>
            <w:pPr>
              <w:jc w:val="center"/>
              <w:ind w:left="632"/>
              <w:spacing w:after="0"/>
              <w:rPr>
                <w:sz w:val="20"/>
                <w:szCs w:val="20"/>
                <w:color w:val="auto"/>
              </w:rPr>
            </w:pPr>
            <w:r>
              <w:rPr>
                <w:rFonts w:ascii="Arial" w:cs="Arial" w:eastAsia="Arial" w:hAnsi="Arial"/>
                <w:sz w:val="13"/>
                <w:szCs w:val="13"/>
                <w:b w:val="1"/>
                <w:bCs w:val="1"/>
                <w:color w:val="auto"/>
                <w:w w:val="88"/>
              </w:rPr>
              <w:t>Title of Each Class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80" w:type="dxa"/>
            <w:vAlign w:val="bottom"/>
            <w:gridSpan w:val="3"/>
          </w:tcPr>
          <w:p>
            <w:pPr>
              <w:jc w:val="center"/>
              <w:ind w:right="980"/>
              <w:spacing w:after="0"/>
              <w:rPr>
                <w:sz w:val="20"/>
                <w:szCs w:val="20"/>
                <w:color w:val="auto"/>
              </w:rPr>
            </w:pPr>
            <w:r>
              <w:rPr>
                <w:rFonts w:ascii="Arial" w:cs="Arial" w:eastAsia="Arial" w:hAnsi="Arial"/>
                <w:sz w:val="13"/>
                <w:szCs w:val="13"/>
                <w:b w:val="1"/>
                <w:bCs w:val="1"/>
                <w:color w:val="auto"/>
                <w:w w:val="87"/>
              </w:rPr>
              <w:t>Trading Symbol(s)</w:t>
            </w:r>
          </w:p>
        </w:tc>
        <w:tc>
          <w:tcPr>
            <w:tcW w:w="3120" w:type="dxa"/>
            <w:vAlign w:val="bottom"/>
          </w:tcPr>
          <w:p>
            <w:pPr>
              <w:jc w:val="center"/>
              <w:ind w:right="791"/>
              <w:spacing w:after="0"/>
              <w:rPr>
                <w:sz w:val="20"/>
                <w:szCs w:val="20"/>
                <w:color w:val="auto"/>
              </w:rPr>
            </w:pPr>
            <w:r>
              <w:rPr>
                <w:rFonts w:ascii="Arial" w:cs="Arial" w:eastAsia="Arial" w:hAnsi="Arial"/>
                <w:sz w:val="13"/>
                <w:szCs w:val="13"/>
                <w:b w:val="1"/>
                <w:bCs w:val="1"/>
                <w:color w:val="auto"/>
                <w:w w:val="86"/>
              </w:rPr>
              <w:t>Name of Exchange on which Registered</w:t>
            </w:r>
          </w:p>
        </w:tc>
      </w:tr>
      <w:tr>
        <w:trPr>
          <w:trHeight w:val="154"/>
        </w:trPr>
        <w:tc>
          <w:tcPr>
            <w:tcW w:w="20" w:type="dxa"/>
            <w:vAlign w:val="bottom"/>
          </w:tcPr>
          <w:p>
            <w:pPr>
              <w:spacing w:after="0"/>
              <w:rPr>
                <w:sz w:val="13"/>
                <w:szCs w:val="13"/>
                <w:color w:val="auto"/>
              </w:rPr>
            </w:pPr>
          </w:p>
        </w:tc>
        <w:tc>
          <w:tcPr>
            <w:tcW w:w="3280" w:type="dxa"/>
            <w:vAlign w:val="bottom"/>
            <w:tcBorders>
              <w:top w:val="single" w:sz="8" w:color="auto"/>
            </w:tcBorders>
          </w:tcPr>
          <w:p>
            <w:pPr>
              <w:jc w:val="center"/>
              <w:ind w:left="632"/>
              <w:spacing w:after="0"/>
              <w:rPr>
                <w:sz w:val="20"/>
                <w:szCs w:val="20"/>
                <w:color w:val="auto"/>
              </w:rPr>
            </w:pPr>
            <w:r>
              <w:rPr>
                <w:rFonts w:ascii="Arial" w:cs="Arial" w:eastAsia="Arial" w:hAnsi="Arial"/>
                <w:sz w:val="13"/>
                <w:szCs w:val="13"/>
                <w:color w:val="auto"/>
                <w:w w:val="86"/>
              </w:rPr>
              <w:t>Common Stock, $0.001 Par Value</w:t>
            </w: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ASMB</w:t>
            </w:r>
          </w:p>
        </w:tc>
        <w:tc>
          <w:tcPr>
            <w:tcW w:w="1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tcPr>
          <w:p>
            <w:pPr>
              <w:jc w:val="center"/>
              <w:ind w:right="791"/>
              <w:spacing w:after="0"/>
              <w:rPr>
                <w:sz w:val="20"/>
                <w:szCs w:val="20"/>
                <w:color w:val="auto"/>
              </w:rPr>
            </w:pPr>
            <w:r>
              <w:rPr>
                <w:rFonts w:ascii="Arial" w:cs="Arial" w:eastAsia="Arial" w:hAnsi="Arial"/>
                <w:sz w:val="13"/>
                <w:szCs w:val="13"/>
                <w:color w:val="auto"/>
                <w:w w:val="88"/>
              </w:rPr>
              <w:t>Nasdaq Global Select Market</w:t>
            </w:r>
          </w:p>
        </w:tc>
      </w:tr>
      <w:tr>
        <w:trPr>
          <w:trHeight w:val="206"/>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0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 xml:space="preserve">Securities Registered Pursuant to Section 12(g) of the Act: </w:t>
            </w:r>
            <w:r>
              <w:rPr>
                <w:rFonts w:ascii="Arial" w:cs="Arial" w:eastAsia="Arial" w:hAnsi="Arial"/>
                <w:sz w:val="14"/>
                <w:szCs w:val="14"/>
                <w:color w:val="auto"/>
                <w:w w:val="91"/>
              </w:rPr>
              <w:t>None</w:t>
            </w:r>
          </w:p>
        </w:tc>
        <w:tc>
          <w:tcPr>
            <w:tcW w:w="3120" w:type="dxa"/>
            <w:vAlign w:val="bottom"/>
          </w:tcPr>
          <w:p>
            <w:pPr>
              <w:spacing w:after="0"/>
              <w:rPr>
                <w:sz w:val="17"/>
                <w:szCs w:val="17"/>
                <w:color w:val="auto"/>
              </w:rPr>
            </w:pPr>
          </w:p>
        </w:tc>
      </w:tr>
      <w:tr>
        <w:trPr>
          <w:trHeight w:val="232"/>
        </w:trPr>
        <w:tc>
          <w:tcPr>
            <w:tcW w:w="8300" w:type="dxa"/>
            <w:vAlign w:val="bottom"/>
            <w:gridSpan w:val="7"/>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3120" w:type="dxa"/>
            <w:vAlign w:val="bottom"/>
          </w:tcPr>
          <w:p>
            <w:pPr>
              <w:spacing w:after="0"/>
              <w:rPr>
                <w:sz w:val="20"/>
                <w:szCs w:val="20"/>
                <w:color w:val="auto"/>
              </w:rPr>
            </w:pPr>
          </w:p>
        </w:tc>
      </w:tr>
      <w:tr>
        <w:trPr>
          <w:trHeight w:val="230"/>
        </w:trPr>
        <w:tc>
          <w:tcPr>
            <w:tcW w:w="8300" w:type="dxa"/>
            <w:vAlign w:val="bottom"/>
            <w:gridSpan w:val="7"/>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w:t>
            </w:r>
          </w:p>
        </w:tc>
        <w:tc>
          <w:tcPr>
            <w:tcW w:w="31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8"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90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90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5000" w:type="dxa"/>
            <w:vAlign w:val="bottom"/>
          </w:tcPr>
          <w:p>
            <w:pPr>
              <w:ind w:left="290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7120" w:val="left"/>
          <w:tab w:leader="none" w:pos="75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82" w:lineRule="exact"/>
        <w:rPr>
          <w:sz w:val="24"/>
          <w:szCs w:val="24"/>
          <w:color w:val="auto"/>
        </w:rPr>
      </w:pPr>
    </w:p>
    <w:p>
      <w:pPr>
        <w:jc w:val="both"/>
        <w:spacing w:after="0" w:line="251" w:lineRule="auto"/>
        <w:rPr>
          <w:sz w:val="20"/>
          <w:szCs w:val="20"/>
          <w:color w:val="auto"/>
        </w:rPr>
      </w:pPr>
      <w:r>
        <w:rPr>
          <w:rFonts w:ascii="Arial" w:cs="Arial" w:eastAsia="Arial" w:hAnsi="Arial"/>
          <w:sz w:val="13"/>
          <w:szCs w:val="13"/>
          <w:color w:val="auto"/>
        </w:rPr>
        <w:t>The aggregate market value of the voting stock held by non-affiliates of the registrant, as of June 28, 2019, was approximately $332.6 million. Such aggregate market value was computed by reference to the closing price of the common stock as reported on the Nasdaq Global Select Market on June 28, 2019. For purposes of making this calculation only, the registrant has defined affiliates as including only (i) directors, (ii) executive officers, and (iii) certain shareholders that hold greater than 10% of the voting stock of the registrant, in each case, as of June 28, 2019. Shares of common stock held by other persons, including certain other holders of more than 10% of the registrant’s outstanding common stock, have not been excluded from the above calculation in that such persons are not deemed to be affiliates. The determination of affiliate status is not necessarily a conclusive determination for other purposes.</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As of March 2, 2020, there were 32,624,725 shares of the registrant’s common stock, $0.001 par value per share, outstanding.</w:t>
      </w:r>
    </w:p>
    <w:p>
      <w:pPr>
        <w:spacing w:after="0" w:line="3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Part III of this Annual Report on Form 10-K incorporates information by reference to portions of the definitive proxy statement for the Company’s Annual Meeting of Stockholders to be held in 2020, to be filed within 120 days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20" w:type="dxa"/>
            <w:vAlign w:val="bottom"/>
            <w:gridSpan w:val="9"/>
          </w:tcPr>
          <w:p>
            <w:pPr>
              <w:jc w:val="center"/>
              <w:ind w:right="2900"/>
              <w:spacing w:after="0"/>
              <w:rPr>
                <w:sz w:val="20"/>
                <w:szCs w:val="20"/>
                <w:color w:val="auto"/>
              </w:rPr>
            </w:pPr>
            <w:r>
              <w:rPr>
                <w:rFonts w:ascii="Arial" w:cs="Arial" w:eastAsia="Arial" w:hAnsi="Arial"/>
                <w:sz w:val="18"/>
                <w:szCs w:val="18"/>
                <w:b w:val="1"/>
                <w:bCs w:val="1"/>
                <w:color w:val="auto"/>
                <w:w w:val="98"/>
              </w:rPr>
              <w:t>ASSEMBLY BIOSCIENCES, INC.</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gridSpan w:val="5"/>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0" w:type="dxa"/>
            <w:vAlign w:val="bottom"/>
            <w:tcBorders>
              <w:top w:val="single" w:sz="8" w:color="CFF0FC"/>
            </w:tcBorders>
            <w:gridSpan w:val="2"/>
            <w:shd w:val="clear" w:color="auto" w:fill="CFF0FC"/>
          </w:tcPr>
          <w:p>
            <w:pPr>
              <w:spacing w:after="0" w:line="150"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PART I</w:t>
              </w:r>
            </w:hyperlink>
          </w:p>
        </w:tc>
        <w:tc>
          <w:tcPr>
            <w:tcW w:w="560" w:type="dxa"/>
            <w:vAlign w:val="bottom"/>
            <w:tcBorders>
              <w:top w:val="single" w:sz="8" w:color="CFF0FC"/>
            </w:tcBorders>
            <w:gridSpan w:val="4"/>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8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auto"/>
            </w:tcBorders>
            <w:gridSpan w:val="4"/>
            <w:shd w:val="clear" w:color="auto" w:fill="CFF0FC"/>
          </w:tcPr>
          <w:p>
            <w:pPr>
              <w:jc w:val="right"/>
              <w:spacing w:after="0" w:line="15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580" w:type="dxa"/>
            <w:vAlign w:val="bottom"/>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560" w:type="dxa"/>
            <w:vAlign w:val="bottom"/>
            <w:gridSpan w:val="4"/>
          </w:tcPr>
          <w:p>
            <w:pPr>
              <w:spacing w:after="0"/>
              <w:rPr>
                <w:sz w:val="14"/>
                <w:szCs w:val="14"/>
                <w:color w:val="auto"/>
              </w:rPr>
            </w:pPr>
          </w:p>
        </w:tc>
        <w:tc>
          <w:tcPr>
            <w:tcW w:w="9120" w:type="dxa"/>
            <w:vAlign w:val="bottom"/>
            <w:gridSpan w:val="2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40" w:type="dxa"/>
            <w:vAlign w:val="bottom"/>
            <w:gridSpan w:val="4"/>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6"/>
            <w:shd w:val="clear" w:color="auto" w:fill="CFF0FC"/>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9120" w:type="dxa"/>
            <w:vAlign w:val="bottom"/>
            <w:gridSpan w:val="22"/>
            <w:shd w:val="clear" w:color="auto" w:fill="CFF0FC"/>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140" w:type="dxa"/>
            <w:vAlign w:val="bottom"/>
            <w:gridSpan w:val="4"/>
            <w:shd w:val="clear" w:color="auto" w:fill="CFF0FC"/>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Item 1B.</w:t>
              </w:r>
            </w:hyperlink>
          </w:p>
        </w:tc>
        <w:tc>
          <w:tcPr>
            <w:tcW w:w="520" w:type="dxa"/>
            <w:vAlign w:val="bottom"/>
            <w:gridSpan w:val="3"/>
          </w:tcPr>
          <w:p>
            <w:pPr>
              <w:spacing w:after="0"/>
              <w:rPr>
                <w:sz w:val="15"/>
                <w:szCs w:val="15"/>
                <w:color w:val="auto"/>
              </w:rPr>
            </w:pPr>
          </w:p>
        </w:tc>
        <w:tc>
          <w:tcPr>
            <w:tcW w:w="9120" w:type="dxa"/>
            <w:vAlign w:val="bottom"/>
            <w:gridSpan w:val="22"/>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Unresolved Staff Comments</w:t>
              </w:r>
            </w:hyperlink>
          </w:p>
        </w:tc>
        <w:tc>
          <w:tcPr>
            <w:tcW w:w="1140" w:type="dxa"/>
            <w:vAlign w:val="bottom"/>
            <w:gridSpan w:val="4"/>
          </w:tcPr>
          <w:p>
            <w:pPr>
              <w:jc w:val="right"/>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FF0FC"/>
          </w:tcPr>
          <w:p>
            <w:pPr>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Item 2.</w:t>
              </w:r>
            </w:hyperlink>
          </w:p>
        </w:tc>
        <w:tc>
          <w:tcPr>
            <w:tcW w:w="640" w:type="dxa"/>
            <w:vAlign w:val="bottom"/>
            <w:gridSpan w:val="5"/>
            <w:shd w:val="clear" w:color="auto" w:fill="CFF0FC"/>
          </w:tcPr>
          <w:p>
            <w:pPr>
              <w:spacing w:after="0"/>
              <w:rPr>
                <w:sz w:val="15"/>
                <w:szCs w:val="15"/>
                <w:color w:val="auto"/>
              </w:rPr>
            </w:pPr>
          </w:p>
        </w:tc>
        <w:tc>
          <w:tcPr>
            <w:tcW w:w="9120" w:type="dxa"/>
            <w:vAlign w:val="bottom"/>
            <w:gridSpan w:val="22"/>
            <w:shd w:val="clear" w:color="auto" w:fill="CFF0FC"/>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Properties</w:t>
              </w:r>
            </w:hyperlink>
          </w:p>
        </w:tc>
        <w:tc>
          <w:tcPr>
            <w:tcW w:w="1140" w:type="dxa"/>
            <w:vAlign w:val="bottom"/>
            <w:gridSpan w:val="4"/>
            <w:shd w:val="clear" w:color="auto" w:fill="CFF0FC"/>
          </w:tcPr>
          <w:p>
            <w:pPr>
              <w:jc w:val="right"/>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Item 3.</w:t>
              </w:r>
            </w:hyperlink>
          </w:p>
        </w:tc>
        <w:tc>
          <w:tcPr>
            <w:tcW w:w="640" w:type="dxa"/>
            <w:vAlign w:val="bottom"/>
            <w:gridSpan w:val="5"/>
          </w:tcPr>
          <w:p>
            <w:pPr>
              <w:spacing w:after="0"/>
              <w:rPr>
                <w:sz w:val="15"/>
                <w:szCs w:val="15"/>
                <w:color w:val="auto"/>
              </w:rPr>
            </w:pPr>
          </w:p>
        </w:tc>
        <w:tc>
          <w:tcPr>
            <w:tcW w:w="9120" w:type="dxa"/>
            <w:vAlign w:val="bottom"/>
            <w:gridSpan w:val="22"/>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1140" w:type="dxa"/>
            <w:vAlign w:val="bottom"/>
            <w:gridSpan w:val="4"/>
          </w:tcPr>
          <w:p>
            <w:pPr>
              <w:jc w:val="right"/>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FF0FC"/>
          </w:tcPr>
          <w:p>
            <w:pPr>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Item 4.</w:t>
              </w:r>
            </w:hyperlink>
          </w:p>
        </w:tc>
        <w:tc>
          <w:tcPr>
            <w:tcW w:w="640" w:type="dxa"/>
            <w:vAlign w:val="bottom"/>
            <w:gridSpan w:val="5"/>
            <w:shd w:val="clear" w:color="auto" w:fill="CFF0FC"/>
          </w:tcPr>
          <w:p>
            <w:pPr>
              <w:spacing w:after="0"/>
              <w:rPr>
                <w:sz w:val="15"/>
                <w:szCs w:val="15"/>
                <w:color w:val="auto"/>
              </w:rPr>
            </w:pPr>
          </w:p>
        </w:tc>
        <w:tc>
          <w:tcPr>
            <w:tcW w:w="9120" w:type="dxa"/>
            <w:vAlign w:val="bottom"/>
            <w:gridSpan w:val="22"/>
            <w:shd w:val="clear" w:color="auto" w:fill="CFF0FC"/>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1140" w:type="dxa"/>
            <w:vAlign w:val="bottom"/>
            <w:gridSpan w:val="4"/>
            <w:shd w:val="clear" w:color="auto" w:fill="CFF0FC"/>
          </w:tcPr>
          <w:p>
            <w:pPr>
              <w:jc w:val="right"/>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6"/>
          </w:tcPr>
          <w:p>
            <w:pPr>
              <w:spacing w:after="0" w:line="15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w:t>
              </w:r>
            </w:hyperlink>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gridSpan w:val="4"/>
          </w:tcPr>
          <w:p>
            <w:pPr>
              <w:jc w:val="right"/>
              <w:spacing w:after="0" w:line="156" w:lineRule="exact"/>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EE"/>
              <w:bottom w:val="single" w:sz="8" w:color="0000EE"/>
            </w:tcBorders>
            <w:shd w:val="clear" w:color="auto" w:fill="CFF0FC"/>
          </w:tcPr>
          <w:p>
            <w:pPr>
              <w:spacing w:after="0" w:line="189"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Item 5.</w:t>
              </w:r>
            </w:hyperlink>
          </w:p>
        </w:tc>
        <w:tc>
          <w:tcPr>
            <w:tcW w:w="140" w:type="dxa"/>
            <w:vAlign w:val="bottom"/>
            <w:tcBorders>
              <w:top w:val="single" w:sz="8" w:color="0000EE"/>
              <w:bottom w:val="single" w:sz="8" w:color="CFF0FC"/>
            </w:tcBorders>
            <w:gridSpan w:val="3"/>
            <w:shd w:val="clear" w:color="auto" w:fill="CFF0FC"/>
          </w:tcPr>
          <w:p>
            <w:pPr>
              <w:spacing w:after="0"/>
              <w:rPr>
                <w:sz w:val="18"/>
                <w:szCs w:val="18"/>
                <w:color w:val="auto"/>
              </w:rPr>
            </w:pPr>
          </w:p>
        </w:tc>
        <w:tc>
          <w:tcPr>
            <w:tcW w:w="500" w:type="dxa"/>
            <w:vAlign w:val="bottom"/>
            <w:tcBorders>
              <w:bottom w:val="single" w:sz="8" w:color="CFF0FC"/>
            </w:tcBorders>
            <w:gridSpan w:val="2"/>
            <w:shd w:val="clear" w:color="auto" w:fill="CFF0FC"/>
          </w:tcPr>
          <w:p>
            <w:pPr>
              <w:spacing w:after="0"/>
              <w:rPr>
                <w:sz w:val="18"/>
                <w:szCs w:val="18"/>
                <w:color w:val="auto"/>
              </w:rPr>
            </w:pPr>
          </w:p>
        </w:tc>
        <w:tc>
          <w:tcPr>
            <w:tcW w:w="8080" w:type="dxa"/>
            <w:vAlign w:val="bottom"/>
            <w:tcBorders>
              <w:bottom w:val="single" w:sz="8" w:color="0000EE"/>
            </w:tcBorders>
            <w:gridSpan w:val="21"/>
            <w:shd w:val="clear" w:color="auto" w:fill="CFF0FC"/>
          </w:tcPr>
          <w:p>
            <w:pPr>
              <w:spacing w:after="0" w:line="189"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Market for Registrant’s Common Equity, Related Stockholder Matters and Issuer Purchases of Equity Securities</w:t>
              </w:r>
            </w:hyperlink>
          </w:p>
        </w:tc>
        <w:tc>
          <w:tcPr>
            <w:tcW w:w="10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top w:val="single" w:sz="8" w:color="0000EE"/>
              <w:bottom w:val="single" w:sz="8" w:color="0000EE"/>
            </w:tcBorders>
            <w:gridSpan w:val="2"/>
            <w:shd w:val="clear" w:color="auto" w:fill="CFF0FC"/>
          </w:tcPr>
          <w:p>
            <w:pPr>
              <w:jc w:val="right"/>
              <w:spacing w:after="0" w:line="189"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6"/>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6.</w:t>
              </w:r>
            </w:hyperlink>
          </w:p>
        </w:tc>
        <w:tc>
          <w:tcPr>
            <w:tcW w:w="9120" w:type="dxa"/>
            <w:vAlign w:val="bottom"/>
            <w:gridSpan w:val="22"/>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Selected Financial Data</w:t>
              </w:r>
            </w:hyperlink>
          </w:p>
        </w:tc>
        <w:tc>
          <w:tcPr>
            <w:tcW w:w="1140" w:type="dxa"/>
            <w:vAlign w:val="bottom"/>
            <w:gridSpan w:val="4"/>
          </w:tcPr>
          <w:p>
            <w:pPr>
              <w:jc w:val="right"/>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FF0FC"/>
          </w:tcPr>
          <w:p>
            <w:pPr>
              <w:spacing w:after="0" w:line="17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Item 7.</w:t>
              </w:r>
            </w:hyperlink>
          </w:p>
        </w:tc>
        <w:tc>
          <w:tcPr>
            <w:tcW w:w="640" w:type="dxa"/>
            <w:vAlign w:val="bottom"/>
            <w:gridSpan w:val="5"/>
            <w:shd w:val="clear" w:color="auto" w:fill="CFF0FC"/>
          </w:tcPr>
          <w:p>
            <w:pPr>
              <w:spacing w:after="0"/>
              <w:rPr>
                <w:sz w:val="15"/>
                <w:szCs w:val="15"/>
                <w:color w:val="auto"/>
              </w:rPr>
            </w:pPr>
          </w:p>
        </w:tc>
        <w:tc>
          <w:tcPr>
            <w:tcW w:w="9120" w:type="dxa"/>
            <w:vAlign w:val="bottom"/>
            <w:gridSpan w:val="22"/>
            <w:shd w:val="clear" w:color="auto" w:fill="CFF0FC"/>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w:t>
              </w:r>
            </w:hyperlink>
          </w:p>
        </w:tc>
        <w:tc>
          <w:tcPr>
            <w:tcW w:w="1140" w:type="dxa"/>
            <w:vAlign w:val="bottom"/>
            <w:gridSpan w:val="4"/>
            <w:shd w:val="clear" w:color="auto" w:fill="CFF0FC"/>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140" w:type="dxa"/>
            <w:vAlign w:val="bottom"/>
            <w:tcBorders>
              <w:top w:val="single" w:sz="8" w:color="0000EE"/>
            </w:tcBorders>
            <w:shd w:val="clear" w:color="auto" w:fill="CFF0FC"/>
          </w:tcPr>
          <w:p>
            <w:pPr>
              <w:spacing w:after="0" w:line="20" w:lineRule="exact"/>
              <w:rPr>
                <w:sz w:val="1"/>
                <w:szCs w:val="1"/>
                <w:color w:val="auto"/>
              </w:rPr>
            </w:pPr>
          </w:p>
        </w:tc>
        <w:tc>
          <w:tcPr>
            <w:tcW w:w="9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6"/>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7A.</w:t>
              </w:r>
            </w:hyperlink>
          </w:p>
        </w:tc>
        <w:tc>
          <w:tcPr>
            <w:tcW w:w="9120" w:type="dxa"/>
            <w:vAlign w:val="bottom"/>
            <w:gridSpan w:val="22"/>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Quantitative and Qualitative Disclosures about Market Risk</w:t>
              </w:r>
            </w:hyperlink>
          </w:p>
        </w:tc>
        <w:tc>
          <w:tcPr>
            <w:tcW w:w="1140" w:type="dxa"/>
            <w:vAlign w:val="bottom"/>
            <w:gridSpan w:val="4"/>
          </w:tcPr>
          <w:p>
            <w:pPr>
              <w:jc w:val="right"/>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FF0FC"/>
          </w:tcPr>
          <w:p>
            <w:pPr>
              <w:spacing w:after="0" w:line="17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Item 8.</w:t>
              </w:r>
            </w:hyperlink>
          </w:p>
        </w:tc>
        <w:tc>
          <w:tcPr>
            <w:tcW w:w="640" w:type="dxa"/>
            <w:vAlign w:val="bottom"/>
            <w:gridSpan w:val="5"/>
            <w:shd w:val="clear" w:color="auto" w:fill="CFF0FC"/>
          </w:tcPr>
          <w:p>
            <w:pPr>
              <w:spacing w:after="0"/>
              <w:rPr>
                <w:sz w:val="15"/>
                <w:szCs w:val="15"/>
                <w:color w:val="auto"/>
              </w:rPr>
            </w:pPr>
          </w:p>
        </w:tc>
        <w:tc>
          <w:tcPr>
            <w:tcW w:w="9120" w:type="dxa"/>
            <w:vAlign w:val="bottom"/>
            <w:gridSpan w:val="22"/>
            <w:shd w:val="clear" w:color="auto" w:fill="CFF0FC"/>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Financial Statements and Supplementary Data</w:t>
              </w:r>
            </w:hyperlink>
          </w:p>
        </w:tc>
        <w:tc>
          <w:tcPr>
            <w:tcW w:w="1140" w:type="dxa"/>
            <w:vAlign w:val="bottom"/>
            <w:gridSpan w:val="4"/>
            <w:shd w:val="clear" w:color="auto" w:fill="CFF0FC"/>
          </w:tcPr>
          <w:p>
            <w:pPr>
              <w:jc w:val="right"/>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Item 9.</w:t>
              </w:r>
            </w:hyperlink>
          </w:p>
        </w:tc>
        <w:tc>
          <w:tcPr>
            <w:tcW w:w="640" w:type="dxa"/>
            <w:vAlign w:val="bottom"/>
            <w:gridSpan w:val="5"/>
          </w:tcPr>
          <w:p>
            <w:pPr>
              <w:spacing w:after="0"/>
              <w:rPr>
                <w:sz w:val="15"/>
                <w:szCs w:val="15"/>
                <w:color w:val="auto"/>
              </w:rPr>
            </w:pPr>
          </w:p>
        </w:tc>
        <w:tc>
          <w:tcPr>
            <w:tcW w:w="9120" w:type="dxa"/>
            <w:vAlign w:val="bottom"/>
            <w:gridSpan w:val="22"/>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4"/>
          </w:tcPr>
          <w:p>
            <w:pPr>
              <w:jc w:val="right"/>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6"/>
            <w:shd w:val="clear" w:color="auto" w:fill="CFF0FC"/>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9A.</w:t>
              </w:r>
            </w:hyperlink>
          </w:p>
        </w:tc>
        <w:tc>
          <w:tcPr>
            <w:tcW w:w="9120" w:type="dxa"/>
            <w:vAlign w:val="bottom"/>
            <w:gridSpan w:val="22"/>
            <w:shd w:val="clear" w:color="auto" w:fill="CFF0FC"/>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1140" w:type="dxa"/>
            <w:vAlign w:val="bottom"/>
            <w:gridSpan w:val="4"/>
            <w:shd w:val="clear" w:color="auto" w:fill="CFF0FC"/>
          </w:tcPr>
          <w:p>
            <w:pPr>
              <w:jc w:val="right"/>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7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Item 9B.</w:t>
              </w:r>
            </w:hyperlink>
          </w:p>
        </w:tc>
        <w:tc>
          <w:tcPr>
            <w:tcW w:w="520" w:type="dxa"/>
            <w:vAlign w:val="bottom"/>
            <w:tcBorders>
              <w:top w:val="single" w:sz="8" w:color="CFF0FC"/>
            </w:tcBorders>
            <w:gridSpan w:val="3"/>
          </w:tcPr>
          <w:p>
            <w:pPr>
              <w:spacing w:after="0"/>
              <w:rPr>
                <w:sz w:val="15"/>
                <w:szCs w:val="15"/>
                <w:color w:val="auto"/>
              </w:rPr>
            </w:pPr>
          </w:p>
        </w:tc>
        <w:tc>
          <w:tcPr>
            <w:tcW w:w="17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7360" w:type="dxa"/>
            <w:vAlign w:val="bottom"/>
            <w:tcBorders>
              <w:top w:val="single" w:sz="8" w:color="CFF0FC"/>
            </w:tcBorders>
            <w:gridSpan w:val="13"/>
          </w:tcPr>
          <w:p>
            <w:pPr>
              <w:spacing w:after="0"/>
              <w:rPr>
                <w:sz w:val="15"/>
                <w:szCs w:val="15"/>
                <w:color w:val="auto"/>
              </w:rPr>
            </w:pPr>
          </w:p>
        </w:tc>
        <w:tc>
          <w:tcPr>
            <w:tcW w:w="960" w:type="dxa"/>
            <w:vAlign w:val="bottom"/>
            <w:tcBorders>
              <w:top w:val="single" w:sz="8" w:color="CFF0FC"/>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Borders>
              <w:bottom w:val="single" w:sz="8" w:color="0000EE"/>
            </w:tcBorders>
            <w:gridSpan w:val="5"/>
            <w:shd w:val="clear" w:color="auto" w:fill="CFF0FC"/>
          </w:tcPr>
          <w:p>
            <w:pPr>
              <w:spacing w:after="0" w:line="15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4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bottom w:val="single" w:sz="8" w:color="0000EE"/>
            </w:tcBorders>
            <w:gridSpan w:val="2"/>
            <w:shd w:val="clear" w:color="auto" w:fill="CFF0FC"/>
          </w:tcPr>
          <w:p>
            <w:pPr>
              <w:jc w:val="right"/>
              <w:spacing w:after="0" w:line="15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 w:type="dxa"/>
            <w:vAlign w:val="bottom"/>
            <w:gridSpan w:val="6"/>
          </w:tcPr>
          <w:p>
            <w:pPr>
              <w:spacing w:after="0" w:line="170" w:lineRule="exact"/>
              <w:rPr>
                <w:rFonts w:ascii="Arial" w:cs="Arial" w:eastAsia="Arial" w:hAnsi="Arial"/>
                <w:sz w:val="18"/>
                <w:szCs w:val="18"/>
                <w:color w:val="0000EE"/>
              </w:rPr>
            </w:pPr>
            <w:hyperlink w:anchor="page78">
              <w:r>
                <w:rPr>
                  <w:rFonts w:ascii="Arial" w:cs="Arial" w:eastAsia="Arial" w:hAnsi="Arial"/>
                  <w:sz w:val="18"/>
                  <w:szCs w:val="18"/>
                  <w:color w:val="0000EE"/>
                </w:rPr>
                <w:t>Item 10.</w:t>
              </w:r>
            </w:hyperlink>
          </w:p>
        </w:tc>
        <w:tc>
          <w:tcPr>
            <w:tcW w:w="9120" w:type="dxa"/>
            <w:vAlign w:val="bottom"/>
            <w:gridSpan w:val="22"/>
          </w:tcPr>
          <w:p>
            <w:pPr>
              <w:spacing w:after="0" w:line="170" w:lineRule="exact"/>
              <w:rPr>
                <w:rFonts w:ascii="Arial" w:cs="Arial" w:eastAsia="Arial" w:hAnsi="Arial"/>
                <w:sz w:val="18"/>
                <w:szCs w:val="18"/>
                <w:color w:val="0000EE"/>
              </w:rPr>
            </w:pPr>
            <w:hyperlink w:anchor="page78">
              <w:r>
                <w:rPr>
                  <w:rFonts w:ascii="Arial" w:cs="Arial" w:eastAsia="Arial" w:hAnsi="Arial"/>
                  <w:sz w:val="18"/>
                  <w:szCs w:val="18"/>
                  <w:color w:val="0000EE"/>
                </w:rPr>
                <w:t>Directors, Executive Officers and Corporate Governance</w:t>
              </w:r>
            </w:hyperlink>
          </w:p>
        </w:tc>
        <w:tc>
          <w:tcPr>
            <w:tcW w:w="1140" w:type="dxa"/>
            <w:vAlign w:val="bottom"/>
            <w:gridSpan w:val="4"/>
          </w:tcPr>
          <w:p>
            <w:pPr>
              <w:jc w:val="right"/>
              <w:spacing w:after="0" w:line="170"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6"/>
            <w:shd w:val="clear" w:color="auto" w:fill="CFF0FC"/>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11.</w:t>
              </w:r>
            </w:hyperlink>
          </w:p>
        </w:tc>
        <w:tc>
          <w:tcPr>
            <w:tcW w:w="9120" w:type="dxa"/>
            <w:vAlign w:val="bottom"/>
            <w:gridSpan w:val="22"/>
            <w:shd w:val="clear" w:color="auto" w:fill="CFF0FC"/>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1140" w:type="dxa"/>
            <w:vAlign w:val="bottom"/>
            <w:gridSpan w:val="4"/>
            <w:shd w:val="clear" w:color="auto" w:fill="CFF0FC"/>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6"/>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12.</w:t>
              </w:r>
            </w:hyperlink>
          </w:p>
        </w:tc>
        <w:tc>
          <w:tcPr>
            <w:tcW w:w="9120" w:type="dxa"/>
            <w:vAlign w:val="bottom"/>
            <w:gridSpan w:val="22"/>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gridSpan w:val="4"/>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6"/>
            <w:shd w:val="clear" w:color="auto" w:fill="CFF0FC"/>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13.</w:t>
              </w:r>
            </w:hyperlink>
          </w:p>
        </w:tc>
        <w:tc>
          <w:tcPr>
            <w:tcW w:w="9120" w:type="dxa"/>
            <w:vAlign w:val="bottom"/>
            <w:gridSpan w:val="22"/>
            <w:shd w:val="clear" w:color="auto" w:fill="CFF0FC"/>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Transactions, and Director Independence</w:t>
              </w:r>
            </w:hyperlink>
          </w:p>
        </w:tc>
        <w:tc>
          <w:tcPr>
            <w:tcW w:w="1140" w:type="dxa"/>
            <w:vAlign w:val="bottom"/>
            <w:gridSpan w:val="4"/>
            <w:shd w:val="clear" w:color="auto" w:fill="CFF0FC"/>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140" w:type="dxa"/>
            <w:vAlign w:val="bottom"/>
            <w:tcBorders>
              <w:top w:val="single" w:sz="8" w:color="0000EE"/>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6"/>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14.</w:t>
              </w:r>
            </w:hyperlink>
          </w:p>
        </w:tc>
        <w:tc>
          <w:tcPr>
            <w:tcW w:w="9120" w:type="dxa"/>
            <w:vAlign w:val="bottom"/>
            <w:gridSpan w:val="22"/>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Accounting Fees and Services</w:t>
              </w:r>
            </w:hyperlink>
          </w:p>
        </w:tc>
        <w:tc>
          <w:tcPr>
            <w:tcW w:w="1140" w:type="dxa"/>
            <w:vAlign w:val="bottom"/>
            <w:gridSpan w:val="4"/>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6"/>
            <w:shd w:val="clear" w:color="auto" w:fill="CFF0FC"/>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15.</w:t>
              </w:r>
            </w:hyperlink>
          </w:p>
        </w:tc>
        <w:tc>
          <w:tcPr>
            <w:tcW w:w="9120" w:type="dxa"/>
            <w:vAlign w:val="bottom"/>
            <w:gridSpan w:val="22"/>
            <w:shd w:val="clear" w:color="auto" w:fill="CFF0FC"/>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Exhibits, Financial Statement Schedules</w:t>
              </w:r>
            </w:hyperlink>
          </w:p>
        </w:tc>
        <w:tc>
          <w:tcPr>
            <w:tcW w:w="1140" w:type="dxa"/>
            <w:vAlign w:val="bottom"/>
            <w:gridSpan w:val="4"/>
            <w:shd w:val="clear" w:color="auto" w:fill="CFF0FC"/>
          </w:tcPr>
          <w:p>
            <w:pPr>
              <w:jc w:val="right"/>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75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6"/>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Item 16.</w:t>
              </w:r>
            </w:hyperlink>
          </w:p>
        </w:tc>
        <w:tc>
          <w:tcPr>
            <w:tcW w:w="9120" w:type="dxa"/>
            <w:vAlign w:val="bottom"/>
            <w:gridSpan w:val="22"/>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Form 10-K Summary</w:t>
              </w:r>
            </w:hyperlink>
          </w:p>
        </w:tc>
        <w:tc>
          <w:tcPr>
            <w:tcW w:w="1140" w:type="dxa"/>
            <w:vAlign w:val="bottom"/>
            <w:gridSpan w:val="4"/>
          </w:tcPr>
          <w:p>
            <w:pPr>
              <w:jc w:val="right"/>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76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8"/>
            <w:shd w:val="clear" w:color="auto" w:fill="CFF0FC"/>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Financial Statements</w:t>
              </w:r>
            </w:hyperlink>
          </w:p>
        </w:tc>
        <w:tc>
          <w:tcPr>
            <w:tcW w:w="900" w:type="dxa"/>
            <w:vAlign w:val="bottom"/>
            <w:shd w:val="clear" w:color="auto" w:fill="CFF0FC"/>
          </w:tcPr>
          <w:p>
            <w:pPr>
              <w:spacing w:after="0"/>
              <w:rPr>
                <w:sz w:val="15"/>
                <w:szCs w:val="15"/>
                <w:color w:val="auto"/>
              </w:rPr>
            </w:pPr>
          </w:p>
        </w:tc>
        <w:tc>
          <w:tcPr>
            <w:tcW w:w="240" w:type="dxa"/>
            <w:vAlign w:val="bottom"/>
            <w:gridSpan w:val="3"/>
            <w:shd w:val="clear" w:color="auto" w:fill="CFF0FC"/>
          </w:tcPr>
          <w:p>
            <w:pPr>
              <w:jc w:val="right"/>
              <w:spacing w:after="0" w:line="176" w:lineRule="exact"/>
              <w:rPr>
                <w:rFonts w:ascii="Arial" w:cs="Arial" w:eastAsia="Arial" w:hAnsi="Arial"/>
                <w:sz w:val="18"/>
                <w:szCs w:val="18"/>
                <w:color w:val="0000EE"/>
                <w:w w:val="81"/>
              </w:rPr>
            </w:pPr>
            <w:hyperlink w:anchor="page82">
              <w:r>
                <w:rPr>
                  <w:rFonts w:ascii="Arial" w:cs="Arial" w:eastAsia="Arial" w:hAnsi="Arial"/>
                  <w:sz w:val="18"/>
                  <w:szCs w:val="18"/>
                  <w:color w:val="0000EE"/>
                  <w:w w:val="81"/>
                </w:rPr>
                <w:t>F-1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References to Assembly Biosciences, Inc.</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this Annual Report on Form 10-K, the “Company,” “Assembly,” “we,” “us,” and “our,” except where the context requires otherwise, refer to Assembly Biosciences, Inc. and its consolidated subsidiaries, and “our board of directors” refers to the board of directors of Assembly Biosciences,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Such forward-looking statements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98"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nonclinical studies and clinical studies, and our research and development programs;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clinical and therapeutic potential of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approaches to therapeutic intervention;</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existing collaborations and our ability to establish and maintain collaborations, including with Allergan Pharmaceuticals International Limited;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 candidates and technology;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for our product candidates, if approved, and their clinical utility;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including in territories outside the United States;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recruit key personnel;</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international operations;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spacing w:after="0" w:line="279"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clinical-stage biotechnology company advancing two innovative programs: a novel class of oral therapeutic candidates for the treatment of chronic hepatitis B virus (HBV) infection and a novel class of oral live microbial biotherapeutic candidates, which are designed to treat disorders associated with the microbiome.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250 million people worldwide are chronically infected with HBV. Our HBV Cure program is pursuing multiple drug candidates designed to inhibit the HBV lifecycle and block the generation of covalently closed circular DNA (cccDNA), with the aim of increasing the current low cure rate for patients with HBV. We have discovered several novel core inhibitors, which are small molecules that directly target and allosterically modulate the HBV core (HBc) protein.</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there has been increasing scientific evidence suggesting the therapeutic potential of the human microbiome—the billions of microbes living in and on people-to impact health and disease. Our Microbiome program builds upon experience reported in the literature of successfully treating various disease indications with fecal microbiota transplants (FMT) and seeks to provide a pharmacologically relevant therapy using a “drug like” approach that delivers targeted and specific microbiome therapies in an oral capsule.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focused on enhancing the health and well-being of patients with chronic HBV infection and diseases associated with the microbiome. This commitment drives our efforts to forge a new and differentiated path to treating these conditions, inspired by the needs of millions of affected patients. We are pursuing a portfolio of novel core inhibitors with potential to substantially increase the cure rates of treated HBV patients and a novel class of oral live biotherapeutics designed to provide therapeutic benefit through local and systemic effects. We intend to progress our HBV Cure and Microbiome programs internally or using a variety of strategic arrangements, which may include collaborations, licenses, partnerships and other types of business arrangements. In January 2017, we entered into a Research, Development, Collaboration and License Agreement (the Collaboration Agreement) with Allergan Pharmaceuticals International Limited (Allergan) to develop and commercialize select microbiome gastrointestinal disease therapies. Pursuant to the terms of the Collaboration Agreement, we received from Allergan an upfront payment of $50.0 million in February 2017. Additionally, we are eligible to receive up to approximately $631.0 million in development milestone payments and up to approximately $2.14 billion in commercial development and sales milestone payments contingent upon the successful development and commercialization of licensed compounds for up to six different indications in the gastrointestinal (GI) therapeutic field. We are also eligible to receive tiered royalties at rates ranging from the mid-single digits to the mid-teens based on net sales.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Cure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goal of our HBV Cure program is to substantially increase cure rates for those chronically infected with HBV. HBV is a leading global cause of chronic liver disease and liver transplants. The Centers for Disease Control (CDC) estimates that over 250 million people worldwide are infected with HBV. According to the World Health Organization (WHO), 887,000 people died in 2015 as a result of HBV, mostly from complications, including cirrhosis and hepatocellular carcinoma. HBV is a global epidemic and infects more than twice the number of people infected with hepatitis C virus and HIV infections combined, according to the WHO as of the end of 2018. According to the WHO, as of 2016, of the over 250 million people living with HBV infection, only 27 million were aware of their infection, and only 4.5 million of those diagnosed received treatment. Few treated patients exhibit cure, defined herein as sustained viral suppression (more than six months) of HBV DNA (less than the lower limit of quantification (LLOQ)) after a finite duration of therapy. Despite the low rates of treatment and cure, the current market for nucleos(t)ide reverse transcriptase inhibitors (NrtIs) to treat HBV in the United States, Europe, China, Japan and South Korea was estimated to be approximately $2 billion in 2018. If new therapies can improve cure rates, we believe the market could grow substantially due to an increase in the number of HBV patients expected to seek the new therapies.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Current Treatments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Current therapeutic options for HBV include:</w:t>
      </w:r>
    </w:p>
    <w:p>
      <w:pPr>
        <w:spacing w:after="0" w:line="181" w:lineRule="exact"/>
        <w:rPr>
          <w:sz w:val="20"/>
          <w:szCs w:val="20"/>
          <w:color w:val="auto"/>
        </w:rPr>
      </w:pPr>
    </w:p>
    <w:p>
      <w:pPr>
        <w:jc w:val="both"/>
        <w:ind w:left="880" w:hanging="440"/>
        <w:spacing w:after="0" w:line="25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Direct Acting Antiviral medications (Nucelos(t)ide analogs). </w:t>
      </w:r>
      <w:r>
        <w:rPr>
          <w:rFonts w:ascii="Arial" w:cs="Arial" w:eastAsia="Arial" w:hAnsi="Arial"/>
          <w:sz w:val="18"/>
          <w:szCs w:val="18"/>
          <w:color w:val="auto"/>
        </w:rPr>
        <w:t>Several antiviral medications-including lamivudine (Epivir®), adefovir</w:t>
      </w:r>
      <w:r>
        <w:rPr>
          <w:rFonts w:ascii="Arial" w:cs="Arial" w:eastAsia="Arial" w:hAnsi="Arial"/>
          <w:sz w:val="18"/>
          <w:szCs w:val="18"/>
          <w:b w:val="1"/>
          <w:bCs w:val="1"/>
          <w:color w:val="auto"/>
        </w:rPr>
        <w:t xml:space="preserve"> </w:t>
      </w:r>
      <w:r>
        <w:rPr>
          <w:rFonts w:ascii="Arial" w:cs="Arial" w:eastAsia="Arial" w:hAnsi="Arial"/>
          <w:sz w:val="18"/>
          <w:szCs w:val="18"/>
          <w:color w:val="auto"/>
        </w:rPr>
        <w:t>(Hepsera®), telbivudine (Tyzeka®), tenofovir alafenamide (Vemlidy®), tenofovir disoproxil fumarate (Viread®) and entecavir (Baraclude®)-effectively reduce circulating virus levels by inhibiting reverse transcription. Chronic therapy with these agents can result in reduced liver inflammation and fibrosis. Unfortunately, these are rarely curative, even after years of therapy, and viral replication resumes when therapy is stopped.</w:t>
      </w:r>
    </w:p>
    <w:p>
      <w:pPr>
        <w:spacing w:after="0" w:line="143" w:lineRule="exact"/>
        <w:rPr>
          <w:rFonts w:ascii="Arial" w:cs="Arial" w:eastAsia="Arial" w:hAnsi="Arial"/>
          <w:sz w:val="18"/>
          <w:szCs w:val="18"/>
          <w:color w:val="auto"/>
        </w:rPr>
      </w:pPr>
    </w:p>
    <w:p>
      <w:pPr>
        <w:jc w:val="both"/>
        <w:ind w:left="880" w:hanging="440"/>
        <w:spacing w:after="0" w:line="314"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Pegylated Interferon alfa (PegIFN-a). </w:t>
      </w:r>
      <w:r>
        <w:rPr>
          <w:rFonts w:ascii="Arial" w:cs="Arial" w:eastAsia="Arial" w:hAnsi="Arial"/>
          <w:sz w:val="16"/>
          <w:szCs w:val="16"/>
          <w:color w:val="auto"/>
        </w:rPr>
        <w:t>This synthetic version of a substance produced by the body to fight infection is used mainly for people</w:t>
      </w:r>
      <w:r>
        <w:rPr>
          <w:rFonts w:ascii="Arial" w:cs="Arial" w:eastAsia="Arial" w:hAnsi="Arial"/>
          <w:sz w:val="16"/>
          <w:szCs w:val="16"/>
          <w:b w:val="1"/>
          <w:bCs w:val="1"/>
          <w:color w:val="auto"/>
        </w:rPr>
        <w:t xml:space="preserve"> </w:t>
      </w:r>
      <w:r>
        <w:rPr>
          <w:rFonts w:ascii="Arial" w:cs="Arial" w:eastAsia="Arial" w:hAnsi="Arial"/>
          <w:sz w:val="16"/>
          <w:szCs w:val="16"/>
          <w:color w:val="auto"/>
        </w:rPr>
        <w:t>infected with HBV who do not want to undergo long-term treatment (e.g., patients who might want to become pregnant within a few years). It is administered by injection. Cure rates are relatively low and side effects may be severe, including flu-like symptoms and depression.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HBV Cure Program Focus: Targeting HBV Core Protein to Achieve a Cure using Core Inhibitors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HBV research team is working on discovering and developing core inhibitors with the potential to inhibit the functional activities of HBV at multiple points in the viral lifecycle. Core protein is involved in several steps of the HBV lifecycle and is essential for HBV’s continued regeneration and prolonged survival. In addition to inhibiting viral replication in clinical studies, core inhibitors have been shown to inhibit the generation of closed circular covalent DNA (cccDNA) in preclinical assays.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HBV is a DNA virus that infects hepatocytes and establishes a reservoir of cccDNA, a unique DNA moiety that resides in the cell nucleus of HBV-infected cells and is associated with viral persistence and chronic infection. No current oral therapies target cccDNA activity directly, which makes molecules that can modulate cccDNA generation highly sought in the HBV field. A key focus of our HBV Cure program is targeting the core protein, a highly conserved viral structural protein that has no human homologue and is involved in numerous aspects of the HBV lifecycle, including the generation of the viral cccDNA. We have discovered several chemically distinct series of core inhibitors, which are small molecules that directly target and allosterically inhibit core protein functions. Our HBV pipeline therefore offers the potential for both first in class and best in class opportunities for developing agents that target critical steps involved in cccDNA generation and the viral lifecycle. We believe that our approach of targeting viral core protein and its related functions provides a promising foundation for substantially improving cure rates for HBV infection.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benchmark for therapeutic agents aiming to decrease cccDNA levels is the use of several key viral antigens as surrogate biomarkers of active cccDNA. The same biomarkers can be used in both primary human hepatocyte cells and patients. On this basis, our core inhibitors have shown preclinical proof of principle. In a variety of cell culture models, core inhibitors have demonstrated the ability to reduce production of viral HBV DNA levels as well as the surrogate markers for cccDNA establishment: HBV e antigen (HBeAg), HBV core related antigen (HBcrAg), HBV surface antigen (HBsAg) and viral pre-genomic RNA (pgRNA). Long-term clinical data from some patients treated with our lead HBV core inhibitor product candidate, ABI-H0731 (731), and NrtI therapy for 16 to 60 weeks has demonstrated a correlation between greater than 3 log reductions in HBV pgRNA levels with multi-log reductions in HBeAg, HBcrAg and HBsAg in patients with HBeAg-positive chronic HBV.</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goal of our HBV Cure program is to substantially increase cure rates for patients with chronic HBV infection, patients are our first priority. If our product candidates result in improvements to the current standard of care with potential benefit for patients, we would expect to continue to progress them through clinical development and the regulatory approval process for a chronic suppressive indication while continuing to pursue a finite treatment indication with higher cure rates for patients with chronic HBV infection.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clinical strategy encompasses testing core inhibitors first as a monotherapy in Phase 1, as required by regulatory agencies, to demonstrate their intrinsic antiviral activity and subsequently in Phase 2 in combination with other classes of HBV therapies.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i w:val="1"/>
          <w:iCs w:val="1"/>
          <w:color w:val="auto"/>
        </w:rPr>
        <w:t>ABI-H0731</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at the American Association for the Study of Liver Diseases Annual Meeting (The Liver Meeting®), we presented final 24-week data from HBeAg-positive patients enrolled in our Phase 2 studies of 731, our lead HBV core inhibitor product candidate—ABI-H0731-201 (Study 201 in NrtI-suppressed patients) and ABI-H0731-202 (Study 202 NrtI-naïve patients). In addition, we presented interim data from an ongoing open-label extension study ABI-H0731-211 (Study 211), where all patients received a combination of 731 and NrtI therapy.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analysis, of the 97 patients completing Study 201 or Study 202, 87 were currently receiving a combination of 731 and NrtI therapy and had been treated for at least 16 weeks in Study 211 (cumulative duration of treatment with 731 and NrtI therapy of 16 to more than 40 weeks). 731 was well-tolerated when administered in combination with NrtI therapy with no patients discontinuing treatment due to adverse events (AEs).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previously reported in the literature, the vast majority of long-term NrtI treated HBeAg-positive patients continue to have low level infectious virus, which was confirmed in Study 201 patients at the time of their enrollment. Final Week 24 results from the HBeAg-positive patients (n=47) demonstrated that, among those with detectable HBV DNA at baseline, 22 out of 27 (81%) of patients treated with 731 and NrtI therapy achieved target not detected (TND) by Week 24 compared to zero out of 12 (0%) patients treated with NrtI therapy only (p&lt;0.001), as measured with a highly sensitive PCR assay (LLOQ 5 = IU/mL). These results indicate that the addition of 731 to ongoing NrtI therapy reduced viral burden to levels not achieved by NrtI therapy alone.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 Week 24 results from treatment-naïve HBeAg-positive patients in Study 202 (n=25) demonstrated faster and deeper HBV DNA declines in patients receiving 731 and entecavir (ETV) than those receiving ETV alone. Statistically significant reductions of pgRNA were observed by Week 2 with 731 and ETV (p&lt;0.001).</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Longer-term treatment with 731 and NrtI therapy resulted in deeper reductions in HBV DNA and pgRNA. In the analysis, 21 out of 25 patients from Study 202 who were in treatment in Study 211 demonstrated mean HBV DNA and pgRNA declines from baseline of 6.3 logs and 3.0 logs, respectively, at Week 48. Of the 27 NrtI-suppressed HBeAg-positive patients who had received 731 and NrtI therapy for at least 40 weeks in Study 201 and were on treatment in Study 211, 18 (67%) achieved HBV DNA TND + pgRNA less than 35 U/mL, along with significant declines in HBeAg and HBcrAg levels in some of these patients.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important finding based on interim data from Study 211 is the observed correlation between pgRNA and viral antigens. Eleven out of 21 (52%) patients from Study 202 that are now on Study 211 who have been treated with 731 and NrtI therapy for 16 to 60 weeks have achieved decreases in pgRNA of greater than 3 logs. The results in the table below demonstrate that these larger declines in pgRNA were associated with observed reductions in viral antigens. As cccDNA is the only known source of pgRNA, significant declines in pgRNA, coupled with multi-log declines in viral antigens in some patients, suggests that cccDNA pool levels may be decreasing.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&lt;40 U/L</w:t>
            </w: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Log</w:t>
            </w:r>
            <w:r>
              <w:rPr>
                <w:rFonts w:ascii="Arial" w:cs="Arial" w:eastAsia="Arial" w:hAnsi="Arial"/>
                <w:sz w:val="12"/>
                <w:szCs w:val="12"/>
                <w:b w:val="1"/>
                <w:bCs w:val="1"/>
                <w:color w:val="auto"/>
                <w:w w:val="89"/>
              </w:rPr>
              <w:t>10</w:t>
            </w:r>
            <w:r>
              <w:rPr>
                <w:rFonts w:ascii="Arial" w:cs="Arial" w:eastAsia="Arial" w:hAnsi="Arial"/>
                <w:sz w:val="14"/>
                <w:szCs w:val="14"/>
                <w:b w:val="1"/>
                <w:bCs w:val="1"/>
                <w:color w:val="auto"/>
                <w:w w:val="89"/>
              </w:rPr>
              <w:t xml:space="preserve"> Decrease</w:t>
            </w:r>
          </w:p>
        </w:tc>
        <w:tc>
          <w:tcPr>
            <w:tcW w:w="41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Mean Log Reductions at Last Time Point (range)</w:t>
            </w:r>
          </w:p>
        </w:tc>
        <w:tc>
          <w:tcPr>
            <w:tcW w:w="36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Patients Exhibiting ≥0.5 Log Decline (%)</w:t>
            </w:r>
          </w:p>
        </w:tc>
      </w:tr>
      <w:tr>
        <w:trPr>
          <w:trHeight w:val="142"/>
        </w:trPr>
        <w:tc>
          <w:tcPr>
            <w:tcW w:w="10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Patients</w:t>
            </w:r>
          </w:p>
        </w:tc>
        <w:tc>
          <w:tcPr>
            <w:tcW w:w="9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ALT</w:t>
            </w:r>
          </w:p>
        </w:tc>
        <w:tc>
          <w:tcPr>
            <w:tcW w:w="17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6"/>
              </w:rPr>
              <w:t>pgRNA</w:t>
            </w:r>
          </w:p>
        </w:tc>
        <w:tc>
          <w:tcPr>
            <w:tcW w:w="140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HBeAg</w:t>
            </w:r>
          </w:p>
        </w:tc>
        <w:tc>
          <w:tcPr>
            <w:tcW w:w="138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5"/>
              </w:rPr>
              <w:t>HBcrAg</w:t>
            </w: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HBsAg</w:t>
            </w:r>
          </w:p>
        </w:tc>
        <w:tc>
          <w:tcPr>
            <w:tcW w:w="120" w:type="dxa"/>
            <w:vAlign w:val="bottom"/>
          </w:tcPr>
          <w:p>
            <w:pPr>
              <w:spacing w:after="0"/>
              <w:rPr>
                <w:sz w:val="12"/>
                <w:szCs w:val="12"/>
                <w:color w:val="auto"/>
              </w:rPr>
            </w:pPr>
          </w:p>
        </w:tc>
        <w:tc>
          <w:tcPr>
            <w:tcW w:w="1260" w:type="dxa"/>
            <w:vAlign w:val="bottom"/>
            <w:tcBorders>
              <w:top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HBeAg</w:t>
            </w:r>
          </w:p>
        </w:tc>
        <w:tc>
          <w:tcPr>
            <w:tcW w:w="1240" w:type="dxa"/>
            <w:vAlign w:val="bottom"/>
            <w:tcBorders>
              <w:top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HBcrAg</w:t>
            </w:r>
          </w:p>
        </w:tc>
        <w:tc>
          <w:tcPr>
            <w:tcW w:w="1100" w:type="dxa"/>
            <w:vAlign w:val="bottom"/>
            <w:tcBorders>
              <w:top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HBsAg</w:t>
            </w:r>
          </w:p>
        </w:tc>
      </w:tr>
      <w:tr>
        <w:trPr>
          <w:trHeight w:val="142"/>
        </w:trPr>
        <w:tc>
          <w:tcPr>
            <w:tcW w:w="92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89"/>
              </w:rPr>
              <w:t>11</w:t>
            </w:r>
          </w:p>
        </w:tc>
        <w:tc>
          <w:tcPr>
            <w:tcW w:w="1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rPr>
              <w:t>10</w:t>
            </w:r>
          </w:p>
        </w:tc>
        <w:tc>
          <w:tcPr>
            <w:tcW w:w="100" w:type="dxa"/>
            <w:vAlign w:val="bottom"/>
            <w:tcBorders>
              <w:top w:val="single" w:sz="8" w:color="CFF0FC"/>
            </w:tcBorders>
            <w:shd w:val="clear" w:color="auto" w:fill="CFF0FC"/>
          </w:tcPr>
          <w:p>
            <w:pPr>
              <w:spacing w:after="0"/>
              <w:rPr>
                <w:sz w:val="12"/>
                <w:szCs w:val="12"/>
                <w:color w:val="auto"/>
              </w:rPr>
            </w:pPr>
          </w:p>
        </w:tc>
        <w:tc>
          <w:tcPr>
            <w:tcW w:w="156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3"/>
              </w:rPr>
              <w:t>&gt;3.0</w:t>
            </w:r>
          </w:p>
        </w:tc>
        <w:tc>
          <w:tcPr>
            <w:tcW w:w="14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5"/>
              </w:rPr>
              <w:t>1.03 (0.0-2.5)</w:t>
            </w:r>
          </w:p>
        </w:tc>
        <w:tc>
          <w:tcPr>
            <w:tcW w:w="12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2"/>
              </w:rPr>
              <w:t>1.42 (0.0-3.1)</w:t>
            </w:r>
          </w:p>
        </w:tc>
        <w:tc>
          <w:tcPr>
            <w:tcW w:w="12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2"/>
              </w:rPr>
              <w:t>0.86 (0.0-3.6)</w:t>
            </w:r>
          </w:p>
        </w:tc>
        <w:tc>
          <w:tcPr>
            <w:tcW w:w="12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2"/>
              </w:rPr>
              <w:t>9 (82)</w:t>
            </w:r>
          </w:p>
        </w:tc>
        <w:tc>
          <w:tcPr>
            <w:tcW w:w="14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w:t>
            </w:r>
          </w:p>
        </w:tc>
        <w:tc>
          <w:tcPr>
            <w:tcW w:w="62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4"/>
                <w:szCs w:val="14"/>
                <w:color w:val="auto"/>
              </w:rPr>
              <w:t>(91)</w:t>
            </w:r>
          </w:p>
        </w:tc>
        <w:tc>
          <w:tcPr>
            <w:tcW w:w="12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2"/>
              </w:rPr>
              <w:t>6 (55)</w:t>
            </w: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1"/>
              </w:rPr>
              <w:t>2.0-3.0</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0.34 (0.1-0.7)</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2"/>
              </w:rPr>
              <w:t>0.45 (0.1-1.0)</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2"/>
              </w:rPr>
              <w:t>0.14 (0.0-0.5)</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2"/>
              </w:rPr>
              <w:t>2 (25)</w:t>
            </w:r>
          </w:p>
        </w:tc>
        <w:tc>
          <w:tcPr>
            <w:tcW w:w="1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6 (75)</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1 (13)</w:t>
            </w:r>
          </w:p>
        </w:tc>
      </w:tr>
      <w:tr>
        <w:trPr>
          <w:trHeight w:val="149"/>
        </w:trPr>
        <w:tc>
          <w:tcPr>
            <w:tcW w:w="92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76"/>
              </w:rPr>
              <w:t>2</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3"/>
              </w:rPr>
              <w:t>&lt;2.0</w:t>
            </w: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0.15 (0.9-1.8)</w:t>
            </w: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0.29 (0.3-0.3)</w:t>
            </w: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0.17 (0.0-0.3)</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0"/>
              </w:rPr>
              <w:t>0 (0)</w:t>
            </w: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0"/>
              </w:rPr>
              <w:t>0 (0)</w:t>
            </w:r>
          </w:p>
        </w:tc>
      </w:tr>
    </w:tbl>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the final summary of safety findings in Study 201 and Study 202, 731 when administered with a NrtI therapy for 24 weeks was well-tolerated in both HBeAg-positive and -negative patients with no AEs leading to discontinuation, no Grade 3 or 4 AEs and no serious AEs reported. Five patients receiving 731 and NrtI reported a rash (four Grade 1 and one Grade 2). No associated systemic signs or laboratory abnormalities were observed, and all patients continued treatment through Week 24. Overall, laboratory abnormalities observed were of Grade 1 or 2 severity and occurred in similar proportions of patients across the two treatment groups. With longer-term ongoing treatment in Study 211, interim data indicated that the nature, frequency and severity of AEs and laboratory abnormalities observed were similar to those observed during the initial 24-week treatment period. Study 211 is ongoing, and we expect to continue to report interim, as well as final, data from this study.</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Final data from our completed Phase 1a (ABI-H0731-102) PK, safety and tolerability study and Phase 1b (ABI-H0731-101b) study presented at the Annual Meeting of the European Association for the Study of the Liver (EASL) in April 2018 showed antiviral activity observed across all patient cohorts. In the 300 mg dose cohort, the mean maximal declines from baseline were reported as ≥2.8* log</w:t>
      </w:r>
      <w:r>
        <w:rPr>
          <w:rFonts w:ascii="Arial" w:cs="Arial" w:eastAsia="Arial" w:hAnsi="Arial"/>
          <w:sz w:val="13"/>
          <w:szCs w:val="13"/>
          <w:color w:val="auto"/>
        </w:rPr>
        <w:t>10</w:t>
      </w:r>
      <w:r>
        <w:rPr>
          <w:rFonts w:ascii="Arial" w:cs="Arial" w:eastAsia="Arial" w:hAnsi="Arial"/>
          <w:sz w:val="16"/>
          <w:szCs w:val="16"/>
          <w:color w:val="auto"/>
        </w:rPr>
        <w:t xml:space="preserve"> IU/mL after 28 days, with ≥2.9 and 2.5* log</w:t>
      </w:r>
      <w:r>
        <w:rPr>
          <w:rFonts w:ascii="Arial" w:cs="Arial" w:eastAsia="Arial" w:hAnsi="Arial"/>
          <w:sz w:val="13"/>
          <w:szCs w:val="13"/>
          <w:color w:val="auto"/>
        </w:rPr>
        <w:t>10</w:t>
      </w:r>
      <w:r>
        <w:rPr>
          <w:rFonts w:ascii="Arial" w:cs="Arial" w:eastAsia="Arial" w:hAnsi="Arial"/>
          <w:sz w:val="16"/>
          <w:szCs w:val="16"/>
          <w:color w:val="auto"/>
        </w:rPr>
        <w:t xml:space="preserve"> IU/mL mean declines in HBeAg positive and negative patients, respectively. Maximal viral load declines of 3.6 to 4.0 log</w:t>
      </w:r>
      <w:r>
        <w:rPr>
          <w:rFonts w:ascii="Arial" w:cs="Arial" w:eastAsia="Arial" w:hAnsi="Arial"/>
          <w:sz w:val="13"/>
          <w:szCs w:val="13"/>
          <w:color w:val="auto"/>
        </w:rPr>
        <w:t>10</w:t>
      </w:r>
      <w:r>
        <w:rPr>
          <w:rFonts w:ascii="Arial" w:cs="Arial" w:eastAsia="Arial" w:hAnsi="Arial"/>
          <w:sz w:val="16"/>
          <w:szCs w:val="16"/>
          <w:color w:val="auto"/>
        </w:rPr>
        <w:t xml:space="preserve"> IU/mL were observed in HBeAg negative patients treated at all dose levels (100 mg to 400 mg). Mean pgRNA reductions observed in the 300 mg dose cohort were 2.3 log</w:t>
      </w:r>
      <w:r>
        <w:rPr>
          <w:rFonts w:ascii="Arial" w:cs="Arial" w:eastAsia="Arial" w:hAnsi="Arial"/>
          <w:sz w:val="13"/>
          <w:szCs w:val="13"/>
          <w:color w:val="auto"/>
        </w:rPr>
        <w:t>10</w:t>
      </w:r>
      <w:r>
        <w:rPr>
          <w:rFonts w:ascii="Arial" w:cs="Arial" w:eastAsia="Arial" w:hAnsi="Arial"/>
          <w:sz w:val="16"/>
          <w:szCs w:val="16"/>
          <w:color w:val="auto"/>
        </w:rPr>
        <w:t xml:space="preserve"> IU/mL over 28 days. We believe the observed reductions in pgRNA levels are a distinguishing feature of this class of inhibitors compared to standard of care NrtI therapy.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Across all cohorts in the Phase 1a and Phase 1b studies, 731 was generally well-tolerated. No serious adverse effects or dose-limiting toxicities were identified, and there was no pattern of treatment emergent clinical or laboratory abnormalities observed. With the exception of an isolated Grade 3 rash at the 400 mg dose that resolved with no intervention required other than treatment discontinuation, there were no other Grade 3 or Grade 4 AEs, and no other drug discontinuations have occurred in these studies.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ABI-H2158</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ABI-H2158 (2158), our second product candidate in the HBV Cure program, is internally discovered and developed and is chemically distinct from 731. In preclinical studies, 2158 has demonstrated increased potency compared to 731, particularly related to prevention of cccDNA generation. In November 2018, we initiated a Phase 1a/1b dose-ranging clinical study of 2158 to assess the safety, tolerability and PK of 2158 in healthy volunteers and then subsequently assess the safety, tolerability, PK and initial antiviral potency in non-cirrhotic patients with chronic HBV infection.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presented final data from the Phase 1a portion of the Phase 1a/1b dose-ranging clinical study at the Annual Meeting of the EASL in April 2019. The Phase 1a study assessed safety, tolerability and PK in 48 healthy volunteers. 2158 was well tolerated following single and multiple ascending doses. There were no dose dependent treatment-emergent AEs and no pattern of clinical safety or laboratory abnormalities observed within or across any cohorts. Once daily administration is projected to result in trough liver concentrations in excess of the in vitro EC50 of 334 nM at which cccDNA establishment is inhibited by 50%.</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initiated the Phase 1b dose-ranging portion of this study in April 2019 to assess the safety, PK and antiviral activity of 2158 in patients with chronic HBV infection.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at The Liver Meeting®, we reported interim data from the first, low-dose cohort of the Phase 1b portion of the Phase 1a/1b dose-ranging clinical study, which is currently enrolling HBeAg-positive patients in sequential dose cohorts of nine patients, with each cohort randomized to receive oral 2158 or placebo (7:2) once daily for 14 days. The interim data from the initial cohort receiving the lowest dose of 2158 at 100 mg demonstrated potent antiviral activity at this initial dose level, reflected by mean declines from baseline to day 15 of 2.3 log</w:t>
      </w:r>
      <w:r>
        <w:rPr>
          <w:rFonts w:ascii="Arial" w:cs="Arial" w:eastAsia="Arial" w:hAnsi="Arial"/>
          <w:sz w:val="15"/>
          <w:szCs w:val="15"/>
          <w:color w:val="auto"/>
        </w:rPr>
        <w:t>10</w:t>
      </w:r>
      <w:r>
        <w:rPr>
          <w:rFonts w:ascii="Arial" w:cs="Arial" w:eastAsia="Arial" w:hAnsi="Arial"/>
          <w:sz w:val="18"/>
          <w:szCs w:val="18"/>
          <w:color w:val="auto"/>
        </w:rPr>
        <w:t xml:space="preserve"> [range 1.7 – 3.0] and 2.1 log</w:t>
      </w:r>
      <w:r>
        <w:rPr>
          <w:rFonts w:ascii="Arial" w:cs="Arial" w:eastAsia="Arial" w:hAnsi="Arial"/>
          <w:sz w:val="15"/>
          <w:szCs w:val="15"/>
          <w:color w:val="auto"/>
        </w:rPr>
        <w:t>10</w:t>
      </w:r>
      <w:r>
        <w:rPr>
          <w:rFonts w:ascii="Arial" w:cs="Arial" w:eastAsia="Arial" w:hAnsi="Arial"/>
          <w:sz w:val="18"/>
          <w:szCs w:val="18"/>
          <w:color w:val="auto"/>
        </w:rPr>
        <w:t xml:space="preserve"> [range 1.5 – 2.7] in HBV DNA and pgRNA, respectively.</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 serious AEs, dose limiting toxicities or premature discontinuations have been reported to date. All AEs were Grade 1. One patient assigned to placebo and three patients on 2158 reported AEs that resolved without intervention (dizziness, fatigue, rash, headache and upper abdominal pain). Observed steady-state exposures were in excess of the EC90 for in vitro antiviral and cccDNA assays. We believe that the safety and PK data and parameters from this interim analysis support once daily administration and the continued evaluation of 2158 across the planned dose cohorts in patients with chronic HBV infection. Following completion of the Phase 1b dose-ranging study, we expect to initiate a Phase 2 clinical study in the second quarter of 2020.</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ABI-H3733</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ABI-H3733 (3733), our third product candidate in the HBV Cure program, has completed Investigational New Drug (IND) enabling studies. 3733 has a novel chemical scaffold separate from both 731 and 2158. We presented a preclinical profile of this candidate at EASL in April 2019. In preclinical studies, 3733 demonstrated potent inhibitory activity against multiple steps in the HBV infection cycle, particularly those relating to cccDNA generation. 3733 has shown favorable physical properties and PK profile in multiple species, along with a low drug-drug interaction potential. In preclinical mechanism of action studies, 3733 has shown enhanced potency in blocking encapsidation of pgRNA and disruption of pre-formed capsids as compared to our other product candidates, and in premature disassembly during trafficking of relaxed circular (rc) DNA containing capsids to the nucleus during infection. 3733 inhibited cccDNA formation with an EC50 of 125 nM. 3733’s enhanced potency and favorable preclinical results support advancement into Phase 1a studies, which we expect to initiate in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81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45" w:lineRule="exact"/>
        <w:rPr>
          <w:sz w:val="20"/>
          <w:szCs w:val="20"/>
          <w:color w:val="auto"/>
        </w:rPr>
      </w:pPr>
    </w:p>
    <w:p>
      <w:pPr>
        <w:ind w:left="440" w:right="4240" w:hanging="432"/>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Excludes one subject found to have pre-existing core inhibitor resistance substitutions at baseline. </w:t>
      </w:r>
      <w:r>
        <w:rPr>
          <w:rFonts w:ascii="Arial" w:cs="Arial" w:eastAsia="Arial" w:hAnsi="Arial"/>
          <w:sz w:val="18"/>
          <w:szCs w:val="18"/>
          <w:i w:val="1"/>
          <w:iCs w:val="1"/>
          <w:color w:val="auto"/>
        </w:rPr>
        <w:t>Additional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plan to conduct additional research and development to identify additional product candidates for our HBV Cure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License Agreement and Intellectual Property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Indiana University Research and Technology Corporation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2013, we entered into an exclusive license agreement (the IURTC License Agreement) with Indiana University Research and Technology Corporation (IURTC) pursuant to which we acquired, with rights to sublicense, the rights to develop and commercialize products associated with multiple patents and patent applications covering aspects of our HBV program held by IURTC. As part of this agreement, we are obligated to make milestone payments based upon the successful accomplishment of clinical and regulatory milestones. The aggregate amount of all performance milestone payments under the IURTC License Agreement, should all performance milestones through development be met, is $0.8 million, with a portion related to the first performance milestone having been paid. Under the IURTC License Agreement, we are also obligated to pay IURTC royalties based on net sales of the licensed technology ranging from 0.5% to 1.75%. In addition, under the IURTC License Agreement, we pay annual diligence maintenance fees of $0.1 million. Milestone payments received by IURTC are fully creditable against the annual diligence maintenance fee for the year in which the milestone payments are received.</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IURTC License Agreement may be terminated by us, with or without cause, upon 90 days advance written notice, by IURTC upon our material breach with 60 days advance written notice or by IURTC, in certain cases, upon our insolvency or bankruptcy immediately upon written notice.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Intellectual property</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regard to our HBV patent estate, we co-own with and exclusively license from Indiana University two issued U.S. patents and related foreign patents and patent applications that relate to compositions of matter and methods of using 731. The issued U.S. patents are expected to expire in 2035 and 2036. In addition, we own a pending U.S. patent application and related foreign applications directed to a process for preparing 731; any patents issuing therefrom are expected to expire in 2038. We also own a provisional patent application directed to formulations of 731. Finally, we co-own and exclusively license additional pending U.S. patent applications and related foreign patent applications directed to analogs of 731.</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pending U.S. patent application and related foreign applications that relate to compositions of matter and methods of using 2158; any patents issuing therefrom are expected to expire in 2038. We also own two additional PCT patent applications directed to analogs of 2158.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own an international (PCT) patent application that relates to compositions of matter and methods of using 3733.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Microbiome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Microbiome program consists of a fully integrated platform that includes a strain isolation, identification, characterization and function based selection process, methods for strain purification and growth under conditions compliant with Good Manufacturing Practice (cGMP) requirements, and a licensed patented delivery system that we call GEMICEL®, which is designed to allow for targeted oral delivery of live biologic and conventional therapies to the lower GI tract.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ABI-M201</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completed nonclinical studies on our Microbiome program’s lead candidate, ABI-M201 (M-201). We filed an IND application in December 2018 for M201, and in February 2019, we initiated a Phase 1b human clinical study of M201 to evaluate the safety of M201 and its effects on disease activity measures in patients with mildly to moderately active ulcerative colitis (UC) and ongoing treatment with mesalamine. The study’s primary objective is safety and tolerability, and its secondary objectives focus on the effect of M201 treatment in patients with UC.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 w:name="page10"/>
    <w:bookmarkEnd w:id="9"/>
    <w:p>
      <w:pPr>
        <w:jc w:val="both"/>
        <w:spacing w:after="0" w:line="297" w:lineRule="auto"/>
        <w:rPr>
          <w:sz w:val="20"/>
          <w:szCs w:val="20"/>
          <w:color w:val="auto"/>
        </w:rPr>
      </w:pPr>
      <w:r>
        <w:rPr>
          <w:rFonts w:ascii="Arial" w:cs="Arial" w:eastAsia="Arial" w:hAnsi="Arial"/>
          <w:sz w:val="16"/>
          <w:szCs w:val="16"/>
          <w:color w:val="auto"/>
        </w:rPr>
        <w:t>The study will consist of two sequential, non-overlapping cohorts of patients, separated by intervening interim analysis. Both cohorts will involve eight weeks of study drug treatment. Interim data from the initial treatment cohort (Cohort A), consisting of 20 patents, will inform the decision to advance to the second cohort (Cohort B), consisting of 24 patients, and its dose selection. The patients in Cohort A will be randomized 1:1 to receive either one daily capsule of M201 or placebo in addition to their treatment with mesalamine. The patients in Cohort B will be randomized 3:1 to receive between one to five daily capsules of M201 or placebo in addition to their treatment with mesalamine. In June 2019, we initiated dosing of the first patient in this clinical study.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Product Candidates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Using our microbiome platform capabilities, we are also exploring additional product candidates for other disease indications, including Crohn’s disease (CD) and irritable bowel syndrome (IBS) in connection with the Collaboration Agreement, as well as immune-mediated and metabolic disorders and oncology, which indications we will pursue either internally or in collaboration with other third parties.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Allergan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6, 2017, we entered into the Collaboration Agreement to develop and commercialize select microbiome gastrointestinal programs. Pursuant to the Collaboration Agreement, we granted Allergan an exclusive worldwide license for rights to preclinical compounds M201 and ABI-M301, targeting UC and CD, respectively, as well as two additional compounds to be identified by us for IBS.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Collaboration Agreement, we and Allergan will collaborate on research and development activities with respect to the licensed compounds in accordance with a mutually agreed upon research and development plan.</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terms of the Collaboration Agreement, we received from Allergan an upfront payment of $50.0 million in February 2017. Additionally, we are eligible to receive up to approximately $631.0 million in development milestone payments and up to approximately $2.14 billion in commercial milestone payments contingent upon the successful development and commercialization of licensed compounds for up to six different indications. We are also eligible to receive tiered royalties at rates ranging from the mid-single digits to the mid-teens based on net sales. We and Allergan have agreed to share development costs up to an aggregate of $75.0 million through proof-of-concept (POC) studies on a ⅓, ⅔ basis, respectively, and Allergan has agreed to assume all post-POC development costs. In the event any pre-POC development costs exceed $75.0 million in the aggregate, we may elect either (a) to fund one-third of such costs in excess of $75.0 million or (b) to allow Allergan to deduct from future development milestone payments one-third of the development costs funded by Allergan in excess of $75.0 million plus a premium of 25%. We have an option to co-promote the licensed programs in the United States and China, subject to certain conditions set forth in the Collaboration Agreement.</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Allergan may terminate the Collaboration Agreement at any time upon either 90 days’ (prior to the initiation of the first POC trial of a licensed product) or 120 days’ (after the initiation of the first POC trial of a licensed product), as applicable, advance written notice to us. The Collaboration Agreement also contains customary provisions for termination by either party, including in the event of breach of the Collaboration Agreement, subject to cure.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and Intellectual Property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Therabiome</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November 2013, we entered into a License and Collaboration Agreement with Therabiome, LLC (Therabiome) for all intellectual property and know-how owned or controlled by Therabiome relating to the oral delivery of pharmaceutical drugs to specific sites in the intestine, using a pH-sensitive controlled release capsule-in-capsule technology. Under the agreement, Therabiome granted us the exclusive worldwide license, with rights to sublicense, to develop the intellectual property for commercialization of the use of bacteria, viruses, proteins, and small molecules by oral delivery using the licensed intellectual property in (i) gastrointestinal dysbiosis, including but not limited to irritable bowel syndrome-constipation, irritable bowel syndrome-diarrhea, inflammatory bowel disease, metabolic syndrome, type 2 diabetes, obesity and hypertension, (ii) auto-immune disorders and autism, including but not limited to as controlled by bacteria or virus, and (iii) orally delivered vaccines, including viral and bacterial, and (b) any oral delivery of small molecules using the licensed intellectual property. We are solely responsible for all research and development activities with respect to any product we develop under the license.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For each product or therapy utilizing the licensed technology for which we file a new drug application (NDA), we would be obligated to pay Therabiome aggregate clinical and U.S. regulatory milestone payments ranging from $2.6 million to $3.4 million, depending on whether the milestone occurs before we file our first NDA for a product or after our first, second or third NDA filings. Additional milestone payments of $3.0 million and $1.0 million would be due upon receipt of marketing approval by the FDA and upon approval of a supplemental NDA for a new indication in the United States, respectively.</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must pay Therabiome lesser amounts for certain foreign regulatory milestones, which vary by country and region. We also must pay Therabiome royalties on annual net product sales in the low to mid-single digit percentages plus, once annual net sales exceed two specified thresholds, a one-time cash payment upon reaching each threshold.</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agreement may be terminated by us, with or without cause, upon 90 days prior written notice, by either party upon the other party’s material breach with 180 days prior written notice or by either party upon the other party’s challenge of the validity or enforceability or any issued patent within the licensed intellectual property with 90 days prior written notice. Additionally, either party may terminate the agreement upon an event of bankruptcy with respect to the other party.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Intellectual property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regard to our microbiome patent estate, we exclusively license from Therabiome, two issued U.S. patents, two pending U.S. patent applications, ten patents granted in foreign jurisdictions including Europe, China, Hong Kong, Japan, Australia, and Canada, and related foreign patent applications that relate to a lower gastrointestinal tract-targeted oral delivery system and methods of use thereof. The issued U.S. patents are expected to expire in 2034. The pending U.S. patent applications, if or when issued, are expected to expire between 2033 and 2034. The foreign patents and any patents issuing from the foreign patent applications are expected to expire between 2033 and 2034. In addition, we own one pending U.S. non-provisional patent application and one pending PCT patent application that relates to M201. We also own six provisional patent applications that relate to additional microbiome-related compositions of matter and methods of use thereof.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own the GEMICEL® trademark used in conjunction with our licensed targeted oral delivery system.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and biological products, such as those we are developing.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approval process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United States, the FDA regulates drugs under the Federal Food, Drug, and Cosmetic Act (FDCA) and implementing regulations, and biological products under both the FDCA and the Public Health Service Act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license revocation, imposition of a clinical hold, issuance of warning letters and untitled letters, product recalls, product seizures, total or partial suspension of production or distribution, injunctions, fines, refusals of government contracts, restitution, disgorgement of profits or civil or criminal penalties.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or biological product may be marketed in the United States generally involves the following:</w:t>
      </w:r>
    </w:p>
    <w:p>
      <w:pPr>
        <w:spacing w:after="0" w:line="185" w:lineRule="exact"/>
        <w:rPr>
          <w:sz w:val="20"/>
          <w:szCs w:val="20"/>
          <w:color w:val="auto"/>
        </w:rPr>
      </w:pPr>
    </w:p>
    <w:p>
      <w:pPr>
        <w:ind w:left="8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in compliance with the FDA’s good laboratory practice (GLP) regulations, as required;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at each clinical site before each trial may be initiated;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 w:name="page12"/>
    <w:bookmarkEnd w:id="11"/>
    <w:p>
      <w:pPr>
        <w:ind w:left="88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in accordance with good clinical practices (GCP) to establish the safety and efficacy of the proposed drug or biological product for each indication;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or a biologics license application (BLA);</w:t>
      </w:r>
    </w:p>
    <w:p>
      <w:pPr>
        <w:spacing w:after="0" w:line="184"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practices (cGMP) requirements and to assure that the facilities, methods and controls are adequate to preserve the product’s identity, strength, quality and purity; and</w:t>
      </w:r>
    </w:p>
    <w:p>
      <w:pPr>
        <w:spacing w:after="0" w:line="140"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studies and IND</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Nonclinical studies include laboratory evaluation of product chemistry and formulation,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potential for adverse events and in some cases to establish a rationale for therapeutic use. The conduct of nonclinical studies is subject to federal regulations and requirements, including GLP regulations for safety/toxicology studies. An IND sponsor must submit the results of the nonclinical tests, together with manufacturing information, analytical data, any available clinical data or literature and plans for clinical studies, among other things, to the FDA as part of an IND. Some long-term nonclinical testing, such as animal tests of reproductive adverse events and carcinogenicity, may continue after the IND is submitted. For some products, the FDA may waive the need for certain nonclinical tests. An IND automatically becomes effective 30 days after receipt by the FDA, unless before that time the FDA raises concerns or questions related to one or more proposed clinical studies and places the trial on clinical hold. If an IND or clinical study is placed on clinical hold, the IND sponsor and the FDA must resolve any outstanding concerns before the clinical study can begin. As a result, submission of an IND may not result in the FDA allowing clinical studies to commence.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studies involve the administration of the investigational new drug or biological product to human subjects under the supervision of qualified investigators in accordance with GCP requirements, which include, among other things, the requirement that all research subjects provide their informed consent in writing before their participation in any clinical study. Clinical studies are conducted under written study protocols detailing, among other things, the objectives of the study, the parameters to be used in monitoring safety, and the effectiveness criteria to be evaluated. A protocol for each clinical study and any subsequent protocol amendments must be submitted to the FDA as part of the IND. In addition, an IRB at each institution participating in the clinical study must review and approve the plan for any clinical study before it commences at that institution, and the IRB must conduct continuing review. The IRB must review and approve, among other things, the study protocol and informed consent information to be provided to study subjects. An IRB must operate in compliance with FDA regulations. Information about certain clinical studies must be submitted within specific timeframes to the National Institutes of Health for public dissemination at www.clinicaltrials.gov.</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studies are typically conducted in three sequential phases, which may overlap or be combined:</w:t>
      </w:r>
    </w:p>
    <w:p>
      <w:pPr>
        <w:spacing w:after="0" w:line="185" w:lineRule="exact"/>
        <w:rPr>
          <w:sz w:val="20"/>
          <w:szCs w:val="20"/>
          <w:color w:val="auto"/>
        </w:rPr>
      </w:pPr>
    </w:p>
    <w:p>
      <w:pPr>
        <w:ind w:left="880" w:hanging="440"/>
        <w:spacing w:after="0" w:line="342"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The drug or biological product is initially introduced into healthy human subjects or patients with the target disease or condition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tested for safety, dosage tolerance, absorption, metabolism, distribution, excretion and, if possible, to gain an early indication of its effectiveness.</w:t>
      </w:r>
    </w:p>
    <w:p>
      <w:pPr>
        <w:spacing w:after="0" w:line="83" w:lineRule="exact"/>
        <w:rPr>
          <w:rFonts w:ascii="Arial" w:cs="Arial" w:eastAsia="Arial" w:hAnsi="Arial"/>
          <w:sz w:val="16"/>
          <w:szCs w:val="16"/>
          <w:color w:val="auto"/>
        </w:rPr>
      </w:pPr>
    </w:p>
    <w:p>
      <w:pPr>
        <w:ind w:left="880" w:hanging="440"/>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The drug or biological product is administered to a limited patient population to identify possible adverse effects and safety risks, to</w:t>
      </w:r>
      <w:r>
        <w:rPr>
          <w:rFonts w:ascii="Arial" w:cs="Arial" w:eastAsia="Arial" w:hAnsi="Arial"/>
          <w:sz w:val="17"/>
          <w:szCs w:val="17"/>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w:t>
      </w:r>
    </w:p>
    <w:p>
      <w:pPr>
        <w:spacing w:after="0" w:line="106"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or biological product is administered to an expanded patient population in adequate and well-controlled clinical studies to</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 sufficient data to statistically confirm the efficacy and safety of the product for approval, to establish the overall risk-benefit profile of the product and to provide adequate information for the labeling of the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both"/>
        <w:spacing w:after="0" w:line="289" w:lineRule="auto"/>
        <w:rPr>
          <w:sz w:val="20"/>
          <w:szCs w:val="20"/>
          <w:color w:val="auto"/>
        </w:rPr>
      </w:pPr>
      <w:r>
        <w:rPr>
          <w:rFonts w:ascii="Arial" w:cs="Arial" w:eastAsia="Arial" w:hAnsi="Arial"/>
          <w:sz w:val="16"/>
          <w:szCs w:val="16"/>
          <w:color w:val="auto"/>
        </w:rPr>
        <w:t xml:space="preserve">Progress reports detailing the results of the clinical studies must be submitted at least annually to the FDA. Additionally, IND safety reports must be submitted to the FDA and the investigators within 15 calendar days after determining that the information qualifies for reporting. IND safety reports are required for serious and unexpected suspected adverse reactions, findings from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or other studies that suggest a significant risk to humans, and any clinically important increase in the rate of a serious suspected adverse reaction over that listed in the protocol or investigator brochure. In addition, a sponsor must notify the FDA within seven calendar days after receiving information concerning any unexpected fatal or life-threatening suspected adverse reaction. Phase 1, Phase 2 and Phase 3 clinical studies may not be completed successfully within any specified period, or at all. Furthermore, the FDA or the sponsor may suspend or terminate a clinical study at any time on various grounds, including a finding that the research subjects are being exposed to an unacceptable health risk. Similarly, an IRB can suspend or terminate approval of a clinical study at its institution if the clinical study is not being conducted in accordance with the IRB’s requirements or if the drug or biological product has been associated with unexpected serious harm to patients.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manufacturer of an investigational drug for a serious disease or condition is required to make available, such as by posting on its website, its policy regarding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Assuming successful completion of the required clinical testing, the results of the nonclinical studies and clinical studies, together with detailed information relating to the product’s chemistry, manufacture, controls and proposed labeling, among other things, are submitted to the FDA as part of an NDA or BLA requesting approval to market the product for one or more indications. Under federal law, the submission of most NDAs and BLAs is additionally subject to a substantial application user fee, currently approximately $2.9 million and the sponsor of an approved NDA or BLA is also subject to an annual program fee currently set at approximately $0.3 million through September 30, 2020. These fees are typically adjusted on October 1 each year.</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Under these goals, the FDA has committed to review most original applications for non-priority products within ten months, and most original applications for priority review products, that is, drugs and biological products for a serious or life-threatening condition that the FDA determines represent a significant improvement over existing therapy, within six months. For NDAs for novel products and all BLAs, the ten- and six-month time periods runs from the filing date; for all other original applications, the ten- and six-month time periods run from the submission date. The review process may be extended by the FDA for three additional months to consider certain information or clarification regarding information already provided in the submission. Despite these review goals, it is not uncommon for FDA review of an NDA or BLA to extend beyond the goal date. The FDA may also refer applications for novel drugs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17"/>
          <w:szCs w:val="17"/>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and refuse to approve the NDA or BLA. Even if the FDA approves a product, it may limit the approved indications for use for the product, require that contraindications, warnings or precautions be included in the product labeling, require that post-approval studies, including Phase 4 clinical studies, be conducted to further assess a drug’s safety after approval, require testing and surveillance programs to monitor the product after commercialization, or impose other conditions, including distribution and use restrictions or other risk management mechanisms, including Risk Evaluation and Mitigation Strategies (REMS), which can materially affect the potential market and profitability of the product or impose new labeling, testing or distribution and use requirements.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designation</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FDA is required to facilitate and expedite the development and review of drugs and biological products that are intended for the treatment of a serious or life-threatening disease or condition for which there is no effective treatment and which demonstrate the potential to address unmet medical needs for the disease or condition. Under the fast track program, the sponsor of a new product candidate may request the FDA to designate the product for a specific indication as a fast track product concurrent with or after the filing of the IND for the product candidate. The FDA must determine if the product candidate qualifies for fast track designation within 60 calendar days after receipt of the sponsor’s request.</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other benefits, such as the ability to have greater interactions with the FDA, the FDA may initiate review of sections of a fast track product’s NDA or BLA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the FDA believes that the designation is no longer supported by data emerging in the clinical study process. In 2018, the FDA granted fast track designation to 731 for the treatment of patients with chronic HBV infection.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 review</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policies, a product candidate may be eligible for priority review, a review generally within a six-month time frame from the time a complete application is received or filed. Products generally are eligible for priority review if they are intended for treatment of a serious or life-threatening disease or condition and provide a significant improvement in safety or effectiveness compared to marketed products in the treatment, diagnosis or prevention of a serious disease or condition. A fast track designated product candidate would ordinarily meet the FDA’s criteria for priority review.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FDA’s accelerated approval regulations, the FDA may approve a drug or biological product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(IMM). In clinical studies,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product candidate approved on this basis is subject to rigorous post-marketing compliance requirements, including the completion of Phase 4 or post-approval clinical studies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Breakthrough therapy designation</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sponsor can request designation of a product candidate as a “breakthrough therapy.”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Drugs and biological products designated as breakthrough therapies also may be eligible for priority review. The FDA must take certain actions, such as holding timely meetings and providing advice, intended to expedite the development and review of an application for approval of a breakthrough therapy. Even if a product qualifies for one or more of these programs, the FDA may later decide that the product no longer meets the conditions for qualification or decide that the time period for FDA review or approval will not be shortened.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Orphan Drug Act, as amended, the FDA may grant orphan drug designation to drugs or biological products intended to treat a rare disease or condition, which is generally defined as a disease or condition that affects fewer than 200,000 individuals in the United States or that affects more than 200,000 individuals in the United States and for which there is no reasonable expectation that the cost of developing and making available the drug or biologic for the disease or condition will be recovered from sales of the product in the United States. Orphan drug designation must be requested before submitting an NDA or BLA. After the FDA grants orphan drug designation, the identity of the product and its potential orphan use are disclosed publicly by the FDA. Orphan drug designation does not shorten the duration of the regulatory review and approval process. The first NDA or BLA applicant to receive FDA approval for a particular active moiety to treat a particular disease with FDA orphan drug designation is entitled to a seven-year exclusive marketing period in the United States for that product and indication. During the seven-year exclusivity period, the FDA may not approve any other applications to market the same drug or biological product for the same orphan indication, except in limited circumstances, such as a showing of clinical superiority to the product with orphan drug exclusivity. A drug or biological product will be considered clinically superior if it is shown to be safer, more effective or makes a major contribution to patient care. Orphan drug exclusivity does not prevent the FDA from approving a different drug or biological product for the same orphan disease or condition, or the same drug or biological product for a different disease or condition. Among the other benefits of orphan drug designation are tax credits for certain research and a waiver of the NDA/BLA application user fee.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information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Pediatric Research Equity Act of 2003, as amended, an NDA, BLA or supplement to an NDA or BLA for drug or biological products with certain novel features (e.g., new active ingredient, new indication)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of a new drug or biological product subject to the above pediatric testing requirements also is required to submit to the FDA a pediatric study plan generally 60 days after an end-of-Phase 2 meeting with the agency. Generally, the pediatric data requirements do not apply to products with orphan drug designation.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Combination products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FDA regulates combinations of products that cross FDA centers, such as drug, biologic or medical device components that are physically, chemically or otherwise combined into a single entity, as a combination product. The FDA center with primary jurisdiction for the combination product will take the lead in the premarket review of the product, with the other center consulting or collaborating with the lead center.</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Office of Combination Products (OCP) determines which center will have primary jurisdiction for the combination product based on the combination product’s “primary mode of action.” A mode of action is the means by which a product achieves an intended therapeutic effect or action. The primary mode of action is the mode of action that provides the most important therapeutic action of the combination product, or the mode of action expected to make the greatest contribution to the overall intended therapeutic effects of the combination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Often it is difficult for the OCP to determine with reasonable certainty the most important therapeutic action of the combination product. In those difficult cases, the OCP will consider consistency with other combination products raising similar types of safety and effectiveness questions, or which center has the most expertise to evaluate the most significant safety and effectiveness questions raised by the combination product.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sponsor may use a voluntary formal process, known as a Request for Designation, when the product classification is unclear or in dispute, to obtain a binding decision as to which center will regulate the combination product. If the sponsor objects to that decision, it may request that the agency reconsider that decision.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drug or biological product manufactured or distributed by us pursuant to FDA approvals will be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FDA may impose a number of post-approval requirements, including REMS, as a condition of approval of an NDA or BLA. For example, the FDA may require post-marketing testing, including Phase 4 clinical studies, and surveillance to further assess and monitor the product’s safety and effectiveness after commercialization.</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 program. Other potential consequences include, among other things:</w:t>
      </w:r>
    </w:p>
    <w:p>
      <w:pPr>
        <w:spacing w:after="0" w:line="161"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approvals;</w:t>
      </w:r>
    </w:p>
    <w:p>
      <w:pPr>
        <w:spacing w:after="0" w:line="207" w:lineRule="exact"/>
        <w:rPr>
          <w:rFonts w:ascii="Arial" w:cs="Arial" w:eastAsia="Arial" w:hAnsi="Arial"/>
          <w:sz w:val="16"/>
          <w:szCs w:val="16"/>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biological products generally may be promoted only for the approved indications and in accordance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Additional provisions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FDA restrictions on marketing of pharmaceutical products, several other types of state and federal laws have been applied to restrict certain marketing practices in the pharmaceutical industry in recent years. These laws include anti-kickback statutes and false claims statutes. 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Violations of the anti-kickback statute are punishable by imprisonment, criminal fines, civil monetary penalties and exclusion from participation in federal healthcare programs. In addition, the Affordable Care Act provides that a claim including items or services resulting from a violation of the federal anti-kickback statute constitutes a false or fraudulent claim for purpose of the federal False Claims Act. Although there are a number of statutory exemptions and regulatory safe harbors protecting certain common activities from prosecution or other regulatory sanctions, the exemptions and safe harbors are drawn narrowly, and practices that involve remuneration intended to induce prescribing, purchases or recommendations may be subject to scrutiny if they do not qualify for an exemption or safe harbor.</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Federal false claims laws prohibit any person from knowingly presenting, or causing to be presented, a false claim for payment to the federal government, or knowingly making, or causing to be made, a false statement to have a false claim paid.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The majority of states also have statutes or regulations similar to the federal anti-kickback law and false claims laws, which apply to items and services reimbursed under Medicaid and other state programs, or, in several states, apply regardless of the payor.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Drug Samples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sales and marketing process, pharmaceutical companies frequently provide samples of approved drugs to physicians. The Prescription Drug Marketing Act (PDMA) imposes requirements and limitations upon the provision of drug samples to physicians, as well as prohibits states from licensing distributors of prescription drugs unless the state licensing program meets certain federal guidelines that include minimum standards for storage, handling and record keeping. In addition, the PDMA sets forth civil and criminal penalties for violations.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market any product outside of the United States, we would need to comply with numerous and varying regulatory requirements of other countries regarding safety and efficacy and governing, among other things, clinical studies, marketing authorization, commercial sales and distribution of our products. Whether or not we obtain FDA approval for a product, we would need to obtain the necessary approvals by the comparable regulatory authorities of foreign countries before we can commence clinical studies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and Regulations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uncertainty exists as to the coverage and reimbursement status of any drug products for which we may obtain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secure coverage and reimbursement for any product that might be approved for sale, we may need to conduct expensive pharmacoeconomic studies in order to demonstrate the medical necessity and cost-effectiveness of the product, in addition to the trials required to obtain FDA or other comparable regulatory approvals. Our product candidates may not be considered medically necessary or cost-effective. A payor’s decision to provide coverage for a drug product does not imply that an adequate reimbursement rate will be approved. Companies may also need to provide discounts to purchasers, private health plans or government healthcare programs. Third-party reimbursement may not be sufficient to enable us to maintain price levels high enough to realize an appropriate return on our investment in product development.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drug candidates that we are developing and could adversely affect our net revenue and results.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us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marketability of any products for which we may receive regulatory approval for commercial sale is dependent on the availability of adequate coverage and reimbursement from government and third-party payors. In addition, the emphasis on managed care in the United States has increased and we expect will continue to increase the pressure on drug pricing. Coverage policies, third-party reimbursement rates and drug pricing regulation may change at any time. In particular, in the United States, the Affordable Care Act and its amendment, the Health Care and Education Reconciliation Act (the ACA),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198"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(which was increased to 70% as of January 1, 2019 under the Bipartisan Budget Act of 2018 (BBA));</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and teaching hospitals;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Since its enactment, there have been many judicial, Presidential, and Congressional challenges to numerous aspects of the ACA.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the U.S. Court of Appeals for the Federal Circuit ruled that the federal government was not required to pay more than $12 billion in ACA risk corridor payments to third-party payors who argued the payments were owed to them. On December 10, 2019, the U.S. Supreme Court heard arguments in </w:t>
      </w:r>
      <w:r>
        <w:rPr>
          <w:rFonts w:ascii="Arial" w:cs="Arial" w:eastAsia="Arial" w:hAnsi="Arial"/>
          <w:sz w:val="16"/>
          <w:szCs w:val="16"/>
          <w:i w:val="1"/>
          <w:iCs w:val="1"/>
          <w:color w:val="auto"/>
        </w:rPr>
        <w:t>Moda Health Plan, Inc. v. United States</w:t>
      </w:r>
      <w:r>
        <w:rPr>
          <w:rFonts w:ascii="Arial" w:cs="Arial" w:eastAsia="Arial" w:hAnsi="Arial"/>
          <w:sz w:val="16"/>
          <w:szCs w:val="16"/>
          <w:color w:val="auto"/>
        </w:rPr>
        <w:t>, which will determine whether the government must make risk corridor payments. The U.S. Supreme Court’s</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 will be released in the coming months, but we cannot predict how the U.S. Supreme Court will rule. The effects of this gap in reimbursement on third-party payors, the viability of the ACA marketplace, providers, and potentially our business, are not yet known.</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2018, the Centers for Medicare &amp; Medicaid Services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In addition, CMS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In addition, CMS has finalized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color w:val="auto"/>
        </w:rPr>
        <w:t>The Tax Cuts and Jobs Act of 2017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Affordable Care Act,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Pending review, the ACA remains in effect, but it is unclear at this time what effect the latest ruling will have on the status of the ACA and the individual mandate. Additionally, on January 22, 2018, President Trump signed a continuing resolution on appropriations for fiscal year 2018 that delayed the implementation of certain ACA mandated fees, including the so 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however, on December 20, 2019, President Trump signed into law the Further Consolidated Appropriations Act (H.R. 1865), which repeals the Cadillac tax, the health insurance provider tax, and the medical device excise tax.</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9, 2019, the Department of Health and Human Services (HHS) Office of Inspector General proposed modifications to federal Anti-Kickback Statute safe harbors which, among other things, may affect rebates paid by manufacturers to Medicare Part D plans, the purpose of which is to further reduce the cost of drug products to consumers. Further, the BBA, among other things, amended the ACA, effective January 1, 2019, to reduce the coverage gap in most Medicare drug plans, commonly referred to as the “donut hole.” In July 2018, CMS announced that it is suspending further collections and payments to and from certain ACA-qualified health plans and health insurance issuers under the ACA risk adjustment program pending the outcome of federal district court litigation regarding the method CMS uses to determine this risk adjustment.</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aggregate reductions to Medicare payments to providers of up to 2% per fiscal year, and, due to subsequent legislative amendments, will remain in effect through 2029 unless additional Congressional action is taken.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September 25, 2019, the Senate Finance Committee introduced a bill intended to reduce Medicare and Medicaid prescription drug prices. Named the Prescription Drug Pricing Reduction Action of 2019, the proposed legislation would restructure the Part D benefit, modify payment methodologies for certain drugs, and impose an inflation cap on drug price increases. An even more restrictive bill was introduced in the House of Representatives on September 19, 2019, the Lower Drug Costs Now Act of 2019, which would require HHS to directly negotiate drug prices with manufacturers. The Lower Drugs Costs Now Act of 2019 has passed out of the House and was delivered to the Senate on December 16, 2019. It is unclear whether either of these bills will make it through both chambers and be signed into law, and if either is enacted, what effect it would have on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Anti-Kickback, False Claims, Fraud and Abuse, and Health Information Privacy and Security Laws and Regulations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These laws may impact, among other things, our proposed sales, marketing and education programs. In addition, we may be subject to patient privacy regulation by both the federal government and the states and foreign jurisdictions in which we conduct our business. The laws that may affect our ability to operate include:</w:t>
      </w:r>
    </w:p>
    <w:p>
      <w:pPr>
        <w:spacing w:after="0" w:line="148" w:lineRule="exact"/>
        <w:rPr>
          <w:sz w:val="20"/>
          <w:szCs w:val="20"/>
          <w:color w:val="auto"/>
        </w:rPr>
      </w:pPr>
    </w:p>
    <w:p>
      <w:pPr>
        <w:jc w:val="both"/>
        <w:ind w:left="880" w:hanging="440"/>
        <w:spacing w:after="0" w:line="255"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148" w:lineRule="exact"/>
        <w:rPr>
          <w:rFonts w:ascii="Arial" w:cs="Arial" w:eastAsia="Arial" w:hAnsi="Arial"/>
          <w:sz w:val="18"/>
          <w:szCs w:val="18"/>
          <w:color w:val="auto"/>
        </w:rPr>
      </w:pPr>
    </w:p>
    <w:p>
      <w:pPr>
        <w:jc w:val="both"/>
        <w:ind w:left="880" w:hanging="440"/>
        <w:spacing w:after="0" w:line="271"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 Manufacturers can be held liable under the False Claims Act even when they do not submit claims directly to government payors if they are deemed to “cause” the submission of false or fraudulent claims;</w:t>
      </w:r>
    </w:p>
    <w:p>
      <w:pPr>
        <w:spacing w:after="0" w:line="138" w:lineRule="exact"/>
        <w:rPr>
          <w:rFonts w:ascii="Arial" w:cs="Arial" w:eastAsia="Arial" w:hAnsi="Arial"/>
          <w:sz w:val="17"/>
          <w:szCs w:val="17"/>
          <w:color w:val="auto"/>
        </w:rPr>
      </w:pPr>
    </w:p>
    <w:p>
      <w:pPr>
        <w:jc w:val="both"/>
        <w:ind w:left="880" w:hanging="440"/>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24" w:lineRule="exact"/>
        <w:rPr>
          <w:rFonts w:ascii="Arial" w:cs="Arial" w:eastAsia="Arial" w:hAnsi="Arial"/>
          <w:sz w:val="16"/>
          <w:szCs w:val="16"/>
          <w:color w:val="auto"/>
        </w:rPr>
      </w:pPr>
    </w:p>
    <w:p>
      <w:pPr>
        <w:jc w:val="both"/>
        <w:ind w:left="880" w:hanging="440"/>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24"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21" w:name="page22"/>
    <w:bookmarkEnd w:id="21"/>
    <w:p>
      <w:pPr>
        <w:jc w:val="both"/>
        <w:ind w:left="880" w:hanging="440"/>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 and the Public Health Service Act (PHSA), which prohibits, among other things, the introduction into interstate commerce of a biological product unless a biologics license is in effect for that product;</w:t>
      </w:r>
    </w:p>
    <w:p>
      <w:pPr>
        <w:spacing w:after="0" w:line="140" w:lineRule="exact"/>
        <w:rPr>
          <w:rFonts w:ascii="Arial" w:cs="Arial" w:eastAsia="Arial" w:hAnsi="Arial"/>
          <w:sz w:val="18"/>
          <w:szCs w:val="18"/>
          <w:color w:val="auto"/>
        </w:rPr>
      </w:pPr>
    </w:p>
    <w:p>
      <w:pPr>
        <w:jc w:val="both"/>
        <w:ind w:left="880" w:hanging="440"/>
        <w:spacing w:after="0" w:line="27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 and</w:t>
      </w:r>
    </w:p>
    <w:p>
      <w:pPr>
        <w:spacing w:after="0" w:line="137"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regulators globally are also imposing greater monetary fines for privacy violations. The General Data Protection Regulation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also confers a private right of action on data subjects and consumer associations to lodge complaints with supervisory authorities, seek judicial remedies, and obtain compensation for damages resulting from violations.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California recently enacted the California Consumer Privacy Act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Attorney General will commence enforcement actions against violators beginning July 1, 2020. While there is currently an exception for protected health information that is subject to HIPAA and clinical trial regulations, as currently written, the CCPA may impact our business activities. The California Attorney General has proposed draft regulations, which have not been finalized to date, that may further impact our business activities if they are adopted.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pharmaceutical and biotechnology industry is very competitive, and the development and commercialization of new drugs and biologics is influenced by rapid technological developments and innovation. We face competition from several companies developing and commercializing products that will be competitive with our drug candidates, including large pharmaceutical and smaller biotechnology companies. Additionally, new entrants may potentially enter the market. For our HBV Cure program, potential competitors include Johnson &amp; Johnson, Roche, Gilead Sciences Inc., GlaxoSmithKline plc, Enanta Pharmaceuticals, Inc., HEC Pharma, Arbutus Biopharma Corp. and Aligos Therapeutics, among others. Additionally, we may face competition from currently available treatments for HBV. For our Microbiome program, our competitors include Johnson &amp; Johnson, Takeda Pharmaceutical Company Ltd, Bristol Myers Squibb Co., Seres Therapeutics, Inc., Vedanta Biosciences, Inc., Finch Therapeutics, Inc., Enterome Bioscience S.A. and Second Genome, Inc. Some of the competitive development programs from these companies may be based on scientific approaches that are similar to our approach, and others may be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 similar to ours or that otherwise target indications that we are pursuing.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rely on third-party manufacturers to supply the quantities of ABI-H0731, ABI-H2158 and ABI-H3733 used in our clinical and nonclinical studies. We currently have no plans to establish any manufacturing facilities for products for our HBV Cure program. In our Microbiome program, we currently utilize internal and third-party manufacturing to supply quantities of drug substance and drug product for use in ongoing and planned nonclinical studies. Third-party manufacturers are used to supply drug substance for early-stage clinical studies in our Microbiome program. We have transitioned third-party manufacturing of drug product to a small-scale internal manufacturing facility for early-stage clinical studies. As we advance these programs through clinical development and potential commercialization, we expect to expand our internal manufacturing capabilities for drug substance and drug product for our Microbiome program.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we had 115 employees and contracts with a number of temporary contractors, consultants and contract research organizations.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were incorporated in Delaware in October 2005 under the name South Island Biosciences, Inc. (which was changed to Ventrus Biosciences, Inc. in April 2007). On July 11, 2014, we acquired Assembly Pharmaceuticals, Inc., a private company, through a merger with our wholly owned subsidiary (the Merger). In connection with the Merger, we changed our name from Ventrus Biosciences, Inc. to Assembly Biosciences,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 is at 331 Oyster Point Blvd., Fourth Floor, South San Francisco, California 94080. Our telephone number is (833) 409-4583.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www.assemblybio.com</w:t>
      </w:r>
      <w:r>
        <w:rPr>
          <w:rFonts w:ascii="Arial" w:cs="Arial" w:eastAsia="Arial" w:hAnsi="Arial"/>
          <w:sz w:val="18"/>
          <w:szCs w:val="18"/>
          <w:color w:val="auto"/>
        </w:rPr>
        <w:t>. We routinely post, or have posted, important information for investors on our website in the “Investors” section. We use this website as a means of disclosing material information in compliance with our disclosure obligations under Regulation FD. Accordingly, investors should monitor the “Investors” section of our website, in addition to following our press releases, Securities and Exchange Commission (SEC) filings, presentations and webcasts. We make available free of charge through our website our press releases, Annual Reports on Form 10-K, Quarterly Reports on Form 10-Q, Current Reports on Form 8-K and all amendments to those reports as soon as reasonably practicable after electronically filed with or furnished to the SEC.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is not a part of, and should not be construed as being incorporated by reference, into this report.</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xml:space="preserve">The reports filed with the SEC by us and by our officers, directors and significant shareholders are available for review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financial statements and notes thereto, and in our other filings with the Securities and Exchange Commission.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 Cure and Microbiome programs.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 Cure and Microbiome programs, we will be unable to generate revenues from the sale of products or build a sustainable or profitable business.</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all of our product candidates are currently in early clinical development or in varying stages of nonclinical development and their risk of failure is high. The data supporting our drug discovery and nonclinical and clinical development programs are derived from either laboratory, nonclinical studies, Phase 1a/1b and ongoing Phase 2a clinical data. We cannot predict when or if any one of our product candidates will prove safe and effective in humans or will receive regulatory approval. The scientific evidence to support the feasibility of our product candidates and therapeutic approaches is limited, and many companies, some with more resources than we have, are and may be developing competitive product candidates. For these and other reasons, our drug discovery and development may not be successful, and we may not generate viable products or revenue.</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 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China or other countries before we receive regulatory approval from the FDA or comparable foreign regulatory authorities, and we may never receive such regulatory approval for our current product candidates. We have not submitted a BLA or NDA to the FDA or comparable applications to other regulatory authorities and do not expect to be in a position to do so in the foreseeable future.</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of our product candidates are currently in early clinical development or in varying stages of nonclinical development. It may be years before the larger, pivotal trials necessary to support regulatory approval of our product candidates are initiated, if ever. The clinical studies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131"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demonstrating through clinical studies that the product candidate is safe and effective in patients for the intended indication;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24" w:name="page25"/>
    <w:bookmarkEnd w:id="24"/>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demonstrating that the product candidate formulation will be stable for commercially reasonable time periods; and</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the development and scale-up to permit manufacture of our product candidates in quantities sufficient to execute on our clinical development plans and, eventually, in commercial quantities with sufficient quality and at acceptable prices.</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from the sale of products or build a sustainable or profitable business.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Nonclinical studies may not be representative of disease behavior in clinical studies. The outcomes of nonclinical testing and clinical studies are uncertain, and results of nonclinical studies and earlier clinical studies may not be predictive of future clinical study results.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nonclinical studies may not be representative of disease behavior in a clinical setting and thus may not be predictive of the outcomes of our clinical studies. In addition, the results of nonclinical studies and early clinical studies of product candidates may not be predictive of the results of later-stage clinical studies, and the results of any study or trial for any of our product candidates may not be as favorable as the results for any prior studies or trials, if at all.</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Nonclinical studies and clinical testing are expensive, can take many years to complete and their outcomes are highly uncertain. Failure can occur at any time during the nonclinical study and clinical study processes due to inadequate performance of a drug candidate or inadequate adherence by patients or investigators to clinical study protocols. Further, clinical studies might not provide statistically significant data supporting a product candidate’s safety and effectiveness to obtain the requisite regulatory approvals. In addition, there is a high failure rate for drugs and biologics proceeding through clinical studies. Our failure to replicate earlier positive results in later-stage clinical studies or otherwise demonstrate the required characteristics to support marketing approval for any of our product candidates would substantially harm our business, prospects,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initial data may not accurately reflect the complete results of a particular study or trial.</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initial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estimates, calculations and conclusions as part of our analyses of data, and we may not have received or had the opportunity to evaluate fully and carefully all data. As a result, the top-line or initial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initial or preliminary data we previously published. As a result, top-line and initial data should be viewed with caution until the final data are available.</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nonclinical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initial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Nonclinical and clinical testing required for our product candidates is expensive and time-consuming and may result in delays or may fail to demonstrate safety and efficacy for desired indications. Such delays or failures could delay or prevent our receipt of licensing, sales and/or milestone 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through nonclinical studies and human testing in clinical studies that each potential product is safe and effective in humans. To meet these requirements, we must conduct extensive nonclinical testing and sufficient adequate and well-controlled clinical studies. Conducting clinical studies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studies might cause us to incur additional operating expenses. The commencement and rate of completion of clinical studies might be delayed by many factors, including, for example:</w:t>
      </w:r>
    </w:p>
    <w:p>
      <w:pPr>
        <w:spacing w:after="0" w:line="149"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study sites;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demonstrate efficacy during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qualified materials under cGMP for use in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84"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0"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product side effects, disease progression or other reasons;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study materials;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studies.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studies and may fail to obtain regulatory approval for any of our product candidates.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7"/>
          <w:szCs w:val="17"/>
          <w:color w:val="auto"/>
        </w:rPr>
        <w:t>The failure of nonclinical studies and clinical studies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studies would delay the filing of our NDAs or BLAs with the FDA and, ultimately, our ability to commercialize our product candidates and generate product revenues. Any change in, or termination of, our clinical studies could materially harm our business, financial condition, and results of operations.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our industry, 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studies or in the future, could cause us or regulatory authorities to interrupt, restrict, delay, or halt clinical studies.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43"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them off the market;</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Strategy (REMS) plan to ensure that the benefits of the product outweigh its risks;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required to change the way a product is administered, conduct additional clinical studies or change the labeling of a product;</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have a limited operating history and a history of operating losses and expect to incur significant additional operating losses.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merged with Assembly Pharmaceuticals, Inc. (Assembly Pharmaceuticals), a private company, in July 2014. We have only a limited operating history since the merger. Therefore, there is limited historical financial information upon which to base an evaluation of our performance. Our prospects must be considered in light of the uncertainties, risks, expenses, and difficulties frequently encountered by companies in their early stages of operations. We, and Assembly Pharmaceuticals prior to our merger, have generated losses since we began operations and as of December 31, 2019 and December 31, 2018, the combined company had an accumulated deficit of approximately $439.4 million and $341.8 million, respectively, and net losses of approximately $97.6 million, $90.8 million, and $42.8 million for the years ended December 31, 2019, 2018 and 2017, respectively. These net losses have had, and will continue to have, an adverse effect on our stockholders’ equity and working capital. We expect to incur substantial additional losses over the next several years as we continue to pursue our research, development, nonclinical studies and clinical study activities. Further, since our initial public offering, we have incurred and will continue to incur as a public company significant additional legal, accounting and other expenses to which we were not subject to as a private company, including expenses related to our efforts in complying with the requirements of the Sarbanes-Oxley Act of 2002 (the Sarbanes-Oxley Act), the Dodd-Frank Wall Street Reform and Consumer Protection Act of 2010 and other public company disclosure and corporate governance requirements and responding to requests of government regulators. The amount of future losses and when, if ever, we will achieve profitability are uncertain and will depend, in part, on the rate of increase in our expenses, our ability to generate revenues from the sale of products and our ability to raise additional capital. We have no products that have generated any commercial revenue, do not expect to generate revenues from the commercial sale of products unless and until our HBV or microbiome therapies or any other product candidate is approved by the FDA for sale, and we might never generate revenues from the sale of products.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18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 Cure or Microbiome programs. We might never achieve or maintain profitability. We anticipate that our expenses will continue to be substantial in the foreseeable future as we:</w:t>
      </w:r>
    </w:p>
    <w:p>
      <w:pPr>
        <w:spacing w:after="0" w:line="120" w:lineRule="exact"/>
        <w:rPr>
          <w:sz w:val="20"/>
          <w:szCs w:val="20"/>
          <w:color w:val="auto"/>
        </w:rPr>
      </w:pPr>
    </w:p>
    <w:p>
      <w:pPr>
        <w:ind w:left="8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731 and 2158, our first and second HBV product candidates, respectively, through clinical development and conduct nonclinical studies and clinical studies of 3733, our third HBV product candidate;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M201 (UC), our first candidate from our Microbiome program, through Phase 1b clinical development;</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undertake research and development to identify potential additional product candidates in both our HBV Cure and Microbiome programs;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studies or the development of any of our product candidates.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from the sale of products and achieve profitability will depend on, among other things:</w:t>
      </w:r>
    </w:p>
    <w:p>
      <w:pPr>
        <w:spacing w:after="0" w:line="130"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studies for our product candidates;</w:t>
      </w:r>
    </w:p>
    <w:p>
      <w:pPr>
        <w:spacing w:after="0" w:line="184" w:lineRule="exact"/>
        <w:rPr>
          <w:rFonts w:ascii="Arial" w:cs="Arial" w:eastAsia="Arial" w:hAnsi="Arial"/>
          <w:sz w:val="18"/>
          <w:szCs w:val="18"/>
          <w:color w:val="auto"/>
        </w:rPr>
      </w:pPr>
    </w:p>
    <w:p>
      <w:pPr>
        <w:jc w:val="center"/>
        <w:ind w:left="5620" w:right="1200" w:hanging="5180"/>
        <w:spacing w:after="0" w:line="528" w:lineRule="auto"/>
        <w:tabs>
          <w:tab w:leader="none" w:pos="8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8" w:name="page29"/>
    <w:bookmarkEnd w:id="28"/>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 and/or obtaining regulatory exclusivity;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manufacturing, sales, and marketing arrangements internally and/or with third parties for any approved products;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06"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failure to commercialize successfully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develop successfully products for commercial use.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Scientific research and development require significant amounts of capital and takes a long time to reach commercial viability, if it can be achieved at all. To date, our research and development projects have not produced commercially viable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HBV therapy research and development efforts involve therapeutics based on modulating forms of HBV core proteins with core inhibitors. The development of our core inhibitor technology is in early stages, and the commercial feasibility and acceptance of our core inhibitor technology is unknown. More specifically, while there may be initial indications of decreasing cccDNA levels in some treated patients, the theory that treatment with core inhibitors may result in more rapid loss of cccDNA compared to conventional (standard of care) therapies is unproven. It is also unknown if the biomarkers assumed to be indicators of cccDNA pool levels (such as serum pgRNA, HBeAG, HBcrAg and, to a lesser extent, HBsAg in HBV patients) will be meaningfully altered in patients on treatment with core inhibitors. Additionally, even if core inhibitor technology is successful at targeting the HBV core protein and treatment is successful at reducing cccDNA levels in HBV patients, it may not result in a commercially viable drug if there is not a corresponding medical benefit related to the underlying HBV infection.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Our microbiome therapy candidates are in nonclinical and early clinical development, and our GEMICEL® dual-targeted release capsule formulation is novel and has not yet shown to deliver successfully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develop successfully commercial products, we will be unable to generate revenue from the sale of products or build a sustainable or profitable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assure you that the FDA would decide to grant it. In 2018, the FDA granted Fast Track designation to 731 for the treatment of patients with chronic HBV infection. We may seek Fast Track designation for other product candidates, but there is no assurance that it will be granted.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seek a breakthrough therapy designation for our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For drugs that have been designated as breakthrough therapies, interaction and communication between the FDA and the sponsor can help to identify the most efficient path for clinical development. Drugs designated as breakthrough therapies by the FDA may also be eligible for accelerated approval.</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conventional FDA procedures and does not assure ultimate approval by the FDA. In addition, even if one or more of our product candidates qualify as breakthrough therapies, the FDA may later decide that the products no longer meet the conditions for qualification and rescind the designation.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anticipate that we will incur operating losses for the next several years as we continue to develop our HBV product candidates and our microbiome platform as well as initiate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or if clinical study timelines are accelerated. If that happens, we may need additional financing to continue the development of our HBV and microbiome product candidates, which we might seek and receive from the public financial markets, third-party commercial partners, private placements, debt financings or other sources. There is no assurance that we will be 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to generate sufficient revenue from our Collaboration Agreement with Allergan or that we will be successful in raising any necessary additional capital on terms that are acceptable to us, or at all. If such events or other unforeseen circumstances occurred and we were unable to generate sufficient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1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drugs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another prolonged government shutdown occurs, it could significantly impact the ability of the FDA to timely review and process our regulatory submissions or our ability to raise capital through the public financial markets, either of which could have a material adverse effect on our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Microbiome program is substantially dependent on our Collaboration Agreement with Allergan, which may be terminated or may not be successful due to a number of factors, which could have a material adverse effect on our business and operating results.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we entered into the Collaboration Agreement for the development and commercialization of select microbiome gastrointestinal programs in ulcerative colitis, Crohn’s disease and irritable bowel syndrome. Our collaboration with Allergan may be terminated, or may not be successful, due to a number of factors. In particular, Allergan may terminate the Collaboration Agreement at any time upon either 90 days’ (prior to the initiation of the first POC trial of a licensed product) or 120 days’ (after the initiation of the first POC trial of a licensed product), as applicable, advance written notice to us. The Collaboration Agreement also contains customary provisions for termination by either party, including in the event of breach of the Collaboration Agreement, subject to cure. In addition, if we are unable to identify product candidates for the licensed indications or we are unable to protect our products by obtaining and defending patents, the collaboration could fail. If the collaboration is unsuccessful for these or other reasons, or is otherwise terminated for any reason, we may not receive all or any of the research program funding, milestone payments or royalties under the agreement. Any of the foregoing could result in a material adverse effect on our business, results of operations and prospects and may cause our stock price to decline. In June 2019, Allergan and AbbVie Inc. (AbbVie) announced that they had entered into a definitive transaction agreement under which AbbVie will acquire Allergan. Assuming the conditions to close are satisfied, the acquisition is expected to close in early 2020. We do not know what, if any, impact this transaction will have on the Collaboration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license relationship for each of our HBV Cure program and our Microbiome program.</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license agreement with IURTC from whom we have licensed 731 and certain other HBV therapies, requires us to make milestone payments based upon the successful accomplishment of clinical and regulatory milestones related to 731 and certain other HBV therapies. The aggregate amount of all performance milestone payments under the IURTC License Agreement, should all performance milestones through development be met, is $825,000, with a portion related to the first performance milestone having been paid. We also are obligated to pay IURTC royalty payments based on net sales of the licensed technology. We are also obligated to pay diligence maintenance fees ($75,000 to $100,000) each year to the extent that the royalty, sublicensing, and milestone payments to IURTC are less than the diligence maintenance fee for that year. Our license with Therabiome, from whom we have licensed a delivery platform for our Microbiome program, also requires us to pay regulatory and clinical milestones as well as royalty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7"/>
          <w:szCs w:val="17"/>
          <w:color w:val="auto"/>
        </w:rPr>
        <w:t>payments to Therabiome. If we breach any of these obligations, we could lose our rights to the targeted delivery mechanism of our Microbiome program. If we fail to comply with similar obligations to any other licensor, then that licensor would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In addition, should a collaboration be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data provided by our collaborators and others that has not been independently verified and could prove to be false, misleading, or incomplete.</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lack suitable facilities for certain nonclinical and clinical testing and expect to rely on third parties to conduct some of our research and nonclinical testing and our clinical studies, and those third parties may not perform satisfactorily, including failing to meet deadlines for the completion of such research, testing or trials.</w:t>
      </w:r>
    </w:p>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will be reliant on the services of third parties to conduct studies on our behalf. If we are unable to retain or continue with third parties for these purposes on acceptable terms, we may be unable to develop successfully our product candidates. In addition, any failures by third parties to perform adequately their responsibilities may delay the submission of our product candidates for regulatory approval, which would impair our financial condition and business prospects.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2" w:name="page33"/>
    <w:bookmarkEnd w:id="32"/>
    <w:p>
      <w:pPr>
        <w:jc w:val="both"/>
        <w:spacing w:after="0" w:line="269" w:lineRule="auto"/>
        <w:rPr>
          <w:sz w:val="20"/>
          <w:szCs w:val="20"/>
          <w:color w:val="auto"/>
        </w:rPr>
      </w:pPr>
      <w:r>
        <w:rPr>
          <w:rFonts w:ascii="Arial" w:cs="Arial" w:eastAsia="Arial" w:hAnsi="Arial"/>
          <w:sz w:val="17"/>
          <w:szCs w:val="17"/>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and our reliance on third parties does not relieve us of our regulatory responsibilities. Furthermore, these third parties may also have relationships with other entities, some of which may be our competitors. In addition, these third parties are not our employees, and except for remedies available to us under our agreements with such third parties, we cannot control whether or not they devote 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studies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from the sale of products could be delayed.</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either establish our own clinical and commercial manufacturing capabilities or rely on third parties to formulate and manufacture our product candidates.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rely on third-party manufacturers to supply the quantities of 731, 2158 and 3733 used in our clinical and nonclinical studies and the drug substance for our Microbiome program. We currently manufacture our microbiome drug product for use in our planned nonclinical studies and early-stage clinical studies; however, we may require third-party manufacturers for subsequent clinical studies or other microbiome drug products.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studies or, at some future date, for commercial quantities, then we would need to identify and contract with additional or replacement third-party manufacturers to manufacture compounds, drug substance and drug products for nonclinical, clinical and commercial purposes. We 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the FDA’s cGMPs and applicable non-U.S. regulatory requirements. The cGMP requirements govern compliance and documentation policies and procedures. Complying with cGMP and non-U.S. regulatory requirements will require that we expend time, money, and effort in production, recordkeeping, and compliance to assure that the product meets applicable specifications and other requirements. Any manufacturing facility must also pass a pre-approval inspection prior to FDA approval. Failure to pass a pre-approval inspection might significantly delay FDA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85" w:lineRule="exact"/>
        <w:rPr>
          <w:sz w:val="20"/>
          <w:szCs w:val="20"/>
          <w:color w:val="auto"/>
        </w:rPr>
      </w:pPr>
    </w:p>
    <w:p>
      <w:pPr>
        <w:jc w:val="both"/>
        <w:ind w:left="880" w:hanging="440"/>
        <w:spacing w:after="0" w:line="279"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are unable to establish our own manufacturing capabilities, we will need to identify manufacturers for commercial supply on acceptable terms, which we may not be able to do because the number of potential manufacturers is limited, and the FDA must evaluate any new or replacement contractor. This evaluation would generally require compliance inspections. In addition, a new manufacturer would have to be educated in, or develop substantially equivalent processes for, production of our products after receipt of FDA approval, if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3" w:name="page34"/>
    <w:bookmarkEnd w:id="33"/>
    <w:p>
      <w:pPr>
        <w:ind w:left="880" w:right="2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studies or to produce, store and successfully distribute our products.</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4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these risks could delay our development efforts, nonclinical studies and clinical studies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collaborators cannot compete successfully for market share against other companies, we might not achieve sufficient product revenues and our business will suffer.</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product candidates receive approval from the FDA or applicable non-U.S. regulatory authorities, they will compete with a number of existing and future drugs and biologics developed, manufactured and marketed by others. Existing or future competing drugs might provide greater therapeutic convenience or clinical or other benefits for a specific indication than our product candidates or might offer comparable performance at a lower cost. If our product candidates fail to capture and maintain market share, we might not achieve sufficient product revenues and our business will suffer.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might compete against fully integrated pharmaceutical or biotechnology companies and smaller companies that are collaborating with larger pharmaceutical companies, academic institutions, government agencies and other public and private research organizations.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160"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undertaking nonclinical testing and human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FDA and other regulatory approvals of drugs;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We may not have or be able to obtain the same resources and experience as our competitors. If we are unable to perform these tasks effectively and efficiently, our results of operations might be materially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pharmaceutical and biotechnology industries are intensely competitive. In addition, the clinical and commercial landscape for HBV, ulcerative colitis (UC), inflammatory bowel disease (IBD), including Crohn’s disease, irritable bowel syndrome (IBS), immune-mediated and metabolic disorders and oncology is rapidly changing; we expect new data from commercial and clinical-stage products to continue to emerge. We will compete with organizations that have existing treatments and that are or will be developing treatments for the indications that our product candidates target. If our competitors develop effective treatments for HBV, UC, IBD, IBS, immune-mediated and metabolic disorders and oncology or any other indication or field we might pursue, and successfully commercialize those treatments, our business and prospects might be materially harmed, due to intense competition in these markets.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Companies with core inhibitor products or microbiome products may produce negative clinical data, which will adversely affect public perception of our product candidates, and may negatively impact regulatory approval of, or demand for, our potential products.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Negative data from clinical trials using core inhibitors or microbiome-based therapies (e.g., fecal transplant) could negatively impact the perception of the therapeutic use of our HBV or microbiome product candidates, respectively. This could negatively impact our ability to enroll patients in clinical trials. The clinical and commercial success of our potential products will depend in part on the public and clinical communities’ acceptance of the use of core inhibitor product candidates and oral live microbial biotherapeutic products (LBPs). Moreover, our success depends upon physicians prescribing, and their patients being willing to receive, treatments that involve the use of core inhibitor product candidates or LBPs we may develop in lieu of, or in addition to, existing treatments with which they are already familiar and for which more clinical data may be available. Adverse events in our preclinical studies or clinical trials or those of our competitors or of academic researchers utilizing core inhibitor therapies or microbiome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3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product candidates under development in our Microbiome program will be subject to regulation as biologics. These candidates, and any other future product candidates for which we or our collaborators intend to seek approval as biologic products, may face competition sooner than anticipated.</w:t>
      </w:r>
    </w:p>
    <w:p>
      <w:pPr>
        <w:spacing w:after="0" w:line="6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studies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14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if product candidates from our Microbiome program are approved as biological products under a BLA, they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not able to develop collaborative marketing relationships with licensees or partners, or create effective internal sales, marketing, and distribution capability, we might be unable to market our products successfully.</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market our product candidates, if approved, we will have to establish our own marketing and sales force or out-license our product candidates to, or collaborate with, larger firms with experience in marketing and selling pharmaceutical products. There can be no assurance that we will be able to successfully establish our own marketing capabilities or establish marketing, sales, or distribution relationships with third parties; that such relationships, if established, will be successful; or that we will be successful in gaining market acceptance for our product candidates. To the extent that we enter into any marketing, sales, or distribution arrangements with third parties, our product revenues will be lower than if we marketed and sold our products directly, and any revenues we receive will depend upon the efforts of such third parties. If we are unable to establish such third-party sales and marketing relationships, or choose not to do so, we will have to establish our own in-house capabilities. We, as a company, have no experience in marketing or selling pharmaceutical products and currently have no sales, marketing, or distribution infrastructure. To market any of our products directly, we would need to develop a marketing, sales, and distribution force that both has technical expertise and the ability to support a distribution capability. To establish our own marketing, sales, and distribution capacity would significantly increase our costs, and require substantial additional capital. In addition, there is intense competition for proficient sales and marketing personnel, and we might not be able to attract individuals who have the qualifications necessary to market, sell, and distribute our products. There can be no assurance that we will be able to establish internal marketing, sales, or distribution capabilities.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payors and others in the medical community.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products, if approved for marketing, will depend in part on the medical community, patients and third-party payors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160"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actual or perceived safety and efficacy of the products, and advantages over alternative treatments;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pricing and cost-effectiveness of our products relative to competing products or therapies, including generic drugs or biosimilars, if available;</w:t>
      </w:r>
    </w:p>
    <w:p>
      <w:pPr>
        <w:spacing w:after="0" w:line="207"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or governmental reimbursement.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a potential product displays a favorable efficacy and safety profile in nonclinical studies and clinical studies, market acceptance of the product will not be known until after it is launched. Any failure to achieve market acceptance for our product candidates will harm our business, results and financial condition.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officers, or other significant personnel or experience increases in our compensation costs, our business might materially suffer.</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highly dependent on the services of our executive officers and senior management team. Our employment agreements with our executive officers and senior management team members do not ensure their retention.</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future success also depends, in part, on our ability to identify, hire, and retain additional management team members as our operations grow and our ability to replace our management team members in the event any leave us for any reason. We expect to experience intense competition for qualified personnel and might be unable to attract and retain the personnel necessary for the development of our business. Finally, we do not currently maintain, nor do we intend to obtain in the future, “key man” life insurance that would compensate us in the event of the death or disability of any of the members of our management team.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The failure by us to retain, attract and motivate executives and other key employees could have a material adverse impact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and retain additional qualified personnel, our ability to grow our business might be harmed.</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2019, we had 115 employees and contracts with a number of temporary contractors, consultants and contract research organizations.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 and any failure to do so could have a material adverse impact on our business, financial condition and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adversely affect our business, results of operations and financial condition.</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this data from being compromised, and we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risk of a security breach or disruption, particularly through cyberattacks or cyber intrusion, including by computer hackers, foreign governments and cyberterrorists,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study data from completed or ongoing or planned clinical studies could result in delays in our regulatory approval efforts and significantly increase our costs to recover or reproduce the data.</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14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54"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assimilating the acquired technologies, products or business operations;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develop successfully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 candidates. The regulatory review and approval process, which includes nonclinical testing and clinical studies of each product candidate, is lengthy, expensive, and uncertain. We or our collaborators must obtain and maintain regulatory authorization to conduct clinical studies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5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 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30"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Once a product candidate is approved, numerous post-approval requirements apply. Among other things, we and our collaborators will be subject to requirements regarding testing, manufacturing, quality control, clinical studies, post-marketing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 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studies. The FDA also has the authority to require changes in the labeling of approved drug products and to require post-marketing studies. The FDA can also impose distribution and use restrictions under a REMS.</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license revocation or refusal to allow us to enter into supply contracts, including government contracts. In addition, even if we comply with FDA and other requirements, new information regarding the safety or effectiveness of a product could lead the FDA to modify or withdraw product approval or revise product labeling.</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current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an Executive Order was issued directing all executive agencies, including the FDA, that, for each notice of proposed rulemaking or final regulation to be issued in fiscal years 2018 and beyond, the agencies must identify regulations to offset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incremental cost of a new regulation. On September 8, 2017, the FDA published notices in the Federal Register soliciting broad public comment to identify regulations that could be modified in compliance with this Executive Order.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never commercialized a product, and even if any product candidate of ours is approved by the appropriate regulatory authorities for marketing and sale, it may nonetheless fail to gain sufficient market acceptance by physicians, patients, third-party payors and others in the medical community. Physicians may be reluctant to take their patients off their current medications and switch their treatment regimen. Further, patients often acclimate to the treatment regime that they are currently taking and do not want to switch unless their physicians recommend switching products or they are required to switch due to lack of coverage and adequate reimbursement. In addition, even if we are able to demonstrate our product candidates’ safety and efficacy to the FDA and other regulators, safety or efficacy concerns in the medical community may hinder market acceptance.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including management time and financial resources, and may not be successful. If any of our product candidates are approved but do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146"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84" w:lineRule="exact"/>
        <w:rPr>
          <w:rFonts w:ascii="Arial" w:cs="Arial" w:eastAsia="Arial" w:hAnsi="Arial"/>
          <w:sz w:val="18"/>
          <w:szCs w:val="18"/>
          <w:color w:val="auto"/>
        </w:rPr>
      </w:pPr>
    </w:p>
    <w:p>
      <w:pPr>
        <w:ind w:left="5620" w:right="2600" w:hanging="5180"/>
        <w:spacing w:after="0" w:line="528" w:lineRule="auto"/>
        <w:tabs>
          <w:tab w:leader="none" w:pos="8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1" w:name="page42"/>
    <w:bookmarkEnd w:id="41"/>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availability and adequacy of coverage and reimbursement from government payors, managed care plans and other third-party payors.</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commercialize successfully any product candidate for which we obtain marketing approval.</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ACA.</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198"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left="88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(which was increased to 70% as of January 1, 2019 under the Bipartisan Budget Act of 2018 (BBA));</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its enactment, there have been many judicial, Presidential, and Congressional challenges to numerous aspects of the ACA, and the long ranging effects of these challenges on reimbursement by third-party payors, the viability of the ACA marketplace, providers, and potentially, our business are unknown at this time. In addition, the full impact of the ACA, any law repealing and/or replacing elements of it, and the political uncertainty surrounding any repeal or replacement legislation on our business remains unclear.</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from the sale of products, and to achieve and maintain profitability.</w:t>
      </w:r>
    </w:p>
    <w:p>
      <w:pPr>
        <w:spacing w:after="0" w:line="146"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There are ambiguities as to what is required to comply with these requirements, and if we fail to comply with any applicable federal, state or foreign legal requirement, we could be subject to penalties.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Regulators globally are imposing greater monetary fines for privacy violations. The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where such processing is subject to the GDPR, and we may be required to put in place additional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both"/>
        <w:spacing w:after="0" w:line="297" w:lineRule="auto"/>
        <w:rPr>
          <w:sz w:val="20"/>
          <w:szCs w:val="20"/>
          <w:color w:val="auto"/>
        </w:rPr>
      </w:pPr>
      <w:r>
        <w:rPr>
          <w:rFonts w:ascii="Arial" w:cs="Arial" w:eastAsia="Arial" w:hAnsi="Arial"/>
          <w:sz w:val="16"/>
          <w:szCs w:val="16"/>
          <w:color w:val="auto"/>
        </w:rPr>
        <w:t>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and services or even prevent us from offering certain products in jurisdictions that we may operate in. Given the limited enforcement of the GDPR to date, particularly in the pharmaceutical space, we face uncertainty as to the exact interpretation of the new requirements on our trials and we may be unsuccessful in implementing all measures required by data protection authorities or courts in interpretation of the new law.</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California recently enacted the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and the California Attorney General will commence enforcement actions against violators beginning July 1, 2020. While there is currently an exception for protected health information that is subject to HIPAA and clinical trial regulations, as currently written, the CCPA may impact our business activities. The California Attorney General has proposed draft regulations, which have not been finalized to date, that may further impact our business activities if they are adopted. The uncertainty surrounding the implementation of CCPA exemplifies the vulnerability of our business to the evolving regulatory environment related to personal data and protected health information.</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185"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laws;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Misconduct could also involve the improper use or misrepresentation of information obtained in the course of clinical studies, creating fraudulent data in our nonclinical studies or clinical studies or illegal misappropriation of product materials, which could result in regulatory sanctions, delays in clinical studies, or serious harm to our reputation. We have adopted a code of conduct for our directors, officers and employees (the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particularly in China, to increase in time. We engage third parties for clinical studies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could be subject to a number of risks related with our international operations, many of which may be beyond our control. These risks include:</w:t>
      </w:r>
    </w:p>
    <w:p>
      <w:pPr>
        <w:spacing w:after="0" w:line="210"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6" w:name="page47"/>
    <w:bookmarkEnd w:id="46"/>
    <w:p>
      <w:pPr>
        <w:ind w:left="88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tariffs, war and terrorism, natural disasters or outbreaks of disease, such as the outbreak of the novel strain of coronavirus (COVID-19) impacting China and elsewhere.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Certain of our clinical trials and manufacturing of our drug candidates take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on certain third parties located in China to manufacture our drug candidates. In addition, we are conducting clinical studies in China through CROs located in China and we expect to conduct other clinical studies in China in the future. A natural disaster, epidemic or pandemic disease outbreaks, including the recent COVID-19 outbreak or other events could (i) significantly disrupt the business or operations of our CROs, manufacturers and the clinical sites conducting our clinical studies, (ii) impact clinical study recruitment and enrollment, affect compliance with clinical study protocols and/or impair the ability of sites to monitor enrolled patients, and (iii) delay regulatory filings and interactions with China regulatory agencies. To date, the COVID-19 outbreak has not caused significant disruptions in our manufacturing and clinical studies in China or elsewhere. We will continue to monitor the effects of the COVID-19 outbreak in China and elsewhere on our current and planned clinical studies. Any disruption in China that significantly services provided by CROs for our research and development programs, clinical trial operations conducted by CROs, or our manufacturers’ ability to produce certain drug product candidates in adequate quantities to meet our needs could impede, delay, limit or prevent the research and development of our product candidates. The resulting impact on our research and development programs could materially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seek to protect our proprietary position by filing patent applications in the United States and abroad related to our novel technologies and chemical and biological compositions that are important to our business. To date, we and our licensors have filed patent applications intended to cover our products candidates and their methods of use. Although we co-own and have in-licensed two issued patents in the U.S. directed to compositions of matter that includes 731, which are expected to expire in 2035 and 2036, and we have in-licensed issued U.S. patents related to delivery technology for our Microbiome program, which are expected to expire in 2034, we do not own or have any rights to any issued patents that cover any of our other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143"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patent rights, if obtained, might be challenged, invalidated, or circumvented, or otherwise might not provide any competitive advantage;</w:t>
      </w:r>
    </w:p>
    <w:p>
      <w:pPr>
        <w:spacing w:after="0" w:line="196"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40" w:lineRule="exact"/>
        <w:rPr>
          <w:rFonts w:ascii="Arial" w:cs="Arial" w:eastAsia="Arial" w:hAnsi="Arial"/>
          <w:sz w:val="18"/>
          <w:szCs w:val="18"/>
          <w:color w:val="auto"/>
        </w:rPr>
      </w:pPr>
    </w:p>
    <w:p>
      <w:pPr>
        <w:jc w:val="both"/>
        <w:ind w:left="880" w:right="20" w:hanging="440"/>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140"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protections through confidentiality agreements with our employees, collaborators and other parties, and the breach of these agreements could adversely affect our business and prospects.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any variety of proceedings challenging our patents and patent applications or the patents and patent applications of others, and the 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maintain effectively our intellectual property position throughout the major markets of the world.</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enforce effectively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9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8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9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880" w:hanging="440"/>
        <w:spacing w:after="0" w:line="286"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merger with Assembly Pharmaceuticals on July 11, 2014 through December 31, 2019, the closing price of our common stock has fluctuated widely.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46"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progress, results and timing of our clinical studies and nonclinical studies and other studies involving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issuance of new or changed securities analysts’ reports or recommendations, or the announcement of any changes to our credit rating;</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introduction of new products or announcements of significant contracts, acquisitions or capital commitments by us or our competitors;</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Global Select Market.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Global Select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Global Select Market. A delisting of our common stock from the Nasdaq Global Select Market and our inability to list the stock on another national securities exchange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and credit carryforwards to offset future taxable income may be subject to certain limitations.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we had potentially utilizable gross Federal net operating loss carryforwards of approximately $297.6 million, State net operating loss carry-forwards of approximately $309.3 million, Federal and California research and development credit carry forwards of approximately $9.0 million and $5.3 million, respectively, which will begin to expire in 2027.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Sections 382 and 383 of the Internal Revenue Code of 1986, as amended, a corporation that undergoes an “ownership change,” is subject to annual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determined that an ownership change occurred in each of December 2010, January 2013 and October 2014. The result of these ownership changes is that approximately $40.0 million of our approximately $297.6 million of net operating losses will not be available to us to offset future taxable income. In addition, we may experience ownership changes in the future, some of which are outside our control.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U.S. federal net operating losses incurred in taxable periods beginning before January 1, 2018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the Tax Act, the amount of U.S. federal net operating losses generated in taxable periods beginning after December 31, 2017 that we are permitted to deduct in any taxable year is limited to 80% of our taxable income in such year, where taxable income is determined without regard to the NOL deduction itself. The Tax Act generally eliminates the ability to carry back any post-2017 NOL to prior taxable years, while allowing unused post-2017 NOLs to be carried forward indefinitely. There is a risk that due to ownership changes, changes in law or other unforeseen reasons, our existing NOLs could expire or otherwise be unavailable to offset future income tax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add to our operating costs and might strain our resources and distract our management.</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public company, we face increased legal, accounting, administrative and other costs and expenses not faced by private companies. We are subject to the reporting requirements of the Exchange Act, which requires that we file annual, quarterly and current reports with respect to our business and financial condition, and the rules and regulations implemented by the SEC, the Sarbanes-Oxley Act, and the listing standards of the Nasdaq Global Select Market, each of which imposes additional reporting and other obligations on public companies. Although we are currently unable to estimate these costs with any degree of certainty, we expect that the requirements of these rules and regulations will continue to increase our legal, accounting and financial compliance costs, make some activities more difficult, time consuming and costly and place significant strain on our personnel, systems and resources. These increased costs will require us to divert a significant amount of money that we could otherwise use to develop our product candidates or otherwise expand our business. Complying with these requirements might divert management’s attention from other business concerns, which could have a material adverse effect on our prospects, business, and financial condition. If we are unable to satisfy our obligations as a public company, we could be subject to delisting of our common stock, fines, sanctions and other regulatory action and potentially civil litigation.</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06" w:lineRule="exact"/>
        <w:rPr>
          <w:sz w:val="20"/>
          <w:szCs w:val="20"/>
          <w:color w:val="auto"/>
        </w:rPr>
      </w:pPr>
    </w:p>
    <w:p>
      <w:pPr>
        <w:ind w:left="880" w:right="2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could decline rapidly. If one or more analysts cease coverage of our company, we could lose visibility in the market, which in turn could cause our stock price to decline.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lease office space for corporate and administrative functions and laboratory space in South San Francisco, California under a sub-sublease that expires in December 2023. The leased location in South San Francisco supports both the HBV Cure and Microbiome programs. Prior to moving into the South San Francisco office and laboratory space in February 2019, we leased office and laboratory space in San Francisco, California under a sublease that expired on February 28, 2019. The leased location in San Francisco, California supported both the HBV Cure and Microbiome programs. We also conduct research, development and small-scale manufacturing activities for the Microbiome program at office and laboratory space in Groton, Connecticut under a lease that expires in March 2021. We also lease office space for administrative functions in Carmel, Indiana under a lease agreement that expires in August 2023. The leased location in Carmel, Indiana provides administrative functions for both the HBV Cure and Microbiome programs.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these leased facilities are adequate for our current needs and that additional space will be available in the future on commercially reasonable terms as needed.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effect on us because of defense and settlement costs, diversion of management resources and other factors.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under the symbol “ASMB” and is quoted on the Nasdaq Global Select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24, 2020, there were 80 stockholders of record, which excludes stockholders whose shares were held in nominee or street name by brokers.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or paid any dividends and do not anticipate paying any dividends on our common stock in the foreseeable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included under the heading “Comparative Stock Performance Graph” in this Item 5 of Part II of this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graph comparing the total cumulative returns of our common stock, the Nasdaq Composite Index and the Nasdaq Biotechnology Index.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graph assumes $100 was invested in our common stock and each of the indices on December 31, 2014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166370</wp:posOffset>
            </wp:positionV>
            <wp:extent cx="5351145" cy="26244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5114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$100 invested on December 31, 2014 in stock or index, including reinvestment of dividends.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12/31/2014</w:t>
            </w:r>
          </w:p>
        </w:tc>
        <w:tc>
          <w:tcPr>
            <w:tcW w:w="2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12/31/2015</w:t>
            </w:r>
          </w:p>
        </w:tc>
        <w:tc>
          <w:tcPr>
            <w:tcW w:w="2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12/31/2016</w:t>
            </w:r>
          </w:p>
        </w:tc>
        <w:tc>
          <w:tcPr>
            <w:tcW w:w="2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12/31/2017</w:t>
            </w:r>
          </w:p>
        </w:tc>
        <w:tc>
          <w:tcPr>
            <w:tcW w:w="2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12/31/2018</w:t>
            </w:r>
          </w:p>
        </w:tc>
        <w:tc>
          <w:tcPr>
            <w:tcW w:w="2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12/31/2019</w:t>
            </w:r>
          </w:p>
        </w:tc>
        <w:tc>
          <w:tcPr>
            <w:tcW w:w="100" w:type="dxa"/>
            <w:vAlign w:val="bottom"/>
            <w:tcBorders>
              <w:bottom w:val="single" w:sz="8" w:color="CFF0FC"/>
            </w:tcBorders>
          </w:tcPr>
          <w:p>
            <w:pPr>
              <w:spacing w:after="0"/>
              <w:rPr>
                <w:sz w:val="20"/>
                <w:szCs w:val="20"/>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Assembly Biosciences, Inc.</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95.55</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575.70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260.31</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Nasdaq Composite</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113.66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145.76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140.10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189.45</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Nasdaq Biotechnology</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105.64</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shd w:val="clear" w:color="auto" w:fill="CFF0FC"/>
          </w:tcPr>
          <w:p>
            <w:pPr>
              <w:spacing w:after="0"/>
              <w:rPr>
                <w:sz w:val="19"/>
                <w:szCs w:val="19"/>
                <w:color w:val="auto"/>
              </w:rPr>
            </w:pPr>
          </w:p>
        </w:tc>
      </w:tr>
      <w:tr>
        <w:trPr>
          <w:trHeight w:val="662"/>
        </w:trPr>
        <w:tc>
          <w:tcPr>
            <w:tcW w:w="474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780" w:type="dxa"/>
            <w:vAlign w:val="bottom"/>
            <w:gridSpan w:val="8"/>
          </w:tcPr>
          <w:p>
            <w:pPr>
              <w:spacing w:after="0"/>
              <w:rPr>
                <w:sz w:val="20"/>
                <w:szCs w:val="20"/>
                <w:color w:val="auto"/>
              </w:rPr>
            </w:pPr>
            <w:r>
              <w:rPr>
                <w:rFonts w:ascii="Arial" w:cs="Arial" w:eastAsia="Arial" w:hAnsi="Arial"/>
                <w:sz w:val="18"/>
                <w:szCs w:val="18"/>
                <w:color w:val="auto"/>
                <w:w w:val="96"/>
              </w:rPr>
              <w:t>The following table sets forth the indicated information as of December 31, 2019 with respect to our equity compensation plans.</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future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average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exercise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upon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price of</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outstanding</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plans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options,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warrants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rights(1)</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Plan Category</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(b)</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securityholders</w:t>
            </w:r>
          </w:p>
        </w:tc>
        <w:tc>
          <w:tcPr>
            <w:tcW w:w="1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5,087,018</w:t>
            </w:r>
          </w:p>
        </w:tc>
        <w:tc>
          <w:tcPr>
            <w:tcW w:w="460" w:type="dxa"/>
            <w:vAlign w:val="bottom"/>
            <w:tcBorders>
              <w:top w:val="single" w:sz="8" w:color="CFF0FC"/>
            </w:tcBorders>
            <w:shd w:val="clear" w:color="auto" w:fill="CFF0FC"/>
          </w:tcPr>
          <w:p>
            <w:pPr>
              <w:jc w:val="right"/>
              <w:ind w:right="103"/>
              <w:spacing w:after="0"/>
              <w:rPr>
                <w:sz w:val="20"/>
                <w:szCs w:val="20"/>
                <w:color w:val="auto"/>
              </w:rPr>
            </w:pPr>
            <w:r>
              <w:rPr>
                <w:rFonts w:ascii="Arial" w:cs="Arial" w:eastAsia="Arial" w:hAnsi="Arial"/>
                <w:sz w:val="15"/>
                <w:szCs w:val="15"/>
                <w:color w:val="auto"/>
              </w:rPr>
              <w:t>(2)</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2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1,741,525</w:t>
            </w:r>
          </w:p>
        </w:tc>
        <w:tc>
          <w:tcPr>
            <w:tcW w:w="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not approved by securityholders</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1,300,349</w:t>
            </w:r>
          </w:p>
        </w:tc>
        <w:tc>
          <w:tcPr>
            <w:tcW w:w="4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rPr>
              <w:t>(4)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26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3"/>
        </w:trPr>
        <w:tc>
          <w:tcPr>
            <w:tcW w:w="65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6,387,367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1,751,950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hanging="432"/>
        <w:spacing w:after="0" w:line="308"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weighted average exercise price is calculated solely based on the exercise prices of the outstanding stock options and does not reflect the shares that will be issued upon the vesting of outstanding awards of restricted stock units (RSUs), which have no exercise price.</w:t>
      </w:r>
    </w:p>
    <w:p>
      <w:pPr>
        <w:spacing w:after="0" w:line="119" w:lineRule="exact"/>
        <w:rPr>
          <w:rFonts w:ascii="Arial" w:cs="Arial" w:eastAsia="Arial" w:hAnsi="Arial"/>
          <w:sz w:val="17"/>
          <w:szCs w:val="17"/>
          <w:color w:val="auto"/>
        </w:rPr>
      </w:pPr>
    </w:p>
    <w:p>
      <w:pPr>
        <w:jc w:val="both"/>
        <w:ind w:left="440" w:hanging="432"/>
        <w:spacing w:after="0" w:line="291" w:lineRule="auto"/>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number includes the following: 469,400 shares subject to stock options granted under the 2010 Equity Incentive Plan (2010 Plan); 2,432,233 shares subject to outstanding awards granted under the Assembly Biosciences, Inc. Amended and Restated 2014 Stock Incentive Plan (2014 Plan), of which 2,199,713 were subject to outstanding stock options and 232,520 were subject to outstanding RSUs; 1,753,947 shares subject to outstanding awards granted under the Assembly Biosciences, Inc. 2018 Stock Incentive Plan, as amended (2018 Plan), of which 1,207,949 were subject to outstanding stock options, 511,198 were subject to outstanding RSUs and 34,800 are underlying stock appreciation rights (which are not included in column (a) but are reflected in column (c)); and 466,238 options assumed by us in connection with our merger with Assembly Pharmaceuticals. This number excludes purchase rights currently accruing under the Assembly Biosciences, Inc. 2018 Employee Stock Purchase Plan (2018 ESPP).</w:t>
      </w:r>
    </w:p>
    <w:p>
      <w:pPr>
        <w:spacing w:after="0" w:line="126" w:lineRule="exact"/>
        <w:rPr>
          <w:rFonts w:ascii="Arial" w:cs="Arial" w:eastAsia="Arial" w:hAnsi="Arial"/>
          <w:sz w:val="16"/>
          <w:szCs w:val="16"/>
          <w:color w:val="auto"/>
        </w:rPr>
      </w:pPr>
    </w:p>
    <w:p>
      <w:pPr>
        <w:jc w:val="both"/>
        <w:ind w:left="440" w:hanging="432"/>
        <w:spacing w:after="0" w:line="259"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number includes: no shares under the 2010 Plan, which has been frozen; 217,779 shares available for issuance under the 2014 Plan; 1,204,599 shares available for issuance under the 2018 Plan and; 319,147 shares reserved for issuance under the 2018 ESPP. As of March 2, 2020, assuming each participant purchases the maximum number of shares in the current offering period, no more than 61,000 shares are subject to purchase in the current offering, which ends on May 14, 2020.</w:t>
      </w:r>
    </w:p>
    <w:p>
      <w:pPr>
        <w:spacing w:after="0" w:line="146" w:lineRule="exact"/>
        <w:rPr>
          <w:rFonts w:ascii="Arial" w:cs="Arial" w:eastAsia="Arial" w:hAnsi="Arial"/>
          <w:sz w:val="18"/>
          <w:szCs w:val="18"/>
          <w:color w:val="auto"/>
        </w:rPr>
      </w:pPr>
    </w:p>
    <w:p>
      <w:pPr>
        <w:jc w:val="both"/>
        <w:ind w:left="440" w:right="20" w:hanging="432"/>
        <w:spacing w:after="0" w:line="286"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number includes 785,053 shares subject to outstanding awards granted under the 2017 Inducement Award Plan (2017 Inducement Plan), of which 770,053 were subject to outstanding stock options and 15,000 were subject to outstanding RSUs; 500,000 shares subject to stock options granted under the 2019 Inducement Award Plan (2019 Inducement Plan); 15,296 shares subject to warrants granted to one consultant.</w:t>
      </w:r>
    </w:p>
    <w:p>
      <w:pPr>
        <w:spacing w:after="0" w:line="125" w:lineRule="exact"/>
        <w:rPr>
          <w:rFonts w:ascii="Arial" w:cs="Arial" w:eastAsia="Arial" w:hAnsi="Arial"/>
          <w:sz w:val="17"/>
          <w:szCs w:val="17"/>
          <w:color w:val="auto"/>
        </w:rPr>
      </w:pPr>
    </w:p>
    <w:p>
      <w:pPr>
        <w:ind w:left="440" w:hanging="432"/>
        <w:spacing w:after="0"/>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number includes: 10,425 shares available for issuance under the 2017 Inducement Plan and no shares under the 2019 Inducement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color w:val="auto"/>
        </w:rPr>
        <w:t>Our stockholder-approved equity compensation plans consist of the 2018 Plan, 2014 Plan, the 2010 Plan, stock options assumed in our merger with Assembly Pharmaceuticals and the 2018 ESPP. Effective on June 2, 2016, the 2010 Plan was frozen, and no further grants will be made under the 2010 Plan. Shares that are forfeited under the 2010 Plan on or after June 2, 2016 will become available for issuance under the 2014 Plan. An “Award” under the 2018 Plan, 2014 Plan or 2010 Plan is any right to receive our common stock consisting of non-statutory stock options, incentive stock options, stock appreciation rights, RSUs, or any other stock award.</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our stockholders approved the 2018 ESPP. The 2018 ESPP provides for the purchase by employees of up to an aggregate of 400,000 shares of the Company’s common stock. Eligible employees can purchase shares of our common stock at the end of a predetermined offering period at 85% of the lower of the fair market value at the beginning or end of the offering period.</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outstanding equity compensation arrangements that have not been approved by our stockholders consist of the 2017 Inducement Plan, the 2019 Inducement Plan and warrants to purchase shares of our common stock issued to one consultant. In April 2017, our board of directors adopted the 2017 Inducement Plan and reserved 800,000 shares of our common stock for issuance under the Inducement Plan, and in August 2019, our board of directors adopted the 2019 Inducement Plan and reserved 500,000 shares of our common stock for issuance under the 2019 Inducement Award Plan. The only persons eligible to receive grants of awards under the either the 2017 Inducement Plan or the 2019 Inducement Plan are individuals who satisfy the standards for inducement grants under Nasdaq Marketplace Rule 5635(c)(4) and the related guidance under Nasdaq IM 5635-1-that is, generally, a person not previously an employee or director of ours, or following a bona fide period of non-employment, as an inducement material to the individual's entering into employment with us. An “Award” is any right to receive our common stock pursuant to the Inducement Plan, consisting of nonstatutory stock options, stock appreciation rights, restricted stock awards, RSUs, or any other stock award.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30, 2015, we filed a registration statement on Form S-3 with the SEC using a “shelf” registration process, file number 333-208806, which became effective January 19, 2016 (2016 Registration Statement). Under this shelf registration process, we may from time to time sell any combination of the securities described in the 2016 Registration Statement in one or more offerings for an aggregate offering price of up to $150.0 million. The amount to be registered under the shelf registration consisted of up to $150.0 million of an indeterminate amount of common stock, preferred stock, debt securities, warrants and/or units. There was also registered under the shelf registration an indeterminate number of (i) shares of common stock or other securities of ours as may be issued upon conversion of, or in exchange for, convertible or exchangeable debt securities and/or preferred stock registered under the registration statement, or (ii) shares of preferred stock, common stock, debt securities or units as may be issued upon exercise of warrants registered by the 2016 Registration Statement, as the case may be.</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29, 2017, we filed a registration statement on Form S-3 with the SEC using a “shelf” registration process, file number 333-222366, which became effective January 10, 2018 (2018 Registration Statement). Under this shelf registration process, we could from time to time sell any combination of the securities described in the registration statement in one or more offerings for an aggregate offering price of up to $250.0 million. The amount to be registered under the shelf registration consists of up to $250.0 million of an indeterminate amount of common stock, preferred stock, debt securities, warrants and/or units. There is also being registered under the shelf registration a currently indeterminate number of (i) shares of common stock or other securities of ours as may be issued upon conversion of, or in exchange for, convertible or exchangeable debt securities and/or preferred stock registered under the registration statement, or (ii) shares of preferred stock, common stock, debt securities or units as may be issued upon exercise of warrants registered by the 2018 Registration Statement, as the case may be. In connection with the filing of the 2018 Registration Statement, we entered into a sales agreement under which we may offer and sell shares of our common stock having an aggregate offering price of up to $75.0 million under this registration statement through “at the market offerings.”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6, 2017, we closed an offering of common stock with an aggregate offering price of approximately $69.3 million under the 2016 Registration Statement. On July 13, 2018, we closed an offering of common stock with an aggregate offering price of $165.6 million under both the 2016 Registration Statement and the 2018 Registration Statement. On December 16, 2019, we closed an offering of a combination of common stock and pre-funded warrants with an aggregate offering price of approximately $143.7 million under the 2018 Registration Statement. As a result of these offerings, no securities remain available under the 2016 Registration Statement and securities with an aggregate offering price of approximately $21.4 million remain available under the 2018 Registration Statement.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selected balance sheet data for the years ended December 31, 2019 and 2018 and the statement of operations data for the years ended December 31, 2019, 2018 and 2017 should be read in conjunction with Part II, Item 7 “Management’s Discussion and Analysis of Financial Condition and Results of Operations” and in conjunction with the consolidated financial statements, related notes and other financial information included elsewhere in this Annual Report. The selected consolidated results of operation data for the years ended December 31, 2016 and 2015 and the balance sheet data for the years ended December 31, 2017, 2016 and 2015 have been derived from audited consolidated financial statements not included herein. Our historical results are not necessarily indicative of the results to be expected in the future.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in thousands except for per share amounts)</w:t>
            </w:r>
          </w:p>
        </w:tc>
        <w:tc>
          <w:tcPr>
            <w:tcW w:w="22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339,907</w:t>
            </w:r>
          </w:p>
        </w:tc>
        <w:tc>
          <w:tcPr>
            <w:tcW w:w="14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268,045</w:t>
            </w:r>
          </w:p>
        </w:tc>
        <w:tc>
          <w:tcPr>
            <w:tcW w:w="1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169,303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98,119</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Collaboration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15,963</w:t>
            </w:r>
          </w:p>
        </w:tc>
        <w:tc>
          <w:tcPr>
            <w:tcW w:w="14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14,804</w:t>
            </w:r>
          </w:p>
        </w:tc>
        <w:tc>
          <w:tcPr>
            <w:tcW w:w="1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9,019</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(102,713)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(92,735)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(52,227)</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(45,278)</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Realized gain (loss) from marketable securities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(98,408)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(51,859)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(expenses) benefit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(97,634)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(90,751)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(42,809)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(44,261)</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gain/loss on marketable securities, net of tax</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Loss per Shares Data:</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and dilutive loss per share data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(3.72)</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(3.98)</w:t>
            </w: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decrease in total assets from approximately $133.7 million as of December 31, 2015 to approximately $98.1 million as of December 31, 2016 is primarily due to cash used in operations. The increase in total assets from approximately $98.1 million as of December 31, 2016 to approximately $169.3 million as of December 31, 2017 was primarily due to a capital raise of $64.8 million in net proceeds in November 2017 and receipt from Allergan of an upfront payment of $50.0 million in February 2017. The increase in total assets from approximately $169.3 million as of December 31, 2017 to approximately $268.0 million as of December 31, 2018 was primarily due to a capital raise of approximately $155.4 million in net proceeds to us in July 2018. The increase in total assets from approximately $268.0 million as of December 31, 2018 to approximately $339.9 million as of December 31, 2019 is primarily due to a capital raise of $134.7 million in net proceeds in December 2019. Since 2014, our operating expenses have increased primarily due to increases in research and development activities and an increase in our total headcount from 21 to 115 employees. See, Part II, Item 7 “Management’s Discussion and Analysis of Financial Condition and Results of Operations” for a discussion on results of operations and financing activities since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“Selected Financial Data”, our consolidated financial statements and the related notes thereto and other financial information appearing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in this Form 10-K under “Item 1A. Risk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clinical-stage biotechnology company advancing two innovative programs: a novel class of oral therapeutic candidates for the treatment of chronic hepatitis B virus (HBV) infection and a novel class of oral live microbial biotherapeutic candidates, which are designed to treat disorders associated with the microbiome.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Cure Program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250 million people worldwide are chronically infected with HBV. Our HBV Cure program is pursuing multiple drug candidates designed to inhibit the HBV lifecycle and block the generation of covalently closed circular DNA (cccDNA), with the aim of increasing the current low cure rate for patients with HBV. We have discovered several novel core inhibitors, which are small molecules that directly target and allosterically modulate the HBV core (HBc) protein.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2019 Developments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ABI-H0731: </w:t>
      </w:r>
      <w:r>
        <w:rPr>
          <w:rFonts w:ascii="Arial" w:cs="Arial" w:eastAsia="Arial" w:hAnsi="Arial"/>
          <w:sz w:val="18"/>
          <w:szCs w:val="18"/>
          <w:color w:val="auto"/>
        </w:rPr>
        <w:t>In November 2019, at the American Association for the Study of Liver Diseases Annual Meeting (The Liver Meeting®), we presented final 24-week data from HBV e antigen (HBeAg) positive patients in our Phase 2 studies of ABI-H0731 (731), our lead HBV core inhibitor product candidate—ABI-H0731-201 (Study 201 in nucleos(t)ide reverse transcriptase inhibitor (NrtI) suppressed patients) and ABI-H0731-202 (Study 202 NrtI-naïve patients). In addition, we presented interim data from an ongoing open-label extension study ABI-H0731-211 (Study 211), where all patients received a combination of 731 and NrtI therapy.</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analysis, of the 97 patients completing Study 201 or Study 202, 87 were currently receiving a combination of 731 and NrtI therapy and had been treated for at least 16 weeks in Study 211 (cumulative duration of treatment with 731 and NrtI therapy of 16 to more than 40 weeks). 731 was well-tolerated when administered in combination with NrtI therapy with no patients discontinuing treatment due to adverse events (AEs).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reported in the literature, the vast majority of long-term NrtI treated HBeAg positive patients continue to have low level infectious virus, which was confirmed in Study 201 patients at the time of their enrollment. Final Week 24 results from the HBeAg-positive patients (n=47) demonstrated that, among those with detectable HBV DNA at baseline, 22 out of 27 (81%) of patients treated with 731 and NrtI therapy achieved target not detected (TND) by Week 24 compared to zero out of 12 (0%) patients treated with NrtI therapy only (p&lt;0.001), as measured with a highly sensitive PCR assay (lower limit of quantification (LLOQ) 5 = IU/mL). These results indicate that the addition of 731 to ongoing NrtI therapy reduced viral burden to levels not achieved by NrtI therapy alone.</w:t>
      </w:r>
    </w:p>
    <w:p>
      <w:pPr>
        <w:spacing w:after="0" w:line="15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Final Week 24 results from treatment-naïve HBeAg-positive patients in Study 202 (n=25) demonstrated faster and deeper HBV DNA declines in patients receiving 731 and entecavir (ETV) than those receiving ETV alone. Statistically significant reductions of viral pre-genomic RNA (pgRNA) were observed by Week 2 with 731 and ETV (p&lt;0.001).</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Longer-term treatment with 731 and NrtI therapy resulted in deeper reductions in HBV DNA and pgRNA. In the analysis, 21 out of 25 patients from Study 202 who were in treatment in Study 211 demonstrated mean HBV DNA and pgRNA declines from baseline of 6.3 logs and 3.0 logs, respectively, at Week 48. Of the 27 NrtI-suppressed HBeAg-positive patients who had received 731 and NrtI therapy for at least 40 weeks in Study 201 and were on treatment in Study 211, 18 (67%) achieved HBV DNA TND + pgRNA less than 35 U/mL, along with significant declines in HBeAg and HBcrAg levels in some of these patients.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An important finding based on interim data from Study 211 is the observed correlation between pgRNA and viral antigens. Eleven out of 21 (52%) patients from Study 202 that are now on Study 211 who have been treated with 731 and NrtI therapy for 16 to 60 weeks have achieved decreases in pgRNA of greater than 3 logs. The results in the table below demonstrate that these larger declines in pgRNA were associated with observed reductions in viral antigens. As cccDNA is the only known source of pgRNA, significant declines in pgRNA, coupled with multi-log declines in viral antigens in some patients, suggests that cccDNA pool levels may be decreasing.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&lt;40 U/L</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Log</w:t>
            </w:r>
            <w:r>
              <w:rPr>
                <w:rFonts w:ascii="Arial" w:cs="Arial" w:eastAsia="Arial" w:hAnsi="Arial"/>
                <w:sz w:val="12"/>
                <w:szCs w:val="12"/>
                <w:b w:val="1"/>
                <w:bCs w:val="1"/>
                <w:color w:val="auto"/>
                <w:w w:val="89"/>
              </w:rPr>
              <w:t>10</w:t>
            </w:r>
            <w:r>
              <w:rPr>
                <w:rFonts w:ascii="Arial" w:cs="Arial" w:eastAsia="Arial" w:hAnsi="Arial"/>
                <w:sz w:val="14"/>
                <w:szCs w:val="14"/>
                <w:b w:val="1"/>
                <w:bCs w:val="1"/>
                <w:color w:val="auto"/>
                <w:w w:val="89"/>
              </w:rPr>
              <w:t xml:space="preserve"> Decrease</w:t>
            </w:r>
          </w:p>
        </w:tc>
        <w:tc>
          <w:tcPr>
            <w:tcW w:w="4700" w:type="dxa"/>
            <w:vAlign w:val="bottom"/>
            <w:gridSpan w:val="6"/>
          </w:tcPr>
          <w:p>
            <w:pPr>
              <w:ind w:left="760"/>
              <w:spacing w:after="0"/>
              <w:rPr>
                <w:sz w:val="20"/>
                <w:szCs w:val="20"/>
                <w:color w:val="auto"/>
              </w:rPr>
            </w:pPr>
            <w:r>
              <w:rPr>
                <w:rFonts w:ascii="Arial" w:cs="Arial" w:eastAsia="Arial" w:hAnsi="Arial"/>
                <w:sz w:val="14"/>
                <w:szCs w:val="14"/>
                <w:b w:val="1"/>
                <w:bCs w:val="1"/>
                <w:color w:val="auto"/>
              </w:rPr>
              <w:t>Mean Log Reductions at Last Time Point (range)</w:t>
            </w:r>
          </w:p>
        </w:tc>
        <w:tc>
          <w:tcPr>
            <w:tcW w:w="3460" w:type="dxa"/>
            <w:vAlign w:val="bottom"/>
            <w:gridSpan w:val="6"/>
          </w:tcPr>
          <w:p>
            <w:pPr>
              <w:ind w:left="480"/>
              <w:spacing w:after="0"/>
              <w:rPr>
                <w:sz w:val="20"/>
                <w:szCs w:val="20"/>
                <w:color w:val="auto"/>
              </w:rPr>
            </w:pPr>
            <w:r>
              <w:rPr>
                <w:rFonts w:ascii="Arial" w:cs="Arial" w:eastAsia="Arial" w:hAnsi="Arial"/>
                <w:sz w:val="14"/>
                <w:szCs w:val="14"/>
                <w:b w:val="1"/>
                <w:bCs w:val="1"/>
                <w:color w:val="auto"/>
              </w:rPr>
              <w:t>Patients Exhibiting ≥0.5 Log Decline (%)</w:t>
            </w:r>
          </w:p>
        </w:tc>
      </w:tr>
      <w:tr>
        <w:trPr>
          <w:trHeight w:val="142"/>
        </w:trPr>
        <w:tc>
          <w:tcPr>
            <w:tcW w:w="9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Patients</w:t>
            </w:r>
          </w:p>
        </w:tc>
        <w:tc>
          <w:tcPr>
            <w:tcW w:w="9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ALT</w:t>
            </w:r>
          </w:p>
        </w:tc>
        <w:tc>
          <w:tcPr>
            <w:tcW w:w="14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6"/>
              </w:rPr>
              <w:t>pgRNA</w:t>
            </w:r>
          </w:p>
        </w:tc>
        <w:tc>
          <w:tcPr>
            <w:tcW w:w="178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HBeAg</w:t>
            </w:r>
          </w:p>
        </w:tc>
        <w:tc>
          <w:tcPr>
            <w:tcW w:w="1300" w:type="dxa"/>
            <w:vAlign w:val="bottom"/>
            <w:tcBorders>
              <w:top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HBcrAg</w:t>
            </w:r>
          </w:p>
        </w:tc>
        <w:tc>
          <w:tcPr>
            <w:tcW w:w="1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HBsAg</w:t>
            </w:r>
          </w:p>
        </w:tc>
        <w:tc>
          <w:tcPr>
            <w:tcW w:w="160" w:type="dxa"/>
            <w:vAlign w:val="bottom"/>
          </w:tcPr>
          <w:p>
            <w:pPr>
              <w:spacing w:after="0"/>
              <w:rPr>
                <w:sz w:val="12"/>
                <w:szCs w:val="12"/>
                <w:color w:val="auto"/>
              </w:rPr>
            </w:pPr>
          </w:p>
        </w:tc>
        <w:tc>
          <w:tcPr>
            <w:tcW w:w="1660" w:type="dxa"/>
            <w:vAlign w:val="bottom"/>
            <w:tcBorders>
              <w:top w:val="single" w:sz="8" w:color="auto"/>
            </w:tcBorders>
            <w:gridSpan w:val="2"/>
          </w:tcPr>
          <w:p>
            <w:pPr>
              <w:ind w:left="500"/>
              <w:spacing w:after="0" w:line="142" w:lineRule="exact"/>
              <w:rPr>
                <w:sz w:val="20"/>
                <w:szCs w:val="20"/>
                <w:color w:val="auto"/>
              </w:rPr>
            </w:pPr>
            <w:r>
              <w:rPr>
                <w:rFonts w:ascii="Arial" w:cs="Arial" w:eastAsia="Arial" w:hAnsi="Arial"/>
                <w:sz w:val="14"/>
                <w:szCs w:val="14"/>
                <w:b w:val="1"/>
                <w:bCs w:val="1"/>
                <w:color w:val="auto"/>
              </w:rPr>
              <w:t>HBeAg</w:t>
            </w:r>
          </w:p>
        </w:tc>
        <w:tc>
          <w:tcPr>
            <w:tcW w:w="108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9"/>
              </w:rPr>
              <w:t>HBcrAg</w:t>
            </w:r>
          </w:p>
        </w:tc>
        <w:tc>
          <w:tcPr>
            <w:tcW w:w="7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HBsAg</w:t>
            </w:r>
          </w:p>
        </w:tc>
      </w:tr>
      <w:tr>
        <w:trPr>
          <w:trHeight w:val="142"/>
        </w:trPr>
        <w:tc>
          <w:tcPr>
            <w:tcW w:w="74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89"/>
              </w:rPr>
              <w:t>11</w:t>
            </w:r>
          </w:p>
        </w:tc>
        <w:tc>
          <w:tcPr>
            <w:tcW w:w="16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89"/>
              </w:rPr>
              <w:t>10</w:t>
            </w:r>
          </w:p>
        </w:tc>
        <w:tc>
          <w:tcPr>
            <w:tcW w:w="16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3"/>
              </w:rPr>
              <w:t>&gt;3.0</w:t>
            </w:r>
          </w:p>
        </w:tc>
        <w:tc>
          <w:tcPr>
            <w:tcW w:w="140" w:type="dxa"/>
            <w:vAlign w:val="bottom"/>
            <w:tcBorders>
              <w:top w:val="single" w:sz="8" w:color="CFF0FC"/>
            </w:tcBorders>
            <w:shd w:val="clear" w:color="auto" w:fill="CFF0FC"/>
          </w:tcPr>
          <w:p>
            <w:pPr>
              <w:spacing w:after="0"/>
              <w:rPr>
                <w:sz w:val="12"/>
                <w:szCs w:val="12"/>
                <w:color w:val="auto"/>
              </w:rPr>
            </w:pPr>
          </w:p>
        </w:tc>
        <w:tc>
          <w:tcPr>
            <w:tcW w:w="162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2"/>
              </w:rPr>
              <w:t>1.03 (0.0-2.5)</w:t>
            </w:r>
          </w:p>
        </w:tc>
        <w:tc>
          <w:tcPr>
            <w:tcW w:w="16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5"/>
              </w:rPr>
              <w:t>1.42 (0.0-3.1)</w:t>
            </w:r>
          </w:p>
        </w:tc>
        <w:tc>
          <w:tcPr>
            <w:tcW w:w="140" w:type="dxa"/>
            <w:vAlign w:val="bottom"/>
            <w:tcBorders>
              <w:top w:val="single" w:sz="8" w:color="CFF0FC"/>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2"/>
              </w:rPr>
              <w:t>0.86 (0.0-3.6)</w:t>
            </w:r>
          </w:p>
        </w:tc>
        <w:tc>
          <w:tcPr>
            <w:tcW w:w="160" w:type="dxa"/>
            <w:vAlign w:val="bottom"/>
            <w:tcBorders>
              <w:top w:val="single" w:sz="8" w:color="CFF0FC"/>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92"/>
              </w:rPr>
              <w:t>9 (82)</w:t>
            </w:r>
          </w:p>
        </w:tc>
        <w:tc>
          <w:tcPr>
            <w:tcW w:w="2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w:t>
            </w:r>
          </w:p>
        </w:tc>
        <w:tc>
          <w:tcPr>
            <w:tcW w:w="52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4"/>
                <w:szCs w:val="14"/>
                <w:color w:val="auto"/>
              </w:rPr>
              <w:t>(91)</w:t>
            </w:r>
          </w:p>
        </w:tc>
        <w:tc>
          <w:tcPr>
            <w:tcW w:w="1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w w:val="87"/>
              </w:rPr>
              <w:t>6 (55)</w:t>
            </w:r>
          </w:p>
        </w:tc>
      </w:tr>
      <w:tr>
        <w:trPr>
          <w:trHeight w:val="149"/>
        </w:trPr>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2.0-3.0</w:t>
            </w: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2"/>
              </w:rPr>
              <w:t>0.34 (0.1-0.7)</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5"/>
              </w:rPr>
              <w:t>0.45 (0.1-1.0)</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2"/>
              </w:rPr>
              <w:t>0.14 (0.0-0.5)</w:t>
            </w:r>
          </w:p>
        </w:tc>
        <w:tc>
          <w:tcPr>
            <w:tcW w:w="1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2"/>
              </w:rPr>
              <w:t>2 (25)</w:t>
            </w:r>
          </w:p>
        </w:tc>
        <w:tc>
          <w:tcPr>
            <w:tcW w:w="200" w:type="dxa"/>
            <w:vAlign w:val="bottom"/>
          </w:tcPr>
          <w:p>
            <w:pPr>
              <w:spacing w:after="0"/>
              <w:rPr>
                <w:sz w:val="12"/>
                <w:szCs w:val="12"/>
                <w:color w:val="auto"/>
              </w:rPr>
            </w:pPr>
          </w:p>
        </w:tc>
        <w:tc>
          <w:tcPr>
            <w:tcW w:w="94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6 (75)</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7"/>
              </w:rPr>
              <w:t>1 (13)</w:t>
            </w:r>
          </w:p>
        </w:tc>
      </w:tr>
      <w:tr>
        <w:trPr>
          <w:trHeight w:val="149"/>
        </w:trPr>
        <w:tc>
          <w:tcPr>
            <w:tcW w:w="74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76"/>
              </w:rPr>
              <w:t>2</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76"/>
              </w:rPr>
              <w:t>2</w:t>
            </w: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3"/>
              </w:rPr>
              <w:t>&lt;2.0</w:t>
            </w:r>
          </w:p>
        </w:tc>
        <w:tc>
          <w:tcPr>
            <w:tcW w:w="140" w:type="dxa"/>
            <w:vAlign w:val="bottom"/>
            <w:shd w:val="clear" w:color="auto" w:fill="CFF0FC"/>
          </w:tcPr>
          <w:p>
            <w:pPr>
              <w:spacing w:after="0"/>
              <w:rPr>
                <w:sz w:val="12"/>
                <w:szCs w:val="12"/>
                <w:color w:val="auto"/>
              </w:rPr>
            </w:pPr>
          </w:p>
        </w:tc>
        <w:tc>
          <w:tcPr>
            <w:tcW w:w="162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0.15 (0.9-1.8)</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0.29 (0.3-0.3)</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0.17 (0.0-0.3)</w:t>
            </w:r>
          </w:p>
        </w:tc>
        <w:tc>
          <w:tcPr>
            <w:tcW w:w="16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0"/>
              </w:rPr>
              <w:t>0 (0)</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0"/>
              </w:rPr>
              <w:t>0 (0)</w:t>
            </w:r>
          </w:p>
        </w:tc>
      </w:tr>
    </w:tbl>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the final summary of safety findings in Study 201 and Study 202, 731 when administered with a NrtI therapy for 24 weeks was well-tolerated in both HBeAg-positive and -negative patients with no AEs leading to discontinuation, no Grade 3 or 4 AEs and no serious AEs reported. Five patients receiving 731 and NrtI reported a rash (four Grade 1 and one Grade 2). No associated systemic signs or laboratory abnormalities were observed, and all patients continued treatment through Week 24. Overall, laboratory abnormalities observed were of Grade 1 or 2 severity and occurred in similar proportions of patients across the two treatment groups. With longer-term ongoing treatment in Study 211, interim data indicated that the nature, frequency and severity of AEs and laboratory abnormalities observed were similar to those observed during the initial 24-week treatment period. Study 211 is ongoing, and we expect to continue to report interim, as well as final, data from this study.</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ABI-H2158: </w:t>
      </w:r>
      <w:r>
        <w:rPr>
          <w:rFonts w:ascii="Arial" w:cs="Arial" w:eastAsia="Arial" w:hAnsi="Arial"/>
          <w:sz w:val="16"/>
          <w:szCs w:val="16"/>
          <w:color w:val="auto"/>
        </w:rPr>
        <w:t>We presented final data from the Phase 1a portion of the Phase 1a/1b dose-ranging clinical study of ABI-H2158 (2158) at the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European Association for the Study of the Liver (EASL) in April 2019. The Phase 1a study assessed safety, tolerability and pharmacokinetics (PK) in 48 healthy volunteers. 2158 was well tolerated following single and multiple ascending doses. There were no dose dependent treatment-emergent AEs and no pattern of clinical safety or laboratory abnormalities observed within or across any cohorts. Once daily administration is projected to result in trough liver concentrations in excess of the in vitro EC50 of 334 nM at which cccDNA establishment is inhibited by 50%. We initiated the Phase 1b dose-ranging portion of this study in April 2019 to assess the safety, PK and antiviral activity of 2158 in patients with chronic HBV infection.</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at The Liver Meeting®, we reported interim data from the first, low-dose cohort of the Phase 1b portion of the Phase 1a/1b dose-ranging clinical study, which is currently enrolling HBeAg-positive patients in sequential dose cohorts of nine patients, with each cohort randomized to receive oral 2158 or placebo (7:2) once daily for 14 days. The interim data from the initial cohort receiving the lowest dose of 2158 at 100 mg demonstrated potent antiviral activity at this initial dose level, reflected by mean declines from baseline to day 15 of 2.3 log</w:t>
      </w:r>
      <w:r>
        <w:rPr>
          <w:rFonts w:ascii="Arial" w:cs="Arial" w:eastAsia="Arial" w:hAnsi="Arial"/>
          <w:sz w:val="15"/>
          <w:szCs w:val="15"/>
          <w:color w:val="auto"/>
        </w:rPr>
        <w:t>10</w:t>
      </w:r>
      <w:r>
        <w:rPr>
          <w:rFonts w:ascii="Arial" w:cs="Arial" w:eastAsia="Arial" w:hAnsi="Arial"/>
          <w:sz w:val="18"/>
          <w:szCs w:val="18"/>
          <w:color w:val="auto"/>
        </w:rPr>
        <w:t xml:space="preserve"> [range 1.7 – 3.0] and 2.1 log</w:t>
      </w:r>
      <w:r>
        <w:rPr>
          <w:rFonts w:ascii="Arial" w:cs="Arial" w:eastAsia="Arial" w:hAnsi="Arial"/>
          <w:sz w:val="15"/>
          <w:szCs w:val="15"/>
          <w:color w:val="auto"/>
        </w:rPr>
        <w:t>10</w:t>
      </w:r>
      <w:r>
        <w:rPr>
          <w:rFonts w:ascii="Arial" w:cs="Arial" w:eastAsia="Arial" w:hAnsi="Arial"/>
          <w:sz w:val="18"/>
          <w:szCs w:val="18"/>
          <w:color w:val="auto"/>
        </w:rPr>
        <w:t xml:space="preserve"> [range 1.5 – 2.7] in HBV DNA and pgRNA, respectively.</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 serious AEs, dose limiting toxicities or premature discontinuations have been reported to date. All AEs were Grade 1. One patient assigned to placebo and three patients on 2158 reported AEs that resolved without intervention: dizziness, fatigue, rash, headache and upper abdominal pain. Observed steady-state exposures were in excess of the EC90 for in vitro antiviral and cccDNA assays. We believe that the safety and PK data and parameters from this interim analysis support once daily administration and the continued evaluation of 2158 across the planned dose cohorts in patients with chronic HBV infection. Following completion of the Phase 1b dose-ranging study, we expect to initiate a Phase 2 clinical study in the second quarter of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Microbiome Program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there has been increasing scientific evidence suggesting the therapeutic potential of the human microbiome—the billions of microbes living in and on people-to impact health and disease. Our Microbiome program builds upon experience reported in the literature of successfully treating various disease indications with fecal microbiota transplants (FMT) and seeks to provide a pharmacologically relevant therapy using a “drug like” approach that delivers targeted and specific microbiome therapies in an oral capsule.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Microbiome program consists of a fully integrated platform that includes a strain isolation, identification, characterization and function based selection process, methods for strain purification and growth under conditions compliant with Good Manufacturing Practice (cGMP) requirements, and a licensed patented delivery system that we call GEMICEL®, which is designed to allow for targeted oral delivery of live biologic and conventional therapies to the lower gastrointestinal (GI) tract.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i w:val="1"/>
          <w:iCs w:val="1"/>
          <w:color w:val="auto"/>
        </w:rPr>
        <w:t>2019 Developments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2019, we initiated a Phase 1b human clinical study of ABI-M201 (M201) to evaluate the safety of M201 and its effects on disease activity measures in patients with mildly to moderately active ulcerative colitis (UC) and ongoing treatment with mesalamine. The study’s primary objective is safety and tolerability, and its secondary objectives focus on the effect of M201 treatment in patients with UC.</w:t>
      </w:r>
    </w:p>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study will consist of two sequential, non-overlapping cohorts of patients, separated by intervening interim analysis. Both cohorts will involve eight weeks of study drug treatment. Interim data from the initial treatment cohort (Cohort A), consisting of 20 patents, will inform the decision to advance to the second cohort (Cohort B), consisting of 24 patients, and its dose selection. The patients in Cohort A will be randomized 1:1 to receive either one daily capsule of M201 or placebo in addition to their treatment with mesalamine. The patients in Cohort B will be randomized 3:1 to receive between one to five daily capsules of M201 or placebo in addition to their treatment with mesalamine. In June 2019, we initiated dosing of the first patient in this clinical study.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Collaboration Agreement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6, 2017, we entered into the Research, Development, Collaboration and License Agreement (the Collaboration Agreement) with Allergan to develop and commercialize select microbiome gastrointestinal programs. Pursuant to the terms of the Collaboration Agreement, Allergan paid us an upfront payment of $50.0 million in February 2017. Additionally, we are eligible to receive up to approximately $631.0 million in payments related to seven development milestones and up to approximately $2.14 billion in payments related to 12 commercial development and sales milestones in connection with the successful development and commercialization of licensed compounds for up to six different indications. We have agreed with Allergan to share development costs up to an aggregate of $75.0 million through proof-of-concept (POC) studies on a ⅓, ⅔ basis, respectively, and Allergan has agreed to assume all post-POC development costs. Additionally, we have an option to co-promote the licensed programs in the United States and China, subject to certain conditions set forth in the Collaboration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and research, development and small-scale manufacturing activities in Groton, Connecticut and administrative offices in Carmel, Indiana.</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establishing small-scale manufacturing capabilities for certain of our product candidates, maintaining and improving our patent portfolio and raising capital. We have generated significant losses to date, and we expect to continue to generate losses as we continue to develop our product candidates. As of December 31, 2019, we had an accumulated deficit of approximately $439.4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target validation, lead optimization and the development of our product candidates, which include:</w:t>
      </w:r>
    </w:p>
    <w:p>
      <w:pPr>
        <w:spacing w:after="0" w:line="130" w:lineRule="exact"/>
        <w:rPr>
          <w:sz w:val="20"/>
          <w:szCs w:val="20"/>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w:t>
      </w:r>
    </w:p>
    <w:p>
      <w:pPr>
        <w:spacing w:after="0" w:line="184"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(CROs) that conduct research and development, nonclinical and clinical activities on our behalf and the cost of consultants, and contract manufacturing organizations (CMOs) that manufacture all of our drug substance and the drug product used in our HBV-cure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3" w:name="page64"/>
    <w:bookmarkEnd w:id="63"/>
    <w:p>
      <w:pPr>
        <w:ind w:left="880" w:right="2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nonclinical and, in the case of our Microbiome program, early stage clinical study materials;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related to our license agreements; and</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3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rendered.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our employee and infrastructure resources across multiple research and development programs, and we allocate internal employee-related and infrastructure costs, as well as certain third-party costs, to each of our programs based on the personnel resources allocated to such program. Our research and development expenses, by major program, are outlined in the table below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HBV</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Microbiome</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hanging="432"/>
        <w:spacing w:after="0" w:line="277" w:lineRule="auto"/>
        <w:tabs>
          <w:tab w:leader="none" w:pos="440" w:val="left"/>
        </w:tabs>
        <w:numPr>
          <w:ilvl w:val="0"/>
          <w:numId w:val="41"/>
        </w:numPr>
        <w:rPr>
          <w:rFonts w:ascii="Arial" w:cs="Arial" w:eastAsia="Arial" w:hAnsi="Arial"/>
          <w:sz w:val="15"/>
          <w:szCs w:val="15"/>
          <w:color w:val="auto"/>
        </w:rPr>
      </w:pPr>
      <w:r>
        <w:rPr>
          <w:rFonts w:ascii="Arial" w:cs="Arial" w:eastAsia="Arial" w:hAnsi="Arial"/>
          <w:sz w:val="18"/>
          <w:szCs w:val="18"/>
          <w:color w:val="auto"/>
        </w:rPr>
        <w:t>Expenses presented for Microbiome do not reflect reimbursement of expenses under the Collaboration Agreement with Allergan as discussed in Note 8 to the Consolidated Financial Statements.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successful discovery and development of our product candidates is highly uncertain. As such, at this time, we cannot reasonably estimate, or know the nature, timing and estimated costs, of the efforts that will be necessary to complete the remainder of their development. We are also unable to predict when, if ever, material net cash inflows will commence from our product candidates. This is due to the numerous risks and uncertainties associated with developing medicines, including the uncertainty of:</w:t>
      </w:r>
    </w:p>
    <w:p>
      <w:pPr>
        <w:spacing w:after="0" w:line="146" w:lineRule="exact"/>
        <w:rPr>
          <w:sz w:val="20"/>
          <w:szCs w:val="20"/>
          <w:color w:val="auto"/>
        </w:rPr>
      </w:pPr>
    </w:p>
    <w:p>
      <w:pPr>
        <w:jc w:val="both"/>
        <w:ind w:left="880" w:hanging="440"/>
        <w:spacing w:after="0" w:line="264"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progress and success of our Phase 2 clinical development of 731, our Phase 1 and potential Phase 2 clinical development of 2158, our Phase 1 clinical development of M201, and our nonclinical and planned clinical development activities for 3733 and other product candidates we may identify in each of the HBV Cure and Microbiome programs;</w:t>
      </w:r>
    </w:p>
    <w:p>
      <w:pPr>
        <w:spacing w:after="0" w:line="14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 sufficient to advance additional product candidates into clinical development;</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internal commercial manufacturing capabilities or making arrangements with third-party manufacturers;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 and wide use.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A change in the outcome of any of these variables or variables discussed in “Item 1A. Risk Factors” with respect to the development of any of our product candidates would significantly change the costs and timing associated with the development of that product candidate.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studies. We expect research and development costs to increase significantly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business development, legal and human resources functions. Other significant costs include facility costs not otherwise included in research and development expenses, insurance costs, legal fees relating to patents and corporate matters and fees for accounting and consulting services.</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potential commercialization of our product candidates and increased costs of operating as a public company.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exchange listing and U.S. Securities and Exchange Commission (SEC) requirements, insurance, and investor relations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and cash equivalents and available-for-sale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we have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We evaluate our estimates and judgments, including those described in greater detail below,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included elsewhere in this Annual Report on Form 10-K, we believe that the following accounting policies are the most critical to aid you in fully understanding and evaluating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inception of an arrangement, we evaluate if a counterparty to a contract is a customer, if the arrangement is within the scope of revenue from contracts with customers guidance, and the term of the contract. We recognize revenue when the customer obtains control of promised goods or services in a contract for an amount that reflects the consideration we expect to receive in exchange for those goods or services. For contracts with customers,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Our performance obligations under these arrangements may include licenses of intellectual property, options to license additional intellectual property, research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5" w:name="page66"/>
    <w:bookmarkEnd w:id="65"/>
    <w:p>
      <w:pPr>
        <w:jc w:val="both"/>
        <w:spacing w:after="0" w:line="276" w:lineRule="auto"/>
        <w:rPr>
          <w:sz w:val="20"/>
          <w:szCs w:val="20"/>
          <w:color w:val="auto"/>
        </w:rPr>
      </w:pPr>
      <w:r>
        <w:rPr>
          <w:rFonts w:ascii="Arial" w:cs="Arial" w:eastAsia="Arial" w:hAnsi="Arial"/>
          <w:sz w:val="17"/>
          <w:szCs w:val="17"/>
          <w:color w:val="auto"/>
        </w:rPr>
        <w:t>development services, delivery of manufactured product, and/or participation on joint steering committees. Allergan can select backups and additional target indications to add to the licenses granted and also has the ability to enter into a contract manufacturing agreement with us for compound supply, and we have concluded that these rights are options. We evaluated whether such options contained material rights and concluded they were not offered at a discount that exceeds discounts available to other customers, and therefore were not material rights. The grant of additional licensing rights upon option exercises and contract manufacturing agreements will be accounted for as separate contracts when they occur.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standard indemnification and protection of licensed intellectual property for our customer. These provisions are part of assurance that the licenses meet the agreement’s, representations and are not obligations to provide goods or services.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only apply the five-step model to contracts when it is probable that we will collect the consideration to which we are entitled in exchange for the goods or services we transfer to the customer. As part of the accounting for contracts with customers, we must develop assumptions that require judgment to determine the standalone selling price of each performance obligation identified in the contract. We then allocate the total transaction price to each performance obligation based on the estimated standalone selling prices of each performance obligation. We estimated standalone selling prices of our performance obligations using income-based valuation approach for the estimated value a licensor of the compounds would receive. We recognize as revenue the amount of the transaction price that is allocated to the respective performance obligation when the performance obligation is satisfied or as it is satisfied. We recognize revenues for each of our distinct performance obligations as the related research and development services are performed because our customer consumes the benefit of research and development work simultaneously as we perform these services.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Upfront License Fees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license to our intellectual property is determined to be distinct from the other performance obligations identified in the arrangement, we recognize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Development and Regulatory Milestone Payments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Depending on facts and circumstances, we may record revenues from certain milestones in a reporting period before the milestone is achieved if we conclude that achievement of the milestone is probable and that recognition of revenue related to the milestone will not result in a significant reversal in amounts recognized in future periods. We record a corresponding contract asset when this conclusion is reached. Milestone payments that have not been included in the transaction price to date are fully constrained. We re-evaluate the probability of achievement of such milestones and any related constraint each reporting period. We adjust our estimate of the overall transaction price, including the amount of collaborative revenue that was recorded, if necessary.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Service Payments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reimbursed at a certain percentage for performing research and development services based on hours worked by our employees at a fixed contractual rate per hour and third-party pass-through costs we incur on a quarterly basis. Research and development service payments are included in the transaction price in the reporting period that we conclude that it is probable that recording revenue in the period will not result in a significant reversal in amounts recognized in future periods. Accounts receivable are recorded when the right to the research and development service payment consideration becomes unconditional. We record the full reimbursed portion of these expenses as collaboration revenue in our consolidated statements of operations as we consider performing research and development services to be a part of our ongoing and central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i w:val="1"/>
          <w:iCs w:val="1"/>
          <w:color w:val="auto"/>
        </w:rPr>
        <w:t>Sales-based Milestone and Royalty Payments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 may be required to pay us sales-based milestone payments or royalties on future sales of commercial products. We recognize revenues related to sales-based milestone and royalty payments upon the later to occur of (i) achievement of the collaborator’s underlying sales or (ii) satisfaction of any performance obligation(s) related to these sales, in each case assuming our licensed intellectual property is deemed to be the predominant item to which the sales-based milestones and/or royalties relate.</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receive payments from our customer based on billing schedules established in each contract. Upfront payments and fees are recorded as deferred revenue upon receipt or when due until we perform our obligations under the arrangement. If the related performance obligation is expected to be satisfied within the next 12 months, these amounts will be classified in current liabilities. We recognize a contract asset relating to our conditional right to consideration that is not subject to a constraint. Amounts are recorded as accounts receivable when our right to consideration is unconditional. A net contract asset or liability is presented for each contract with a customer.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be required to exercise considerable judgment in estimating revenue to be recognized. Judgment is required in identifying performance obligations, estimating the transaction price, estimating the standalone selling prices of identified performance obligations, which may include forecasted revenue, development timelines, reimbursement rates for personnel and other research and development costs, discount rates and probabilities of technical and regulatory success, and estimating the progress towards satisfaction of performance obligations.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January 1, 2018, we adopted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amended (Accounting Standards Codification Topic 606) (ASC 606) using the modified retrospective method applied to those contracts which were not completed as of January 1, 2018. We also elected to use the practical expedient that allows an entity to expense the incremental cost of obtaining a contract as an expense when incurred if the amortization period of the asset that an entity otherwise would have recognized is less than one year. Results for the year ended December 31, 2018 are presented under ASC 606, while prior period amounts are not adjusted and continue to be reported in accordance with historic accounting under previous revenue recognition guidance. As of the adoption date of ASC 606, we had only one contract with a customer, Allergan, that had not been completed. Based on our analysis, we concluded there was no significant change in applying ASC 606 to our agreement with Allergan and no amounts have been recognized within “accumulated deficit” in the consolidated balance sheet related to the adoption of the new standard.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indefinite-lived intangible assets are reviewed for impairment at least annually in the fourth quarter and more frequently if events or other changes in circumstances indicate that the carrying amount of the assets may not be recoverable. Impairment of goodwill and indefinite-lived intangibles is determined to exist when the fair value is less than the carrying value of the net assets being tested.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determined that we have only one operating segment and reporting unit. Accordingly, our review of goodwill impairment indicators is performed at the entity-wide level. In performing each annual impairment assessment and any interim impairment assessment, we determine if we should qualitatively assess whether it is more likely than not that the fair value of goodwill is less than its carrying amount (the qualitative impairment test). Some of the factors considered in the assessment include general macroeconomic conditions, conditions specific to the industry and market, cost factors, the overall financial performance and whether there have been sustained declines in our share price. If we conclude it is more likely than not that the fair value of the reporting unit is less than its carrying amount, or elect not to use the qualitative impairment test, a quantitative impairment test is performed using a two-step process. The first step of the goodwill qualitative impairment assessment compares the fair value of the reporting unit to its carrying value. If the fair value of the reporting unit exceeds its carrying amount, goodwill of the reporting unit is considered not impaired, and the second step of the impairment test is not required. We use our market capitalization as an indicator of fair value. We believe that since our reporting unit is publicly traded, the ability of a controlling shareholder to benefit from synergies and other intangible assets that arise from control might cause the fair value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7" w:name="page68"/>
    <w:bookmarkEnd w:id="67"/>
    <w:p>
      <w:pPr>
        <w:jc w:val="both"/>
        <w:spacing w:after="0" w:line="268" w:lineRule="auto"/>
        <w:rPr>
          <w:sz w:val="20"/>
          <w:szCs w:val="20"/>
          <w:color w:val="auto"/>
        </w:rPr>
      </w:pPr>
      <w:r>
        <w:rPr>
          <w:rFonts w:ascii="Arial" w:cs="Arial" w:eastAsia="Arial" w:hAnsi="Arial"/>
          <w:sz w:val="17"/>
          <w:szCs w:val="17"/>
          <w:color w:val="auto"/>
        </w:rPr>
        <w:t>our reporting unit as a whole to exceed our market capitalization. However, we believe that the fair value measurement need not be based solely on the quoted market price of an individual share of our common stock, but also can consider the impact of a control premium in measuring the fair value of its reporting unit. Should our market capitalization be less than our total stockholders’ equity as of our annual test date or as of any interim impairment testing date, we would also consider market comparables, recent trends in our stock price over a reasonable period and, if appropriate, use an income approach (discounted cash flow) to determine whether the fair value of our reporting unit is greater than our carrying amount. If we were to use an income approach, we would establish a fair value by estimating the present value of our projected future cash flows expected to be generated from our business. The discount rate applied to the projected future cash flows to arrive at the present value would be intended to reflect all risks of ownership and the associated risks of realizing the stream of projected future cash flows. Our discounted cash flow methodology would consider projections of financial performance for a period of several years combined with an estimated residual value. The most significant assumptions we would use in a discounted cash flow methodology are the discount rate, the residual value and expected future revenues, gross margins and operating costs, along with considering any implied control premium. The second step, if required, compares the implied fair value of the reporting unit goodwill with the carrying amount of that goodwill. If the carrying amount of the reporting unit's goodwill exceeds its implied fair value, an impairment charge is recognized in an amount equal to that excess. Implied fair value is the excess of the fair value of the reporting unit over the fair value of all identified assets and liabilities. In 2019, we elected to bypass the qualitative goodwill impairment assessment. As of October 1, 2019, we have determined through a quantitative impairment test that the fair value significantly exceeded the carrying value of our single reporting unit, and concluded that goodwill was not impaired. We did not recognize any goodwill impairment in any of the years presented.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Indefinite-Lived Intangible Asset</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indefinite-lived intangible asset consists of in-process research and development (IPR&amp;D) projects acquired in a business combination that are used in research and development activities but have not yet reached technological feasibility, regardless of whether they have alternative future use. The primary basis for determining the technological feasibility or completion of these projects is obtaining regulatory approval to market the underlying products in an applicable geographic region. We classify in-process research and development acquired in a business combination as an indefinite-lived intangible asset until the completion or abandonment of the associated research and development efforts. Upon completion of the associated research and development efforts, we perform a final test for impairment and will determine the useful life of the technology and begin amortizing the assets to reflect their use over their remaining lives. Upon permanent abandonment, we would write off the remaining carrying amount of the associated IPR&amp;D intangible asset.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performing each annual impairment assessment and any interim impairment assessment, we determine if we should qualitatively assess whether it is more likely than not that the fair value of our IPR&amp;D asset is less than its carrying amount (the qualitative impairment test). If we conclude that is the case, or elect not to use qualitative impairment test, we would proceed with quantitatively determining the fair value of the IPR&amp;D asset and comparing its fair value to its carrying value to determine the amount of impairment, if any (the quantitative impairment test).</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performing the qualitative impairment test, we consider the results of the most recent quantitative impairment test and identifies the most relevant divers of the fair value for the IPR&amp;D asset. The most relevant drivers of fair value we have identified are consistent with the assumptions used in the quantitative estimate of the IPR&amp;D asset discussed below. Using these drivers, we identify events and circumstances that may have an effect on the fair value of the IPR&amp;D asset since the last time the IPR&amp;D’s fair value was quantitatively determined. We then weigh these factors to determine and conclude if it is not more likely than not that the IPR&amp;D asset is impaired. If it is more likely than not that the IPR&amp;D asset is impaired we proceed with quantitatively determining the fair value of the IPR&amp;D asset.</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income approach to determine the fair value of our IPR&amp;D asset. This approach calculates fair value by estimating the after-tax cash flows attributable to an in-process project over its useful life and then discounting these after-tax cash flows back to a present value. This estimate includes significant assumptions regarding the estimates that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are based on estimates of the sales price of the drug, the number of patients who will be diagnosed and treated and our competitive position in the marketplace, and appropriate discount and tax rates. Any impairment to be recorded is calculated as the difference between the fair value of the IPR&amp;D asset as of the date of the assessment with the carrying value of the IPR&amp;D asset on our consolidated balance sheet.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For 2019, we elected to perform a qualitative impairment test and concluded that it is more likely than not that the fair value of our IPR&amp;D asset exceeded the carrying value and no further testing was required. We did not recognize any IPR&amp;D impairment in any of the years presented.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asset purchases outside of business combinations, we expense any purchased research and development assets as of the acquisition date if they have no alternative future uses.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and Accruals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include personnel-related costs, outside contracted services including clinical study costs, facilities costs, fees paid to consultants, milestone payments prior to FDA approval, license fees prior to FDA approval, professional services, travel costs, dues and subscriptions, depreciation and materials used in clinical trials and research and development and costs incurred under the Collaboration Agreement.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 Assets acquired as part of an asset acquisition that are used in research and development or are IPR&amp;D are immediately expensed as research and development unless there is an alternative future use in other research and development projects.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certain research and development expenses. This process involves reviewing quotations and contracts, reviewing the terms of our license agreements, communicating with our vendors and applicable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Payments made prior to the receipt of goods or services to be used in research and development are capitalized until the goods or services are received. Such payments are evaluated for current or long-term classification based on when they will be realized or consumed. Examples of estimated amortized or accrued research and development expenses include fees to:</w:t>
      </w:r>
    </w:p>
    <w:p>
      <w:pPr>
        <w:spacing w:after="0" w:line="137" w:lineRule="exact"/>
        <w:rPr>
          <w:sz w:val="20"/>
          <w:szCs w:val="20"/>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CROs and other service providers in connection with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CMOs in connection with the production of clinical trial materials;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either amortizing or accruing service fees, we estimate the time period over which services will be performed and the level of effort to be expended in each period. If the actual timing of the performance of services or the level of effort varies from our estimate, we adjust the related prepayment or accrual accordingly. Our understanding of the status and timing of services performed relative to the actual status and timing of services performed may vary and may result in our reporting changes in estimates in any particular period. Adjustments to prior period estimates have not been material for the years ended December 31, 2019 and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equity awards that vest subject to the satisfaction of service requirements, compensation expense is measured based on the fair value of the award on the date of grant and is recognized as expense on a straight-line basis over the requisite service period. Stock-based awards with graded vesting schedules are recognized using the accelerated attribution method on a straight-line basis over the requisite service period for each separately vesting portion of the award. For stock awards which have a performance condition, compensation cost is measured based on the fair value on the grant date (the date performance targets are established) and is expensed over the requisite service period for each separately vesting tranche when achievement of the performance objective becomes probable. We assess the probability of the performance conditions being met on a continuous basis. Forfeitures are recognized when incurred.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9" w:name="page70"/>
    <w:bookmarkEnd w:id="69"/>
    <w:p>
      <w:pPr>
        <w:jc w:val="both"/>
        <w:spacing w:after="0" w:line="255" w:lineRule="auto"/>
        <w:rPr>
          <w:sz w:val="20"/>
          <w:szCs w:val="20"/>
          <w:color w:val="auto"/>
        </w:rPr>
      </w:pPr>
      <w:r>
        <w:rPr>
          <w:rFonts w:ascii="Arial" w:cs="Arial" w:eastAsia="Arial" w:hAnsi="Arial"/>
          <w:sz w:val="18"/>
          <w:szCs w:val="18"/>
          <w:color w:val="auto"/>
        </w:rPr>
        <w:t>The fair value of restricted stock units (RSUs) is determined based on the number of shares granted and the quoted market price of our common stock on the date of grant. The fair value of stock options is estimated on the date of grant using the Black-Scholes option pricing model (Black-Scholes Model). The fair value of stock-based payment awards as determined by the Black-Scholes Model are affected by our stock price as well as other assumptions. These assumptions include, but are not limited to, the expected term, the expected stock price volatility, the risk-free interest rate and the expected dividend yield. We have, due to insufficient historical data, used the “simplified method” to determine the expected term of stock options granted with a service condition. If any of the assumptions used in the Black-Scholes Model change significantly, stock-based compensation expense may differ materially in the future from that recorded in the current period.</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stock-based compensation arrangements with non-employees, which primarily consist of consultants, using a fair value approach. The fair value of these options is measured using the Black-Scholes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grant stock options and other equity awards in the future, and to the extent that we do, our actual stock-based compensation expense recognized in future periods will likely increase.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contractual and commercial obligations under our operating lease commitments and licenses. The following table summarizes our future contractual obligations and commercial commitments at December 31, 2019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8"/>
                <w:szCs w:val="18"/>
                <w:b w:val="1"/>
                <w:bCs w:val="1"/>
                <w:color w:val="auto"/>
                <w:w w:val="90"/>
              </w:rPr>
              <w:t>Payments Due By Period</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50"/>
              <w:spacing w:after="0" w:line="205" w:lineRule="exact"/>
              <w:rPr>
                <w:sz w:val="20"/>
                <w:szCs w:val="20"/>
                <w:color w:val="auto"/>
              </w:rPr>
            </w:pPr>
            <w:r>
              <w:rPr>
                <w:rFonts w:ascii="Arial" w:cs="Arial" w:eastAsia="Arial" w:hAnsi="Arial"/>
                <w:sz w:val="18"/>
                <w:szCs w:val="18"/>
                <w:b w:val="1"/>
                <w:bCs w:val="1"/>
                <w:color w:val="auto"/>
                <w:w w:val="88"/>
              </w:rPr>
              <w:t>Less than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2"/>
              </w:rPr>
              <w:t>More than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1-3 years</w:t>
            </w: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3-5 years</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5 years</w:t>
            </w: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License obligations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23"/>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milestone and royalty payments associated with certain license agreements have not been included in the above table of contractual obligations, because we cannot reasonably estimate if or when they will occur. The milestone payments included in the table of contractual obligations above are payments we believe are reasonably likely to occur during the indicated time periods. Excluded from the table are future research and development expenses under the Collaboration Agreement of up to $25.0 million. We enter into contracts in the normal course of business with CROs for clinical trials and CMO’s for clinical supply manufacturing and with vendors for preclinical research studies and other services and products for operating purposes, which generally provide for termination within 30 days of notice, and therefore, are cancelable contracts and not included in the table above. Further, we anticipate that our operating lease obligations will be higher than projected as we renew existing real estate leases that expire in 2020 and enter into new or expanded real estate leases.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2019, we had an accumulated deficit of approximately $439.4 million primarily as a result of research and development expenses and general and administrative expenses. While we may in the future generate revenue from a variety of sources, including license fees, milestone payments, research and development payments in connection with strategic partnerships and/or product sales, our product candidates are at an early stage of development and may never be successfully developed or commercialized. Accordingly, we expect to continue to incur substantial losses from operations for the foreseeable future and there can be no assurance that we will ever generate significant revenues.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year ended December 31, 2019, we generated approximately $16.0 million of collaboration revenue, which included the amortization of deferred revenue and reimbursement revenue in each case incurred under the Collaboration Agreement, an increase of approximately $1.2 million from approximately $14.8 million for the same period in 2018. The increase was based on increased research efforts performed during 2019 for our Microbiome program.</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excluding stock-based compensation expense, was approximately $74.4 million for the year ended December 31, 2019, an increase of approximately $13.5 million from approximately $60.9 million for the same period in 2018. The increase in research and development expenses was primarily due to an increase of approximately $9.4 million in research expenses for our HBV-cure program and an increase of approximately $4.1 million in research expenses for our Microbiome program.</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was approximately $11.4 million for the year ended December 31, 2019, a decrease of approximately $0.4 million from approximately $11.8 million for the year ended December 31, 2018.</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 excluding stock-based compensation expense, was approximately $23.7 million for the year ended December 31, 2019, an increase of approximately $5.6 million from approximately $18.1 million for the same period in 2018. The increase in general and administrative expenses was primarily due to an increase of approximately $3.5 million in employee related expenses due to the addition of employees in executive management, finance and human resources. This increase also includes a one-time expense of $1.7 million for severance packages in conjunction with the relocation of our corporate headquarters to South San Francisco, California effective January 1, 2020, the departure of one of our former executives, $0.9 million in rent expenses for our new office in South San Francisco and $0.3 million in professional expenses.</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Stock-based compensation expense was approximately $9.2 million for the year ended December 31, 2019, a decrease of approximately $7.5 million from approximately $16.7 million for the year ended December 31, 2018. The decrease was primarily due to a $4.3 million one-time expense related to the departure and transition to consultant of one of our former executive officers in 2018 coupled with the reversal of previously recognized expense of $3.6 million related to forfeited awards resulting from the departure of one of our former executive officers in 2019.</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and Other Income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other income was approximately $4.3 million for the year ended December 31, 2019 compared to approximately $3.1 million for the same period in 2018. Interest income for the years ended December 31, 2019 and 2018 was primarily related to interest income earned on marketable securities, corporate bonds and money market funds as a result of higher balances carried in 2019.</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 (Expense) Benefit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benefit for the year ended December 31, 2019 was approximately $0.8 million compared to an income tax expense for year ended December 31, 2018 of $1.1 million. The income tax benefit in the current year is primarily due to a change in the Company’s state and local effective tax rate and recording the impact of certain indefinite-lived deferred tax asset carryforwards. The income tax expense recognized in the prior year is primarily due to a change in our state and local effective tax 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excluding stock-based compensation expense, was approximately $60.9 million for the year ended December 31, 2018, an increase of approximately $22.1 million from approximately $38.8 million for the same period in 2017. The increase in research and development expenses was primarily due to an increase of approximately $18.3 million in research expenses for our HBV-cure program and an increase of approximately $3.9 million for nonclinical development of our Microbiome program.</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was approximately $11.8 million for the year ended December 31, 2018, an increase of approximately $6.4 million from approximately $5.4 million for the year ended December 31, 2017.</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General and administrative expense, excluding stock-based compensation expense, was approximately $18.1 million for the year ended December 31, 2018, an increase of approximately $4.3 million from approximately $13.8 million for the same period in 2017. The increase in general and administrative expenses was primarily due to an increase of approximately $2.1 million in salary and benefits expenses due to additional employees in information technology, human resources and finance, $0.6 million in office and equipment rent expenses, $0.4 million in professional expenses, $0.4 million in recruitment expenses, $0.3 million in tax expenses, $0.2 million in insurance expenses and $0.2 million in legal expenses.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expense was approximately $16.7 million for the year ended December 31, 2018, an increase of approximately $13.5 million from approximately $3.2 million for the year ended December 31, 2017. The increase was due, in part, to a $4.3 million one-time expense related to the departure and transition to consultant of one of our former executive officers and an incremental expense of approximately $5.0 million was recognized due to the addition of a new executive officer in 2017.</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and Other Income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other income was approximately $3.1 million for the year ended December 31, 2018 compared to approximately $1.0 million for the same period in 2017. Interest income for the years ended December 31, 2018 and 2017 was primarily related to interest income on marketable securities, corporate bonds and money market funds.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 (Expense) Benefit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for the year ended December 31, 2018 was approximately $1.1 million compared to an income tax benefit for year ended December 31, 2017 of $9.1 million. The income tax expense in the current year is primarily due to a change in the Company’s realizability of its state and local effective tax rate. The income tax benefit recognized in the prior year is primarily due to the Tax Cuts and Jobs Act of 2017 (the Tax Act) enacted on December 22, 2017, which reduced the U.S. federal corporate tax rate to 21%. The changes effected by the Tax Act resulted in tax benefit of $9.1 million, of which $8.6 million relates to the Tax 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December 31, 2019 principally with debt prior to our initial public offering, and thereafter with equity financing, raising an aggregate of approximately $546.4 million in net proceeds from public offerings and private placements from inception to December 31, 2019. Additionally, in February 2017, we received a $50.0 million upfront payment in connection with the execution of the Collaboration Agreement.</w:t>
      </w:r>
    </w:p>
    <w:p>
      <w:pPr>
        <w:spacing w:after="0" w:line="16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November 2017, we sold to various investors an aggregate of 2,541,000 shares of common stock in a public offering at $27.25 per share, which included the exercise in full by the underwriters of their option to purchase 331,500 additional shares of common stock. We received aggregate net proceeds of approximately $64.8 million from the offering and option exercise, after deducting underwriting discounts and commissions and offering expenses.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18"/>
          <w:szCs w:val="18"/>
          <w:color w:val="auto"/>
        </w:rPr>
        <w:t>In July 2018, we sold to various investors an aggregate of 4,600,000 shares of common stock in a public offering at $36.00 per share, which included the exercise in full by the underwriters of their option to purchase 600,000 additional shares of common stock. We received aggregate net proceeds of approximately $155.4 million from the offering and the option exercise, after deducting underwriting discounts and commissions and offering expenses payable.</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we sold to various investors an aggregate of 6,287,878 shares of common stock at a public offering price of $16.50 per share, which included the exercise in full by the underwriters of their option to purchase 1,136,363 shares of common stock, and pre-funded warrants to purchase 2,424,242 shares of common stock at a public offering price of $16.499. We received aggregate net proceeds of approximately $134.7 million from the offering and the option exercise, after deducting underwriting discounts and commissions and offering expenses payable.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780" w:type="dxa"/>
            <w:vAlign w:val="bottom"/>
          </w:tcPr>
          <w:p>
            <w:pPr>
              <w:spacing w:after="0"/>
              <w:rPr>
                <w:sz w:val="20"/>
                <w:szCs w:val="20"/>
                <w:color w:val="auto"/>
              </w:rPr>
            </w:pPr>
            <w:r>
              <w:rPr>
                <w:rFonts w:ascii="Arial" w:cs="Arial" w:eastAsia="Arial" w:hAnsi="Arial"/>
                <w:sz w:val="18"/>
                <w:szCs w:val="18"/>
                <w:color w:val="auto"/>
              </w:rPr>
              <w:t>A summary of our cash flows for the periods presented was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(135,397)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(15,642)</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67,240</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53,458</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used in operating activities was approximately $84.1 million for the year ended December 31, 2019. This was primarily due to approximately $97.6 million of net loss, a decrease of $9.5 million of operating assets and liabilities, approximately $0.8 million of deferred income tax benefit and $1.7 million of amortization of discount on marketable securities, which were offset by a $20.6 million non-cash expense recorded for stock-based compensation, $4.5 million of amortization of operating lease right-of-use assets and approximately $0.5 million of depreciation and amortization expense.</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$65.0 million for the year ended December 31, 2018. This was primarily due to approximately $90.8 million of net loss, a decrease of $4.2 million of operating assets and liabilities and $0.2 million of amortization of discount on marketable securities, which were offset by a $28.5 million non-cash expense recorded for stock-based compensation, $0.6 million of depreciation and amortization expense and approximately $1.1 million of deferred income tax expenses.</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provided by operating activities was approximately $1.9 million for the year ended December 31, 2017 and funded our research and development program build out and general and administrative expenses. Net cash provided by continuing operations for the year ended December 31, 2017 was primarily driven by approximately $8.6 million non-cash expenses recorded for the stock-based compensation, an approximately $44.3 million increase in cash from changes in operating assets and liabilities (primarily due to an increase in deferred revenue of $45.8 million related to the Collaboration Agreement) and $0.6 million realized loss from marketable securities, and offset by an approximately $42.8 million net loss and $9.1 million deferred income tax benefit.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for the year ended December 31, 2019 was approximately $50.3 million primarily due to a purchase of approximately $281.3 million marketable securities and $1.6 million of fixed assets, which were offset by approximately $203.9 million for the redemption of marketable securities and $28.7 million for the sale of marketable securities.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for the year ended December 31, 2018 was approximately $135.4 million primarily due to a purchase of approximately $183.9 million marketable securities and $0.3 million of fixed assets and construction in progress, which were offset by approximately $48.9 million for the redemption of marketable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3" w:name="page74"/>
    <w:bookmarkEnd w:id="73"/>
    <w:p>
      <w:pPr>
        <w:jc w:val="both"/>
        <w:ind w:right="20"/>
        <w:spacing w:after="0" w:line="342" w:lineRule="auto"/>
        <w:rPr>
          <w:sz w:val="20"/>
          <w:szCs w:val="20"/>
          <w:color w:val="auto"/>
        </w:rPr>
      </w:pPr>
      <w:r>
        <w:rPr>
          <w:rFonts w:ascii="Arial" w:cs="Arial" w:eastAsia="Arial" w:hAnsi="Arial"/>
          <w:sz w:val="16"/>
          <w:szCs w:val="16"/>
          <w:color w:val="auto"/>
        </w:rPr>
        <w:t>Net cash used in investing activities for the year ended December 31, 2017 was approximately $15.6 million primarily due to the purchase of approximately $48.2 million of marketable securities and $0.9 million of fixed assets, and offset by a $33.5 million redemption of marketable securities during the year.</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financing activities for the year ended December 31, 2019 was approximately $139.6 million resulting from the net proceeds of approximately $134.7 million from our public offering of 6,287,878 shares of common stock and 2,424,242 pre-funded warrants to purchase 2,424,242 shares of common stock at a public offering price of $16.499, including 1,136,363 shares of common stock purchased by the underwriters pursuant to their 30-day option to purchase additional shares, approximately $4.2 million from the exercise of stock options to purchase 585,292 shares of common stock and approximately $0.7 million from the issuance of 59,370 shares of common stock under our 2018 ESPP .</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2018 was approximately $159.8 million, resulting from the net proceeds of approximately $155.4 million from our public offering of 4,600,000 shares of common stock, including 600,000 shares of common stock purchased by the underwriters pursuant to their 30-day option to purchase additional shares, and approximately $4.0 million from the exercise of stock options to purchase 775,224 shares of common stock.</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in the year ended December 31, 2017 was approximately $67.2 million, resulting from the net proceeds of approximately $64.8 million from our public offering of 2,541,500 shares of common stock, including 331,500 shares of common stock purchased by the underwriters pursuant to their 30-day option to purchase additional shares, and approximately $2.4 million from the exercise of stock options to purchase 353,612 shares of common stock resulting in 349,720 shares issued due to utilization of net exercise provisions by some option 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Funding Requirements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development and clinical studies of our product candidates and pursue our intellectual property strategy.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December 2019. We expect to continue to raise capital when and as needed and at the time and in the manner most advantageous to us.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30" w:lineRule="exact"/>
        <w:rPr>
          <w:sz w:val="20"/>
          <w:szCs w:val="20"/>
          <w:color w:val="auto"/>
        </w:rPr>
      </w:pPr>
    </w:p>
    <w:p>
      <w:pPr>
        <w:ind w:left="880" w:hanging="440"/>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4" w:name="page75"/>
    <w:bookmarkEnd w:id="74"/>
    <w:p>
      <w:pPr>
        <w:jc w:val="both"/>
        <w:spacing w:after="0" w:line="276"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financings to achieve our business objectives. Adequate additional financings may not be available to us on acceptable terms, or at all.</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2120"/>
        <w:spacing w:after="0" w:line="454" w:lineRule="auto"/>
        <w:rPr>
          <w:sz w:val="20"/>
          <w:szCs w:val="20"/>
          <w:color w:val="auto"/>
        </w:rPr>
      </w:pPr>
      <w:r>
        <w:rPr>
          <w:rFonts w:ascii="Arial" w:cs="Arial" w:eastAsia="Arial" w:hAnsi="Arial"/>
          <w:sz w:val="18"/>
          <w:szCs w:val="18"/>
          <w:color w:val="auto"/>
        </w:rPr>
        <w:t xml:space="preserve">See Note 2 of notes to the consolidated financial statements for a discussion of recent accounting standards and pronouncements. </w:t>
      </w:r>
      <w:r>
        <w:rPr>
          <w:rFonts w:ascii="Arial" w:cs="Arial" w:eastAsia="Arial" w:hAnsi="Arial"/>
          <w:sz w:val="18"/>
          <w:szCs w:val="18"/>
          <w:b w:val="1"/>
          <w:bCs w:val="1"/>
          <w:color w:val="auto"/>
        </w:rPr>
        <w:t>Cautionary Statement</w:t>
      </w:r>
    </w:p>
    <w:p>
      <w:pPr>
        <w:jc w:val="both"/>
        <w:spacing w:after="0" w:line="277" w:lineRule="auto"/>
        <w:rPr>
          <w:sz w:val="20"/>
          <w:szCs w:val="20"/>
          <w:color w:val="auto"/>
        </w:rPr>
      </w:pPr>
      <w:r>
        <w:rPr>
          <w:rFonts w:ascii="Arial" w:cs="Arial" w:eastAsia="Arial" w:hAnsi="Arial"/>
          <w:sz w:val="18"/>
          <w:szCs w:val="18"/>
          <w:color w:val="auto"/>
        </w:rPr>
        <w:t>We operate in a highly competitive environment that involves a number of risks, some of which are beyond our control. The following statement highlights some of these risks. For more detail, see “Item 1A. Risk Factors.”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contained in this Form 10-K that are not historical facts, are or might constitute forward-looking statements under the safe harbor provisions of the Private Securities Litigation Reform Act of 1995. Although we believe the expectations reflected in such forward-looking statements are based on reasonable assumptions, our expectations might not be attained. Forward-looking statements involve known and unknown risks that could cause actual results to differ materially from expected results. Factors that could cause actual results to differ materially from our expectations expressed in the report include, among others: risks related to the costs, timing, regulatory review and results of our nonclinical studies and clinical studies; our ability to obtain FDA approval of our product candidates; our anticipated capital expenditures, our estimates regarding our capital requirements, and our need for future capital; our liquidity and working capital requirements; our expectations regarding our revenues, expenses and other results of operations; the unpredictability of the size of the markets for, and market acceptance of, any of our products; our ability to sell any approved products and the price we are able realize; our ability to establish and maintain collaborations on favorable terms; our ability to obtain future funding on acceptable terms; our ability to hire and retain necessary employees and to staff our operations appropriately; our ability to compete in our industry and innovation by our competitors; our ability to stay abreast of and comply with new or modified laws and regulations that currently apply or become applicable to our business; estimates and estimate methodologies used in preparing our financial statements; the future trading prices of our common stock and the impact of securities analysts’ reports on these prices; and the risks set out in our filings with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primary exposure to market risk is interest income sensitivity, which is affected by changes in the general level of U.S. interest rates.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believe that our cash and equivalents have significant risk of default or illiquidity. Under our current investment policies, we invest our cash and cash equivalents in money market funds which invest in short-term U.S. Treasury securities with insignificant rates of return. We also invest our cash and cash equivalents in readily marketable, high-quality securities that are diversified and structured to minimize market risks. Our exposure to market risk for changes in interest rates relates primarily to our investments in marketable securities. Marketable securities held in our investment portfolio are subject to changes in market value in response to changes in interest rates and liquidity. A significant change in market interest rates could have a material impact on interest income earned from our investment portfolio. Changes in interest rates may affect the fair value of our investment portfolio; however, we will not recognize such gains or losses in our statement of operations and comprehensive income (loss) unless the investments are sold.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our cash and equivalents do not contain excessive risk, we cannot provide absolute assurance that in the future our investments will not be subject to adverse changes in market value. In addition, we maintain significant amounts of cash and equivalents at one or more financial institutions that are in excess of federally insured limits.</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study costs. We do not believe that inflation has had a material effect on our results of operations during 2019, 2018 or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required to be filed pursuant to this Item 8 are appended to this report. An index of those financial statements is found on page F-1.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 13a-15(e) promulgated under the Securities and Exchange Act of 1934, as amended (the Exchange Act), that is designed to provide reasonable assurance that information, which is required to be disclosed in our reports filed pursuant to the Exchange Act, is accumulated and communicated to management in a timely manner. At the end of fiscal year ending December 31, 2019,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 13a-15(b). Based upon that evaluation, our Chief Executive Officer and Chief Financial Officer concluded that our disclosure controls and procedures for the fiscal year ending as of December 31, 2019 were effective at reasonable assurance levels.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 and all fraud. Under the supervision and with the participation of our management, including our Chief Executive Officer and our Chief Financial Officer, we conducted an evaluation of the effectiveness of our internal control over financial reporting based on the framework in Internal Control-Integrated Framework issued in 2013 by the Committee of Sponsoring Organizations of the Treadway Commission. Based on our evaluation under the framework in Internal Control-Integrated Framework, our management concluded that our internal control over financial reporting was effective as of December 31, 2019.</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independent registered public accounting firm, Ernst &amp; Young LLP has issued an opinion on the effectiveness of our internal control over financial reporting as of December 31, 2019. The report of Ernst &amp; Young LLP is included with the financial statements appended to this Form 10-K pursuant to Item 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fourth quarter of 2019 that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set forth below, the information required by this item will be contained in our definitive proxy statement to be filed with the SEC in connection with the Annual Meeting of Stockholders (Proxy Statement) within 120 days after the conclusion of our fiscal year ended December 31, 2019 and is incorporated in this Annual Report on Form 10-K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has adopted a Code of Ethics for our principal executive officer and all senior financial officers and a Code of Conduct applicable to all of our employees and our directors. Both Codes are available under the “Investors—Corporate Governance” section of our website at www.assemblybio.com. If we make any substantive amendments to, or grant any waivers from, the Code of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16(a) of the Securities Exchange Act, our directors and executive officers are required to file reports with the SEC indicating their holdings of and transactions in our equity securities. To our knowledge, based solely on our review of the copies of such reports furnished to us and written representations that our officers, directors and holders of more than 10% of our common stock complied with all applicable filing requirements during the fiscal year ended December 31,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right="500"/>
        <w:spacing w:after="0" w:line="454" w:lineRule="auto"/>
        <w:rPr>
          <w:sz w:val="20"/>
          <w:szCs w:val="20"/>
          <w:color w:val="auto"/>
        </w:rPr>
      </w:pPr>
      <w:r>
        <w:rPr>
          <w:rFonts w:ascii="Arial" w:cs="Arial" w:eastAsia="Arial" w:hAnsi="Arial"/>
          <w:sz w:val="18"/>
          <w:szCs w:val="18"/>
          <w:color w:val="auto"/>
        </w:rPr>
        <w:t xml:space="preserve">The information required by this item will be contained in the Proxy Statement and is incorporated into this Annual Report on Form 10-K by reference. </w:t>
      </w:r>
      <w:r>
        <w:rPr>
          <w:rFonts w:ascii="Arial" w:cs="Arial" w:eastAsia="Arial" w:hAnsi="Arial"/>
          <w:sz w:val="18"/>
          <w:szCs w:val="18"/>
          <w:b w:val="1"/>
          <w:bCs w:val="1"/>
          <w:color w:val="auto"/>
        </w:rPr>
        <w:t>ITEM 12. Security Ownership of Certain Beneficial Owners and Management and Related Stockholder Matters</w:t>
      </w:r>
    </w:p>
    <w:p>
      <w:pPr>
        <w:jc w:val="both"/>
        <w:spacing w:after="0" w:line="308" w:lineRule="auto"/>
        <w:rPr>
          <w:sz w:val="20"/>
          <w:szCs w:val="20"/>
          <w:color w:val="auto"/>
        </w:rPr>
      </w:pPr>
      <w:r>
        <w:rPr>
          <w:rFonts w:ascii="Arial" w:cs="Arial" w:eastAsia="Arial" w:hAnsi="Arial"/>
          <w:sz w:val="17"/>
          <w:szCs w:val="17"/>
          <w:color w:val="auto"/>
        </w:rPr>
        <w:t>Except for the table regarding equity compensation plans, which is included in Part II Item 5 of this Annual Report on Form 10-K, the information required by this item will be contained in the Proxy Statement and is incorporated into this Annual Report on Form 10-K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contained in the Proxy Statement and is incorporated into this Annual Report on Form 10-K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into this Annual Report on Form 10-K by reference.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registration statement: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32"/>
            <w:vMerge w:val="restart"/>
          </w:tcPr>
          <w:p>
            <w:pPr>
              <w:ind w:left="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3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tcPr>
          <w:p>
            <w:pPr>
              <w:ind w:left="80"/>
              <w:spacing w:after="0" w:line="170"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280" w:type="dxa"/>
            <w:vAlign w:val="bottom"/>
            <w:tcBorders>
              <w:bottom w:val="single" w:sz="8" w:color="0000EE"/>
            </w:tcBorders>
            <w:gridSpan w:val="28"/>
          </w:tcPr>
          <w:p>
            <w:pPr>
              <w:spacing w:after="0" w:line="170"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Fourth Amended and Restated Certificate of Incorporation dated May 31,</w:t>
              </w:r>
            </w:hyperlink>
          </w:p>
        </w:tc>
        <w:tc>
          <w:tcPr>
            <w:tcW w:w="4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93">
              <w:r>
                <w:rPr>
                  <w:rFonts w:ascii="Arial" w:cs="Arial" w:eastAsia="Arial" w:hAnsi="Arial"/>
                  <w:sz w:val="18"/>
                  <w:szCs w:val="18"/>
                  <w:color w:val="0000EE"/>
                  <w:w w:val="84"/>
                </w:rPr>
                <w:t>2018.</w:t>
              </w:r>
            </w:hyperlink>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Amended and Restated Bylaws as amended through August 6, 2019.</w:t>
              </w:r>
            </w:hyperlink>
          </w:p>
        </w:tc>
        <w:tc>
          <w:tcPr>
            <w:tcW w:w="0" w:type="dxa"/>
            <w:vAlign w:val="bottom"/>
          </w:tcPr>
          <w:p>
            <w:pPr>
              <w:spacing w:after="0"/>
              <w:rPr>
                <w:sz w:val="1"/>
                <w:szCs w:val="1"/>
                <w:color w:val="auto"/>
              </w:rPr>
            </w:pPr>
          </w:p>
        </w:tc>
      </w:tr>
      <w:tr>
        <w:trPr>
          <w:trHeight w:val="196"/>
        </w:trPr>
        <w:tc>
          <w:tcPr>
            <w:tcW w:w="10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49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Specimen of Common Stock Certificate.</w:t>
              </w:r>
            </w:hyperlink>
          </w:p>
        </w:tc>
        <w:tc>
          <w:tcPr>
            <w:tcW w:w="7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Form of Pre-Funded Warrant.</w:t>
              </w:r>
            </w:hyperlink>
          </w:p>
        </w:tc>
        <w:tc>
          <w:tcPr>
            <w:tcW w:w="780" w:type="dxa"/>
            <w:vAlign w:val="bottom"/>
            <w:tcBorders>
              <w:top w:val="single" w:sz="8" w:color="0000EE"/>
            </w:tcBorders>
            <w:gridSpan w:val="2"/>
          </w:tcPr>
          <w:p>
            <w:pPr>
              <w:spacing w:after="0"/>
              <w:rPr>
                <w:sz w:val="17"/>
                <w:szCs w:val="17"/>
                <w:color w:val="auto"/>
              </w:rPr>
            </w:pPr>
          </w:p>
        </w:tc>
        <w:tc>
          <w:tcPr>
            <w:tcW w:w="27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8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Description of Securities</w:t>
              </w:r>
            </w:hyperlink>
          </w:p>
        </w:tc>
        <w:tc>
          <w:tcPr>
            <w:tcW w:w="3900" w:type="dxa"/>
            <w:vAlign w:val="bottom"/>
            <w:gridSpan w:val="3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gridSpan w:val="2"/>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5700" w:type="dxa"/>
            <w:vAlign w:val="bottom"/>
            <w:gridSpan w:val="40"/>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Sub-Sublease, dated as of July 18, 2018, between Prothena Biosciences,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as Sub-Sublandlord, and Assembly Biosciences, Inc., as Sub-Subtenant.</w:t>
              </w:r>
            </w:hyperlink>
          </w:p>
        </w:tc>
        <w:tc>
          <w:tcPr>
            <w:tcW w:w="360" w:type="dxa"/>
            <w:vAlign w:val="bottom"/>
            <w:tcBorders>
              <w:top w:val="single" w:sz="8" w:color="0000EE"/>
            </w:tcBorders>
            <w:gridSpan w:val="9"/>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550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Exclusive License Agreement dated September 3, 2013 by and between The</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Indiana University Research and Technology Corporation and Assembly</w:t>
              </w:r>
            </w:hyperlink>
          </w:p>
        </w:tc>
        <w:tc>
          <w:tcPr>
            <w:tcW w:w="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Pharmaceuticals, Inc.</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License and Collaboration Agreement dated November 8, 2013,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between Ventrus Biosciences, Inc. and Therabiome, LLC.</w:t>
              </w:r>
            </w:hyperlink>
          </w:p>
        </w:tc>
        <w:tc>
          <w:tcPr>
            <w:tcW w:w="980" w:type="dxa"/>
            <w:vAlign w:val="bottom"/>
            <w:tcBorders>
              <w:top w:val="single" w:sz="8" w:color="0000EE"/>
            </w:tcBorders>
            <w:gridSpan w:val="7"/>
          </w:tcPr>
          <w:p>
            <w:pPr>
              <w:spacing w:after="0"/>
              <w:rPr>
                <w:sz w:val="17"/>
                <w:szCs w:val="17"/>
                <w:color w:val="auto"/>
              </w:rPr>
            </w:pPr>
          </w:p>
        </w:tc>
        <w:tc>
          <w:tcPr>
            <w:tcW w:w="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c>
          <w:tcPr>
            <w:tcW w:w="560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Research, Development, Collaboration and License Agreement dated January</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6, 2017 between Assembly Biosciences, Inc. and Allergan Pharmaceuticals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International Limited.</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Employment Agreement, dated August 6, 2019, between Assembly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Biosciences, Inc. and John G. McHutchison, A.O., M.D.</w:t>
              </w:r>
            </w:hyperlink>
          </w:p>
        </w:tc>
        <w:tc>
          <w:tcPr>
            <w:tcW w:w="780" w:type="dxa"/>
            <w:vAlign w:val="bottom"/>
            <w:tcBorders>
              <w:top w:val="single" w:sz="8" w:color="0000EE"/>
            </w:tcBorders>
            <w:gridSpan w:val="4"/>
          </w:tcPr>
          <w:p>
            <w:pPr>
              <w:spacing w:after="0"/>
              <w:rPr>
                <w:sz w:val="17"/>
                <w:szCs w:val="17"/>
                <w:color w:val="auto"/>
              </w:rPr>
            </w:pPr>
          </w:p>
        </w:tc>
        <w:tc>
          <w:tcPr>
            <w:tcW w:w="8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w w:val="98"/>
              </w:rPr>
            </w:pPr>
            <w:hyperlink r:id="rId102">
              <w:r>
                <w:rPr>
                  <w:rFonts w:ascii="Arial" w:cs="Arial" w:eastAsia="Arial" w:hAnsi="Arial"/>
                  <w:sz w:val="18"/>
                  <w:szCs w:val="18"/>
                  <w:color w:val="0000EE"/>
                  <w:w w:val="98"/>
                </w:rPr>
                <w:t>Employment Agreement, dated September 30, 2019, between Assembly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Biosciences, Inc. and Thomas J. Russo, effective as of October 28, 2019.</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c>
          <w:tcPr>
            <w:tcW w:w="50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Employment Agreement, dated October 22, 2019, between Assembly</w:t>
              </w:r>
            </w:hyperlink>
          </w:p>
        </w:tc>
        <w:tc>
          <w:tcPr>
            <w:tcW w:w="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2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Biosciences, Inc. and Luisa M. Stamm, M.D., Ph.D. effective as of November</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17">
              <w:r>
                <w:rPr>
                  <w:rFonts w:ascii="Arial" w:cs="Arial" w:eastAsia="Arial" w:hAnsi="Arial"/>
                  <w:sz w:val="18"/>
                  <w:szCs w:val="18"/>
                  <w:color w:val="0000EE"/>
                  <w:w w:val="86"/>
                </w:rPr>
                <w:t>6, 2019.</w:t>
              </w:r>
            </w:hyperlink>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7"/>
                <w:szCs w:val="17"/>
                <w:color w:val="auto"/>
              </w:rPr>
            </w:pPr>
          </w:p>
        </w:tc>
        <w:tc>
          <w:tcPr>
            <w:tcW w:w="52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Employment Agreement, dated December 17, 2015, between Assembly</w:t>
              </w:r>
            </w:hyperlink>
          </w:p>
        </w:tc>
        <w:tc>
          <w:tcPr>
            <w:tcW w:w="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8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Biosciences, Inc. and Richard Colonno, Ph.D., effective as of January 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Amendment No. 1 to Employment Agreement, dated October 10, 2018,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60" w:type="dxa"/>
            <w:vAlign w:val="bottom"/>
            <w:tcBorders>
              <w:top w:val="single" w:sz="8" w:color="0000EE"/>
            </w:tcBorders>
            <w:gridSpan w:val="24"/>
          </w:tcPr>
          <w:p>
            <w:pPr>
              <w:spacing w:after="0" w:line="196" w:lineRule="exact"/>
              <w:rPr>
                <w:rFonts w:ascii="Arial" w:cs="Arial" w:eastAsia="Arial" w:hAnsi="Arial"/>
                <w:sz w:val="18"/>
                <w:szCs w:val="18"/>
                <w:color w:val="0000EE"/>
                <w:w w:val="98"/>
              </w:rPr>
            </w:pPr>
            <w:hyperlink r:id="rId104">
              <w:r>
                <w:rPr>
                  <w:rFonts w:ascii="Arial" w:cs="Arial" w:eastAsia="Arial" w:hAnsi="Arial"/>
                  <w:sz w:val="18"/>
                  <w:szCs w:val="18"/>
                  <w:color w:val="0000EE"/>
                  <w:w w:val="98"/>
                </w:rPr>
                <w:t>between Assembly Biosciences, Inc. and Richard Colonno, Ph.D.</w:t>
              </w:r>
            </w:hyperlink>
          </w:p>
        </w:tc>
        <w:tc>
          <w:tcPr>
            <w:tcW w:w="5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10.10#</w:t>
            </w:r>
          </w:p>
        </w:tc>
        <w:tc>
          <w:tcPr>
            <w:tcW w:w="60" w:type="dxa"/>
            <w:vAlign w:val="bottom"/>
          </w:tcPr>
          <w:p>
            <w:pPr>
              <w:spacing w:after="0"/>
              <w:rPr>
                <w:sz w:val="17"/>
                <w:szCs w:val="17"/>
                <w:color w:val="auto"/>
              </w:rPr>
            </w:pPr>
          </w:p>
        </w:tc>
        <w:tc>
          <w:tcPr>
            <w:tcW w:w="53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Amended and Restated Employment Agreement, dated October 10, 2018,</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between Assembly Biosciences, Inc. and Jackie Papkoff, Ph.D.</w:t>
              </w:r>
            </w:hyperlink>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7"/>
                <w:szCs w:val="17"/>
                <w:color w:val="auto"/>
              </w:rPr>
            </w:pPr>
          </w:p>
        </w:tc>
        <w:tc>
          <w:tcPr>
            <w:tcW w:w="4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2010 Equity Incentive Plan</w:t>
              </w:r>
            </w:hyperlink>
          </w:p>
        </w:tc>
        <w:tc>
          <w:tcPr>
            <w:tcW w:w="11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10.12#</w:t>
            </w:r>
          </w:p>
        </w:tc>
        <w:tc>
          <w:tcPr>
            <w:tcW w:w="60" w:type="dxa"/>
            <w:vAlign w:val="bottom"/>
          </w:tcPr>
          <w:p>
            <w:pPr>
              <w:spacing w:after="0"/>
              <w:rPr>
                <w:sz w:val="17"/>
                <w:szCs w:val="17"/>
                <w:color w:val="auto"/>
              </w:rPr>
            </w:pPr>
          </w:p>
        </w:tc>
        <w:tc>
          <w:tcPr>
            <w:tcW w:w="570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Assembly Biosciences, Inc. Amended and Restated 2014 Stock Incentive Plan.</w:t>
              </w:r>
            </w:hyperlink>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10.13#</w:t>
            </w: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w w:val="97"/>
              </w:rPr>
            </w:pPr>
            <w:hyperlink r:id="rId108">
              <w:r>
                <w:rPr>
                  <w:rFonts w:ascii="Arial" w:cs="Arial" w:eastAsia="Arial" w:hAnsi="Arial"/>
                  <w:sz w:val="18"/>
                  <w:szCs w:val="18"/>
                  <w:color w:val="0000EE"/>
                  <w:w w:val="97"/>
                </w:rPr>
                <w:t>Form of Notice of Stock Option Grant and Stock Option Agreement under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Amended and Restated 2014 Stock Incentive Plan.</w:t>
              </w:r>
            </w:hyperlink>
          </w:p>
        </w:tc>
        <w:tc>
          <w:tcPr>
            <w:tcW w:w="1700" w:type="dxa"/>
            <w:vAlign w:val="bottom"/>
            <w:tcBorders>
              <w:top w:val="single" w:sz="8" w:color="0000EE"/>
            </w:tcBorders>
            <w:gridSpan w:val="19"/>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10.14#</w:t>
            </w:r>
          </w:p>
        </w:tc>
        <w:tc>
          <w:tcPr>
            <w:tcW w:w="60" w:type="dxa"/>
            <w:vAlign w:val="bottom"/>
          </w:tcPr>
          <w:p>
            <w:pPr>
              <w:spacing w:after="0"/>
              <w:rPr>
                <w:sz w:val="17"/>
                <w:szCs w:val="17"/>
                <w:color w:val="auto"/>
              </w:rPr>
            </w:pPr>
          </w:p>
        </w:tc>
        <w:tc>
          <w:tcPr>
            <w:tcW w:w="5660" w:type="dxa"/>
            <w:vAlign w:val="bottom"/>
            <w:tcBorders>
              <w:bottom w:val="single" w:sz="8" w:color="0000EE"/>
            </w:tcBorders>
            <w:gridSpan w:val="38"/>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Form of Restricted Stock Unit Award Notice and Restricted Stock Unit Award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Agreement under the Amended and Restated 2014 Stock Incentive Plan.</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Assembly Biosciences, Inc. 2017 Inducement Award Plan (the 2017</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Inducement Award Plan).</w:t>
              </w:r>
            </w:hyperlink>
          </w:p>
        </w:tc>
        <w:tc>
          <w:tcPr>
            <w:tcW w:w="3060" w:type="dxa"/>
            <w:vAlign w:val="bottom"/>
            <w:tcBorders>
              <w:top w:val="single" w:sz="8" w:color="0000EE"/>
            </w:tcBorders>
            <w:gridSpan w:val="13"/>
          </w:tcPr>
          <w:p>
            <w:pPr>
              <w:spacing w:after="0"/>
              <w:rPr>
                <w:sz w:val="17"/>
                <w:szCs w:val="17"/>
                <w:color w:val="auto"/>
              </w:rPr>
            </w:pPr>
          </w:p>
        </w:tc>
        <w:tc>
          <w:tcPr>
            <w:tcW w:w="8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10.16#</w:t>
            </w:r>
          </w:p>
        </w:tc>
        <w:tc>
          <w:tcPr>
            <w:tcW w:w="60" w:type="dxa"/>
            <w:vAlign w:val="bottom"/>
          </w:tcPr>
          <w:p>
            <w:pPr>
              <w:spacing w:after="0"/>
              <w:rPr>
                <w:sz w:val="17"/>
                <w:szCs w:val="17"/>
                <w:color w:val="auto"/>
              </w:rPr>
            </w:pPr>
          </w:p>
        </w:tc>
        <w:tc>
          <w:tcPr>
            <w:tcW w:w="564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Form of Notice of Stock Option Grant and Stock Option Agreement under the</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2017 Inducement Award Plan.</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10"/>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19"/>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10.17#</w:t>
            </w:r>
          </w:p>
        </w:tc>
        <w:tc>
          <w:tcPr>
            <w:tcW w:w="60" w:type="dxa"/>
            <w:vAlign w:val="bottom"/>
          </w:tcPr>
          <w:p>
            <w:pPr>
              <w:spacing w:after="0"/>
              <w:rPr>
                <w:sz w:val="17"/>
                <w:szCs w:val="17"/>
                <w:color w:val="auto"/>
              </w:rPr>
            </w:pPr>
          </w:p>
        </w:tc>
        <w:tc>
          <w:tcPr>
            <w:tcW w:w="5660" w:type="dxa"/>
            <w:vAlign w:val="bottom"/>
            <w:tcBorders>
              <w:bottom w:val="single" w:sz="8" w:color="0000EE"/>
            </w:tcBorders>
            <w:gridSpan w:val="38"/>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Form of Restricted Stock Unit Award Notice and Restricted Stock Unit Award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Agreement under the 2017 Inducement Award Plan.</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gridSpan w:val="1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19"/>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7"/>
                <w:szCs w:val="17"/>
                <w:color w:val="auto"/>
              </w:rPr>
            </w:pPr>
          </w:p>
        </w:tc>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Assembly Biosciences, Inc. 2018 Stock Incentive Plan.</w:t>
              </w:r>
            </w:hyperlink>
          </w:p>
        </w:tc>
        <w:tc>
          <w:tcPr>
            <w:tcW w:w="17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10.19#</w:t>
            </w:r>
          </w:p>
        </w:tc>
        <w:tc>
          <w:tcPr>
            <w:tcW w:w="60" w:type="dxa"/>
            <w:vAlign w:val="bottom"/>
          </w:tcPr>
          <w:p>
            <w:pPr>
              <w:spacing w:after="0"/>
              <w:rPr>
                <w:sz w:val="17"/>
                <w:szCs w:val="17"/>
                <w:color w:val="auto"/>
              </w:rPr>
            </w:pPr>
          </w:p>
        </w:tc>
        <w:tc>
          <w:tcPr>
            <w:tcW w:w="5700" w:type="dxa"/>
            <w:vAlign w:val="bottom"/>
            <w:gridSpan w:val="40"/>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Amendment No. 1 to Assembly Biosciences, Inc. 2018 Stock Incentive Plan</w:t>
              </w:r>
            </w:hyperlink>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840" w:type="dxa"/>
            <w:vAlign w:val="bottom"/>
            <w:tcBorders>
              <w:top w:val="single" w:sz="8" w:color="0000EE"/>
            </w:tcBorders>
            <w:gridSpan w:val="18"/>
          </w:tcPr>
          <w:p>
            <w:pPr>
              <w:jc w:val="right"/>
              <w:ind w:right="120"/>
              <w:spacing w:after="0"/>
              <w:rPr>
                <w:sz w:val="20"/>
                <w:szCs w:val="20"/>
                <w:color w:val="auto"/>
              </w:rPr>
            </w:pPr>
            <w:r>
              <w:rPr>
                <w:rFonts w:ascii="Arial" w:cs="Arial" w:eastAsia="Arial" w:hAnsi="Arial"/>
                <w:sz w:val="18"/>
                <w:szCs w:val="18"/>
                <w:color w:val="auto"/>
              </w:rPr>
              <w:t>75</w:t>
            </w: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Registrant’s</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Dated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4"/>
        </w:trPr>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6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06/01/2018</w:t>
            </w:r>
          </w:p>
        </w:tc>
        <w:tc>
          <w:tcPr>
            <w:tcW w:w="8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11/7/2019</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S-3</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12/30/2015</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12/16/2019</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0"/>
                <w:szCs w:val="20"/>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34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0"/>
              </w:rPr>
              <w:t>11/08/2018</w:t>
            </w:r>
          </w:p>
        </w:tc>
        <w:tc>
          <w:tcPr>
            <w:tcW w:w="80" w:type="dxa"/>
            <w:vAlign w:val="bottom"/>
          </w:tcPr>
          <w:p>
            <w:pPr>
              <w:spacing w:after="0"/>
              <w:rPr>
                <w:sz w:val="19"/>
                <w:szCs w:val="19"/>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11/17/2014</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03/31/2014</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05/8/2017</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11/07/2019</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11/07/2019</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648"/>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11/9/2016</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10/12/2018</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02/28/2019</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10/4/2010</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6/6/2016</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9/17/2014</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11/01/2017</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08/09/2017</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08/09/2017</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08/09/2017</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6/1/2018</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05/21/2019</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760" w:space="60"/>
            <w:col w:w="4600"/>
          </w:cols>
          <w:pgMar w:left="240" w:top="297"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25"/>
            <w:vMerge w:val="restart"/>
          </w:tcPr>
          <w:p>
            <w:pPr>
              <w:ind w:left="140"/>
              <w:spacing w:after="0"/>
              <w:rPr>
                <w:sz w:val="20"/>
                <w:szCs w:val="20"/>
                <w:color w:val="auto"/>
              </w:rPr>
            </w:pPr>
            <w:r>
              <w:rPr>
                <w:rFonts w:ascii="Arial" w:cs="Arial" w:eastAsia="Arial" w:hAnsi="Arial"/>
                <w:sz w:val="14"/>
                <w:szCs w:val="14"/>
                <w:b w:val="1"/>
                <w:bCs w:val="1"/>
                <w:color w:val="auto"/>
              </w:rPr>
              <w:t>Description of Document</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Registrant’s</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Dated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25"/>
            <w:vMerge w:val="continue"/>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10.20#</w:t>
            </w: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620" w:type="dxa"/>
            <w:vAlign w:val="bottom"/>
            <w:tcBorders>
              <w:top w:val="single" w:sz="8" w:color="auto"/>
              <w:bottom w:val="single" w:sz="8" w:color="0000EE"/>
            </w:tcBorders>
            <w:gridSpan w:val="23"/>
          </w:tcPr>
          <w:p>
            <w:pPr>
              <w:spacing w:after="0" w:line="170"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Form of Notice of Stock Option Grant and Stock Option Agreement under the</w:t>
              </w:r>
            </w:hyperlink>
          </w:p>
        </w:tc>
        <w:tc>
          <w:tcPr>
            <w:tcW w:w="80" w:type="dxa"/>
            <w:vAlign w:val="bottom"/>
            <w:tcBorders>
              <w:top w:val="single" w:sz="8" w:color="auto"/>
            </w:tcBorders>
            <w:gridSpan w:val="3"/>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60" w:type="dxa"/>
            <w:vAlign w:val="bottom"/>
          </w:tcPr>
          <w:p>
            <w:pPr>
              <w:spacing w:after="0"/>
              <w:rPr>
                <w:sz w:val="14"/>
                <w:szCs w:val="14"/>
                <w:color w:val="auto"/>
              </w:rPr>
            </w:pPr>
          </w:p>
        </w:tc>
        <w:tc>
          <w:tcPr>
            <w:tcW w:w="11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6/1/2018</w:t>
            </w:r>
          </w:p>
        </w:tc>
        <w:tc>
          <w:tcPr>
            <w:tcW w:w="80" w:type="dxa"/>
            <w:vAlign w:val="bottom"/>
          </w:tcPr>
          <w:p>
            <w:pPr>
              <w:spacing w:after="0"/>
              <w:rPr>
                <w:sz w:val="14"/>
                <w:szCs w:val="14"/>
                <w:color w:val="auto"/>
              </w:rPr>
            </w:pPr>
          </w:p>
        </w:tc>
        <w:tc>
          <w:tcPr>
            <w:tcW w:w="9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2018 Stock Incentive Plan.</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10.21#</w:t>
            </w:r>
          </w:p>
        </w:tc>
        <w:tc>
          <w:tcPr>
            <w:tcW w:w="60" w:type="dxa"/>
            <w:vAlign w:val="bottom"/>
          </w:tcPr>
          <w:p>
            <w:pPr>
              <w:spacing w:after="0"/>
              <w:rPr>
                <w:sz w:val="17"/>
                <w:szCs w:val="17"/>
                <w:color w:val="auto"/>
              </w:rPr>
            </w:pPr>
          </w:p>
        </w:tc>
        <w:tc>
          <w:tcPr>
            <w:tcW w:w="56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Form of Restricted Stock Unit Award Notice and Restricted Stock Unit Award</w:t>
              </w:r>
            </w:hyperlink>
          </w:p>
        </w:tc>
        <w:tc>
          <w:tcPr>
            <w:tcW w:w="100" w:type="dxa"/>
            <w:vAlign w:val="bottom"/>
            <w:gridSpan w:val="3"/>
          </w:tcPr>
          <w:p>
            <w:pPr>
              <w:spacing w:after="0"/>
              <w:rPr>
                <w:sz w:val="17"/>
                <w:szCs w:val="17"/>
                <w:color w:val="auto"/>
              </w:rPr>
            </w:pPr>
          </w:p>
        </w:tc>
        <w:tc>
          <w:tcPr>
            <w:tcW w:w="134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1"/>
              </w:rPr>
              <w:t>6/1/2018</w:t>
            </w:r>
          </w:p>
        </w:tc>
        <w:tc>
          <w:tcPr>
            <w:tcW w:w="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Agreement under the 2018 Stock Incentive Plan.</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10.22#</w:t>
            </w: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w w:val="96"/>
              </w:rPr>
            </w:pPr>
            <w:hyperlink r:id="rId118">
              <w:r>
                <w:rPr>
                  <w:rFonts w:ascii="Arial" w:cs="Arial" w:eastAsia="Arial" w:hAnsi="Arial"/>
                  <w:sz w:val="18"/>
                  <w:szCs w:val="18"/>
                  <w:color w:val="0000EE"/>
                  <w:w w:val="96"/>
                </w:rPr>
                <w:t>Form of Stock Appreciation Right Award Agreement for Non-U.S. Grantees</w:t>
              </w:r>
            </w:hyperlink>
          </w:p>
        </w:tc>
        <w:tc>
          <w:tcPr>
            <w:tcW w:w="134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10/12/2018</w:t>
            </w:r>
          </w:p>
        </w:tc>
        <w:tc>
          <w:tcPr>
            <w:tcW w:w="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under the Assembly Biosciences, Inc. 2018 Stock Incentive Plan.</w:t>
              </w:r>
            </w:hyperlink>
          </w:p>
        </w:tc>
        <w:tc>
          <w:tcPr>
            <w:tcW w:w="800" w:type="dxa"/>
            <w:vAlign w:val="bottom"/>
            <w:tcBorders>
              <w:top w:val="single" w:sz="8" w:color="0000EE"/>
            </w:tcBorders>
            <w:gridSpan w:val="9"/>
          </w:tcPr>
          <w:p>
            <w:pPr>
              <w:spacing w:after="0"/>
              <w:rPr>
                <w:sz w:val="17"/>
                <w:szCs w:val="17"/>
                <w:color w:val="auto"/>
              </w:rPr>
            </w:pPr>
          </w:p>
        </w:tc>
        <w:tc>
          <w:tcPr>
            <w:tcW w:w="26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10.23#</w:t>
            </w:r>
          </w:p>
        </w:tc>
        <w:tc>
          <w:tcPr>
            <w:tcW w:w="60" w:type="dxa"/>
            <w:vAlign w:val="bottom"/>
          </w:tcPr>
          <w:p>
            <w:pPr>
              <w:spacing w:after="0"/>
              <w:rPr>
                <w:sz w:val="17"/>
                <w:szCs w:val="17"/>
                <w:color w:val="auto"/>
              </w:rPr>
            </w:pPr>
          </w:p>
        </w:tc>
        <w:tc>
          <w:tcPr>
            <w:tcW w:w="47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Assembly Biosciences, Inc. 2018 Employee Stock Purchase Plan.</w:t>
              </w:r>
            </w:hyperlink>
          </w:p>
        </w:tc>
        <w:tc>
          <w:tcPr>
            <w:tcW w:w="1020" w:type="dxa"/>
            <w:vAlign w:val="bottom"/>
            <w:gridSpan w:val="14"/>
          </w:tcPr>
          <w:p>
            <w:pPr>
              <w:spacing w:after="0"/>
              <w:rPr>
                <w:sz w:val="17"/>
                <w:szCs w:val="17"/>
                <w:color w:val="auto"/>
              </w:rPr>
            </w:pPr>
          </w:p>
        </w:tc>
        <w:tc>
          <w:tcPr>
            <w:tcW w:w="134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1"/>
              </w:rPr>
              <w:t>6/1/2018</w:t>
            </w:r>
          </w:p>
        </w:tc>
        <w:tc>
          <w:tcPr>
            <w:tcW w:w="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10.24#</w:t>
            </w:r>
          </w:p>
        </w:tc>
        <w:tc>
          <w:tcPr>
            <w:tcW w:w="6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Assembly Biosciences, Inc. 2019 Inducement Award Plan</w:t>
              </w:r>
            </w:hyperlink>
          </w:p>
        </w:tc>
        <w:tc>
          <w:tcPr>
            <w:tcW w:w="1580" w:type="dxa"/>
            <w:vAlign w:val="bottom"/>
            <w:gridSpan w:val="17"/>
          </w:tcPr>
          <w:p>
            <w:pPr>
              <w:spacing w:after="0"/>
              <w:rPr>
                <w:sz w:val="17"/>
                <w:szCs w:val="17"/>
                <w:color w:val="auto"/>
              </w:rPr>
            </w:pPr>
          </w:p>
        </w:tc>
        <w:tc>
          <w:tcPr>
            <w:tcW w:w="134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11/07/2019</w:t>
            </w:r>
          </w:p>
        </w:tc>
        <w:tc>
          <w:tcPr>
            <w:tcW w:w="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10.25#</w:t>
            </w:r>
          </w:p>
        </w:tc>
        <w:tc>
          <w:tcPr>
            <w:tcW w:w="60" w:type="dxa"/>
            <w:vAlign w:val="bottom"/>
          </w:tcPr>
          <w:p>
            <w:pPr>
              <w:spacing w:after="0"/>
              <w:rPr>
                <w:sz w:val="17"/>
                <w:szCs w:val="17"/>
                <w:color w:val="auto"/>
              </w:rPr>
            </w:pPr>
          </w:p>
        </w:tc>
        <w:tc>
          <w:tcPr>
            <w:tcW w:w="56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Form of Notice of Stock Option Grant and Stock Option Agreement under the</w:t>
              </w:r>
            </w:hyperlink>
          </w:p>
        </w:tc>
        <w:tc>
          <w:tcPr>
            <w:tcW w:w="120" w:type="dxa"/>
            <w:vAlign w:val="bottom"/>
            <w:gridSpan w:val="4"/>
          </w:tcPr>
          <w:p>
            <w:pPr>
              <w:spacing w:after="0"/>
              <w:rPr>
                <w:sz w:val="17"/>
                <w:szCs w:val="17"/>
                <w:color w:val="auto"/>
              </w:rPr>
            </w:pPr>
          </w:p>
        </w:tc>
        <w:tc>
          <w:tcPr>
            <w:tcW w:w="134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11/07/2019</w:t>
            </w:r>
          </w:p>
        </w:tc>
        <w:tc>
          <w:tcPr>
            <w:tcW w:w="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2019 Inducement Award Plan.</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10.26#†</w:t>
            </w:r>
          </w:p>
        </w:tc>
        <w:tc>
          <w:tcPr>
            <w:tcW w:w="60" w:type="dxa"/>
            <w:vAlign w:val="bottom"/>
          </w:tcPr>
          <w:p>
            <w:pPr>
              <w:spacing w:after="0"/>
              <w:rPr>
                <w:sz w:val="17"/>
                <w:szCs w:val="17"/>
                <w:color w:val="auto"/>
              </w:rPr>
            </w:pPr>
          </w:p>
        </w:tc>
        <w:tc>
          <w:tcPr>
            <w:tcW w:w="56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Separation Agreement, dated August 6, 2019, between Assembly Biosciences,</w:t>
              </w:r>
            </w:hyperlink>
          </w:p>
        </w:tc>
        <w:tc>
          <w:tcPr>
            <w:tcW w:w="100" w:type="dxa"/>
            <w:vAlign w:val="bottom"/>
            <w:gridSpan w:val="3"/>
          </w:tcPr>
          <w:p>
            <w:pPr>
              <w:spacing w:after="0"/>
              <w:rPr>
                <w:sz w:val="17"/>
                <w:szCs w:val="17"/>
                <w:color w:val="auto"/>
              </w:rPr>
            </w:pPr>
          </w:p>
        </w:tc>
        <w:tc>
          <w:tcPr>
            <w:tcW w:w="134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11/07/2019</w:t>
            </w:r>
          </w:p>
        </w:tc>
        <w:tc>
          <w:tcPr>
            <w:tcW w:w="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Inc. and Derek A. Small.</w:t>
              </w:r>
            </w:hyperlink>
          </w:p>
        </w:tc>
        <w:tc>
          <w:tcPr>
            <w:tcW w:w="3960" w:type="dxa"/>
            <w:vAlign w:val="bottom"/>
            <w:gridSpan w:val="26"/>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10.27#†</w:t>
            </w:r>
          </w:p>
        </w:tc>
        <w:tc>
          <w:tcPr>
            <w:tcW w:w="60" w:type="dxa"/>
            <w:vAlign w:val="bottom"/>
          </w:tcPr>
          <w:p>
            <w:pPr>
              <w:spacing w:after="0"/>
              <w:rPr>
                <w:sz w:val="17"/>
                <w:szCs w:val="17"/>
                <w:color w:val="auto"/>
              </w:rPr>
            </w:pPr>
          </w:p>
        </w:tc>
        <w:tc>
          <w:tcPr>
            <w:tcW w:w="50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Consulting Agreement, effective January 1, 2020, between Assembly</w:t>
              </w:r>
            </w:hyperlink>
          </w:p>
        </w:tc>
        <w:tc>
          <w:tcPr>
            <w:tcW w:w="760" w:type="dxa"/>
            <w:vAlign w:val="bottom"/>
            <w:gridSpan w:val="12"/>
          </w:tcPr>
          <w:p>
            <w:pPr>
              <w:spacing w:after="0"/>
              <w:rPr>
                <w:sz w:val="17"/>
                <w:szCs w:val="17"/>
                <w:color w:val="auto"/>
              </w:rPr>
            </w:pPr>
          </w:p>
        </w:tc>
        <w:tc>
          <w:tcPr>
            <w:tcW w:w="134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11/07/2019</w:t>
            </w:r>
          </w:p>
        </w:tc>
        <w:tc>
          <w:tcPr>
            <w:tcW w:w="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Biosciences, Inc. and Derek A. Small.</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10.28#†</w:t>
            </w:r>
          </w:p>
        </w:tc>
        <w:tc>
          <w:tcPr>
            <w:tcW w:w="60" w:type="dxa"/>
            <w:vAlign w:val="bottom"/>
          </w:tcPr>
          <w:p>
            <w:pPr>
              <w:spacing w:after="0"/>
              <w:rPr>
                <w:sz w:val="17"/>
                <w:szCs w:val="17"/>
                <w:color w:val="auto"/>
              </w:rPr>
            </w:pPr>
          </w:p>
        </w:tc>
        <w:tc>
          <w:tcPr>
            <w:tcW w:w="54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Separation Agreement, dated May 6, 2019, between Assembly Biosciences,</w:t>
              </w:r>
            </w:hyperlink>
          </w:p>
        </w:tc>
        <w:tc>
          <w:tcPr>
            <w:tcW w:w="300" w:type="dxa"/>
            <w:vAlign w:val="bottom"/>
            <w:gridSpan w:val="7"/>
          </w:tcPr>
          <w:p>
            <w:pPr>
              <w:spacing w:after="0"/>
              <w:rPr>
                <w:sz w:val="17"/>
                <w:szCs w:val="17"/>
                <w:color w:val="auto"/>
              </w:rPr>
            </w:pPr>
          </w:p>
        </w:tc>
        <w:tc>
          <w:tcPr>
            <w:tcW w:w="134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08/05/2019</w:t>
            </w:r>
          </w:p>
        </w:tc>
        <w:tc>
          <w:tcPr>
            <w:tcW w:w="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Inc. and Uri A. Lopatin, M.D..</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10.29#†</w:t>
            </w: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Consulting Agreement, effective May 7, 2019, between Assembly</w:t>
              </w:r>
            </w:hyperlink>
          </w:p>
        </w:tc>
        <w:tc>
          <w:tcPr>
            <w:tcW w:w="134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08/05/2019</w:t>
            </w:r>
          </w:p>
        </w:tc>
        <w:tc>
          <w:tcPr>
            <w:tcW w:w="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Biosciences, Inc. and Uri A. Lopatin, M.D..</w:t>
              </w:r>
            </w:hyperlink>
          </w:p>
        </w:tc>
        <w:tc>
          <w:tcPr>
            <w:tcW w:w="1600" w:type="dxa"/>
            <w:vAlign w:val="bottom"/>
            <w:tcBorders>
              <w:top w:val="single" w:sz="8" w:color="0000EE"/>
            </w:tcBorders>
            <w:gridSpan w:val="7"/>
          </w:tcPr>
          <w:p>
            <w:pPr>
              <w:spacing w:after="0"/>
              <w:rPr>
                <w:sz w:val="17"/>
                <w:szCs w:val="17"/>
                <w:color w:val="auto"/>
              </w:rPr>
            </w:pPr>
          </w:p>
        </w:tc>
        <w:tc>
          <w:tcPr>
            <w:tcW w:w="100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21.1</w:t>
            </w:r>
          </w:p>
        </w:tc>
        <w:tc>
          <w:tcPr>
            <w:tcW w:w="60" w:type="dxa"/>
            <w:vAlign w:val="bottom"/>
          </w:tcPr>
          <w:p>
            <w:pPr>
              <w:spacing w:after="0"/>
              <w:rPr>
                <w:sz w:val="17"/>
                <w:szCs w:val="17"/>
                <w:color w:val="auto"/>
              </w:rPr>
            </w:pPr>
          </w:p>
        </w:tc>
        <w:tc>
          <w:tcPr>
            <w:tcW w:w="36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List of Subsidiaries of Assembly Biosciences, Inc.</w:t>
              </w:r>
            </w:hyperlink>
          </w:p>
        </w:tc>
        <w:tc>
          <w:tcPr>
            <w:tcW w:w="2120" w:type="dxa"/>
            <w:vAlign w:val="bottom"/>
            <w:gridSpan w:val="18"/>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Consent of Independent Registered Public Accounting Firm.</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24.1</w:t>
            </w:r>
          </w:p>
        </w:tc>
        <w:tc>
          <w:tcPr>
            <w:tcW w:w="60" w:type="dxa"/>
            <w:vAlign w:val="bottom"/>
          </w:tcPr>
          <w:p>
            <w:pPr>
              <w:spacing w:after="0"/>
              <w:rPr>
                <w:sz w:val="17"/>
                <w:szCs w:val="17"/>
                <w:color w:val="auto"/>
              </w:rPr>
            </w:pPr>
          </w:p>
        </w:tc>
        <w:tc>
          <w:tcPr>
            <w:tcW w:w="43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Power of Attorney (included on signature page)</w:t>
              </w:r>
            </w:hyperlink>
          </w:p>
        </w:tc>
        <w:tc>
          <w:tcPr>
            <w:tcW w:w="1400" w:type="dxa"/>
            <w:vAlign w:val="bottom"/>
            <w:gridSpan w:val="16"/>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w w:val="98"/>
              </w:rPr>
            </w:pPr>
            <w:hyperlink w:anchor="page133">
              <w:r>
                <w:rPr>
                  <w:rFonts w:ascii="Arial" w:cs="Arial" w:eastAsia="Arial" w:hAnsi="Arial"/>
                  <w:sz w:val="18"/>
                  <w:szCs w:val="18"/>
                  <w:color w:val="0000EE"/>
                  <w:w w:val="98"/>
                </w:rPr>
                <w:t>Certification of the Chief Executive Officer Pursuant to Section 302 of the</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Sarbanes-Oxley Act of 2002.</w:t>
              </w:r>
            </w:hyperlink>
          </w:p>
        </w:tc>
        <w:tc>
          <w:tcPr>
            <w:tcW w:w="40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53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34">
              <w:r>
                <w:rPr>
                  <w:rFonts w:ascii="Arial" w:cs="Arial" w:eastAsia="Arial" w:hAnsi="Arial"/>
                  <w:sz w:val="18"/>
                  <w:szCs w:val="18"/>
                  <w:color w:val="0000EE"/>
                  <w:w w:val="92"/>
                </w:rPr>
                <w:t>Certification of the Chief Financial Officer Pursuant to Section 302 of the</w:t>
              </w:r>
            </w:hyperlink>
          </w:p>
        </w:tc>
        <w:tc>
          <w:tcPr>
            <w:tcW w:w="44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Sarbanes-Oxley Act of 2002.</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w w:val="99"/>
              </w:rPr>
            </w:pPr>
            <w:hyperlink w:anchor="page135">
              <w:r>
                <w:rPr>
                  <w:rFonts w:ascii="Arial" w:cs="Arial" w:eastAsia="Arial" w:hAnsi="Arial"/>
                  <w:sz w:val="18"/>
                  <w:szCs w:val="18"/>
                  <w:color w:val="0000EE"/>
                  <w:w w:val="99"/>
                </w:rPr>
                <w:t>Certification of the Chief Executive Officer Pursuant to 18 U.S.C. Section</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80" w:type="dxa"/>
            <w:vAlign w:val="bottom"/>
            <w:gridSpan w:val="1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w w:val="92"/>
              </w:rPr>
            </w:pPr>
            <w:hyperlink w:anchor="page135">
              <w:r>
                <w:rPr>
                  <w:rFonts w:ascii="Arial" w:cs="Arial" w:eastAsia="Arial" w:hAnsi="Arial"/>
                  <w:sz w:val="18"/>
                  <w:szCs w:val="18"/>
                  <w:color w:val="0000EE"/>
                  <w:w w:val="92"/>
                </w:rPr>
                <w:t>1350 as Adopted Pursuant to Section 906 of the Sarbanes-Oxley Act of 2002.</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80" w:type="dxa"/>
            <w:vAlign w:val="bottom"/>
            <w:gridSpan w:val="17"/>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57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136">
              <w:r>
                <w:rPr>
                  <w:rFonts w:ascii="Arial" w:cs="Arial" w:eastAsia="Arial" w:hAnsi="Arial"/>
                  <w:sz w:val="18"/>
                  <w:szCs w:val="18"/>
                  <w:color w:val="0000EE"/>
                  <w:w w:val="92"/>
                </w:rPr>
                <w:t>Certification of the Chief Financial Officer Pursuant to 18 U.S.C. Section 1350</w:t>
              </w:r>
            </w:hyperlink>
          </w:p>
        </w:tc>
        <w:tc>
          <w:tcPr>
            <w:tcW w:w="6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60" w:type="dxa"/>
            <w:vAlign w:val="bottom"/>
            <w:gridSpan w:val="28"/>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as Adopted Pursuant to Section 906 of the Sarbanes-Oxley Act of 2002.</w:t>
              </w:r>
            </w:hyperlink>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9"/>
                <w:szCs w:val="19"/>
                <w:color w:val="auto"/>
              </w:rPr>
            </w:pPr>
          </w:p>
        </w:tc>
        <w:tc>
          <w:tcPr>
            <w:tcW w:w="51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auto"/>
              </w:rPr>
              <w:t>Inline XBRL Instance Document.</w:t>
            </w:r>
          </w:p>
        </w:tc>
        <w:tc>
          <w:tcPr>
            <w:tcW w:w="580" w:type="dxa"/>
            <w:vAlign w:val="bottom"/>
            <w:gridSpan w:val="11"/>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576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576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5760" w:type="dxa"/>
            <w:vAlign w:val="bottom"/>
            <w:gridSpan w:val="28"/>
          </w:tcPr>
          <w:p>
            <w:pPr>
              <w:spacing w:after="0"/>
              <w:rPr>
                <w:sz w:val="20"/>
                <w:szCs w:val="20"/>
                <w:color w:val="auto"/>
              </w:rPr>
            </w:pPr>
            <w:r>
              <w:rPr>
                <w:rFonts w:ascii="Arial" w:cs="Arial" w:eastAsia="Arial" w:hAnsi="Arial"/>
                <w:sz w:val="18"/>
                <w:szCs w:val="18"/>
                <w:color w:val="auto"/>
              </w:rPr>
              <w:t>Inline XBRL Taxonomy Extension Definitions Linkbase Document.</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5760" w:type="dxa"/>
            <w:vAlign w:val="bottom"/>
            <w:gridSpan w:val="2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0"/>
                <w:szCs w:val="20"/>
                <w:color w:val="auto"/>
              </w:rPr>
            </w:pPr>
          </w:p>
        </w:tc>
        <w:tc>
          <w:tcPr>
            <w:tcW w:w="5760" w:type="dxa"/>
            <w:vAlign w:val="bottom"/>
            <w:gridSpan w:val="2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60" w:right="5400" w:hanging="1052"/>
        <w:spacing w:after="0" w:line="261"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9812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37"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Certain information in this exhibit has been omitted and filed separately with the Securities and Exchange Commission pursuant to a confidential</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treatment request.</w:t>
      </w:r>
    </w:p>
    <w:p>
      <w:pPr>
        <w:spacing w:after="0" w:line="9"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6"/>
          <w:szCs w:val="16"/>
          <w:color w:val="auto"/>
        </w:rPr>
      </w:pPr>
      <w:r>
        <w:rPr>
          <w:rFonts w:ascii="Arial" w:cs="Arial" w:eastAsia="Arial" w:hAnsi="Arial"/>
          <w:sz w:val="18"/>
          <w:szCs w:val="18"/>
          <w:color w:val="auto"/>
        </w:rPr>
        <w:t>Represents management contracts or compensatory plans or arrangements.</w:t>
      </w:r>
    </w:p>
    <w:p>
      <w:pPr>
        <w:spacing w:after="0" w:line="9"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in accordance with the rules of the Securities and Exchange Commission.</w:t>
      </w:r>
    </w:p>
    <w:p>
      <w:pPr>
        <w:spacing w:after="0" w:line="21" w:lineRule="exact"/>
        <w:rPr>
          <w:sz w:val="20"/>
          <w:szCs w:val="20"/>
          <w:color w:val="auto"/>
        </w:rPr>
      </w:pPr>
    </w:p>
    <w:p>
      <w:pPr>
        <w:jc w:val="both"/>
        <w:ind w:left="440" w:hanging="432"/>
        <w:spacing w:after="0" w:line="254"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Annual Report on Form 10-K are to be deemed furnished and shall not be deemed “filed” with the SEC and are not to be incorporated by reference into any filing of Assembly Biosciences,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Section 13 or 15(d) of the Securities Exchange Act, the Registrant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0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March 4, 2020</w:t>
            </w:r>
          </w:p>
        </w:tc>
        <w:tc>
          <w:tcPr>
            <w:tcW w:w="7840" w:type="dxa"/>
            <w:vAlign w:val="bottom"/>
            <w:gridSpan w:val="2"/>
          </w:tcPr>
          <w:p>
            <w:pPr>
              <w:ind w:left="2100"/>
              <w:spacing w:after="0"/>
              <w:rPr>
                <w:sz w:val="20"/>
                <w:szCs w:val="20"/>
                <w:color w:val="auto"/>
              </w:rPr>
            </w:pPr>
            <w:r>
              <w:rPr>
                <w:rFonts w:ascii="Arial" w:cs="Arial" w:eastAsia="Arial" w:hAnsi="Arial"/>
                <w:sz w:val="18"/>
                <w:szCs w:val="18"/>
                <w:color w:val="auto"/>
              </w:rPr>
              <w:t>By:   /s/ John G. McHutchison, A.O., M.D.</w:t>
            </w:r>
          </w:p>
        </w:tc>
      </w:tr>
      <w:tr>
        <w:trPr>
          <w:trHeight w:val="20"/>
        </w:trPr>
        <w:tc>
          <w:tcPr>
            <w:tcW w:w="3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r>
      <w:tr>
        <w:trPr>
          <w:trHeight w:val="195"/>
        </w:trPr>
        <w:tc>
          <w:tcPr>
            <w:tcW w:w="3580" w:type="dxa"/>
            <w:vAlign w:val="bottom"/>
          </w:tcPr>
          <w:p>
            <w:pPr>
              <w:spacing w:after="0"/>
              <w:rPr>
                <w:sz w:val="16"/>
                <w:szCs w:val="16"/>
                <w:color w:val="auto"/>
              </w:rPr>
            </w:pPr>
          </w:p>
        </w:tc>
        <w:tc>
          <w:tcPr>
            <w:tcW w:w="7840" w:type="dxa"/>
            <w:vAlign w:val="bottom"/>
            <w:gridSpan w:val="2"/>
          </w:tcPr>
          <w:p>
            <w:pPr>
              <w:ind w:left="2100"/>
              <w:spacing w:after="0" w:line="195" w:lineRule="exact"/>
              <w:rPr>
                <w:sz w:val="20"/>
                <w:szCs w:val="20"/>
                <w:color w:val="auto"/>
              </w:rPr>
            </w:pPr>
            <w:r>
              <w:rPr>
                <w:rFonts w:ascii="Arial" w:cs="Arial" w:eastAsia="Arial" w:hAnsi="Arial"/>
                <w:sz w:val="18"/>
                <w:szCs w:val="18"/>
                <w:color w:val="auto"/>
              </w:rPr>
              <w:t>Name:John G. McHutchison, A.O., M.D.</w:t>
            </w:r>
          </w:p>
        </w:tc>
      </w:tr>
      <w:tr>
        <w:trPr>
          <w:trHeight w:val="230"/>
        </w:trPr>
        <w:tc>
          <w:tcPr>
            <w:tcW w:w="3580" w:type="dxa"/>
            <w:vAlign w:val="bottom"/>
          </w:tcPr>
          <w:p>
            <w:pPr>
              <w:spacing w:after="0"/>
              <w:rPr>
                <w:sz w:val="20"/>
                <w:szCs w:val="20"/>
                <w:color w:val="auto"/>
              </w:rPr>
            </w:pPr>
          </w:p>
        </w:tc>
        <w:tc>
          <w:tcPr>
            <w:tcW w:w="7840" w:type="dxa"/>
            <w:vAlign w:val="bottom"/>
            <w:gridSpan w:val="2"/>
          </w:tcPr>
          <w:p>
            <w:pPr>
              <w:ind w:left="2100"/>
              <w:spacing w:after="0"/>
              <w:rPr>
                <w:sz w:val="20"/>
                <w:szCs w:val="20"/>
                <w:color w:val="auto"/>
              </w:rPr>
            </w:pPr>
            <w:r>
              <w:rPr>
                <w:rFonts w:ascii="Arial" w:cs="Arial" w:eastAsia="Arial" w:hAnsi="Arial"/>
                <w:sz w:val="18"/>
                <w:szCs w:val="18"/>
                <w:color w:val="auto"/>
              </w:rPr>
              <w:t>Title: Chief Executive Officer and President</w:t>
            </w: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G. McHutchison, A.O., M.D., Thomas J. Russo, CFA and Elizabeth H. Lacy,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54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20"/>
                <w:szCs w:val="20"/>
                <w:color w:val="auto"/>
              </w:rPr>
            </w:pPr>
          </w:p>
        </w:tc>
        <w:tc>
          <w:tcPr>
            <w:tcW w:w="19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Date</w:t>
            </w:r>
          </w:p>
        </w:tc>
      </w:tr>
      <w:tr>
        <w:trPr>
          <w:trHeight w:val="33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John G. McHutchison, A.O., M.D.</w:t>
            </w:r>
          </w:p>
        </w:tc>
        <w:tc>
          <w:tcPr>
            <w:tcW w:w="14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Thomas J. Russo, CFA</w:t>
            </w:r>
          </w:p>
        </w:tc>
        <w:tc>
          <w:tcPr>
            <w:tcW w:w="14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(Principal Financial and Principal Accounting Officer)</w:t>
            </w: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 Ringo, Jr.</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William R. Ringo, Jr.</w:t>
            </w: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E. Altig</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Anthony E. Altig</w:t>
            </w: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Auerbach</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Mark Auerbach</w:t>
            </w: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DiMarchi, Ph.D.</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Richard D. DiMarchi, Ph.D.</w:t>
            </w: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Myron Z. Holubiak</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Myron Z. Holubiak</w:t>
            </w: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 S. Kim</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Helen S. Kim</w:t>
            </w: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/s/Alan J. Lewis, Ph.D.</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Alan J. Lewis, Ph.D.</w:t>
            </w: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Mahony, Ph.D.</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Susan Mahony, Ph.D.</w:t>
            </w: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2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A. Small</w:t>
            </w:r>
          </w:p>
        </w:tc>
        <w:tc>
          <w:tcPr>
            <w:tcW w:w="1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spacing w:after="0"/>
              <w:rPr>
                <w:sz w:val="20"/>
                <w:szCs w:val="20"/>
                <w:color w:val="auto"/>
              </w:rPr>
            </w:pPr>
            <w:r>
              <w:rPr>
                <w:rFonts w:ascii="Arial" w:cs="Arial" w:eastAsia="Arial" w:hAnsi="Arial"/>
                <w:sz w:val="18"/>
                <w:szCs w:val="18"/>
                <w:color w:val="auto"/>
              </w:rPr>
              <w:t>March 4, 2020</w:t>
            </w: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Derek A. Small</w:t>
            </w: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gridSpan w:val="3"/>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7"/>
            <w:shd w:val="clear" w:color="auto" w:fill="CFF0FC"/>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Reports of Independent Registered Public Accounting Firm</w:t>
              </w:r>
            </w:hyperlink>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176" w:lineRule="exact"/>
              <w:rPr>
                <w:rFonts w:ascii="Arial" w:cs="Arial" w:eastAsia="Arial" w:hAnsi="Arial"/>
                <w:sz w:val="18"/>
                <w:szCs w:val="18"/>
                <w:color w:val="0000EE"/>
                <w:w w:val="81"/>
              </w:rPr>
            </w:pPr>
            <w:hyperlink w:anchor="page83">
              <w:r>
                <w:rPr>
                  <w:rFonts w:ascii="Arial" w:cs="Arial" w:eastAsia="Arial" w:hAnsi="Arial"/>
                  <w:sz w:val="18"/>
                  <w:szCs w:val="18"/>
                  <w:color w:val="0000EE"/>
                  <w:w w:val="81"/>
                </w:rPr>
                <w:t>F-2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4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2300" w:type="dxa"/>
            <w:vAlign w:val="bottom"/>
            <w:tcBorders>
              <w:top w:val="single" w:sz="8" w:color="CFF0FC"/>
            </w:tcBorders>
          </w:tcPr>
          <w:p>
            <w:pPr>
              <w:spacing w:after="0"/>
              <w:rPr>
                <w:sz w:val="19"/>
                <w:szCs w:val="19"/>
                <w:color w:val="auto"/>
              </w:rPr>
            </w:pPr>
          </w:p>
        </w:tc>
        <w:tc>
          <w:tcPr>
            <w:tcW w:w="154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74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7"/>
            <w:shd w:val="clear" w:color="auto" w:fill="CFF0FC"/>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Balance Sheets as of December 31, 2019 and 2018</w:t>
              </w:r>
            </w:hyperlink>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176" w:lineRule="exact"/>
              <w:rPr>
                <w:rFonts w:ascii="Arial" w:cs="Arial" w:eastAsia="Arial" w:hAnsi="Arial"/>
                <w:sz w:val="18"/>
                <w:szCs w:val="18"/>
                <w:color w:val="0000EE"/>
                <w:w w:val="81"/>
              </w:rPr>
            </w:pPr>
            <w:hyperlink w:anchor="page85">
              <w:r>
                <w:rPr>
                  <w:rFonts w:ascii="Arial" w:cs="Arial" w:eastAsia="Arial" w:hAnsi="Arial"/>
                  <w:sz w:val="18"/>
                  <w:szCs w:val="18"/>
                  <w:color w:val="0000EE"/>
                  <w:w w:val="81"/>
                </w:rPr>
                <w:t>F-4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4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300" w:type="dxa"/>
            <w:vAlign w:val="bottom"/>
            <w:tcBorders>
              <w:top w:val="single" w:sz="8" w:color="CFF0FC"/>
            </w:tcBorders>
          </w:tcPr>
          <w:p>
            <w:pPr>
              <w:spacing w:after="0"/>
              <w:rPr>
                <w:sz w:val="19"/>
                <w:szCs w:val="19"/>
                <w:color w:val="auto"/>
              </w:rPr>
            </w:pPr>
          </w:p>
        </w:tc>
        <w:tc>
          <w:tcPr>
            <w:tcW w:w="154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74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7"/>
            <w:shd w:val="clear" w:color="auto" w:fill="CFF0FC"/>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Statements of Operations and Comprehensive Loss for the Years Ended December 31, 2019, 2018 and 2017</w:t>
              </w:r>
            </w:hyperlink>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176" w:lineRule="exact"/>
              <w:rPr>
                <w:rFonts w:ascii="Arial" w:cs="Arial" w:eastAsia="Arial" w:hAnsi="Arial"/>
                <w:sz w:val="18"/>
                <w:szCs w:val="18"/>
                <w:color w:val="0000EE"/>
                <w:w w:val="81"/>
              </w:rPr>
            </w:pPr>
            <w:hyperlink w:anchor="page86">
              <w:r>
                <w:rPr>
                  <w:rFonts w:ascii="Arial" w:cs="Arial" w:eastAsia="Arial" w:hAnsi="Arial"/>
                  <w:sz w:val="18"/>
                  <w:szCs w:val="18"/>
                  <w:color w:val="0000EE"/>
                  <w:w w:val="81"/>
                </w:rPr>
                <w:t>F-5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4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300" w:type="dxa"/>
            <w:vAlign w:val="bottom"/>
            <w:tcBorders>
              <w:top w:val="single" w:sz="8" w:color="0000EE"/>
            </w:tcBorders>
          </w:tcPr>
          <w:p>
            <w:pPr>
              <w:spacing w:after="0"/>
              <w:rPr>
                <w:sz w:val="19"/>
                <w:szCs w:val="19"/>
                <w:color w:val="auto"/>
              </w:rPr>
            </w:pPr>
          </w:p>
        </w:tc>
        <w:tc>
          <w:tcPr>
            <w:tcW w:w="15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74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7"/>
            <w:shd w:val="clear" w:color="auto" w:fill="CFF0FC"/>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Changes in Stockholders’ Equity for the Years Ended December 31, 2019, 2018 and 2017</w:t>
              </w:r>
            </w:hyperlink>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176" w:lineRule="exact"/>
              <w:rPr>
                <w:rFonts w:ascii="Arial" w:cs="Arial" w:eastAsia="Arial" w:hAnsi="Arial"/>
                <w:sz w:val="18"/>
                <w:szCs w:val="18"/>
                <w:color w:val="0000EE"/>
                <w:w w:val="81"/>
              </w:rPr>
            </w:pPr>
            <w:hyperlink w:anchor="page87">
              <w:r>
                <w:rPr>
                  <w:rFonts w:ascii="Arial" w:cs="Arial" w:eastAsia="Arial" w:hAnsi="Arial"/>
                  <w:sz w:val="18"/>
                  <w:szCs w:val="18"/>
                  <w:color w:val="0000EE"/>
                  <w:w w:val="81"/>
                </w:rPr>
                <w:t>F-6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4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300" w:type="dxa"/>
            <w:vAlign w:val="bottom"/>
            <w:tcBorders>
              <w:top w:val="single" w:sz="8" w:color="0000EE"/>
            </w:tcBorders>
          </w:tcPr>
          <w:p>
            <w:pPr>
              <w:spacing w:after="0"/>
              <w:rPr>
                <w:sz w:val="19"/>
                <w:szCs w:val="19"/>
                <w:color w:val="auto"/>
              </w:rPr>
            </w:pPr>
          </w:p>
        </w:tc>
        <w:tc>
          <w:tcPr>
            <w:tcW w:w="1540" w:type="dxa"/>
            <w:vAlign w:val="bottom"/>
            <w:tcBorders>
              <w:top w:val="single" w:sz="8" w:color="0000EE"/>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74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7"/>
            <w:shd w:val="clear" w:color="auto" w:fill="CFF0FC"/>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Cash Flows for the Years Ended December 31, 2019, 2018 and 2017</w:t>
              </w:r>
            </w:hyperlink>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176" w:lineRule="exact"/>
              <w:rPr>
                <w:rFonts w:ascii="Arial" w:cs="Arial" w:eastAsia="Arial" w:hAnsi="Arial"/>
                <w:sz w:val="18"/>
                <w:szCs w:val="18"/>
                <w:color w:val="0000EE"/>
                <w:w w:val="81"/>
              </w:rPr>
            </w:pPr>
            <w:hyperlink w:anchor="page88">
              <w:r>
                <w:rPr>
                  <w:rFonts w:ascii="Arial" w:cs="Arial" w:eastAsia="Arial" w:hAnsi="Arial"/>
                  <w:sz w:val="18"/>
                  <w:szCs w:val="18"/>
                  <w:color w:val="0000EE"/>
                  <w:w w:val="81"/>
                </w:rPr>
                <w:t>F-7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4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300" w:type="dxa"/>
            <w:vAlign w:val="bottom"/>
            <w:tcBorders>
              <w:top w:val="single" w:sz="8" w:color="0000EE"/>
            </w:tcBorders>
          </w:tcPr>
          <w:p>
            <w:pPr>
              <w:spacing w:after="0"/>
              <w:rPr>
                <w:sz w:val="19"/>
                <w:szCs w:val="19"/>
                <w:color w:val="auto"/>
              </w:rPr>
            </w:pPr>
          </w:p>
        </w:tc>
        <w:tc>
          <w:tcPr>
            <w:tcW w:w="154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74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7"/>
            <w:shd w:val="clear" w:color="auto" w:fill="CFF0FC"/>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176" w:lineRule="exact"/>
              <w:rPr>
                <w:rFonts w:ascii="Arial" w:cs="Arial" w:eastAsia="Arial" w:hAnsi="Arial"/>
                <w:sz w:val="18"/>
                <w:szCs w:val="18"/>
                <w:color w:val="0000EE"/>
                <w:w w:val="81"/>
              </w:rPr>
            </w:pPr>
            <w:hyperlink w:anchor="page89">
              <w:r>
                <w:rPr>
                  <w:rFonts w:ascii="Arial" w:cs="Arial" w:eastAsia="Arial" w:hAnsi="Arial"/>
                  <w:sz w:val="18"/>
                  <w:szCs w:val="18"/>
                  <w:color w:val="0000EE"/>
                  <w:w w:val="81"/>
                </w:rPr>
                <w:t>F-8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5860" w:type="dxa"/>
            <w:vAlign w:val="bottom"/>
            <w:tcBorders>
              <w:top w:val="single" w:sz="8" w:color="CFF0FC"/>
            </w:tcBorders>
            <w:gridSpan w:val="4"/>
          </w:tcPr>
          <w:p>
            <w:pPr>
              <w:ind w:left="920"/>
              <w:spacing w:after="0"/>
              <w:rPr>
                <w:sz w:val="20"/>
                <w:szCs w:val="20"/>
                <w:color w:val="auto"/>
              </w:rPr>
            </w:pPr>
            <w:r>
              <w:rPr>
                <w:rFonts w:ascii="Arial" w:cs="Arial" w:eastAsia="Arial" w:hAnsi="Arial"/>
                <w:sz w:val="18"/>
                <w:szCs w:val="18"/>
                <w:color w:val="auto"/>
              </w:rPr>
              <w:t>F-1</w:t>
            </w:r>
          </w:p>
        </w:tc>
        <w:tc>
          <w:tcPr>
            <w:tcW w:w="660" w:type="dxa"/>
            <w:vAlign w:val="bottom"/>
            <w:tcBorders>
              <w:top w:val="single" w:sz="8" w:color="CFF0FC"/>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ind w:right="3460" w:firstLine="3453"/>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Assembly Biosciences,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Assembly Biosciences, Inc. (the Company) as of December 31, 2019 and 2018, the related consolidated statements of operations and comprehensive loss, changes in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4, 2020 expressed an unqualified opinion thereon.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 due to the adoption of Accounting Standards Update (ASU) No. 2016-02, Leases (Topic 842), and the related amendments, effective January 1, 2019, using the modified retrospective approach.</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revenue in 2018 due to the adoption of Accounting Standards Update (ASU) No. 2014-09, Revenue from Contracts with Customers (Topic 606), and the related amendments, effective January 1, 2018, using the modified retrospective method.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ind w:right="3460" w:firstLine="3453"/>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Assembly Biosciences,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Assembly Biosciences, Inc.’s internal control over financial reporting as of December 31, 2019, based on criteria established in Internal Control—Integrated Framework issued by the Committee of Sponsoring Organizations of the Treadway Commission (2013 framework) (the COSO criteria). In our opinion, Assembly Biosciences, Inc. (the Company) maintained, in all material respects, effective internal control over financial reporting as of December 31, 2019, based on the COSO criteria.</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operations and comprehensive loss, changes in stockholders’ equity, and cash flows for each of the three years in the period ended December 31, 2019, and the related notes and our report dated March 4, 2020 expressed an unqualified opinion thereon.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46,732</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7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227,311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from collaboration</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Indefinite-lived intangible asset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339,907</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268,045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1,731</w:t>
            </w:r>
          </w:p>
        </w:tc>
        <w:tc>
          <w:tcPr>
            <w:tcW w:w="280" w:type="dxa"/>
            <w:vAlign w:val="bottom"/>
          </w:tcPr>
          <w:p>
            <w:pPr>
              <w:spacing w:after="0"/>
              <w:rPr>
                <w:sz w:val="19"/>
                <w:szCs w:val="19"/>
                <w:color w:val="auto"/>
              </w:rPr>
            </w:pPr>
          </w:p>
        </w:tc>
        <w:tc>
          <w:tcPr>
            <w:tcW w:w="600" w:type="dxa"/>
            <w:vAlign w:val="bottom"/>
            <w:gridSpan w:val="2"/>
          </w:tcPr>
          <w:p>
            <w:pPr>
              <w:jc w:val="right"/>
              <w:ind w:right="47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clinical expenses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 short-term</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Operating lease liabilities - short-term</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 long-term</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Operating lease liabilities - long-term</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66,690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57,392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w w:val="96"/>
              </w:rPr>
              <w:t>Preferred stock, $0.001 par value; 5,000,000 shares authorized; no shares issued or outstanding</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Common stock, $0.001 par value; 100,000,000 shares authorized as of December 31, 2019 and 2018;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32,558,307 and 25,495,425 shares issued and outstanding as of December 31, 2019 and 2018,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712,807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(439,421)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(341,787)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273,217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339,907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8"/>
          </w:tcPr>
          <w:p>
            <w:pPr>
              <w:jc w:val="right"/>
              <w:ind w:right="165"/>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85,757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72,741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118,676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(102,713)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(92,735)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Interest and other income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 other income</w:t>
            </w:r>
          </w:p>
        </w:tc>
        <w:tc>
          <w:tcPr>
            <w:tcW w:w="10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(98,408)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(89,652)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(51,859)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0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(97,634)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(90,751)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(42,809)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on marketable securities, net of tax</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06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(97,488)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(90,706)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26,258,790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22,801,644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17,750,380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Additional</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w:t>
            </w:r>
          </w:p>
        </w:tc>
      </w:tr>
      <w:tr>
        <w:trPr>
          <w:trHeight w:val="210"/>
        </w:trPr>
        <w:tc>
          <w:tcPr>
            <w:tcW w:w="4600" w:type="dxa"/>
            <w:vAlign w:val="bottom"/>
          </w:tcPr>
          <w:p>
            <w:pPr>
              <w:spacing w:after="0"/>
              <w:rPr>
                <w:sz w:val="18"/>
                <w:szCs w:val="18"/>
                <w:color w:val="auto"/>
              </w:rPr>
            </w:pP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Common Stock</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Paid-in</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11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7"/>
              </w:rPr>
              <w:t>Accumulated</w:t>
            </w: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Stockholders'</w:t>
            </w:r>
          </w:p>
        </w:tc>
      </w:tr>
      <w:tr>
        <w:trPr>
          <w:trHeight w:val="213"/>
        </w:trPr>
        <w:tc>
          <w:tcPr>
            <w:tcW w:w="4600" w:type="dxa"/>
            <w:vAlign w:val="bottom"/>
          </w:tcPr>
          <w:p>
            <w:pPr>
              <w:spacing w:after="0"/>
              <w:rPr>
                <w:sz w:val="18"/>
                <w:szCs w:val="18"/>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Capital</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Equity</w:t>
            </w:r>
          </w:p>
        </w:tc>
      </w:tr>
      <w:tr>
        <w:trPr>
          <w:trHeight w:val="212"/>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2016</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17,246,754</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288,689</w:t>
            </w: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(208,227)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79,878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Sale of common stock, net of underwriters' discount and costs</w:t>
            </w:r>
          </w:p>
        </w:tc>
        <w:tc>
          <w:tcPr>
            <w:tcW w:w="900" w:type="dxa"/>
            <w:vAlign w:val="bottom"/>
          </w:tcPr>
          <w:p>
            <w:pPr>
              <w:jc w:val="right"/>
              <w:spacing w:after="0"/>
              <w:rPr>
                <w:sz w:val="20"/>
                <w:szCs w:val="20"/>
                <w:color w:val="auto"/>
              </w:rPr>
            </w:pPr>
            <w:r>
              <w:rPr>
                <w:rFonts w:ascii="Arial" w:cs="Arial" w:eastAsia="Arial" w:hAnsi="Arial"/>
                <w:sz w:val="16"/>
                <w:szCs w:val="16"/>
                <w:color w:val="auto"/>
              </w:rPr>
              <w:t>2,541,500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64,845</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64,848</w:t>
            </w:r>
          </w:p>
        </w:tc>
        <w:tc>
          <w:tcPr>
            <w:tcW w:w="100" w:type="dxa"/>
            <w:vAlign w:val="bottom"/>
          </w:tcPr>
          <w:p>
            <w:pPr>
              <w:spacing w:after="0"/>
              <w:rPr>
                <w:sz w:val="18"/>
                <w:szCs w:val="18"/>
                <w:color w:val="auto"/>
              </w:rPr>
            </w:pPr>
          </w:p>
        </w:tc>
      </w:tr>
      <w:tr>
        <w:trPr>
          <w:trHeight w:val="21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349,720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2,393</w:t>
            </w:r>
          </w:p>
        </w:tc>
        <w:tc>
          <w:tcPr>
            <w:tcW w:w="100" w:type="dxa"/>
            <w:vAlign w:val="bottom"/>
            <w:shd w:val="clear" w:color="auto" w:fill="CFF0FC"/>
          </w:tcPr>
          <w:p>
            <w:pPr>
              <w:spacing w:after="0"/>
              <w:rPr>
                <w:sz w:val="19"/>
                <w:szCs w:val="19"/>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Unrealized gain on marketable securities, net of tax</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r>
      <w:tr>
        <w:trPr>
          <w:trHeight w:val="21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8,601</w:t>
            </w:r>
          </w:p>
        </w:tc>
        <w:tc>
          <w:tcPr>
            <w:tcW w:w="100" w:type="dxa"/>
            <w:vAlign w:val="bottom"/>
            <w:shd w:val="clear" w:color="auto" w:fill="CFF0FC"/>
          </w:tcPr>
          <w:p>
            <w:pPr>
              <w:spacing w:after="0"/>
              <w:rPr>
                <w:sz w:val="19"/>
                <w:szCs w:val="19"/>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(42,809)</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(42,809)</w:t>
            </w:r>
          </w:p>
        </w:tc>
      </w:tr>
      <w:tr>
        <w:trPr>
          <w:trHeight w:val="21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20,137,974</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364,528</w:t>
            </w: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(251,036)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113,120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Sale of common stock, net of underwriters' discount and costs</w:t>
            </w:r>
          </w:p>
        </w:tc>
        <w:tc>
          <w:tcPr>
            <w:tcW w:w="900" w:type="dxa"/>
            <w:vAlign w:val="bottom"/>
          </w:tcPr>
          <w:p>
            <w:pPr>
              <w:jc w:val="right"/>
              <w:spacing w:after="0"/>
              <w:rPr>
                <w:sz w:val="20"/>
                <w:szCs w:val="20"/>
                <w:color w:val="auto"/>
              </w:rPr>
            </w:pPr>
            <w:r>
              <w:rPr>
                <w:rFonts w:ascii="Arial" w:cs="Arial" w:eastAsia="Arial" w:hAnsi="Arial"/>
                <w:sz w:val="16"/>
                <w:szCs w:val="16"/>
                <w:color w:val="auto"/>
              </w:rPr>
              <w:t>4,600,000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155,421</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155,425</w:t>
            </w:r>
          </w:p>
        </w:tc>
        <w:tc>
          <w:tcPr>
            <w:tcW w:w="100" w:type="dxa"/>
            <w:vAlign w:val="bottom"/>
          </w:tcPr>
          <w:p>
            <w:pPr>
              <w:spacing w:after="0"/>
              <w:rPr>
                <w:sz w:val="18"/>
                <w:szCs w:val="18"/>
                <w:color w:val="auto"/>
              </w:rPr>
            </w:pPr>
          </w:p>
        </w:tc>
      </w:tr>
      <w:tr>
        <w:trPr>
          <w:trHeight w:val="21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735,030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FF0FC"/>
          </w:tcPr>
          <w:p>
            <w:pPr>
              <w:spacing w:after="0"/>
              <w:rPr>
                <w:sz w:val="19"/>
                <w:szCs w:val="19"/>
                <w:color w:val="auto"/>
              </w:rPr>
            </w:pPr>
          </w:p>
        </w:tc>
      </w:tr>
      <w:tr>
        <w:trPr>
          <w:trHeight w:val="206"/>
        </w:trPr>
        <w:tc>
          <w:tcPr>
            <w:tcW w:w="4600" w:type="dxa"/>
            <w:vAlign w:val="bottom"/>
          </w:tcPr>
          <w:p>
            <w:pPr>
              <w:spacing w:after="0"/>
              <w:rPr>
                <w:sz w:val="20"/>
                <w:szCs w:val="20"/>
                <w:color w:val="auto"/>
              </w:rPr>
            </w:pPr>
            <w:r>
              <w:rPr>
                <w:rFonts w:ascii="Arial" w:cs="Arial" w:eastAsia="Arial" w:hAnsi="Arial"/>
                <w:sz w:val="16"/>
                <w:szCs w:val="16"/>
                <w:color w:val="auto"/>
                <w:w w:val="98"/>
              </w:rPr>
              <w:t>Issuance of common stock under Employee Stock Purchase Plan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6"/>
                <w:szCs w:val="16"/>
                <w:color w:val="auto"/>
              </w:rPr>
              <w:t>(ESPP)</w:t>
            </w:r>
          </w:p>
        </w:tc>
        <w:tc>
          <w:tcPr>
            <w:tcW w:w="900" w:type="dxa"/>
            <w:vAlign w:val="bottom"/>
          </w:tcPr>
          <w:p>
            <w:pPr>
              <w:jc w:val="right"/>
              <w:spacing w:after="0"/>
              <w:rPr>
                <w:sz w:val="20"/>
                <w:szCs w:val="20"/>
                <w:color w:val="auto"/>
              </w:rPr>
            </w:pPr>
            <w:r>
              <w:rPr>
                <w:rFonts w:ascii="Arial" w:cs="Arial" w:eastAsia="Arial" w:hAnsi="Arial"/>
                <w:sz w:val="16"/>
                <w:szCs w:val="16"/>
                <w:color w:val="auto"/>
              </w:rPr>
              <w:t>21,483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408</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Issuance of shares of common stock for settlement of restricted</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stock units (RSUs)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Unrealized gain on marketable securities, net of tax</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r>
      <w:tr>
        <w:trPr>
          <w:trHeight w:val="21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28,446</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28,446</w:t>
            </w:r>
          </w:p>
        </w:tc>
        <w:tc>
          <w:tcPr>
            <w:tcW w:w="100" w:type="dxa"/>
            <w:vAlign w:val="bottom"/>
            <w:shd w:val="clear" w:color="auto" w:fill="CFF0FC"/>
          </w:tcPr>
          <w:p>
            <w:pPr>
              <w:spacing w:after="0"/>
              <w:rPr>
                <w:sz w:val="19"/>
                <w:szCs w:val="19"/>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(90,751)</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(90,751)</w:t>
            </w:r>
          </w:p>
        </w:tc>
      </w:tr>
      <w:tr>
        <w:trPr>
          <w:trHeight w:val="21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2018</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25,495,425</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552,762</w:t>
            </w: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(341,787)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210,653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4600" w:type="dxa"/>
            <w:vAlign w:val="bottom"/>
          </w:tcPr>
          <w:p>
            <w:pPr>
              <w:spacing w:after="0"/>
              <w:rPr>
                <w:sz w:val="20"/>
                <w:szCs w:val="20"/>
                <w:color w:val="auto"/>
              </w:rPr>
            </w:pPr>
            <w:r>
              <w:rPr>
                <w:rFonts w:ascii="Arial" w:cs="Arial" w:eastAsia="Arial" w:hAnsi="Arial"/>
                <w:sz w:val="16"/>
                <w:szCs w:val="16"/>
                <w:color w:val="auto"/>
                <w:w w:val="95"/>
              </w:rPr>
              <w:t>Sale of common stock and pre-funded warrants, net of underwriters'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6"/>
                <w:szCs w:val="16"/>
                <w:color w:val="auto"/>
              </w:rPr>
              <w:t>discount and costs</w:t>
            </w:r>
          </w:p>
        </w:tc>
        <w:tc>
          <w:tcPr>
            <w:tcW w:w="900" w:type="dxa"/>
            <w:vAlign w:val="bottom"/>
          </w:tcPr>
          <w:p>
            <w:pPr>
              <w:jc w:val="right"/>
              <w:spacing w:after="0"/>
              <w:rPr>
                <w:sz w:val="20"/>
                <w:szCs w:val="20"/>
                <w:color w:val="auto"/>
              </w:rPr>
            </w:pPr>
            <w:r>
              <w:rPr>
                <w:rFonts w:ascii="Arial" w:cs="Arial" w:eastAsia="Arial" w:hAnsi="Arial"/>
                <w:sz w:val="16"/>
                <w:szCs w:val="16"/>
                <w:color w:val="auto"/>
              </w:rPr>
              <w:t>6,287,878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134,655</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134,661</w:t>
            </w:r>
          </w:p>
        </w:tc>
        <w:tc>
          <w:tcPr>
            <w:tcW w:w="100" w:type="dxa"/>
            <w:vAlign w:val="bottom"/>
          </w:tcPr>
          <w:p>
            <w:pPr>
              <w:spacing w:after="0"/>
              <w:rPr>
                <w:sz w:val="18"/>
                <w:szCs w:val="18"/>
                <w:color w:val="auto"/>
              </w:rPr>
            </w:pPr>
          </w:p>
        </w:tc>
      </w:tr>
      <w:tr>
        <w:trPr>
          <w:trHeight w:val="21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585,292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4,238</w:t>
            </w:r>
          </w:p>
        </w:tc>
        <w:tc>
          <w:tcPr>
            <w:tcW w:w="100" w:type="dxa"/>
            <w:vAlign w:val="bottom"/>
            <w:shd w:val="clear" w:color="auto" w:fill="CFF0FC"/>
          </w:tcPr>
          <w:p>
            <w:pPr>
              <w:spacing w:after="0"/>
              <w:rPr>
                <w:sz w:val="19"/>
                <w:szCs w:val="19"/>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Settlement of RSUs for cash</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(4)</w:t>
            </w:r>
          </w:p>
        </w:tc>
      </w:tr>
      <w:tr>
        <w:trPr>
          <w:trHeight w:val="21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ESPP</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FF0FC"/>
          </w:tcPr>
          <w:p>
            <w:pPr>
              <w:spacing w:after="0"/>
              <w:rPr>
                <w:sz w:val="19"/>
                <w:szCs w:val="19"/>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Issuance of shares of common stock for settlement of RSUs</w:t>
            </w:r>
          </w:p>
        </w:tc>
        <w:tc>
          <w:tcPr>
            <w:tcW w:w="900" w:type="dxa"/>
            <w:vAlign w:val="bottom"/>
          </w:tcPr>
          <w:p>
            <w:pPr>
              <w:jc w:val="right"/>
              <w:spacing w:after="0"/>
              <w:rPr>
                <w:sz w:val="20"/>
                <w:szCs w:val="20"/>
                <w:color w:val="auto"/>
              </w:rPr>
            </w:pPr>
            <w:r>
              <w:rPr>
                <w:rFonts w:ascii="Arial" w:cs="Arial" w:eastAsia="Arial" w:hAnsi="Arial"/>
                <w:sz w:val="16"/>
                <w:szCs w:val="16"/>
                <w:color w:val="auto"/>
              </w:rPr>
              <w:t>130,342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marketable securities, net of tax</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FF0FC"/>
          </w:tcPr>
          <w:p>
            <w:pPr>
              <w:spacing w:after="0"/>
              <w:rPr>
                <w:sz w:val="19"/>
                <w:szCs w:val="19"/>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20,410</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20,410</w:t>
            </w:r>
          </w:p>
        </w:tc>
        <w:tc>
          <w:tcPr>
            <w:tcW w:w="100" w:type="dxa"/>
            <w:vAlign w:val="bottom"/>
          </w:tcPr>
          <w:p>
            <w:pPr>
              <w:spacing w:after="0"/>
              <w:rPr>
                <w:sz w:val="18"/>
                <w:szCs w:val="18"/>
                <w:color w:val="auto"/>
              </w:rPr>
            </w:pPr>
          </w:p>
        </w:tc>
      </w:tr>
      <w:tr>
        <w:trPr>
          <w:trHeight w:val="21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(97,634)</w:t>
            </w: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(97,634)</w:t>
            </w:r>
          </w:p>
        </w:tc>
      </w:tr>
      <w:tr>
        <w:trPr>
          <w:trHeight w:val="207"/>
        </w:trPr>
        <w:tc>
          <w:tcPr>
            <w:tcW w:w="4600" w:type="dxa"/>
            <w:vAlign w:val="bottom"/>
          </w:tcPr>
          <w:p>
            <w:pPr>
              <w:spacing w:after="0"/>
              <w:rPr>
                <w:sz w:val="20"/>
                <w:szCs w:val="20"/>
                <w:color w:val="auto"/>
              </w:rPr>
            </w:pPr>
            <w:r>
              <w:rPr>
                <w:rFonts w:ascii="Arial" w:cs="Arial" w:eastAsia="Arial" w:hAnsi="Arial"/>
                <w:sz w:val="16"/>
                <w:szCs w:val="16"/>
                <w:b w:val="1"/>
                <w:bCs w:val="1"/>
                <w:color w:val="auto"/>
              </w:rPr>
              <w:t>Balance as of December 31,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32,558,307</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2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712,807</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(439,421)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273,217</w:t>
            </w:r>
          </w:p>
        </w:tc>
        <w:tc>
          <w:tcPr>
            <w:tcW w:w="10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8"/>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(97,634)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(90,751)</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(42,809)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Net accretion and amortization of investments in marketable securities</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rent expense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Deferred income tax (benefit) expense</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disposal of fixed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Accounts receivable from collaboration</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Accrued clinical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accrued expenses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(84,067)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(64,958)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(281,334)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(183,941)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Proceeds from maturities of marketable securities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203,911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sale of marketable securities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8"/>
              </w:rPr>
              <w:t>Proceeds from common stock and pre-funded warrants sold, net of underwriters'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discount and costs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134,661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155,425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Proceeds from the issuance of common stock under ESPP</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139,646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159,793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46,732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41,471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15,261</w:t>
            </w:r>
          </w:p>
        </w:tc>
        <w:tc>
          <w:tcPr>
            <w:tcW w:w="160" w:type="dxa"/>
            <w:vAlign w:val="bottom"/>
          </w:tcPr>
          <w:p>
            <w:pPr>
              <w:spacing w:after="0"/>
              <w:rPr>
                <w:sz w:val="20"/>
                <w:szCs w:val="20"/>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Assembly Biosciences, Inc., together with its subsidiaries (Assembly or the Company), incorporated in Delaware in October 2005, is a clinical-stage biotechnology company advancing two innovative programs: a novel class of oral therapeutic candidates for the treatment of hepatitis B virus (HBV) infection and a novel class of oral live microbial biotherapeutic candidates, which are designed to treat disorders associated with the microbiome. The Company operates in one segment and, as of December 31, 2019, was headquartered in Carmel, Indiana with operations in South San Francisco, California and Groton, Connecticut. Effective January 1, 2020, the Company changed its corporate headquarters to its South San Francisco, California facility. The Company expects to continue maintaining its office in Carmel, Indiana for a period of time.</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HBV-cure program is pursuing multiple drug candidates that inhibit the HBV lifecycle and block the generation of covalently closed circular DNA (cccDNA), with the aim of increasing the current low cure rates for patients with chronic HBV infection. Assembly has discovered multiple novel core inhibitors, which are small molecules that directly target and allosterically modify the HBV core (HBc) protein.</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Microbiome program consists of a fully integrated platform that includes a disease-targeted strain isolation, identification, characterization and selection process, methods for strain purification and growth under current Good Manufacturing Practice (cGMP) conditions, and a licensed patented delivery system that the Company calls GEMICEL®, which is designed to allow for targeted oral delivery of live biologic and conventional therapies to the lower gastrointestinal (GI) tract. Using the Company’s microbiome platform capabilities, the Company is exploring product candidates for multiple disease indications, including ulcerative colitis (UC), Crohn’s disease and irritable bowel syndrome (IBS) with Allergan Pharmaceuticals International Limited (Allergan) in connection with its Research, Development, Collaboration, and License Agreement (the Collaboration Agreement), as well as immune-mediated and metabolic disorders and oncology, which indications the Company will pursue either internally or in collaboration with other parties.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 upfront payment related to the Collaboration Agreement, and research and development cost reimbursements from the Collaboration Agreement.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that these consolidated financial statements are issued. If the Company cannot generate significant cash from its operations, it intends to obtain any additional funding it requires through strategic relationships, public or private equity or debt financings, grants or other arrangements (see Note 6 for recent sales of common stock). The Company cannot assure such funding will be available on reasonable terms, if at all.</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Company is unable to generate enough revenue from the Collaboration Agreement when needed or to secure additional sources of funding and receive related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include the accounts of the Company and its wholly owned subsidiaries. All intercompany balances and transactions have been eliminated in consolidation.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consolidated financial statements in conformity with the accounting principles generally accepted in the United States of America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estimates inherent in the preparation of the accompanying consolidated financial statements include revenue recognition, clinical trial accruals, recoverability and useful lives (indefinite or finite) of intangible assets, assessment of impairment of goodwill, provisions for income taxes, amounts receivable under the Collaboration Agreement, measurement of operating lease liabilities, and the fair value of stock options, stock appreciation rights, and restricted stock units (RSUs) granted to employees, directors, and consultants.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highly liquid investments with original maturities of three months or less at the time of purchase are considered to be cash equivalents. All of the Company’s cash equivalents have liquid markets and high credit ratings. The Company maintains its cash in bank deposits and other accounts, the balances of which, at times and at December 31, 2019 and 2018, exceed federally insured limits.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Marketable Securities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invests its excess cash in debt securities with high credit ratings including but not limited to money market funds, asset backed securities, securities issued by the U.S. government and its agencies, corporate debt securities and commercial paper. The Company has designated its investments in marketable securities as available-for-sale and measures these securities at their respective fair values. Marketable securities are classified as short-term or long-term based on the maturity date and their availability to meet current operating requirements. Marketable securities that mature in one year or less are classified as short-term available-for-sale securities and are reported as a component of current assets.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Securities that are classified as available-for-sale are measured at fair value with temporary unrealized gains and losses reported in other comprehensive loss, and as a component of stockholders' equity until their disposition. The Company reviews all available-for-sale securities at each period end to determine if they remain available-for-sale based on their current intent and ability to sell the security if it is required to do so. Realized gains and losses from the sale of marketable securities, if any, are calculated using the specific-identification method.</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Marketable securities are subject to a periodic impairment review. The Company may recognize an impairment charge when a decline in the fair value of investments below the cost basis is determined to be other-than-temporary. In determining whether a decline in market value is other-than-temporary, various factors are considered, including the cause, duration of time and severity of the impairment, any adverse changes in the investees’ financial condition, and the Company’s intent and ability to hold the security for a period of time sufficient to allow for an anticipated recovery in market value. To date, there have been no declines in value deemed to be other than temporary for any of our investments in marketable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Goodwill and Indefinite-Lived Intangible Asset</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indefinite-lived intangible assets are reviewed for impairment at least annually in the fourth quarter, and more frequently if events or other changes in circumstances indicate that the carrying amount of the assets may not be recoverable. Impairment of goodwill and indefinite-lived intangibles is determined to exist when the fair value is less than the carrying value of the net assets being tested.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difference between the purchase price and the fair value of assets acquired and liabilities assumed in a business combination is allocated to goodwill. Goodwill is evaluated for impairment on an annual basis as of October 1, and more frequently if indicators are present or changes in circumstances suggest that impairment may exist.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1, 2019 the Company has determined through its quantitative impairment test that the fair value of its goodwill significantly exceeded the carrying value of its single reporting unit, and concluded that goodwill was not impaired. The Company has not recognized any goodwill impairment in any of the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indefinite-lived intangible asset consists of IPR&amp;D acquired in a business combination that are used in research and development activities but have not yet reached technological feasibility, regardless of whether they have alternative future use. The primary basis for determining the technological feasibility or completion of these projects is obtaining regulatory approval to market the underlying products in an applicable geographic region. The Company classifies IPR&amp;D acquired in a business combination as an indefinite-lived intangible asset until the completion or abandonment of the associated research and development efforts. Upon completion of the associated research and development efforts, the Company performed a final test for impairment and will determine the useful life of the technology and begin amortizing the assets to reflect their use over their remaining lives. Upon permanent abandonment, the Company would write-off the remaining carrying amount of the associated IPR&amp;D intangible asset.</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Indefinite-lived intangible assets are not amortized, but instead are reviewed for impairment at least annually, or more frequently if events occur or circumstances change that would indicate the carrying amount may be impaired. In performing each annual impairment assessment and any interim impairment assessment, the Company determines if it should qualitatively assess whether it is more likely than not that the fair value of its IPR&amp;D asset is less than its carrying amount (the qualitative impairment test). If the Company concludes that is the case, or elect not to use qualitative impairment test, the Company would proceed with quantitatively determining the fair value of the IPR&amp;D asset and comparing its fair value to its carrying value to determine the amount of impairment, if any (the quantitative impairment test).</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When performing the quantitative impairment assessment, the Company uses the income approach to determine the fair value of its IPR&amp;D asset. This approach calculates fair value by estimating the after-tax cash flows attributable to an in-process project over its useful life and then discounting these after-tax cash flows back to a present value. This estimate includes judgmental assumptions regarding the estimates that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are based on estimates of the sales price of the drug, the size of the patient population and cure rate, our competitive position in the marketplace, and appropriate discount and tax rates. Any impairment to be recorded is calculated as the difference between the fair value of the IPR&amp;D asset as of the date of the assessment with the carrying value of the IPR&amp;D asset on its consolidated balance sheet.</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performing the qualitative impairment test, the Company considers the results of the most recent quantitative impairment test and identifies the most relevant drivers of the fair value for the IPR&amp;D asset. The most relevant drivers of fair value identified are consistent with the assumptions used in the quantitative estimate of the IPR&amp;D asset discussed below. Using these drivers of fair value, the Company identifies events and circumstances that may have an effect on the fair value of the IPR&amp;D asset since the last time the IPR&amp;D’s fair value was quantitatively determined. The Company then weighs these factors to determine and conclude if it is not more likely than not that the IPR&amp;D asset is impaired. If it is more likely than not that the IPR&amp;D asset is impaired, the Company proceeds with quantitatively determining the fair value of the IPR&amp;D asset.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91" w:name="page92"/>
    <w:bookmarkEnd w:id="91"/>
    <w:p>
      <w:pPr>
        <w:jc w:val="both"/>
        <w:spacing w:after="0" w:line="264" w:lineRule="auto"/>
        <w:rPr>
          <w:sz w:val="20"/>
          <w:szCs w:val="20"/>
          <w:color w:val="auto"/>
        </w:rPr>
      </w:pPr>
      <w:r>
        <w:rPr>
          <w:rFonts w:ascii="Arial" w:cs="Arial" w:eastAsia="Arial" w:hAnsi="Arial"/>
          <w:sz w:val="18"/>
          <w:szCs w:val="18"/>
          <w:color w:val="auto"/>
        </w:rPr>
        <w:t>For 2019, the Company elected to bypass the quantitative assessment and performed a qualitative impairment during the fourth quarter and concluded it is more likely than not the fair value of its IPR&amp;D asset exceeded its carrying value and no further testing was required. The Company did not recognize any IPR&amp;D impairment in any of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Company’s leases are operating leases for facilities and equipment. Prior to January 1, 2019, the Company recognized related rent expense on a straight-line basis over the term of the lease. Incentives granted under the Company’s facilities lease, including allowances for leasehold improvements and rent holidays, were recognized as reductions to rental expense on a straight-line basis over the term of the lease. Deferred rent consisted of the difference between cash payments and the rent expense recognized.</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Subsequent to the adoption of the new leasing standard on January 1, 2019, the Company recognizes a lease asset for its right to use the underlying asset and a lease liability for the corresponding lease obligation. The Company determines whether an arrangement is or contains a lease at contract inception. Operating leases with a duration greater than one year are included in operating lease right-of-use assets, operating lease liabilities - short-term, and operating lease liabilities - long-term in the Company’s consolidated balance sheet at December 31, 2019. Operating lease right-of-use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operating lease right-of-use assets also include any lease payments made and exclude lease incentives. Lease expense is recognized on a straight-line basis over the expected lease term. Variable lease expenses are recorded when incurred. The Company has elected not to separate lease and non-lease components for its leased assets and accounts for all lease and non-lease components of its agreements as a single lease component.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monitors the carrying value of long-lived assets, including right-of-use operating lease assets, for potential impairment and tests the recoverability of such assets whenever events or changes in circumstances indicate that the carrying amounts may not be recoverable. If a change in circumstance occurs, the Company performs a test of recoverability by comparing the carrying value of the asset or asset group to its undiscounted expected future cash flows. If cash flows cannot be separately and independently identified for a single asset, the Company will determine whether impairment has occurred for the group of assets for which the Company can identify the projected cash flows. If the carrying values are in excess of undiscounted expected future cash flows, the Company measures any impairment by comparing the fair value of the asset or asset group to its carrying value. There were no indicators of impairment of long-lived assets for any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Property and equipment are stated at cost and consist of lab and office equipment, leasehold improvements and computer hardware and software. The Company records depreciation under the straight-line method over the estimated useful lives of its property and equipment ranging from three to seven years.</w:t>
      </w:r>
    </w:p>
    <w:p>
      <w:pPr>
        <w:spacing w:after="0" w:line="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Leasehold improvements are amortized over the remaining terms of the respective leases or the estimated useful life of the leasehold improvements, whichever is less. Maintenance and repair costs are expensed as incurred.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98" w:lineRule="exact"/>
        <w:rPr>
          <w:sz w:val="20"/>
          <w:szCs w:val="20"/>
          <w:color w:val="auto"/>
        </w:rPr>
      </w:pPr>
    </w:p>
    <w:p>
      <w:pPr>
        <w:jc w:val="both"/>
        <w:ind w:left="440"/>
        <w:spacing w:after="0" w:line="264" w:lineRule="auto"/>
        <w:rPr>
          <w:sz w:val="20"/>
          <w:szCs w:val="20"/>
          <w:color w:val="auto"/>
        </w:rPr>
      </w:pPr>
      <w:r>
        <w:rPr>
          <w:rFonts w:ascii="Arial" w:cs="Arial" w:eastAsia="Arial" w:hAnsi="Arial"/>
          <w:sz w:val="18"/>
          <w:szCs w:val="18"/>
          <w:color w:val="auto"/>
        </w:rPr>
        <w:t>Level 3: 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measured at fair value are classified in their entirety based on the lowest level of input that is significant to the fair value measurement. The assessment of the significance of a particular input to the fair value measurement in its entirety requires us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using the above input categories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December 31, 2019</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ind w:left="80"/>
              <w:spacing w:after="0" w:line="205"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34"/>
        </w:trPr>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33,095</w:t>
            </w:r>
          </w:p>
        </w:tc>
        <w:tc>
          <w:tcPr>
            <w:tcW w:w="2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33,095</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U.S. and foreign commercial paper</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4,484</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19"/>
                <w:szCs w:val="19"/>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9,483</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72,486</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72,486</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34,025</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34,025</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44,714</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44,714</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U.S. and foreign commercial paper</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76,086</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76,086</w:t>
            </w:r>
          </w:p>
        </w:tc>
        <w:tc>
          <w:tcPr>
            <w:tcW w:w="100" w:type="dxa"/>
            <w:vAlign w:val="bottom"/>
          </w:tcPr>
          <w:p>
            <w:pPr>
              <w:spacing w:after="0"/>
              <w:rPr>
                <w:sz w:val="19"/>
                <w:szCs w:val="19"/>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227,311</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236,794</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269,889</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F-12</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80"/>
              <w:spacing w:after="0" w:line="205"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34"/>
        </w:trPr>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39,345</w:t>
            </w:r>
          </w:p>
        </w:tc>
        <w:tc>
          <w:tcPr>
            <w:tcW w:w="2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tcPr>
          <w:p>
            <w:pPr>
              <w:spacing w:after="0"/>
              <w:rPr>
                <w:sz w:val="19"/>
                <w:szCs w:val="19"/>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73,159</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73,159</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28,419</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28,419</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19,895</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U.S. and foreign commercial paper</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55,136</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55,136</w:t>
            </w:r>
          </w:p>
        </w:tc>
        <w:tc>
          <w:tcPr>
            <w:tcW w:w="100" w:type="dxa"/>
            <w:vAlign w:val="bottom"/>
          </w:tcPr>
          <w:p>
            <w:pPr>
              <w:spacing w:after="0"/>
              <w:rPr>
                <w:sz w:val="19"/>
                <w:szCs w:val="19"/>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176,609</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176,609</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215,954</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fair value of its U.S. and foreign corporate debt securities, asset 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transfers between Level 1, Level 2 or Level 3 for any of the periods presented. See Note 3 for further information regarding the carrying value of our investments in marketable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 from Collaboration</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the inception of an arrangement, we evaluate if a counterparty to a contract is a customer, if the arrangement is within the scope of revenue from contracts with customers guidance, and the term of the contract. We recognize revenue when the customer obtains control of promised goods or services in a contract for an amount that reflects the consideration we expect to receive in exchange for those goods or services. For contracts with customers,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Our performance obligations under these arrangements may include licenses of intellectual property, options to license additional intellectual property, research and development services, delivery of manufactured product, and/or participation on joint steering committees. Allergan can select additional and/or back-up target indications to add to the licenses granted and also has the ability to enter into a contract manufacturing agreement with us for compound supply, and we have concluded that these rights are options. We evaluated whether such options contained material rights and concluded they were not offered at a discount that exceeds discounts available to other customers, and therefore were not material rights. The grant of additional licensing rights upon option exercises and contract manufacturing agreements will be accounted for as separate contracts when they occur.</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provided standard indemnification and protection of licensed intellectual property for our customer. These provisions are part of assurance that the licenses meet the agreements, representations and are not obligations to provide goods or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4" w:name="page95"/>
    <w:bookmarkEnd w:id="94"/>
    <w:p>
      <w:pPr>
        <w:jc w:val="both"/>
        <w:spacing w:after="0" w:line="290" w:lineRule="auto"/>
        <w:rPr>
          <w:sz w:val="20"/>
          <w:szCs w:val="20"/>
          <w:color w:val="auto"/>
        </w:rPr>
      </w:pPr>
      <w:r>
        <w:rPr>
          <w:rFonts w:ascii="Arial" w:cs="Arial" w:eastAsia="Arial" w:hAnsi="Arial"/>
          <w:sz w:val="16"/>
          <w:szCs w:val="16"/>
          <w:color w:val="auto"/>
        </w:rPr>
        <w:t>We only apply the five-step model to contracts when it is probable that we will collect the consideration we are entitled to in exchange for the goods or services we transfer to the customer. As part of the accounting for contracts with customers, we must develop assumptions that require judgment to determine the standalone selling price of each performance obligation identified in the contract. We then allocate the total transaction price to each performance obligation based on the estimated standalone selling prices of each performance obligation. For the Allergan agreement, we estimated standalone selling prices of our performance obligations using income-based valuation approach for the estimated value a licensor of the compounds would receive. We recognize the amount of the transaction price that is allocated to the respective performance obligation when the performance obligation is satisfied or as it is satisfied as revenue. For our contract with Allergan, we recognize revenues for each of our distinct performance obligations as the related research and development services are performed because Allergan consumes the benefit of research and development work simultaneously as we perform these services.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License Fees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license to our intellectual property is determined to be distinct from the other performance obligations identified in the arrangement, we recognize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Regulatory Milestone Payments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Depending on facts and circumstances, we may record revenues from certain milestones in a reporting period before the milestone is achieved if we conclude that achievement of the milestone is probable and that recognition of revenue related to the milestone will not result in a significant reversal in amounts recognized in future periods. We record a corresponding contract asset when this conclusion is reached. Milestone payments that have not been included in the transaction price to date are fully constrained. We re-evaluate the probability of achievement of such milestones and any related constraint each reporting period. We adjust our estimate of the overall transaction price, including the amount of collaborative revenue that was recorded, if necessary.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 Payments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reimbursed at a certain percentage for performing research and development services based on hours worked by our employees, at a fixed contractual rate per hour, and third-party pass-through costs we incur on a quarterly basis. Research and development service payments are included in the transaction price in the reporting period that we conclude that it is probable that recording revenue in the period will not result in a significant reversal in amounts recognized in future periods. Accounts receivable are recorded when the right to the research and development service payment consideration becomes unconditional. We record the full reimbursed portion of these expenses as collaboration revenue in our consolidated statements of operations as we consider performing research and development services to be a part of our ongoing and central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 and Royalty Payments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 may be required to pay us sales-based milestone payments or royalties on future sales of commercial products. We recognize revenues related to sales-based milestone and royalty payments upon the later to occur of (i) achievement of the collaborator’s underlying sales or (ii) satisfaction of any performance obligation(s) related to these sales, in each case assuming our licensed intellectual property is deemed to be the predominant item to which the sales-based milestones and/or royalties relate.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receive payments from our customer based on billing schedules established in each contract. Upfront payments and fees are recorded as deferred revenue upon receipt or when due until we perform our obligations under the arrangement. If the related performance obligation is expected to be satisfied within the next twelve months, these amounts will be classified in current liabilities. We recognize a contract asset relating to our conditional right to consideration that is not subject to a constraint. Amounts are recorded as accounts receivable when our right to consideration is unconditional.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5" w:name="page96"/>
    <w:bookmarkEnd w:id="95"/>
    <w:p>
      <w:pPr>
        <w:jc w:val="both"/>
        <w:spacing w:after="0" w:line="259" w:lineRule="auto"/>
        <w:rPr>
          <w:sz w:val="20"/>
          <w:szCs w:val="20"/>
          <w:color w:val="auto"/>
        </w:rPr>
      </w:pPr>
      <w:r>
        <w:rPr>
          <w:rFonts w:ascii="Arial" w:cs="Arial" w:eastAsia="Arial" w:hAnsi="Arial"/>
          <w:sz w:val="18"/>
          <w:szCs w:val="18"/>
          <w:color w:val="auto"/>
        </w:rPr>
        <w:t>At December 31, 2019 and 2018, the accounts receivable recorded on the consolidated balance sheet relates to the Collaboration Agreement. All accounts receivable are deemed collectible. A net contract asset or liability is presented for each contract with a customer.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measures stock-based compensation to employees, consultants, and Board members at fair value on the grant date of the award. The fair value of restricted stock units (RSUs) is determined based on the number of shares granted and the quoted market price of the Company’s common stock on the date of grant. Compensation cost is recognized as expense on a straight-line basis over the requisite service period of the award. Stock-based awards with graded vesting schedules are recognized using the accelerated attribution method on a straight-line basis over the requisite service period for each separately vesting portion of the award. For awards that have a performance condition, compensation cost is measured based on the fair value of the award on the grant date, the date performance targets are established, and is expensed over the requisite service period for each separately vesting tranche when achievement of the performance condition becomes probable. We assess the probability of the performance conditions being met on a continuous basis. Forfeitures are recognized when they occur.</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the fair value of stock option grants that do not contain market-based vesting conditions using the Black-Scholes option pricing model. The assumptions used in estimating the fair value of these awards, such as expected term, expected dividend yield, volatility and risk-free interest rate, represent management’s best estimates and involve inherent uncertainties and the application of management’s judgment. The Company is also required to make estimates as to the probability of achieving the specific performance conditions.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adoption of Accounting Standards Update (ASU) 2018-07 (ASU 2018-07) on January 1, 2019, the Company remeasured the fair value of the non-employee awards at each reporting period prior to vesting and finally at the vesting date of the award. Changes in the estimated fair value of these non-employee awards were recognized as compensation expense in the period of change. Subsequent to the adoption of ASU 2018-07, the Company recognizes non-employee compensation costs over the requisite service period based on a measurement of fair value for each stock award.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and Accruals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include personnel-related costs, outside contracted services including clinical study costs, facilities costs, fees paid to consultants, milestone payments prior to FDA approval, license fees prior to FDA approval, professional services, travel costs, dues and subscriptions, depreciation and materials used in clinical trials and research and development and costs incurred under the Collaboration Agreement.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 Assets acquired as part of an asset acquisition that are used in research and development or are IPR&amp;D are immediately expensed as research and development unless there is an alternative future use in other research and development projects.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contract research organizations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study milestones. In amortizing or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records income taxes using the asset and liability method. Deferred income tax assets and liabilities are recognized for the future tax effects attributable to temporary differences between the financial statement carrying amounts of existing assets and liabilities and their respective income tax bases, and operating loss and tax credit carryforwards. The effect of a change in tax rates on deferred tax assets and liabilities is recognized in income in the period that includes the enactment date. The Company establishes a valuation allowance if it is more likely than not that the deferred tax assets will not be realized based on an evaluation of objective verifiable evidence. For tax positions that are more likely than not of being sustained upon audit, the Company recognizes the largest amount of the benefit that is greater than 50% likely of being realized. For tax positions that are not more likely than not of being sustained upon audit, the Company does not recognize any portion of the benefit.</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recognizes and measures uncertain tax positions using a two-step approach set forth in authoritative guidance. The first step is to evaluate the tax position taken or expected to be taken by determining whether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 Significant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The provision for income taxes includes the effects of any accruals that the Company believes are appropriate. It is the Company’s policy to recognize interest and penalties related to income tax matters in income tax expense. No interest or penalties related to uncertain tax positions has been incurred or accrued for any periods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potential common stock equivalents that were excluded from the computation of diluted loss from per share of common stock for the periods presented because including them would have been antidilutive: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580" w:type="dxa"/>
            <w:vAlign w:val="bottom"/>
            <w:tcBorders>
              <w:bottom w:val="single" w:sz="8" w:color="auto"/>
            </w:tcBorders>
            <w:gridSpan w:val="5"/>
          </w:tcPr>
          <w:p>
            <w:pPr>
              <w:ind w:left="1360"/>
              <w:spacing w:after="0"/>
              <w:rPr>
                <w:sz w:val="20"/>
                <w:szCs w:val="20"/>
                <w:color w:val="auto"/>
              </w:rPr>
            </w:pPr>
            <w:r>
              <w:rPr>
                <w:rFonts w:ascii="Arial" w:cs="Arial" w:eastAsia="Arial" w:hAnsi="Arial"/>
                <w:sz w:val="18"/>
                <w:szCs w:val="18"/>
                <w:b w:val="1"/>
                <w:bCs w:val="1"/>
                <w:color w:val="auto"/>
                <w:w w:val="99"/>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15,296</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5,613,353</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4,637,145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4,551,819</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purchase under our ESPP</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11,342</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RSUs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630,384</w:t>
            </w:r>
          </w:p>
        </w:tc>
        <w:tc>
          <w:tcPr>
            <w:tcW w:w="2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568,005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6,270,375</w:t>
            </w:r>
          </w:p>
        </w:tc>
        <w:tc>
          <w:tcPr>
            <w:tcW w:w="2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5,241,929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4,687,115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Company sold 6,287,878 shares of common stock as well as 2,424,242 pre-funded warrants (see Note 6). The pre-funded warrants are exercisable for shares of common stock at a price of $0.001 per share. The shares of common stock into which the pre-funded warrants may be exercised are considered outstanding for the purposes of computing earnings per share because the shares may be issued for little or no consideration, they are fully vested, and are exercisable after the original issuance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Comprehensive loss is comprised of net loss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Concentrations of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Risk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materials and key components the Company utilizes in its operations are obtained through single suppliers. Since the suppliers of key components and materials must be named in a New Drug Application (NDA) filed with the FDA for a product, significant delays can occur if the qualification of a new supplier is required. If delivery of material from the Company’s suppliers were interrupted for any reason, the Company may be unable to supply any of its product candidates for clinical trials.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January 1, 2018, the Company adopted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amended (Accounting Standards Codification Topic 6060) (ASC 606) using the modified retrospective method applied to those contracts which were not completed as of January 1, 2018. The Company also elected to use the practical expedient that allows an entity to expense the incremental cost of obtaining a contract as an expense when incurred if the amortization period of the asset that an entity otherwise would have recognized is less than one year. Results for the year ended December 31, 2019 and 2018 are presented under ASC 606, while prior period amounts are not adjusted and continue to be reported in accordance with historic accounting under previous revenue recognition guidance. As of the adoption date of ASC 606, the Company had only one contract with a customer, Allergan, that had not been completed. Based on the Company’s analysis, the Company concluded there was no significant change in applying ASC 606 to the Collaboration Agreement and no amounts have been recognized within “accumulated deficit” in the consolidated balance sheet related to the adoption of the new standard.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Under this standard, which applies to both lessors and lessees, lessees will be required to recognize all leases (except for short-term leases) as a lease liability, which is a lessee’s obligation to make lease payments arising from a lease measured on a discounted basis, and as a right-of-use asset, which is an asset that represents the lessee’s right to use, or control the use of, a specified asset for the lease term. Leases will be classified as either financing or operating, with classification affecting the pattern of expense recognition in the income statement. In January, July and December 2018 and March 2019, the FASB issued additional amendments to the new lease guidance related to transition and clarification.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ASU 2016-02 on January 1, 2019 using the modified retrospective approach and elected the package of practical expedients permitted under transition guidance, which allowed the Company to carry forward its historical assessments of: (1) whether contracts are or contain leases, (2) lease classification and (3) initial direct costs. The Company did not elect the use-of-hindsight practical expedient, which would require the Company to reassess the lease term of its leases based on all facts and circumstances through the effective date, and the Company did not elect the practical expedient pertaining to land easements as this is not applicable to the Company’s current contract portfolio. The Company elected the post-transition practical expedient to not separate lease components from nonlease components for all existing lease classes. The Company also elected a policy of not recording leases on its consolidated balance sheets when the leases have a term of 12 months or less and the Company is not reasonably certain to elect an option to purchase the leased asset.</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adoption of this standard resulted in the recognition of right of use (ROU) assets and lease liabilities of $13.8 million and $14.0 million, respectively, and the derecognition of the deferred rent balance of $0.1 million as of January 1, 2019. The adoption of the standard had no impact on the Company’s consolidated statements of operations and comprehensive loss or to its cash flows from or used in operating, financing, or investing activities on its consolidated statements of cash flows. No cumulative-effect adjustment within accumulated deficit was required to be recorded as a result of adopting this standard.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98" w:name="page99"/>
    <w:bookmarkEnd w:id="98"/>
    <w:p>
      <w:pPr>
        <w:jc w:val="both"/>
        <w:spacing w:after="0" w:line="276" w:lineRule="auto"/>
        <w:rPr>
          <w:sz w:val="20"/>
          <w:szCs w:val="20"/>
          <w:color w:val="auto"/>
        </w:rPr>
      </w:pPr>
      <w:r>
        <w:rPr>
          <w:rFonts w:ascii="Arial" w:cs="Arial" w:eastAsia="Arial" w:hAnsi="Arial"/>
          <w:sz w:val="17"/>
          <w:szCs w:val="17"/>
          <w:color w:val="auto"/>
        </w:rPr>
        <w:t xml:space="preserve">On January 1, 2019, the Company adopted ASU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from Accumulated Other Comprehensive Income, </w:t>
      </w:r>
      <w:r>
        <w:rPr>
          <w:rFonts w:ascii="Arial" w:cs="Arial" w:eastAsia="Arial" w:hAnsi="Arial"/>
          <w:sz w:val="17"/>
          <w:szCs w:val="17"/>
          <w:color w:val="auto"/>
        </w:rPr>
        <w:t>which allows a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stranded tax effects resulting from the federal corporate income tax rate enacted under the Tax Cuts and Jobs Act (the Tax Act). The amount of the reclassification would be the difference between the historical corporate income tax rate and the Tax Act’s 21% corporate income tax rate. The Company’s adoption of this standard did not have a material impact on its consolidated financial statements.</w:t>
      </w:r>
    </w:p>
    <w:p>
      <w:pPr>
        <w:spacing w:after="0" w:line="1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January 1, 2019, the Company adopted ASU 2018-07, </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(ASU 2018-07), which simplifies several aspects of the accounting for nonemployee share-based payment transactions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expanding the scope of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 include share-based payment transactions for acquiring goods and services from nonemployees. The Company’s adoption of this standard did not have a material impact on its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(ASU 2016-13), which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In April, May and November 2019, the FASB issued additional amendments to the new guidance related to transition and clarification. In November 2019, the FASB issued ASU 2019-10, </w:t>
      </w:r>
      <w:r>
        <w:rPr>
          <w:rFonts w:ascii="Arial" w:cs="Arial" w:eastAsia="Arial" w:hAnsi="Arial"/>
          <w:sz w:val="16"/>
          <w:szCs w:val="16"/>
          <w:i w:val="1"/>
          <w:iCs w:val="1"/>
          <w:color w:val="auto"/>
        </w:rPr>
        <w:t>Financial Instruments—Credit Losses (Topic 326), Derivatives and Hedging (Topic 815), and Leases (Topic 842): Effective Dates</w:t>
      </w:r>
      <w:r>
        <w:rPr>
          <w:rFonts w:ascii="Arial" w:cs="Arial" w:eastAsia="Arial" w:hAnsi="Arial"/>
          <w:sz w:val="16"/>
          <w:szCs w:val="16"/>
          <w:color w:val="auto"/>
        </w:rPr>
        <w:t xml:space="preserve"> (ASU 2019-10), which deferred the effective date of this standard for all entities except SEC filers that are not smaller reporting companies to fiscal years beginning after December 15, 2022, including interim periods within those fiscal years. Early adoption is permitted. The Company is currently evaluating the timing and impact of adopting this new accounting standard on its consolidated financial statements and related disclosures.</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 which simplifies how an entity is required to test goodwill for impairment by eliminating Step 2 from the goodwill impairment test. Step 2 measures a goodwill impairment loss by comparing the implied fair value of a reporting unit’s goodwill with the carrying amount of that goodwill. Under the amendments in ASU 2017-04, an entity should recognize an impairment charge for the amount by which the carrying amount of a reporting unit exceeds its fair value; however, the loss recognized should not exceed the total amount of goodwill allocated to that reporting unit. The updated guidance requires a prospective adoption. In November 2019, the FASB issued ASU 2019-10, which deferred the effective date of this standard for all entities except SEC filers that are not smaller reporting companies to fiscal years beginning after December 15, 2022, including interim periods within those fiscal years. Early adoption is permitted for goodwill impairment tests performed on testing dates after January 1, 2017. The Company plans to adopt the standard on January 1, 2020 and does not expect the adoption of this guidance to have a material impact on its consolidated financial statements and related disclosures.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Fair Value Measurement, </w:t>
      </w:r>
      <w:r>
        <w:rPr>
          <w:rFonts w:ascii="Arial" w:cs="Arial" w:eastAsia="Arial" w:hAnsi="Arial"/>
          <w:sz w:val="17"/>
          <w:szCs w:val="17"/>
          <w:color w:val="auto"/>
        </w:rPr>
        <w:t>which makes a number of changes meant to add, modify or remove certain disclosure requirements associated with the movement</w:t>
      </w:r>
      <w:r>
        <w:rPr>
          <w:rFonts w:ascii="Arial" w:cs="Arial" w:eastAsia="Arial" w:hAnsi="Arial"/>
          <w:sz w:val="17"/>
          <w:szCs w:val="17"/>
          <w:i w:val="1"/>
          <w:iCs w:val="1"/>
          <w:color w:val="auto"/>
        </w:rPr>
        <w:t xml:space="preserve"> </w:t>
      </w:r>
      <w:r>
        <w:rPr>
          <w:rFonts w:ascii="Arial" w:cs="Arial" w:eastAsia="Arial" w:hAnsi="Arial"/>
          <w:sz w:val="17"/>
          <w:szCs w:val="17"/>
          <w:color w:val="auto"/>
        </w:rPr>
        <w:t>amongst or hierarchy associated with Level 1, Level 2 and Level 3 fair value measurements. This guidance is effective for fiscal years, and interim periods within those fiscal years, beginning after December 15, 2019. The Company will adopt this ASU on January 1, 2020 and does not expect the adoption of this guidance to have a material impact on its consolidated financial statements and related disclosures.</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 Clarifying the Interaction between Topic 808 and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606 </w:t>
      </w:r>
      <w:r>
        <w:rPr>
          <w:rFonts w:ascii="Arial" w:cs="Arial" w:eastAsia="Arial" w:hAnsi="Arial"/>
          <w:sz w:val="17"/>
          <w:szCs w:val="17"/>
          <w:color w:val="auto"/>
        </w:rPr>
        <w:t>(ASU 2018-18), which clarifies that certain transactions between collaborative arrangement participants should be accounted for as revenue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customer guidance (Topic 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9" w:name="page100"/>
    <w:bookmarkEnd w:id="99"/>
    <w:p>
      <w:pPr>
        <w:jc w:val="both"/>
        <w:spacing w:after="0" w:line="272" w:lineRule="auto"/>
        <w:rPr>
          <w:sz w:val="20"/>
          <w:szCs w:val="20"/>
          <w:color w:val="auto"/>
        </w:rPr>
      </w:pPr>
      <w:r>
        <w:rPr>
          <w:rFonts w:ascii="Arial" w:cs="Arial" w:eastAsia="Arial" w:hAnsi="Arial"/>
          <w:sz w:val="17"/>
          <w:szCs w:val="17"/>
          <w:color w:val="auto"/>
        </w:rPr>
        <w:t>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Topic 808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still finalizing its analysis and evaluating the impact adopting this new accounting standard will have on its consolidated financial statements and related disclosures.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The ASU eliminates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standard is effective for fiscal years beginning after December 15, 2020, and interim periods within those fiscal years. Early adoption is permitted in an interim or annual period. Entities that elect to early adopt the amendments in an interim period should reflect any adjustments as of the beginning of the annual period that includes that interim period. Additionally, entities that elect early adopting must adopt all the amendments in the same period. Entities will apply the guidance prospectively, except for certain amendments. The Company plans to early adopt the standard effective January 1, 2020 and does not expect the adoption of this guidance to have a material impact on its consolidated financial statements and related disclosures.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Marketable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available-for-sale securities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7"/>
                <w:szCs w:val="17"/>
                <w:color w:val="auto"/>
              </w:rPr>
            </w:pPr>
          </w:p>
        </w:tc>
        <w:tc>
          <w:tcPr>
            <w:tcW w:w="138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 xml:space="preserve">Gain </w:t>
            </w:r>
            <w:r>
              <w:rPr>
                <w:rFonts w:ascii="Arial" w:cs="Arial" w:eastAsia="Arial" w:hAnsi="Arial"/>
                <w:sz w:val="15"/>
                <w:szCs w:val="15"/>
                <w:b w:val="1"/>
                <w:bCs w:val="1"/>
                <w:color w:val="auto"/>
                <w:w w:val="97"/>
              </w:rPr>
              <w:t>(1)</w:t>
            </w:r>
          </w:p>
        </w:tc>
        <w:tc>
          <w:tcPr>
            <w:tcW w:w="18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 xml:space="preserve">Loss </w:t>
            </w:r>
            <w:r>
              <w:rPr>
                <w:rFonts w:ascii="Arial" w:cs="Arial" w:eastAsia="Arial" w:hAnsi="Arial"/>
                <w:sz w:val="15"/>
                <w:szCs w:val="15"/>
                <w:b w:val="1"/>
                <w:bCs w:val="1"/>
                <w:color w:val="auto"/>
                <w:w w:val="85"/>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33,095</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89"/>
              </w:rPr>
              <w:t>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w w:val="89"/>
              </w:rPr>
              <w:t>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89"/>
              </w:rPr>
              <w:t>24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89"/>
              </w:rPr>
              <w:t>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Total cash equivalents and investments</w:t>
            </w: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269,817</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Pr>
          <w:p>
            <w:pPr>
              <w:ind w:left="1020"/>
              <w:spacing w:after="0"/>
              <w:rPr>
                <w:sz w:val="20"/>
                <w:szCs w:val="20"/>
                <w:color w:val="auto"/>
              </w:rPr>
            </w:pPr>
            <w:r>
              <w:rPr>
                <w:rFonts w:ascii="Arial" w:cs="Arial" w:eastAsia="Arial" w:hAnsi="Arial"/>
                <w:sz w:val="18"/>
                <w:szCs w:val="18"/>
                <w:color w:val="auto"/>
                <w:w w:val="89"/>
              </w:rPr>
              <w:t>79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F-19</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left="135"/>
              <w:spacing w:after="0" w:line="205"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135"/>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135"/>
              <w:spacing w:after="0"/>
              <w:rPr>
                <w:sz w:val="20"/>
                <w:szCs w:val="20"/>
                <w:color w:val="auto"/>
              </w:rPr>
            </w:pPr>
            <w:r>
              <w:rPr>
                <w:rFonts w:ascii="Arial" w:cs="Arial" w:eastAsia="Arial" w:hAnsi="Arial"/>
                <w:sz w:val="18"/>
                <w:szCs w:val="18"/>
                <w:b w:val="1"/>
                <w:bCs w:val="1"/>
                <w:color w:val="auto"/>
                <w:w w:val="97"/>
              </w:rPr>
              <w:t xml:space="preserve">Gain </w:t>
            </w:r>
            <w:r>
              <w:rPr>
                <w:rFonts w:ascii="Arial" w:cs="Arial" w:eastAsia="Arial" w:hAnsi="Arial"/>
                <w:sz w:val="15"/>
                <w:szCs w:val="15"/>
                <w:b w:val="1"/>
                <w:bCs w:val="1"/>
                <w:color w:val="auto"/>
                <w:w w:val="97"/>
              </w:rPr>
              <w:t>(1)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 xml:space="preserve">Loss </w:t>
            </w:r>
            <w:r>
              <w:rPr>
                <w:rFonts w:ascii="Arial" w:cs="Arial" w:eastAsia="Arial" w:hAnsi="Arial"/>
                <w:sz w:val="15"/>
                <w:szCs w:val="15"/>
                <w:b w:val="1"/>
                <w:bCs w:val="1"/>
                <w:color w:val="auto"/>
                <w:w w:val="85"/>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39,345</w:t>
            </w:r>
          </w:p>
        </w:tc>
        <w:tc>
          <w:tcPr>
            <w:tcW w:w="240" w:type="dxa"/>
            <w:vAlign w:val="bottom"/>
          </w:tcPr>
          <w:p>
            <w:pPr>
              <w:spacing w:after="0"/>
              <w:rPr>
                <w:sz w:val="19"/>
                <w:szCs w:val="19"/>
                <w:color w:val="auto"/>
              </w:rPr>
            </w:pPr>
          </w:p>
        </w:tc>
        <w:tc>
          <w:tcPr>
            <w:tcW w:w="1160" w:type="dxa"/>
            <w:vAlign w:val="bottom"/>
          </w:tcPr>
          <w:p>
            <w:pPr>
              <w:jc w:val="right"/>
              <w:ind w:right="99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39,345</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FF0FC"/>
          </w:tcPr>
          <w:p>
            <w:pPr>
              <w:spacing w:after="0"/>
              <w:rPr>
                <w:sz w:val="19"/>
                <w:szCs w:val="19"/>
                <w:color w:val="auto"/>
              </w:rPr>
            </w:pPr>
          </w:p>
        </w:tc>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73,251</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28,450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FF0FC"/>
          </w:tcPr>
          <w:p>
            <w:pPr>
              <w:spacing w:after="0"/>
              <w:rPr>
                <w:sz w:val="19"/>
                <w:szCs w:val="19"/>
                <w:color w:val="auto"/>
              </w:rPr>
            </w:pPr>
          </w:p>
        </w:tc>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55,136</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176,735</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cash equivalents and investments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216,080</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ind w:right="995"/>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4"/>
                <w:szCs w:val="14"/>
                <w:color w:val="auto"/>
              </w:rPr>
              <w:t>(1)</w:t>
            </w:r>
          </w:p>
        </w:tc>
        <w:tc>
          <w:tcPr>
            <w:tcW w:w="4900" w:type="dxa"/>
            <w:vAlign w:val="bottom"/>
            <w:vMerge w:val="restart"/>
          </w:tcPr>
          <w:p>
            <w:pPr>
              <w:ind w:left="220"/>
              <w:spacing w:after="0"/>
              <w:rPr>
                <w:sz w:val="20"/>
                <w:szCs w:val="20"/>
                <w:color w:val="auto"/>
              </w:rPr>
            </w:pPr>
            <w:r>
              <w:rPr>
                <w:rFonts w:ascii="Arial" w:cs="Arial" w:eastAsia="Arial" w:hAnsi="Arial"/>
                <w:sz w:val="18"/>
                <w:szCs w:val="18"/>
                <w:color w:val="auto"/>
              </w:rPr>
              <w:t>Gross unrealized gain (loss) is pre-tax.</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0" w:type="dxa"/>
            <w:vAlign w:val="bottom"/>
            <w:vMerge w:val="continue"/>
          </w:tcPr>
          <w:p>
            <w:pPr>
              <w:spacing w:after="0"/>
              <w:rPr>
                <w:sz w:val="24"/>
                <w:szCs w:val="24"/>
                <w:color w:val="auto"/>
              </w:rPr>
            </w:pPr>
          </w:p>
        </w:tc>
        <w:tc>
          <w:tcPr>
            <w:tcW w:w="4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contractual term to maturity of short-term marketable securities held by the Company is less than one year. There were no long-term marketable securities held by the Company as of December 31, 2019.</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gains and losses for the years ended December 31, 2019, 2018 and 2017 were not significant. None of the Company’s investments have been in a continuous unrealized loss position for more than 12 months as of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information regarding the fair value of our investments in marketable securities.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Note 4 - Property and Equipment, Net</w:t>
            </w: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704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w w:val="94"/>
              </w:rPr>
              <w:t>As of December 31,</w:t>
            </w: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0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Computer hardware and software</w:t>
            </w:r>
          </w:p>
        </w:tc>
        <w:tc>
          <w:tcPr>
            <w:tcW w:w="1260" w:type="dxa"/>
            <w:vAlign w:val="bottom"/>
            <w:shd w:val="clear" w:color="auto" w:fill="CFF0FC"/>
          </w:tcPr>
          <w:p>
            <w:pPr>
              <w:jc w:val="right"/>
              <w:ind w:right="11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Lab equipment</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Office equipment</w:t>
            </w: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Leasehold improvement</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6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(1,057)</w:t>
            </w: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tcBorders>
              <w:top w:val="single" w:sz="8" w:color="auto"/>
              <w:bottom w:val="single" w:sz="8" w:color="auto"/>
            </w:tcBorders>
          </w:tcPr>
          <w:p>
            <w:pPr>
              <w:jc w:val="right"/>
              <w:ind w:right="110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expense for the years ended December 31, 2019, 2018 and 2017 was approximately $0.5 million, $0.6 million, and $0.2 million, respectively, and was recorded in both research and development expense and general and administrative expense in the consolidated statements of operations and comprehensive loss. Primarily all of property and equipment is located in the U.S.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Note 5 – Other Accrued Expenses</w:t>
            </w: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040" w:type="dxa"/>
            <w:vAlign w:val="bottom"/>
          </w:tcPr>
          <w:p>
            <w:pPr>
              <w:spacing w:after="0"/>
              <w:rPr>
                <w:sz w:val="20"/>
                <w:szCs w:val="20"/>
                <w:color w:val="auto"/>
              </w:rPr>
            </w:pPr>
            <w:r>
              <w:rPr>
                <w:rFonts w:ascii="Arial" w:cs="Arial" w:eastAsia="Arial" w:hAnsi="Arial"/>
                <w:sz w:val="18"/>
                <w:szCs w:val="18"/>
                <w:color w:val="auto"/>
              </w:rPr>
              <w:t>Other accrued expenses consist of the following (in thousands):</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w w:val="94"/>
              </w:rPr>
              <w:t>As of December 31,</w:t>
            </w: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0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260" w:type="dxa"/>
            <w:vAlign w:val="bottom"/>
          </w:tcPr>
          <w:p>
            <w:pPr>
              <w:jc w:val="right"/>
              <w:ind w:right="11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5,312</w:t>
            </w:r>
          </w:p>
        </w:tc>
        <w:tc>
          <w:tcPr>
            <w:tcW w:w="300" w:type="dxa"/>
            <w:vAlign w:val="bottom"/>
          </w:tcPr>
          <w:p>
            <w:pPr>
              <w:spacing w:after="0"/>
              <w:rPr>
                <w:sz w:val="19"/>
                <w:szCs w:val="19"/>
                <w:color w:val="auto"/>
              </w:rPr>
            </w:pP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restructuring charges</w:t>
            </w: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professional fees and other</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accrued expenses</w:t>
            </w:r>
          </w:p>
        </w:tc>
        <w:tc>
          <w:tcPr>
            <w:tcW w:w="1260" w:type="dxa"/>
            <w:vAlign w:val="bottom"/>
            <w:tcBorders>
              <w:bottom w:val="single" w:sz="8" w:color="auto"/>
            </w:tcBorders>
            <w:shd w:val="clear" w:color="auto" w:fill="CFF0FC"/>
          </w:tcPr>
          <w:p>
            <w:pPr>
              <w:jc w:val="right"/>
              <w:ind w:right="110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November 2019, the Company’s Board of Directors approved the relocation of the Company corporate headquarters to South San Francisco, California which became effective January 1, 2020. The Company accrued restructuring charges of $2.1 million in 2019 related to one-time termination severance payments and other employee-related costs associated with the relocation plan. This represents the total amount expected to be incurred in connection with the relocation and is expected to be fully paid in 2020. Costs related to this relocation of $0.4 million are recorded in research and development expenses and $1.7 million in general and administrative expenses in the consolidated statement of operations and comprehensive loss at December 31,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authorized to issue 5,000,000 shares of preferred stock as of December 31, 2019 and 2018, respectively. As of December 31, 2019 and 2018, no shares of preferred stock were issued and outstanding. The Company is authorized to issue 100,000,000 shares of common stock as of December 31, 2019 and 2018,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 and Pre-Funded Warrants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Company filed a registration statement on Form S-3 with the SEC using a “shelf” registration statement, file No. 333-222366, which became effective January 10, 2018 (the Registration Statement). Under this shelf registration process, the Company may from time to time sell any combination of the securities described in the Registration Statement in one or more offerings up to an aggregate offering price of $250.0 million. In connection with the filing of this Registration Statement, the Company entered into a sales agreement under which the Company may offer and sell shares of its common stock having an aggregate offering price of up to $75.0 million through “at the market offerings” (ATM). As of December 31, 2019, $21.4 million remains available for sale under this Registration Statement.</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November 2017, the Company sold to various investors an aggregate of 2,541,000 shares of common stock in a public offering at $27.25 per share, which included the exercise in full by the underwriters of their option to purchase 331,500 additional shares of common stock. The Company received aggregate net proceeds of $64.8 million from the offering and option exercise, after deducting underwriting discounts and commissions and offering expenses.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2018, the Company sold to various investors an aggregate of 4,600,000 shares of common stock in a public offering at $36.00 per share, which included the exercise in full by the underwriters of their option to purchase 600,000 additional shares of common stock. The Company received aggregate net proceeds of approximately $155.4 million from the offering and the option exercise, after deducting underwriting discounts and commissions and offering expenses payable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both"/>
        <w:spacing w:after="0" w:line="269" w:lineRule="auto"/>
        <w:rPr>
          <w:sz w:val="20"/>
          <w:szCs w:val="20"/>
          <w:color w:val="auto"/>
        </w:rPr>
      </w:pPr>
      <w:r>
        <w:rPr>
          <w:rFonts w:ascii="Arial" w:cs="Arial" w:eastAsia="Arial" w:hAnsi="Arial"/>
          <w:sz w:val="17"/>
          <w:szCs w:val="17"/>
          <w:color w:val="auto"/>
        </w:rPr>
        <w:t>In December 2019, the Company sold to various investors an aggregate of 6,287,878 shares of common stock at a public offering price of $16.50 per share, which included the exercise in full by the underwriters of their option to purchase 1,136,363 shares of common stock, and pre-funded warrants to purchase 2,424,242 shares of common stock at a public offering price of $16.499. The Company received aggregate net proceeds of approximately $134.7 million from the offering and the option exercise, after deducting underwriting discounts and commissions and offering expenses payable by the Company. The pre-funded warrants are exercisable immediately upon issuance at an exercise price of $0.001 per share. Per their terms, the outstanding pre-funded warrants to purchase shares of the Company’s common stock generally may not be exercised if the holder’s ownership of the Company’s common stock would exceed 19.99% following such exercise. The exercise price and number of shares of common stock issuable upon the exercise of the pre-funded warrants (Warrant Shares) are subject to adjustment in the event of any stock dividends and splits, reverse stock split, recapitalization, reorganization or similar transaction, as described in the pre-funded warrant agreements. Under certain circumstances, the pre-funded warrants may be exercisable on a “cashless” basis. In connection with the issuance and sale of the common stock and pre-funded warrants, the Company granted the pre-funded warrant holders certain registration rights with respect to the pre-funded warrants and the Warrant Shares.</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pre-funded warrants were classified as a component of permanent stockholders’ equity within additional paid-in-capital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pre-funded warrants do not provide any guarantee of value or return. The Company valued the pre-funded warrants at issuance, concluding their sales price approximated their fair value, and allocated net proceeds from the sale proportionately to the common stock and pre-funded warrants of which $37.5 million allocated to the pre-funded warrants and recorded as a component of additional paid-in-capital.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following warrants to purchase shares of the Company’s common stock were issued and outstanding: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Expiration</w:t>
            </w:r>
          </w:p>
        </w:tc>
        <w:tc>
          <w:tcPr>
            <w:tcW w:w="28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Exercise</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warrants</w:t>
            </w:r>
          </w:p>
        </w:tc>
      </w:tr>
      <w:tr>
        <w:trPr>
          <w:trHeight w:val="234"/>
        </w:trPr>
        <w:tc>
          <w:tcPr>
            <w:tcW w:w="5860" w:type="dxa"/>
            <w:vAlign w:val="bottom"/>
            <w:gridSpan w:val="2"/>
          </w:tcPr>
          <w:p>
            <w:pPr>
              <w:ind w:left="2480"/>
              <w:spacing w:after="0"/>
              <w:rPr>
                <w:sz w:val="20"/>
                <w:szCs w:val="20"/>
                <w:color w:val="auto"/>
              </w:rPr>
            </w:pPr>
            <w:r>
              <w:rPr>
                <w:rFonts w:ascii="Arial" w:cs="Arial" w:eastAsia="Arial" w:hAnsi="Arial"/>
                <w:sz w:val="18"/>
                <w:szCs w:val="18"/>
                <w:b w:val="1"/>
                <w:bCs w:val="1"/>
                <w:color w:val="auto"/>
              </w:rPr>
              <w:t>Issue date</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date</w:t>
            </w:r>
          </w:p>
        </w:tc>
        <w:tc>
          <w:tcPr>
            <w:tcW w:w="280" w:type="dxa"/>
            <w:vAlign w:val="bottom"/>
          </w:tcPr>
          <w:p>
            <w:pPr>
              <w:spacing w:after="0"/>
              <w:rPr>
                <w:sz w:val="20"/>
                <w:szCs w:val="2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price</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outstanding</w:t>
            </w:r>
          </w:p>
        </w:tc>
      </w:tr>
      <w:tr>
        <w:trPr>
          <w:trHeight w:val="223"/>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September 10, 2010</w:t>
            </w:r>
          </w:p>
        </w:tc>
        <w:tc>
          <w:tcPr>
            <w:tcW w:w="1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September 10, 2020</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Borders>
              <w:bottom w:val="single" w:sz="8" w:color="CDF2FF"/>
            </w:tcBorders>
            <w:gridSpan w:val="2"/>
          </w:tcPr>
          <w:p>
            <w:pPr>
              <w:spacing w:after="0"/>
              <w:rPr>
                <w:sz w:val="20"/>
                <w:szCs w:val="20"/>
                <w:color w:val="auto"/>
              </w:rPr>
            </w:pPr>
            <w:r>
              <w:rPr>
                <w:rFonts w:ascii="Arial" w:cs="Arial" w:eastAsia="Arial" w:hAnsi="Arial"/>
                <w:sz w:val="18"/>
                <w:szCs w:val="18"/>
                <w:color w:val="auto"/>
              </w:rPr>
              <w:t>December 16, 2019</w:t>
            </w:r>
          </w:p>
        </w:tc>
        <w:tc>
          <w:tcPr>
            <w:tcW w:w="1920" w:type="dxa"/>
            <w:vAlign w:val="bottom"/>
            <w:tcBorders>
              <w:bottom w:val="single" w:sz="8" w:color="CDF2FF"/>
            </w:tcBorders>
            <w:gridSpan w:val="2"/>
          </w:tcPr>
          <w:p>
            <w:pPr>
              <w:jc w:val="center"/>
              <w:ind w:right="160"/>
              <w:spacing w:after="0"/>
              <w:rPr>
                <w:sz w:val="20"/>
                <w:szCs w:val="20"/>
                <w:color w:val="auto"/>
              </w:rPr>
            </w:pPr>
            <w:r>
              <w:rPr>
                <w:rFonts w:ascii="Arial" w:cs="Arial" w:eastAsia="Arial" w:hAnsi="Arial"/>
                <w:sz w:val="18"/>
                <w:szCs w:val="18"/>
                <w:color w:val="auto"/>
                <w:w w:val="92"/>
              </w:rPr>
              <w:t>None</w:t>
            </w:r>
          </w:p>
        </w:tc>
        <w:tc>
          <w:tcPr>
            <w:tcW w:w="280" w:type="dxa"/>
            <w:vAlign w:val="bottom"/>
            <w:tcBorders>
              <w:bottom w:val="single" w:sz="8" w:color="CDF2FF"/>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DF2FF"/>
            </w:tcBorders>
          </w:tcPr>
          <w:p>
            <w:pPr>
              <w:jc w:val="right"/>
              <w:spacing w:after="0"/>
              <w:rPr>
                <w:sz w:val="20"/>
                <w:szCs w:val="20"/>
                <w:color w:val="auto"/>
              </w:rPr>
            </w:pPr>
            <w:r>
              <w:rPr>
                <w:rFonts w:ascii="Arial" w:cs="Arial" w:eastAsia="Arial" w:hAnsi="Arial"/>
                <w:sz w:val="18"/>
                <w:szCs w:val="18"/>
                <w:color w:val="auto"/>
              </w:rPr>
              <w:t>0.001</w:t>
            </w:r>
          </w:p>
        </w:tc>
        <w:tc>
          <w:tcPr>
            <w:tcW w:w="260" w:type="dxa"/>
            <w:vAlign w:val="bottom"/>
            <w:tcBorders>
              <w:bottom w:val="single" w:sz="8" w:color="CDF2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2,424,242</w:t>
            </w:r>
          </w:p>
        </w:tc>
        <w:tc>
          <w:tcPr>
            <w:tcW w:w="120" w:type="dxa"/>
            <w:vAlign w:val="bottom"/>
            <w:tcBorders>
              <w:bottom w:val="single" w:sz="8" w:color="CDF2FF"/>
            </w:tcBorders>
          </w:tcPr>
          <w:p>
            <w:pPr>
              <w:spacing w:after="0"/>
              <w:rPr>
                <w:sz w:val="19"/>
                <w:szCs w:val="19"/>
                <w:color w:val="auto"/>
              </w:rPr>
            </w:pPr>
          </w:p>
        </w:tc>
      </w:tr>
      <w:tr>
        <w:trPr>
          <w:trHeight w:val="223"/>
        </w:trPr>
        <w:tc>
          <w:tcPr>
            <w:tcW w:w="5720" w:type="dxa"/>
            <w:vAlign w:val="bottom"/>
            <w:tcBorders>
              <w:bottom w:val="single" w:sz="8" w:color="CDF2FF"/>
            </w:tcBorders>
            <w:shd w:val="clear" w:color="auto" w:fill="CDF2FF"/>
          </w:tcPr>
          <w:p>
            <w:pPr>
              <w:spacing w:after="0"/>
              <w:rPr>
                <w:sz w:val="19"/>
                <w:szCs w:val="19"/>
                <w:color w:val="auto"/>
              </w:rPr>
            </w:pPr>
          </w:p>
        </w:tc>
        <w:tc>
          <w:tcPr>
            <w:tcW w:w="140" w:type="dxa"/>
            <w:vAlign w:val="bottom"/>
            <w:tcBorders>
              <w:bottom w:val="single" w:sz="8" w:color="CDF2FF"/>
            </w:tcBorders>
            <w:shd w:val="clear" w:color="auto" w:fill="CDF2FF"/>
          </w:tcPr>
          <w:p>
            <w:pPr>
              <w:spacing w:after="0"/>
              <w:rPr>
                <w:sz w:val="19"/>
                <w:szCs w:val="19"/>
                <w:color w:val="auto"/>
              </w:rPr>
            </w:pPr>
          </w:p>
        </w:tc>
        <w:tc>
          <w:tcPr>
            <w:tcW w:w="1760" w:type="dxa"/>
            <w:vAlign w:val="bottom"/>
            <w:tcBorders>
              <w:bottom w:val="single" w:sz="8" w:color="CDF2FF"/>
            </w:tcBorders>
            <w:shd w:val="clear" w:color="auto" w:fill="CDF2FF"/>
          </w:tcPr>
          <w:p>
            <w:pPr>
              <w:spacing w:after="0"/>
              <w:rPr>
                <w:sz w:val="19"/>
                <w:szCs w:val="19"/>
                <w:color w:val="auto"/>
              </w:rPr>
            </w:pPr>
          </w:p>
        </w:tc>
        <w:tc>
          <w:tcPr>
            <w:tcW w:w="160" w:type="dxa"/>
            <w:vAlign w:val="bottom"/>
            <w:tcBorders>
              <w:bottom w:val="single" w:sz="8" w:color="CDF2FF"/>
            </w:tcBorders>
            <w:shd w:val="clear" w:color="auto" w:fill="CDF2FF"/>
          </w:tcPr>
          <w:p>
            <w:pPr>
              <w:spacing w:after="0"/>
              <w:rPr>
                <w:sz w:val="19"/>
                <w:szCs w:val="19"/>
                <w:color w:val="auto"/>
              </w:rPr>
            </w:pPr>
          </w:p>
        </w:tc>
        <w:tc>
          <w:tcPr>
            <w:tcW w:w="280" w:type="dxa"/>
            <w:vAlign w:val="bottom"/>
            <w:tcBorders>
              <w:bottom w:val="single" w:sz="8" w:color="CDF2FF"/>
            </w:tcBorders>
            <w:shd w:val="clear" w:color="auto" w:fill="CDF2FF"/>
          </w:tcPr>
          <w:p>
            <w:pPr>
              <w:spacing w:after="0"/>
              <w:rPr>
                <w:sz w:val="19"/>
                <w:szCs w:val="19"/>
                <w:color w:val="auto"/>
              </w:rPr>
            </w:pPr>
          </w:p>
        </w:tc>
        <w:tc>
          <w:tcPr>
            <w:tcW w:w="1340" w:type="dxa"/>
            <w:vAlign w:val="bottom"/>
            <w:tcBorders>
              <w:bottom w:val="single" w:sz="8" w:color="CDF2FF"/>
            </w:tcBorders>
            <w:shd w:val="clear" w:color="auto" w:fill="CDF2FF"/>
          </w:tcPr>
          <w:p>
            <w:pPr>
              <w:spacing w:after="0"/>
              <w:rPr>
                <w:sz w:val="19"/>
                <w:szCs w:val="19"/>
                <w:color w:val="auto"/>
              </w:rPr>
            </w:pPr>
          </w:p>
        </w:tc>
        <w:tc>
          <w:tcPr>
            <w:tcW w:w="260" w:type="dxa"/>
            <w:vAlign w:val="bottom"/>
            <w:tcBorders>
              <w:bottom w:val="single" w:sz="8" w:color="CDF2FF"/>
            </w:tcBorders>
            <w:shd w:val="clear" w:color="auto" w:fill="CDF2FF"/>
          </w:tcPr>
          <w:p>
            <w:pPr>
              <w:spacing w:after="0"/>
              <w:rPr>
                <w:sz w:val="19"/>
                <w:szCs w:val="19"/>
                <w:color w:val="auto"/>
              </w:rPr>
            </w:pPr>
          </w:p>
        </w:tc>
        <w:tc>
          <w:tcPr>
            <w:tcW w:w="164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2,439,538</w:t>
            </w:r>
          </w:p>
        </w:tc>
        <w:tc>
          <w:tcPr>
            <w:tcW w:w="120" w:type="dxa"/>
            <w:vAlign w:val="bottom"/>
            <w:tcBorders>
              <w:bottom w:val="single" w:sz="8" w:color="CDF2FF"/>
            </w:tcBorders>
            <w:shd w:val="clear" w:color="auto" w:fill="CDF2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warrants exercised during the years ended December 31, 2019, 2018 and 2017. During the year ended December 31, 2018, 1,613 warrants to purchase common stock expired unexercised.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the Company’s stockholders approved (1) the Assembly Biosciences, Inc. 2018 Stock Incentive Plan (the 2018 Plan) pursuant to which the Company reserved 1,900,000 shares of its common stock for issuance in connection with equity incentive awards and (2) the Assembly Biosciences, Inc. Employee Stock Purchase Plan (the 2018 ESPP).</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2019, the Company’s stockholders approved an amendment to the 2018 Plan that increased the aggregate shares of common stock reserved under the 2018 Plan to 3,000,000.</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2019, the Company had awards outstanding under the following shareholder approved plans: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December 31, 2019, the Company also had awards outstanding under the Assembly Biosciences, Inc. 2017 Inducement Award Plan and the 2019 Inducement Award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The Company issues new shares of common stock to settle options exercised or vested restricted stock units.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and related information for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9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96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 Share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6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4,637,145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1,948,700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15.54</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(585,292)</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(384,700)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5,613,353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7.253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43,023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Exercisable as of December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3,096,631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31,391</w:t>
            </w:r>
          </w:p>
        </w:tc>
        <w:tc>
          <w:tcPr>
            <w:tcW w:w="100" w:type="dxa"/>
            <w:vAlign w:val="bottom"/>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weighted-average grant-date fair value of options granted was $10.55, $30.84 and $17.37 during the years ended December 31, 2019, 2018 and 2017, respectively. The total intrinsic value of options exercised in 2019, 2018 and 2017 was $5.0 million, $31.1 million and $9.8 million,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i w:val="1"/>
                <w:iCs w:val="1"/>
                <w:color w:val="auto"/>
              </w:rPr>
              <w:t>RSUs</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660" w:type="dxa"/>
            <w:vAlign w:val="bottom"/>
          </w:tcPr>
          <w:p>
            <w:pPr>
              <w:spacing w:after="0"/>
              <w:rPr>
                <w:sz w:val="20"/>
                <w:szCs w:val="20"/>
                <w:color w:val="auto"/>
              </w:rPr>
            </w:pPr>
            <w:r>
              <w:rPr>
                <w:rFonts w:ascii="Arial" w:cs="Arial" w:eastAsia="Arial" w:hAnsi="Arial"/>
                <w:sz w:val="18"/>
                <w:szCs w:val="18"/>
                <w:color w:val="auto"/>
              </w:rPr>
              <w:t>The following table summarizes RSU activity and related information for 2019:</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7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Average Fair</w:t>
            </w:r>
          </w:p>
        </w:tc>
      </w:tr>
      <w:tr>
        <w:trPr>
          <w:trHeight w:val="216"/>
        </w:trPr>
        <w:tc>
          <w:tcPr>
            <w:tcW w:w="7660" w:type="dxa"/>
            <w:vAlign w:val="bottom"/>
          </w:tcPr>
          <w:p>
            <w:pPr>
              <w:spacing w:after="0"/>
              <w:rPr>
                <w:sz w:val="18"/>
                <w:szCs w:val="18"/>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 Per RSU</w:t>
            </w:r>
          </w:p>
        </w:tc>
      </w:tr>
      <w:tr>
        <w:trPr>
          <w:trHeight w:val="234"/>
        </w:trPr>
        <w:tc>
          <w:tcPr>
            <w:tcW w:w="7660" w:type="dxa"/>
            <w:vAlign w:val="bottom"/>
          </w:tcPr>
          <w:p>
            <w:pPr>
              <w:spacing w:after="0"/>
              <w:rPr>
                <w:sz w:val="20"/>
                <w:szCs w:val="20"/>
                <w:color w:val="auto"/>
              </w:rPr>
            </w:pP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of RSU's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at Grant Price</w:t>
            </w:r>
          </w:p>
        </w:tc>
      </w:tr>
      <w:tr>
        <w:trPr>
          <w:trHeight w:val="223"/>
        </w:trPr>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2018</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568,005</w:t>
            </w: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465,428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000" w:type="dxa"/>
            <w:vAlign w:val="bottom"/>
            <w:gridSpan w:val="2"/>
            <w:shd w:val="clear" w:color="auto" w:fill="CFF0FC"/>
          </w:tcPr>
          <w:p>
            <w:pPr>
              <w:jc w:val="right"/>
              <w:ind w:right="223"/>
              <w:spacing w:after="0"/>
              <w:rPr>
                <w:sz w:val="20"/>
                <w:szCs w:val="20"/>
                <w:color w:val="auto"/>
              </w:rPr>
            </w:pPr>
            <w:r>
              <w:rPr>
                <w:rFonts w:ascii="Arial" w:cs="Arial" w:eastAsia="Arial" w:hAnsi="Arial"/>
                <w:sz w:val="18"/>
                <w:szCs w:val="18"/>
                <w:color w:val="auto"/>
              </w:rPr>
              <w:t>(146,833)</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Forfeited</w:t>
            </w:r>
          </w:p>
        </w:tc>
        <w:tc>
          <w:tcPr>
            <w:tcW w:w="2000" w:type="dxa"/>
            <w:vAlign w:val="bottom"/>
            <w:gridSpan w:val="2"/>
          </w:tcPr>
          <w:p>
            <w:pPr>
              <w:jc w:val="right"/>
              <w:ind w:right="223"/>
              <w:spacing w:after="0"/>
              <w:rPr>
                <w:sz w:val="20"/>
                <w:szCs w:val="20"/>
                <w:color w:val="auto"/>
              </w:rPr>
            </w:pPr>
            <w:r>
              <w:rPr>
                <w:rFonts w:ascii="Arial" w:cs="Arial" w:eastAsia="Arial" w:hAnsi="Arial"/>
                <w:sz w:val="18"/>
                <w:szCs w:val="18"/>
                <w:color w:val="auto"/>
              </w:rPr>
              <w:t>(127,882)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19"/>
                <w:szCs w:val="19"/>
                <w:color w:val="auto"/>
              </w:rPr>
            </w:pPr>
          </w:p>
        </w:tc>
      </w:tr>
      <w:tr>
        <w:trPr>
          <w:trHeight w:val="223"/>
        </w:trPr>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2019</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758,718</w:t>
            </w:r>
          </w:p>
        </w:tc>
        <w:tc>
          <w:tcPr>
            <w:tcW w:w="360" w:type="dxa"/>
            <w:vAlign w:val="bottom"/>
            <w:tcBorders>
              <w:top w:val="single" w:sz="8" w:color="CFF0FC"/>
            </w:tcBorders>
            <w:shd w:val="clear" w:color="auto" w:fill="CFF0FC"/>
          </w:tcPr>
          <w:p>
            <w:pPr>
              <w:jc w:val="right"/>
              <w:ind w:right="3"/>
              <w:spacing w:after="0"/>
              <w:rPr>
                <w:sz w:val="20"/>
                <w:szCs w:val="20"/>
                <w:color w:val="auto"/>
              </w:rPr>
            </w:pPr>
            <w:r>
              <w:rPr>
                <w:rFonts w:ascii="Arial" w:cs="Arial" w:eastAsia="Arial" w:hAnsi="Arial"/>
                <w:sz w:val="15"/>
                <w:szCs w:val="15"/>
                <w:color w:val="auto"/>
              </w:rPr>
              <w:t>(1)</w:t>
            </w:r>
          </w:p>
        </w:tc>
        <w:tc>
          <w:tcPr>
            <w:tcW w:w="160" w:type="dxa"/>
            <w:vAlign w:val="bottom"/>
            <w:tcBorders>
              <w:top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15"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4"/>
          <w:szCs w:val="14"/>
          <w:color w:val="auto"/>
        </w:rPr>
      </w:pPr>
      <w:r>
        <w:rPr>
          <w:rFonts w:ascii="Arial" w:cs="Arial" w:eastAsia="Arial" w:hAnsi="Arial"/>
          <w:sz w:val="16"/>
          <w:szCs w:val="16"/>
          <w:color w:val="auto"/>
        </w:rPr>
        <w:t>Includes 128,334 RSUs that have vested but are subject to deferred settlement, which have a weighted average remaining contractual term of 2.4 years.</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fair value of RSUs vested and settled during 2019 and 2018 was $5.7 million and $5.3 million, respectively. The total intrinsic value of RSUs vested and settled during 2019 was $2.9 million. The total intrinsic value of RSUs vested and settled during 2018 was nominal. There were no RSUs vested and settled in 2017.</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2019, RSUs outstanding include 45,000 granted in December 2017 and 100,000 granted in September 2019, each with performance-based conditions to executives of the Company. In the second quarter of 2019, 100,000 RSUs granted to a former officer were forfeited due to his departure. These RSUs had a grant date fair value of $2.4 million and were vesting over time but would have accelerated upon the achievement of certain performance-based conditions. The Company reversed the previously recognized expense of $0.5 million related to these forfeited awards upon the departure of the former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2018 ESPP provides for the purchase by employees of up to an aggregate of 400,000 shares of the Company’s common stock at a discount to the market price. Subject to the annual statutory limits and the 2018 ESPP’s limit of 1,000 shares of common stock per offering, an eligible employee may participate through payroll deductions of up to 15% of such employee’s compensation for each pay period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Eligible employees can purchase the Company’s common stock at the end of a predetermined offering period at 85% of the lower of the fair market value at the beginning or end of the offering period. Under the 2018 ESPP, the offering periods end on the last business day occurring on or before May 14 or November 14. The ESPP is compensatory and results in stock-based compensation expense.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2018, employees purchased 21,483 shares of common stock under the 2018 ESPP. In May and November 2019, employees purchased 36,804 and 22,566 shares of common stock, respectively, under the 2018 ESPP. As of December 31, 2019, 319,147 shares of common stock are available for future sale under the Company’s 2018 ESPP. Stock-based compensation expense recorded in connection with the 2018 ESPP was approximately $0.4 million and $0.2 million for the years December 31, 2019 and 2018,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the Black-Scholes option-pricing model for determining the estimated fair value and stock-based compensation related to stock options and ESPP purchase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assumptions used to estimate the fair values of stock options grants for the years presented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7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9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7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1740" w:type="dxa"/>
            <w:vAlign w:val="bottom"/>
            <w:tcBorders>
              <w:top w:val="single" w:sz="8" w:color="auto"/>
            </w:tcBorders>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$9.31 - $23.04</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w:t>
            </w:r>
          </w:p>
        </w:tc>
        <w:tc>
          <w:tcPr>
            <w:tcW w:w="9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$57.53</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9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$44.28</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spacing w:after="0"/>
              <w:rPr>
                <w:sz w:val="20"/>
                <w:szCs w:val="20"/>
                <w:color w:val="auto"/>
              </w:rPr>
            </w:pPr>
            <w:r>
              <w:rPr>
                <w:rFonts w:ascii="Arial" w:cs="Arial" w:eastAsia="Arial" w:hAnsi="Arial"/>
                <w:sz w:val="18"/>
                <w:szCs w:val="18"/>
                <w:color w:val="auto"/>
              </w:rPr>
              <w:t>66.45%</w:t>
            </w:r>
          </w:p>
        </w:tc>
        <w:tc>
          <w:tcPr>
            <w:tcW w:w="940" w:type="dxa"/>
            <w:vAlign w:val="bottom"/>
          </w:tcPr>
          <w:p>
            <w:pPr>
              <w:ind w:left="40"/>
              <w:spacing w:after="0"/>
              <w:rPr>
                <w:sz w:val="20"/>
                <w:szCs w:val="20"/>
                <w:color w:val="auto"/>
              </w:rPr>
            </w:pPr>
            <w:r>
              <w:rPr>
                <w:rFonts w:ascii="Arial" w:cs="Arial" w:eastAsia="Arial" w:hAnsi="Arial"/>
                <w:sz w:val="18"/>
                <w:szCs w:val="18"/>
                <w:color w:val="auto"/>
              </w:rPr>
              <w:t>- 83.23%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940" w:type="dxa"/>
            <w:vAlign w:val="bottom"/>
          </w:tcPr>
          <w:p>
            <w:pPr>
              <w:ind w:left="20"/>
              <w:spacing w:after="0"/>
              <w:rPr>
                <w:sz w:val="20"/>
                <w:szCs w:val="20"/>
                <w:color w:val="auto"/>
              </w:rPr>
            </w:pPr>
            <w:r>
              <w:rPr>
                <w:rFonts w:ascii="Arial" w:cs="Arial" w:eastAsia="Arial" w:hAnsi="Arial"/>
                <w:sz w:val="18"/>
                <w:szCs w:val="18"/>
                <w:color w:val="auto"/>
              </w:rPr>
              <w:t>- 86.1%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w:t>
            </w:r>
          </w:p>
        </w:tc>
        <w:tc>
          <w:tcPr>
            <w:tcW w:w="940" w:type="dxa"/>
            <w:vAlign w:val="bottom"/>
          </w:tcPr>
          <w:p>
            <w:pPr>
              <w:ind w:left="20"/>
              <w:spacing w:after="0"/>
              <w:rPr>
                <w:sz w:val="20"/>
                <w:szCs w:val="20"/>
                <w:color w:val="auto"/>
              </w:rPr>
            </w:pPr>
            <w:r>
              <w:rPr>
                <w:rFonts w:ascii="Arial" w:cs="Arial" w:eastAsia="Arial" w:hAnsi="Arial"/>
                <w:sz w:val="18"/>
                <w:szCs w:val="18"/>
                <w:color w:val="auto"/>
              </w:rPr>
              <w:t>- 87.0%</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- 2.65%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- 3.04%</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- 2.29%</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Expected term (years)</w:t>
            </w: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ind w:left="40"/>
              <w:spacing w:after="0"/>
              <w:rPr>
                <w:sz w:val="20"/>
                <w:szCs w:val="20"/>
                <w:color w:val="auto"/>
              </w:rPr>
            </w:pPr>
            <w:r>
              <w:rPr>
                <w:rFonts w:ascii="Arial" w:cs="Arial" w:eastAsia="Arial" w:hAnsi="Arial"/>
                <w:sz w:val="18"/>
                <w:szCs w:val="18"/>
                <w:color w:val="auto"/>
              </w:rPr>
              <w:t>- 7.5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ind w:left="20"/>
              <w:spacing w:after="0"/>
              <w:rPr>
                <w:sz w:val="20"/>
                <w:szCs w:val="20"/>
                <w:color w:val="auto"/>
              </w:rPr>
            </w:pPr>
            <w:r>
              <w:rPr>
                <w:rFonts w:ascii="Arial" w:cs="Arial" w:eastAsia="Arial" w:hAnsi="Arial"/>
                <w:sz w:val="18"/>
                <w:szCs w:val="18"/>
                <w:color w:val="auto"/>
              </w:rPr>
              <w:t>- 7.0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ind w:left="20"/>
              <w:spacing w:after="0"/>
              <w:rPr>
                <w:sz w:val="20"/>
                <w:szCs w:val="20"/>
                <w:color w:val="auto"/>
              </w:rPr>
            </w:pPr>
            <w:r>
              <w:rPr>
                <w:rFonts w:ascii="Arial" w:cs="Arial" w:eastAsia="Arial" w:hAnsi="Arial"/>
                <w:sz w:val="18"/>
                <w:szCs w:val="18"/>
                <w:color w:val="auto"/>
              </w:rPr>
              <w:t>- 7.0</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risk-free interest rate assumption was based on the rates for U.S. Treasury zero-coupon bonds with maturities similar to those of the expected term of the stock option being valued. The expected dividend yield was zero as the Company currently does not intend to pay dividends in the foreseeable future. The weighted average expected term of options was calculated using the simplified method as prescribed by accounting guidance for stock-based compensation due to the Company’s limited history of relevant stock option exercise activity. The expected volatility was calculated based on the Company’s historical stock prices, supplemented as necessary with historical volatility of the common stock of several peer companies with characteristics similar to those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were not material for any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stock-based compensation expense included in the consolidated statement of operations and comprehensive loss for the periods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2"/>
              </w:rPr>
              <w:t>Year Ended December 31,</w:t>
            </w: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11,376</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5,423</w:t>
            </w:r>
          </w:p>
        </w:tc>
        <w:tc>
          <w:tcPr>
            <w:tcW w:w="120" w:type="dxa"/>
            <w:vAlign w:val="bottom"/>
            <w:shd w:val="clear" w:color="auto" w:fill="CFF0FC"/>
          </w:tcPr>
          <w:p>
            <w:pPr>
              <w:spacing w:after="0"/>
              <w:rPr>
                <w:sz w:val="19"/>
                <w:szCs w:val="19"/>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9,182</w:t>
            </w:r>
          </w:p>
        </w:tc>
        <w:tc>
          <w:tcPr>
            <w:tcW w:w="320" w:type="dxa"/>
            <w:vAlign w:val="bottom"/>
            <w:tcBorders>
              <w:bottom w:val="single" w:sz="8" w:color="CFF0FC"/>
            </w:tcBorders>
          </w:tcPr>
          <w:p>
            <w:pPr>
              <w:ind w:left="120"/>
              <w:spacing w:after="0"/>
              <w:rPr>
                <w:sz w:val="20"/>
                <w:szCs w:val="20"/>
                <w:color w:val="auto"/>
              </w:rPr>
            </w:pPr>
            <w:r>
              <w:rPr>
                <w:rFonts w:ascii="Arial" w:cs="Arial" w:eastAsia="Arial" w:hAnsi="Arial"/>
                <w:sz w:val="15"/>
                <w:szCs w:val="15"/>
                <w:color w:val="auto"/>
                <w:w w:val="97"/>
              </w:rPr>
              <w:t>(1)</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16,665</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FF0FC"/>
            </w:tcBorders>
          </w:tcPr>
          <w:p>
            <w:pPr>
              <w:spacing w:after="0"/>
              <w:rPr>
                <w:sz w:val="19"/>
                <w:szCs w:val="19"/>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3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20,558</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28,485</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hanging="432"/>
        <w:spacing w:after="0" w:line="277" w:lineRule="auto"/>
        <w:tabs>
          <w:tab w:leader="none" w:pos="440" w:val="left"/>
        </w:tabs>
        <w:numPr>
          <w:ilvl w:val="0"/>
          <w:numId w:val="51"/>
        </w:numPr>
        <w:rPr>
          <w:rFonts w:ascii="Arial" w:cs="Arial" w:eastAsia="Arial" w:hAnsi="Arial"/>
          <w:sz w:val="15"/>
          <w:szCs w:val="15"/>
          <w:color w:val="auto"/>
        </w:rPr>
      </w:pPr>
      <w:r>
        <w:rPr>
          <w:rFonts w:ascii="Arial" w:cs="Arial" w:eastAsia="Arial" w:hAnsi="Arial"/>
          <w:sz w:val="18"/>
          <w:szCs w:val="18"/>
          <w:color w:val="auto"/>
        </w:rPr>
        <w:t>Includes the reversal of previously recognized expense of $3.6 million related to forfeited awards resulting from the departure of one of our former executive officers during the year.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both"/>
        <w:spacing w:after="0" w:line="277" w:lineRule="auto"/>
        <w:rPr>
          <w:sz w:val="20"/>
          <w:szCs w:val="20"/>
          <w:color w:val="auto"/>
        </w:rPr>
      </w:pPr>
      <w:r>
        <w:rPr>
          <w:rFonts w:ascii="Arial" w:cs="Arial" w:eastAsia="Arial" w:hAnsi="Arial"/>
          <w:sz w:val="18"/>
          <w:szCs w:val="18"/>
          <w:color w:val="auto"/>
        </w:rPr>
        <w:t>As of December 31, 2019, there was approximately $27.5 million of total unrecognized stock-based compensation related to outstanding equity awards which is expected to be recognized over a weighted average remaining amortization period of 1.7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the Company entered into the Collaboration Agreement with Allergan to develop and commercialize select microbiome gastrointestinal disease therapies. Pursuant to the Collaboration Agreement, the Company granted Allergan an exclusive worldwide license to certain of its intellectual property, including its intellectual property arising under the Collaboration Agreement, to develop and commercialize licensed compounds for ulcerative colitis (UC), Crohn’s disease, and two compounds for irritable bowel syndrome (IBS). Allergan and the Company also agreed to collaborate on research and development activities with respect to the licensed compounds in accordance with a mutually agreed upon research and development plan. Per the terms of the Collaboration Agreement, Allergan can select backups and additional target indications to add to the licenses granted for additional consideration and also have the ability to enter into a contract manufacturing agreement with the Company for compound supply at cost plus an agreed upon margin. In addition, the Company will participate on a Joint Development Committee (JDC) and Joint Patent Committee (JPC). The Company provided to Allergan standard indemnification and protection of licensed intellectual property, which is part of assurance that the license meets the contract’s specifications and is not an obligation to provide goods or services.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Allergan paid the Company an upfront non-refundable payment of $50.0 million which was received in 2017. Additionally, the Company is eligible to receive variable consideration in the form of research and development cost reimbursements, up to approximately $631.0 million related to seven development milestones and up to approximately $2.14 billion related to 12 commercial development and sales milestones in connection with the successful development and commercialization of licensed compounds. In addition, the Company is eligible to receive tiered royalties at rates ranging from the mid-single digits to the mid-teens based on net sales.</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Allergan and the Company have agreed to share research and development costs up to an aggregate of $75.0 million through proof-of-concept (POC) studies on a ⅔, ⅓ basis, respectively, and Allergan has agreed to assume all post-POC development costs. In the event any pre-POC development costs exceed $75.0 million in the aggregate, the Company may elect either (a) to fund ⅓ of such costs in excess of $75.0 million or (b) to allow Allergan to deduct from future development milestone payments ⅓ of the development costs funded by Allergan in excess of $75.0 million plus a premium of 25%. The Company has an option to co-promote the licensed programs in the U.S. and China, subject to certain conditions set forth in the Collaboration Agreement.</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Allergan may terminate the Collaboration Agreement at any time upon either 90 days’ (prior to the initiation of the first POC trial of a licensed product) or 120 days’ (after the initiation of the first POC trial of a licensed product), as applicable, advance written notice to the Company. Unless terminated early, the Collaboration Agreement has a term that ends on the earlier of the (i) the period when POC studies have been completed and no further licensed compounds are in development (ii) expiration of the last to exist valid claim covering the manufacture, use and sale of the licensed compounds. The Collaboration Agreement also contains customary provisions for termination by either party, including in the event of breach of the Collaboration Agreement, subject to cure. Upon termination for convenience, the license and know how all revert to the Company.</w:t>
      </w:r>
    </w:p>
    <w:p>
      <w:pPr>
        <w:spacing w:after="0" w:line="1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concluded that Allegan is a customer, and the contract is not subject to accounting literature on collaborative arrangements. This is because the Company granted to Allergan licenses to its intellectual property and agreed to perform research and development services, all of which are outputs of the Company’s ongoing activities, in exchange for consideration. The Company identified the following material promises under the Collaboration Agreement: 1) transfer of a licenses to intellectual property for the four initial indications, inclusive of the related technology know-how (Licenses); 2) the obligation to perform research development services through POC (Development Services). The Company’s participation on the JDC and JPC were considered to be immaterial in the context of the contract. The Company’s co-promotion option was not considered to be a performance obligation. Allergan’s selection of backups or additional target indications to add to the licenses granted for additional consideration and ability to enter into a contract manufacturing agreement with the Company for compound supply at cost plus an agreed upon margin were not considered to be performance obligations as the Company concluded the options were not offered at a discount that exceeds discounts available to other customers, and therefore were not material rights. The grant of additional licensing rights upon option exercises and contract manufacturing agreements will be accounted for as separate contracts when they occur.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both"/>
        <w:spacing w:after="0" w:line="269" w:lineRule="auto"/>
        <w:rPr>
          <w:sz w:val="20"/>
          <w:szCs w:val="20"/>
          <w:color w:val="auto"/>
        </w:rPr>
      </w:pPr>
      <w:r>
        <w:rPr>
          <w:rFonts w:ascii="Arial" w:cs="Arial" w:eastAsia="Arial" w:hAnsi="Arial"/>
          <w:sz w:val="17"/>
          <w:szCs w:val="17"/>
          <w:color w:val="auto"/>
        </w:rPr>
        <w:t>The Company concluded the Licenses each were considered to be functional as they have significant standalone functionality and were capable of being distinct. However, the Company determined that each of the Licenses individually were not distinct from the Development Services within the context of the agreement. This is because Allergan is dependent on the Company to execute the Development Services, that it is only uniquely able to perform, in order for Allergan to benefit from the Licenses. As such, The Company determined that it has four performance obligations under the Collaboration Agreement associated with the transfer of the four compound Licenses combined with the performance of the Development Services for each of the four compound indications. The Company determined that the four performance obligations will be performed over the duration of the contract, which began in February 2017 and ends upon completion of the Development Services which is currently estimated to occur in 2025. The Company is using a cost-based input method to measure proportional performance and to calculate the corresponding amount of revenue to recognize. The Company believes this is the best measure of progress because other measures do not reflect how the Company transfers its performance obligation to Allegan. In applying the cost-based input method of revenue recognition, the Company measures costs incurred relative to budgeted costs to fulfill the four performance obligations. These costs consist primarily of third-party contract costs and internal labor costs. Revenue will be recognized based on actual costs incurred as a percentage of total budgeted costs as the Company completes its performance obligations.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allocate transaction price among the four performance obligations, the Company estimated their standalone selling price (SSP) using income-based valuation approach for the estimated value a licensor of the compounds would receive considering the stage of the compounds development. The Company believes that a change in the assumptions used to determine its best estimate of selling price for the four performance obligations would not have a significant effect on the allocation of consideration received to the four performance obligations.</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transaction price at the inception of the agreement, was limited to $50.0 million upfront payment. Of this amount, the Company allocated $12.5 million to each of the four performance obligations. Research and development cost reimbursement payments are included in the transaction price in the reporting period that the Company concludes that it is probable that recording revenue in the period will not result in a significant reversal in amounts recognized. The variable consideration related to the remaining development and commercialization milestone payments has not been included in the transaction price as these were fully constrained at December 31, 2019. As part of the Company’s evaluation of the development and commercialization milestones constraint, the Company determined the achievement of such milestones are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 granted to Allergan. The Company reevaluates the transaction price in each reporting period and as uncertain events are resolved or other changes in circumstances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significant incremental costs of obtaining the Allergan contract.</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2019 and 2018, the Company recorded approximately $16.0 million and $14.8 million, respectively, in revenue associated with the Collaboration Agreement. Short-term and long-term deferred revenue contract liabilities related to the Collaboration Agreement were approximately $6.4 million and approximately $30.6 million at December 31, 2019 and approximately $5.1 million and approximately $35.6 million at December 31, 2018.</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consolidated balance sheets, contract asset balances of approximately $3.4 million and approximately $2.4 million were recorded as accounts receivable from collaboration as of December 31,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The following tables present changes in the Company’s contract liabilities and sources of collaboration revenue recognized during each period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of Period</w:t>
            </w:r>
          </w:p>
        </w:tc>
        <w:tc>
          <w:tcPr>
            <w:tcW w:w="14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Additions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9"/>
              </w:rPr>
              <w:t>Deductions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2019</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(3,612)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(5,125)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gridSpan w:val="11"/>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 recognized in the period from</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Amounts included in deferred revenue at the beginning of the period</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Milestones and Research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approximately $0.8 million, with a portion related to the first performance milestone having been paid. The Company also is obligated to pay IURTC royalty payments based on net sales of the licensed technology. The Company is also obligated to pay diligence maintenance fees each year to the extent that the royalty, sublicensing, and milestone payments to IURTC are less than the diligence maintenance fee for that year. The Company made approximately $0.1 million in milestone payments for the year ended December 31, 2018. No milestone payments were incurred or accrued for under this agreement as of and for the years ended December 31, 2019 or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will be solely responsible for all research and development activities with respect to any product it develops under the license.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must pay Therabiome clinical and regulatory milestones for each product or therapy advanced from the platform for U.S. regulatory milestones. The Company also must pay Therabiome lesser amounts for foreign regulatory milestones, which vary by country and region. The Company also must pay Therabiome royalties on annual net sales of a product in the low to mid-single digit percentages plus, once annual net sales exceed certain thresholds, a one-time cash payment upon reaching the thresholds.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Therabiome must pay the Company royalties on annual net sales of any product Therabiome is permitted to develop using the intellectual property in the low double to mid-double digit percentages, depending on the level of development or involvement the Company had in the product. Two regulatory milestones resulting in payments totaling $0.4 million were determined to have occurred under this agreement and were paid in the year ended December 31, 2019. No amounts were incurred or accrued for this agreement as of and for the years ended December 31, 2018 and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10 - Income Taxes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no current income tax provision for the years ended December 31, 2019, 2018 and 2017. The Company recognized deferred income tax benefit of $0.8 million and $9.1 million for the years ended December 31, 2019 and 2017, respectively, and deferred income tax expense of $1.1 million for the year ended December 31,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24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FF0FC"/>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CFF0FC"/>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Statutory federal income tax rate</w:t>
            </w:r>
          </w:p>
        </w:tc>
        <w:tc>
          <w:tcPr>
            <w:tcW w:w="1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21.0%</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(3.8)</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Research and development tax credits</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Effective change in enacted tax rates</w:t>
            </w:r>
          </w:p>
        </w:tc>
        <w:tc>
          <w:tcPr>
            <w:tcW w:w="8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State rate change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Uncertain tax positions</w:t>
            </w: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(4.8)</w:t>
            </w: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Return to provision adjustments</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(0.2)</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(41.3)</w:t>
            </w:r>
          </w:p>
        </w:tc>
        <w:tc>
          <w:tcPr>
            <w:tcW w:w="16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taxes provision (benefit)</w:t>
            </w: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w:t>
            </w:r>
          </w:p>
        </w:tc>
        <w:tc>
          <w:tcPr>
            <w:tcW w:w="1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820" w:type="dxa"/>
            <w:vAlign w:val="bottom"/>
            <w:gridSpan w:val="2"/>
          </w:tcPr>
          <w:p>
            <w:pPr>
              <w:ind w:left="5540"/>
              <w:spacing w:after="0"/>
              <w:rPr>
                <w:sz w:val="20"/>
                <w:szCs w:val="20"/>
                <w:color w:val="auto"/>
              </w:rPr>
            </w:pPr>
            <w:r>
              <w:rPr>
                <w:rFonts w:ascii="Arial" w:cs="Arial" w:eastAsia="Arial" w:hAnsi="Arial"/>
                <w:sz w:val="18"/>
                <w:szCs w:val="18"/>
                <w:color w:val="auto"/>
              </w:rPr>
              <w:t>F-28</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Significant components of the Company’s deferred taxes are as follows (in thousands):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Federal and state-operating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81,584</w:t>
            </w:r>
          </w:p>
        </w:tc>
        <w:tc>
          <w:tcPr>
            <w:tcW w:w="360" w:type="dxa"/>
            <w:vAlign w:val="bottom"/>
          </w:tcPr>
          <w:p>
            <w:pPr>
              <w:spacing w:after="0"/>
              <w:rPr>
                <w:sz w:val="19"/>
                <w:szCs w:val="19"/>
                <w:color w:val="auto"/>
              </w:rPr>
            </w:pP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12,347</w:t>
            </w: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1,774</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w:t>
            </w: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3,147</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DF2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360" w:type="dxa"/>
            <w:vAlign w:val="bottom"/>
            <w:tcBorders>
              <w:bottom w:val="single" w:sz="8" w:color="CDF2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DF2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DF2FF"/>
          </w:tcPr>
          <w:p>
            <w:pPr>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DF2FF"/>
          </w:tcPr>
          <w:p>
            <w:pPr>
              <w:spacing w:after="0"/>
              <w:rPr>
                <w:sz w:val="19"/>
                <w:szCs w:val="19"/>
                <w:color w:val="auto"/>
              </w:rPr>
            </w:pPr>
          </w:p>
        </w:tc>
        <w:tc>
          <w:tcPr>
            <w:tcW w:w="1280" w:type="dxa"/>
            <w:vAlign w:val="bottom"/>
            <w:shd w:val="clear" w:color="auto" w:fill="CDF2FF"/>
          </w:tcPr>
          <w:p>
            <w:pPr>
              <w:jc w:val="right"/>
              <w:spacing w:after="0"/>
              <w:rPr>
                <w:sz w:val="20"/>
                <w:szCs w:val="20"/>
                <w:color w:val="auto"/>
              </w:rPr>
            </w:pPr>
            <w:r>
              <w:rPr>
                <w:rFonts w:ascii="Arial" w:cs="Arial" w:eastAsia="Arial" w:hAnsi="Arial"/>
                <w:sz w:val="18"/>
                <w:szCs w:val="18"/>
                <w:color w:val="auto"/>
              </w:rPr>
              <w:t>116,556</w:t>
            </w:r>
          </w:p>
        </w:tc>
        <w:tc>
          <w:tcPr>
            <w:tcW w:w="360" w:type="dxa"/>
            <w:vAlign w:val="bottom"/>
            <w:shd w:val="clear" w:color="auto" w:fill="CDF2FF"/>
          </w:tcPr>
          <w:p>
            <w:pPr>
              <w:spacing w:after="0"/>
              <w:rPr>
                <w:sz w:val="19"/>
                <w:szCs w:val="19"/>
                <w:color w:val="auto"/>
              </w:rPr>
            </w:pPr>
          </w:p>
        </w:tc>
        <w:tc>
          <w:tcPr>
            <w:tcW w:w="600" w:type="dxa"/>
            <w:vAlign w:val="bottom"/>
            <w:shd w:val="clear" w:color="auto" w:fill="CDF2FF"/>
          </w:tcPr>
          <w:p>
            <w:pPr>
              <w:spacing w:after="0"/>
              <w:rPr>
                <w:sz w:val="19"/>
                <w:szCs w:val="19"/>
                <w:color w:val="auto"/>
              </w:rPr>
            </w:pPr>
          </w:p>
        </w:tc>
        <w:tc>
          <w:tcPr>
            <w:tcW w:w="1040" w:type="dxa"/>
            <w:vAlign w:val="bottom"/>
            <w:shd w:val="clear" w:color="auto" w:fill="CDF2FF"/>
          </w:tcPr>
          <w:p>
            <w:pPr>
              <w:jc w:val="right"/>
              <w:spacing w:after="0"/>
              <w:rPr>
                <w:sz w:val="20"/>
                <w:szCs w:val="20"/>
                <w:color w:val="auto"/>
              </w:rPr>
            </w:pPr>
            <w:r>
              <w:rPr>
                <w:rFonts w:ascii="Arial" w:cs="Arial" w:eastAsia="Arial" w:hAnsi="Arial"/>
                <w:sz w:val="18"/>
                <w:szCs w:val="18"/>
                <w:color w:val="auto"/>
              </w:rPr>
              <w:t>92,429</w:t>
            </w:r>
          </w:p>
        </w:tc>
        <w:tc>
          <w:tcPr>
            <w:tcW w:w="120" w:type="dxa"/>
            <w:vAlign w:val="bottom"/>
            <w:shd w:val="clear" w:color="auto" w:fill="CDF2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(108,577)</w:t>
            </w:r>
          </w:p>
        </w:tc>
        <w:tc>
          <w:tcPr>
            <w:tcW w:w="6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CDF2FF"/>
            </w:tcBorders>
            <w:shd w:val="clear" w:color="auto" w:fill="CDF2FF"/>
          </w:tcPr>
          <w:p>
            <w:pPr>
              <w:spacing w:after="0"/>
              <w:rPr>
                <w:sz w:val="20"/>
                <w:szCs w:val="20"/>
                <w:color w:val="auto"/>
              </w:rPr>
            </w:pPr>
            <w:r>
              <w:rPr>
                <w:rFonts w:ascii="Arial" w:cs="Arial" w:eastAsia="Arial" w:hAnsi="Arial"/>
                <w:sz w:val="18"/>
                <w:szCs w:val="18"/>
                <w:color w:val="auto"/>
              </w:rPr>
              <w:t>Deferred tax asset, net of valuation allowance</w:t>
            </w:r>
          </w:p>
        </w:tc>
        <w:tc>
          <w:tcPr>
            <w:tcW w:w="360" w:type="dxa"/>
            <w:vAlign w:val="bottom"/>
            <w:tcBorders>
              <w:top w:val="single" w:sz="8" w:color="auto"/>
              <w:bottom w:val="single" w:sz="8" w:color="auto"/>
            </w:tcBorders>
            <w:shd w:val="clear" w:color="auto" w:fill="CDF2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7,979</w:t>
            </w:r>
          </w:p>
        </w:tc>
        <w:tc>
          <w:tcPr>
            <w:tcW w:w="360" w:type="dxa"/>
            <w:vAlign w:val="bottom"/>
            <w:tcBorders>
              <w:top w:val="single" w:sz="8" w:color="CDF2FF"/>
            </w:tcBorders>
            <w:shd w:val="clear" w:color="auto" w:fill="CDF2FF"/>
          </w:tcPr>
          <w:p>
            <w:pPr>
              <w:spacing w:after="0"/>
              <w:rPr>
                <w:sz w:val="19"/>
                <w:szCs w:val="19"/>
                <w:color w:val="auto"/>
              </w:rPr>
            </w:pPr>
          </w:p>
        </w:tc>
        <w:tc>
          <w:tcPr>
            <w:tcW w:w="600" w:type="dxa"/>
            <w:vAlign w:val="bottom"/>
            <w:tcBorders>
              <w:top w:val="single" w:sz="8" w:color="auto"/>
              <w:bottom w:val="single" w:sz="8" w:color="auto"/>
            </w:tcBorders>
            <w:shd w:val="clear" w:color="auto" w:fill="CDF2FF"/>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4,886</w:t>
            </w:r>
          </w:p>
        </w:tc>
        <w:tc>
          <w:tcPr>
            <w:tcW w:w="120" w:type="dxa"/>
            <w:vAlign w:val="bottom"/>
            <w:tcBorders>
              <w:top w:val="single" w:sz="8" w:color="CDF2FF"/>
            </w:tcBorders>
            <w:shd w:val="clear" w:color="auto" w:fill="CDF2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DF2FF"/>
          </w:tcPr>
          <w:p>
            <w:pPr>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shd w:val="clear" w:color="auto" w:fill="CDF2FF"/>
          </w:tcPr>
          <w:p>
            <w:pPr>
              <w:spacing w:after="0"/>
              <w:rPr>
                <w:sz w:val="19"/>
                <w:szCs w:val="19"/>
                <w:color w:val="auto"/>
              </w:rPr>
            </w:pPr>
          </w:p>
        </w:tc>
        <w:tc>
          <w:tcPr>
            <w:tcW w:w="1280" w:type="dxa"/>
            <w:vAlign w:val="bottom"/>
            <w:shd w:val="clear" w:color="auto" w:fill="CDF2FF"/>
          </w:tcPr>
          <w:p>
            <w:pPr>
              <w:spacing w:after="0"/>
              <w:rPr>
                <w:sz w:val="19"/>
                <w:szCs w:val="19"/>
                <w:color w:val="auto"/>
              </w:rPr>
            </w:pPr>
          </w:p>
        </w:tc>
        <w:tc>
          <w:tcPr>
            <w:tcW w:w="360" w:type="dxa"/>
            <w:vAlign w:val="bottom"/>
            <w:shd w:val="clear" w:color="auto" w:fill="CDF2FF"/>
          </w:tcPr>
          <w:p>
            <w:pPr>
              <w:spacing w:after="0"/>
              <w:rPr>
                <w:sz w:val="19"/>
                <w:szCs w:val="19"/>
                <w:color w:val="auto"/>
              </w:rPr>
            </w:pPr>
          </w:p>
        </w:tc>
        <w:tc>
          <w:tcPr>
            <w:tcW w:w="600" w:type="dxa"/>
            <w:vAlign w:val="bottom"/>
            <w:shd w:val="clear" w:color="auto" w:fill="CDF2FF"/>
          </w:tcPr>
          <w:p>
            <w:pPr>
              <w:spacing w:after="0"/>
              <w:rPr>
                <w:sz w:val="19"/>
                <w:szCs w:val="19"/>
                <w:color w:val="auto"/>
              </w:rPr>
            </w:pPr>
          </w:p>
        </w:tc>
        <w:tc>
          <w:tcPr>
            <w:tcW w:w="1040" w:type="dxa"/>
            <w:vAlign w:val="bottom"/>
            <w:shd w:val="clear" w:color="auto" w:fill="CDF2FF"/>
          </w:tcPr>
          <w:p>
            <w:pPr>
              <w:spacing w:after="0"/>
              <w:rPr>
                <w:sz w:val="19"/>
                <w:szCs w:val="19"/>
                <w:color w:val="auto"/>
              </w:rPr>
            </w:pPr>
          </w:p>
        </w:tc>
        <w:tc>
          <w:tcPr>
            <w:tcW w:w="120" w:type="dxa"/>
            <w:vAlign w:val="bottom"/>
            <w:shd w:val="clear" w:color="auto" w:fill="CDF2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(7,439)</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DF2FF"/>
          </w:tcPr>
          <w:p>
            <w:pPr>
              <w:ind w:left="2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DF2FF"/>
          </w:tcPr>
          <w:p>
            <w:pPr>
              <w:spacing w:after="0"/>
              <w:rPr>
                <w:sz w:val="19"/>
                <w:szCs w:val="19"/>
                <w:color w:val="auto"/>
              </w:rPr>
            </w:pPr>
          </w:p>
        </w:tc>
        <w:tc>
          <w:tcPr>
            <w:tcW w:w="1640" w:type="dxa"/>
            <w:vAlign w:val="bottom"/>
            <w:gridSpan w:val="2"/>
            <w:shd w:val="clear" w:color="auto" w:fill="CDF2FF"/>
          </w:tcPr>
          <w:p>
            <w:pPr>
              <w:jc w:val="right"/>
              <w:ind w:right="220"/>
              <w:spacing w:after="0"/>
              <w:rPr>
                <w:sz w:val="20"/>
                <w:szCs w:val="20"/>
                <w:color w:val="auto"/>
              </w:rPr>
            </w:pPr>
            <w:r>
              <w:rPr>
                <w:rFonts w:ascii="Arial" w:cs="Arial" w:eastAsia="Arial" w:hAnsi="Arial"/>
                <w:sz w:val="18"/>
                <w:szCs w:val="18"/>
                <w:color w:val="auto"/>
              </w:rPr>
              <w:t>(3,071)</w:t>
            </w:r>
          </w:p>
        </w:tc>
        <w:tc>
          <w:tcPr>
            <w:tcW w:w="600" w:type="dxa"/>
            <w:vAlign w:val="bottom"/>
            <w:shd w:val="clear" w:color="auto" w:fill="CDF2FF"/>
          </w:tcPr>
          <w:p>
            <w:pPr>
              <w:spacing w:after="0"/>
              <w:rPr>
                <w:sz w:val="19"/>
                <w:szCs w:val="19"/>
                <w:color w:val="auto"/>
              </w:rPr>
            </w:pPr>
          </w:p>
        </w:tc>
        <w:tc>
          <w:tcPr>
            <w:tcW w:w="1160" w:type="dxa"/>
            <w:vAlign w:val="bottom"/>
            <w:gridSpan w:val="2"/>
            <w:shd w:val="clear" w:color="auto" w:fill="CDF2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CDF2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CDF2FF"/>
          </w:tcPr>
          <w:p>
            <w:pPr>
              <w:spacing w:after="0" w:line="20" w:lineRule="exact"/>
              <w:rPr>
                <w:sz w:val="1"/>
                <w:szCs w:val="1"/>
                <w:color w:val="auto"/>
              </w:rPr>
            </w:pPr>
          </w:p>
        </w:tc>
        <w:tc>
          <w:tcPr>
            <w:tcW w:w="600" w:type="dxa"/>
            <w:vAlign w:val="bottom"/>
            <w:shd w:val="clear" w:color="auto" w:fill="CDF2FF"/>
          </w:tcPr>
          <w:p>
            <w:pPr>
              <w:spacing w:after="0" w:line="20" w:lineRule="exact"/>
              <w:rPr>
                <w:sz w:val="1"/>
                <w:szCs w:val="1"/>
                <w:color w:val="auto"/>
              </w:rPr>
            </w:pPr>
          </w:p>
        </w:tc>
        <w:tc>
          <w:tcPr>
            <w:tcW w:w="1160" w:type="dxa"/>
            <w:vAlign w:val="bottom"/>
            <w:gridSpan w:val="2"/>
            <w:shd w:val="clear" w:color="auto" w:fill="CDF2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DF2FF"/>
            </w:tcBorders>
            <w:shd w:val="clear" w:color="auto" w:fill="CDF2FF"/>
          </w:tcPr>
          <w:p>
            <w:pPr>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top w:val="single" w:sz="8" w:color="CDF2FF"/>
            </w:tcBorders>
            <w:shd w:val="clear" w:color="auto" w:fill="CDF2FF"/>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CDF2FF"/>
            </w:tcBorders>
            <w:gridSpan w:val="2"/>
            <w:shd w:val="clear" w:color="auto" w:fill="CDF2FF"/>
          </w:tcPr>
          <w:p>
            <w:pPr>
              <w:jc w:val="right"/>
              <w:ind w:right="220"/>
              <w:spacing w:after="0"/>
              <w:rPr>
                <w:sz w:val="20"/>
                <w:szCs w:val="20"/>
                <w:color w:val="auto"/>
              </w:rPr>
            </w:pPr>
            <w:r>
              <w:rPr>
                <w:rFonts w:ascii="Arial" w:cs="Arial" w:eastAsia="Arial" w:hAnsi="Arial"/>
                <w:sz w:val="18"/>
                <w:szCs w:val="18"/>
                <w:color w:val="auto"/>
              </w:rPr>
              <w:t>(2,531)</w:t>
            </w:r>
          </w:p>
        </w:tc>
        <w:tc>
          <w:tcPr>
            <w:tcW w:w="600" w:type="dxa"/>
            <w:vAlign w:val="bottom"/>
            <w:tcBorders>
              <w:top w:val="single" w:sz="8" w:color="auto"/>
            </w:tcBorders>
            <w:shd w:val="clear" w:color="auto" w:fill="CDF2FF"/>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(3,252)</w:t>
            </w:r>
          </w:p>
        </w:tc>
        <w:tc>
          <w:tcPr>
            <w:tcW w:w="120" w:type="dxa"/>
            <w:vAlign w:val="bottom"/>
            <w:tcBorders>
              <w:top w:val="single" w:sz="8" w:color="CDF2FF"/>
            </w:tcBorders>
            <w:shd w:val="clear" w:color="auto" w:fill="CDF2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DF2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DF2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DF2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valuation allowance on deferred tax assets due to the uncertainty regarding the ability to utilize these deferred tax assets in the future. The in-process research and development deferred tax liability was recorded in connection with the merger with Assembly Pharmaceuticals, Inc. in 2014 and relates to the difference between the carrying amount of in-process research and development for financial statement purposes relative to the amount used for income tax purposes.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Tax Act, was signed into law. Among other items, the Tax Act reduces the federal corporate tax rate to 21% from the existing applicable rate of 34%, effective January 1, 2018. As a result, in 2017 the Company recorded a decrease to its deferred tax assets of $24.7 million and to valuation allowance of $28.4 million, resulting in a net tax benefit of $3.7 million.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Act also permits an indefinite carry forward of net operating losses generated in taxable years ending after December 31, 2017, subject to a utilization limitation of 80% of taxable income. Due to the change in the carryforward period for post-2017 net operating losses, the Company determined that it would be able to use the deferred tax liability associated with certain in-process research and development as a source of income in determining the realizability of its deferred tax assets. As a result, in 2017 the Company recorded a $4.9 million income tax benefit from the reduction of its valuation allowance.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Staff Accounting Bulletin No. 118, or SAB 118, was issued to address the application of GAAP in situations when a registrant does not have the necessary information available, prepared, or analyzed (including computations) in reasonable detail to complete the accounting for certain income tax effects of the Act. The Company was able to provide a reasonable estimate for the revaluation of deferred taxes. The Company completed its review in December 2018 with no material adjustments to the provisional amount previously recorded.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income tax benefit for the year ended December 31, 2017 of $9.1 million includes a tax benefit of $8.6 million related to the Tax Act.</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2019, the Company had potentially utilizable gross federal net operating loss carryforwards of approximately $297.6 million with $182.9 million of net operating losses that carry forward indefinitely and $114.7 million of net operating losses which begin to expire in 2027. There are state net operating loss carryforwards of $309.3 million with $1.0 million carrying forward indefinitely and $308.3 million beginning to expire in 2031. In addition, the Company has federal research and development credit carryforwards of approximately $9.0 million which begin to expire in 2028 if not utilized and California research and development credit carryforwards of $5.3 million, which will carryforward indefinitely.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both"/>
        <w:spacing w:after="0" w:line="290" w:lineRule="auto"/>
        <w:rPr>
          <w:sz w:val="20"/>
          <w:szCs w:val="20"/>
          <w:color w:val="auto"/>
        </w:rPr>
      </w:pPr>
      <w:r>
        <w:rPr>
          <w:rFonts w:ascii="Arial" w:cs="Arial" w:eastAsia="Arial" w:hAnsi="Arial"/>
          <w:sz w:val="16"/>
          <w:szCs w:val="16"/>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has performed an ownership change study through December 31, 2018 and has determined that a “change in ownership” as defined by IRC Section 382 and the rules and regulations promulgated thereunder, did occur in December 2010, January 2013 and October 2014. The Company has adjusted its net operating loss carryovers to appropriately reflect any attributes which will expire due to the limitation. The Company has not performed any additional analysis for IRC Sections 382 and 383 and there is a risk that additional changes in ownership could have occurred since December 31, 2018. If a change in ownership were to have occurred, additional net operating loss and tax credit carryforwards could be eliminated or restricted. If eliminated, the related asset would be removed from the deferred tax asset schedule with a corresponding reduction in the valuation allowance.</w:t>
      </w:r>
    </w:p>
    <w:p>
      <w:pPr>
        <w:sectPr>
          <w:pgSz w:w="11900" w:h="16838" w:orient="portrait"/>
          <w:cols w:equalWidth="0" w:num="1">
            <w:col w:w="11420"/>
          </w:cols>
          <w:pgMar w:left="240" w:top="301" w:right="23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related to the Company’s gross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Balances as of December 31,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Increases related to prior year tax positions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Increases related to 2018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Balances as of December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Increases related to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Decreases related to prior year tax positions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Increases related to 2019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Balances as of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Total</w:t>
            </w:r>
          </w:p>
        </w:tc>
      </w:tr>
      <w:tr>
        <w:trPr>
          <w:trHeight w:val="222"/>
        </w:trPr>
        <w:tc>
          <w:tcPr>
            <w:tcW w:w="20" w:type="dxa"/>
            <w:vAlign w:val="bottom"/>
          </w:tcPr>
          <w:p>
            <w:pPr>
              <w:spacing w:after="0"/>
              <w:rPr>
                <w:sz w:val="19"/>
                <w:szCs w:val="19"/>
                <w:color w:val="auto"/>
              </w:rPr>
            </w:pPr>
          </w:p>
        </w:tc>
        <w:tc>
          <w:tcPr>
            <w:tcW w:w="480" w:type="dxa"/>
            <w:vAlign w:val="bottom"/>
            <w:tcBorders>
              <w:top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3,679</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4,613</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6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80" w:space="720"/>
            <w:col w:w="2320"/>
          </w:cols>
          <w:pgMar w:left="240" w:top="301" w:right="239" w:bottom="1440" w:gutter="0" w:footer="0" w:header="0"/>
          <w:type w:val="continuous"/>
        </w:sectPr>
      </w:pPr>
    </w:p>
    <w:p>
      <w:pPr>
        <w:spacing w:after="0" w:line="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unrecognized tax benefits, if recognized, would not have an impact on the Company’s effective tax rate assuming the Company continues to maintain a full valuation allowance position. Based on prior year’s operations and experience, the Company does not expect a significant change to its unrecognized tax benefits over the next twelve months. The unrecognized tax benefits may increase or change during the next year for unexpected or unusual items for items that arise in the ordinary course of business. In subsequent periods, any interest and penalties related to uncertain tax positions will be recognized as a component of income tax expense.</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income tax returns in the U.S. federal and other state jurisdictions and is not currently under examination by federal, state, or local taxing authorities for any open tax years. Due to net operating loss carryforwards, all years effectively remain open for income tax examination by tax authorities in the U.S. and states in which the Company files tax returns.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leases corporate office and laboratory space in South San Francisco, California under a sub-sublease that expires in December 2023. The Company also leases office space for administrative functions in Carmel, Indiana under a lease agreement that expires in August 2023. Prior to moving into the South San Francisco office and laboratory space in February 2019, the Company leased office and laboratory space in San Francisco, California, under a sublease that expired in February 2019. The Company also leases office and laboratory space in Groton, Connecticut under a lease that expires in March 2021. The Company’s China subsidiary leases office space and lab space in Shanghai that expires in December 2020. Additionally, the Company’s China subsidiary leases office space in Beijing under a lease agreement that expires in December 2020. Certain lease contracts contain renewal clauses that the Company assesses on a case by case basis. The Company also leases certain laboratory equipment accounted for as operating leases. These equipment leases began to expire in 2017, with the final lease expiring in 2022.</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11" w:name="page112"/>
    <w:bookmarkEnd w:id="111"/>
    <w:p>
      <w:pPr>
        <w:jc w:val="both"/>
        <w:ind w:right="20"/>
        <w:spacing w:after="0" w:line="277" w:lineRule="auto"/>
        <w:rPr>
          <w:sz w:val="20"/>
          <w:szCs w:val="20"/>
          <w:color w:val="auto"/>
        </w:rPr>
      </w:pPr>
      <w:r>
        <w:rPr>
          <w:rFonts w:ascii="Arial" w:cs="Arial" w:eastAsia="Arial" w:hAnsi="Arial"/>
          <w:sz w:val="18"/>
          <w:szCs w:val="18"/>
          <w:color w:val="auto"/>
        </w:rPr>
        <w:t>At December 31, 2019, the Company had operating lease liabilities of $12.3 million and right-of-use assets of $12.0 million, which were included in the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quantitative information about the Company’s operating leases for the year ended December 31, 2019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2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3180" w:type="dxa"/>
            <w:vAlign w:val="bottom"/>
            <w:gridSpan w:val="2"/>
          </w:tcPr>
          <w:p>
            <w:pPr>
              <w:jc w:val="right"/>
              <w:ind w:right="78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2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Variable lease cost</w:t>
            </w:r>
          </w:p>
        </w:tc>
        <w:tc>
          <w:tcPr>
            <w:tcW w:w="22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318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3180" w:type="dxa"/>
            <w:vAlign w:val="bottom"/>
            <w:gridSpan w:val="2"/>
            <w:shd w:val="clear" w:color="auto" w:fill="CFF0FC"/>
          </w:tcPr>
          <w:p>
            <w:pPr>
              <w:jc w:val="right"/>
              <w:ind w:right="78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Right-of-use assets exchanged for new operating lease liabilities</w:t>
            </w:r>
          </w:p>
        </w:tc>
        <w:tc>
          <w:tcPr>
            <w:tcW w:w="3180" w:type="dxa"/>
            <w:vAlign w:val="bottom"/>
            <w:gridSpan w:val="2"/>
          </w:tcPr>
          <w:p>
            <w:pPr>
              <w:jc w:val="right"/>
              <w:ind w:right="78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weighted-average remaining lease term for operating leases was approximately 2.7 years and the weighted-average discount rate for operating leases was approximately 9.4%.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w w:val="94"/>
              </w:rPr>
              <w:t>As of December 31, 2019, the maturities of the Company’s operating lease liabilities were as follows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461" w:lineRule="auto"/>
        <w:rPr>
          <w:sz w:val="20"/>
          <w:szCs w:val="20"/>
          <w:color w:val="auto"/>
        </w:rPr>
      </w:pPr>
      <w:r>
        <w:rPr>
          <w:rFonts w:ascii="Arial" w:cs="Arial" w:eastAsia="Arial" w:hAnsi="Arial"/>
          <w:sz w:val="18"/>
          <w:szCs w:val="18"/>
          <w:color w:val="auto"/>
        </w:rPr>
        <w:t xml:space="preserve">Operating lease costs were approximately $6.3 million, $4.2 million and $2.1 million for the years ended December 31, 2019, 2018 and 2017, respectively. </w:t>
      </w:r>
      <w:r>
        <w:rPr>
          <w:rFonts w:ascii="Arial" w:cs="Arial" w:eastAsia="Arial" w:hAnsi="Arial"/>
          <w:sz w:val="18"/>
          <w:szCs w:val="18"/>
          <w:b w:val="1"/>
          <w:bCs w:val="1"/>
          <w:color w:val="auto"/>
        </w:rPr>
        <w:t>Note 12 - Employee Benefit Plan</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Company established a defined contribution 401(k) plan (the Plan) for all employees who are at least 21 years of age. Employees are eligible to participate in the Plan upon commencement of employment. Under the terms of the Plan, employees may make voluntary contributions as a percentage of compensation. The Plan also permits the Company to make discretionary matching contributions. In 2019 and 2018, the Company made discretionary matching contributions of $0.7 million and $0.7 million, respectively.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the Company participated in a professional employer organization sponsored 401(k) plan. The Company did not make any discretionary matching contributions in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13 - Selected Quarterly Financial Data (Unaudited)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contains quarterly financial information for the four quarters of 2019 and 2018 which has been prepared in accordance with GAAP for interim financial information. The Company believes that the following information reflects all normal recurring adjustments necessary for a fair statement of the information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2019 Quarter Ended</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 except for per share amounts)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3,885</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3,080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4,231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32,221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22,780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30,224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33,451</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1,276</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983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Unrealized gain (loss) from marketable securities, net of tax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(27,052)</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(18,503)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(24,995)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(27,084)</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(0.99)</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2018 Quarter Ended</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 except for per share amounts)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3,565</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3,218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4,286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20,237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30,384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26,861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30,057</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446</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1,116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Unrealized gain (loss) from marketable securities, net of tax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(16,249)</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(26,806)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(21,535)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(26,161)</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661"/>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710"/>
              <w:spacing w:after="0"/>
              <w:rPr>
                <w:sz w:val="20"/>
                <w:szCs w:val="20"/>
                <w:color w:val="auto"/>
              </w:rPr>
            </w:pPr>
            <w:r>
              <w:rPr>
                <w:rFonts w:ascii="Arial" w:cs="Arial" w:eastAsia="Arial" w:hAnsi="Arial"/>
                <w:sz w:val="18"/>
                <w:szCs w:val="18"/>
                <w:color w:val="auto"/>
              </w:rPr>
              <w:t>F-32</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9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Assembly Biosciences, Inc. (Assembly, the Company, we, us and our) had one class of securities registered under Section 12 of the Securities Exchange Act of 1934, as amended: our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description of our capital stock does not purport to be complete and is subject to, and qualified in its entirety by, our Fourth Amended and Restated Certificate of Incorporation (our Certificate of Incorporation) and our amended and restated bylaws (our Bylaws), each of which is incorporated by reference as an exhibit to our Annual Report on Form 10-K for the year ended December 31,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par value $0.001 per share, and 5,000,000 shares of preferred stock, par value $0.001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the stockholders, and there are no cumulative voting rights.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common stock are entitled to receive ratable dividends, if any, payable when and as declared by our board of directors or any authorized committee thereof out of assets or funds legally available therefor, subject to any preferential rights that may be applicable to any outstanding preferred stock. In the event of a liquidation, dissolution or winding up of our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“ASMB.”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and registrar for our common stock is VStock Transfer, LLC, Inc. The transfer agent’s address is 18 Lafayette Place, Woodmere, New York 11598 and its telephone number is (212) 828-8436.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The purpose of authorizing our board of directors to issue preferred stock in one or more series and determine the number of shares in the series and its rights and preferences is to eliminate delays associated with a stockholder vote on specific issuances. The existence of authorized but unissued shares of preferred stock may enable our board of directors to render more difficult or to discourage an attempt to obtain control of us by means of a merger, tender offer, proxy contest or otherwise.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Anti-Takeover Law</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provisions of the Delaware General Corporation Law (the DGCL), our Certificate of Incorporation and our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the provisions of Section 203 of the DGCL (Section 203).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such person’s affiliates and associates, owns, or did own within three years prior to such determination, 15% or more of the corporation’s voting stock. Under Section 203, a business combination between a corporation and an interested stockholder is prohibited unless it satisfies one of the following conditions:</w:t>
      </w:r>
    </w:p>
    <w:p>
      <w:pPr>
        <w:spacing w:after="0" w:line="124" w:lineRule="exact"/>
        <w:rPr>
          <w:sz w:val="20"/>
          <w:szCs w:val="20"/>
          <w:color w:val="auto"/>
        </w:rPr>
      </w:pPr>
    </w:p>
    <w:p>
      <w:pPr>
        <w:ind w:left="760" w:hanging="374"/>
        <w:spacing w:after="0" w:line="198" w:lineRule="auto"/>
        <w:tabs>
          <w:tab w:leader="none" w:pos="76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before the stockholder became interested, the board of directors of the corporation approved either the business combination or the transaction that resulted in the stockholder becoming an interested stockholder;</w:t>
      </w:r>
    </w:p>
    <w:p>
      <w:pPr>
        <w:sectPr>
          <w:pgSz w:w="11900" w:h="16838" w:orient="portrait"/>
          <w:cols w:equalWidth="0" w:num="1">
            <w:col w:w="11420"/>
          </w:cols>
          <w:pgMar w:left="240" w:top="351" w:right="239" w:bottom="0" w:gutter="0" w:footer="0" w:header="0"/>
        </w:sectPr>
      </w:pPr>
    </w:p>
    <w:bookmarkStart w:id="114" w:name="page115"/>
    <w:bookmarkEnd w:id="114"/>
    <w:p>
      <w:pPr>
        <w:spacing w:after="0" w:line="198" w:lineRule="auto"/>
        <w:tabs>
          <w:tab w:leader="none" w:pos="7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both"/>
        <w:ind w:left="760" w:hanging="374"/>
        <w:spacing w:after="0" w:line="223" w:lineRule="auto"/>
        <w:tabs>
          <w:tab w:leader="none" w:pos="760" w:val="left"/>
        </w:tabs>
        <w:numPr>
          <w:ilvl w:val="0"/>
          <w:numId w:val="53"/>
        </w:numPr>
        <w:rPr>
          <w:rFonts w:ascii="Arial" w:cs="Arial" w:eastAsia="Arial" w:hAnsi="Arial"/>
          <w:sz w:val="28"/>
          <w:szCs w:val="28"/>
          <w:color w:val="auto"/>
          <w:vertAlign w:val="superscript"/>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61" w:lineRule="exact"/>
        <w:rPr>
          <w:rFonts w:ascii="Arial" w:cs="Arial" w:eastAsia="Arial" w:hAnsi="Arial"/>
          <w:sz w:val="28"/>
          <w:szCs w:val="28"/>
          <w:color w:val="auto"/>
          <w:vertAlign w:val="superscript"/>
        </w:rPr>
      </w:pPr>
    </w:p>
    <w:p>
      <w:pPr>
        <w:jc w:val="both"/>
        <w:ind w:left="760" w:hanging="374"/>
        <w:spacing w:after="0" w:line="212" w:lineRule="auto"/>
        <w:tabs>
          <w:tab w:leader="none" w:pos="76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Certificate of Incorporation and our Bylaws include a number of provisions that may have the effect of deterring hostile takeovers or delaying or preventing changes in control or management of our company. First, our Certificate of Incorporation and our Bylaws provide that all stockholder action must be effected at a duly called meeting of stockholders and not by a consent in writing. Further, our Bylaws limit who may call special meetings of the stockholders. Our Certificate of Incorporation does not include a provision for cumulative voting for directors. Under cumulative voting, a minority stockholder holding a sufficient percentage of a class of shares may be able to ensure the election of one or more directors. Our Bylaws provide that the number of directors on our board, which may range from three to ten directors, shall be exclusively fixed by our board, which has set the number of directors at ten. Newly created directorships resulting from any increase in our authorized number of directors and any vacancies in our board resulting from death, resignation, retirement, disqualification or other cause (including removal from office by a vote of the shareholders) will be filled by a majority of our board then in office. Finally, our Bylaws establish procedures, including advance notice procedures, with regard to the nomination of candidates for election as directors and stockholder proposals. These and other provisions of our Certificate of Incorporation, our Bylaws and Delaware law could discourage potential acquisition proposals and could delay or prevent a change in control or management of our company.</w:t>
      </w:r>
    </w:p>
    <w:p>
      <w:pPr>
        <w:sectPr>
          <w:pgSz w:w="11900" w:h="16838" w:orient="portrait"/>
          <w:cols w:equalWidth="0" w:num="1">
            <w:col w:w="11420"/>
          </w:cols>
          <w:pgMar w:left="240" w:top="53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55" w:lineRule="exact"/>
        <w:rPr>
          <w:sz w:val="20"/>
          <w:szCs w:val="20"/>
          <w:color w:val="auto"/>
        </w:rPr>
      </w:pPr>
    </w:p>
    <w:p>
      <w:pPr>
        <w:jc w:val="both"/>
        <w:ind w:firstLine="877"/>
        <w:spacing w:after="0" w:line="217"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October 22, 2019 (the “</w:t>
      </w:r>
      <w:r>
        <w:rPr>
          <w:rFonts w:ascii="Arial" w:cs="Arial" w:eastAsia="Arial" w:hAnsi="Arial"/>
          <w:sz w:val="22"/>
          <w:szCs w:val="22"/>
          <w:b w:val="1"/>
          <w:bCs w:val="1"/>
          <w:color w:val="auto"/>
        </w:rPr>
        <w:t>Execution Date</w:t>
      </w:r>
      <w:r>
        <w:rPr>
          <w:rFonts w:ascii="Arial" w:cs="Arial" w:eastAsia="Arial" w:hAnsi="Arial"/>
          <w:sz w:val="22"/>
          <w:szCs w:val="22"/>
          <w:color w:val="auto"/>
        </w:rPr>
        <w:t>”) with an effective date of November 4, 2019 or such other employment commencement date as may be mutually agreed upon by the Company and the Executive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Assembly Biosciences, Inc., a Delaware corporation with principal executive offices at 11711 N. Meridian Street, Suite 310, Carmel, IN 46032 (the “</w:t>
      </w:r>
      <w:r>
        <w:rPr>
          <w:rFonts w:ascii="Arial" w:cs="Arial" w:eastAsia="Arial" w:hAnsi="Arial"/>
          <w:sz w:val="22"/>
          <w:szCs w:val="22"/>
          <w:b w:val="1"/>
          <w:bCs w:val="1"/>
          <w:color w:val="auto"/>
        </w:rPr>
        <w:t>Company</w:t>
      </w:r>
      <w:r>
        <w:rPr>
          <w:rFonts w:ascii="Arial" w:cs="Arial" w:eastAsia="Arial" w:hAnsi="Arial"/>
          <w:sz w:val="22"/>
          <w:szCs w:val="22"/>
          <w:color w:val="auto"/>
        </w:rPr>
        <w:t>”), and Luisa M. Stamm, M.D., Ph.D.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185" w:lineRule="exact"/>
        <w:rPr>
          <w:sz w:val="20"/>
          <w:szCs w:val="20"/>
          <w:color w:val="auto"/>
        </w:rPr>
      </w:pPr>
    </w:p>
    <w:p>
      <w:pPr>
        <w:jc w:val="both"/>
        <w:ind w:firstLine="877"/>
        <w:spacing w:after="0" w:line="232" w:lineRule="auto"/>
        <w:rPr>
          <w:sz w:val="20"/>
          <w:szCs w:val="20"/>
          <w:color w:val="auto"/>
        </w:rPr>
      </w:pPr>
      <w:r>
        <w:rPr>
          <w:rFonts w:ascii="Arial" w:cs="Arial" w:eastAsia="Arial" w:hAnsi="Arial"/>
          <w:sz w:val="22"/>
          <w:szCs w:val="22"/>
          <w:color w:val="auto"/>
        </w:rPr>
        <w:t>WHEREAS, the Company desires to employ the Executive as the Chief Medical Officer as of the Effective Date, and the Executive desires to accept employment by the Company as of the Effective Date; and</w:t>
      </w:r>
    </w:p>
    <w:p>
      <w:pPr>
        <w:spacing w:after="0" w:line="159" w:lineRule="exact"/>
        <w:rPr>
          <w:sz w:val="20"/>
          <w:szCs w:val="20"/>
          <w:color w:val="auto"/>
        </w:rPr>
      </w:pPr>
    </w:p>
    <w:p>
      <w:pPr>
        <w:jc w:val="both"/>
        <w:ind w:firstLine="877"/>
        <w:spacing w:after="0" w:line="232" w:lineRule="auto"/>
        <w:rPr>
          <w:sz w:val="20"/>
          <w:szCs w:val="20"/>
          <w:color w:val="auto"/>
        </w:rPr>
      </w:pPr>
      <w:r>
        <w:rPr>
          <w:rFonts w:ascii="Arial" w:cs="Arial" w:eastAsia="Arial" w:hAnsi="Arial"/>
          <w:sz w:val="22"/>
          <w:szCs w:val="22"/>
          <w:color w:val="auto"/>
        </w:rPr>
        <w:t>WHEREAS, the parties desire to enter into this Agreement, setting forth the terms and conditions of the Executive’s employment with the Company;</w:t>
      </w:r>
    </w:p>
    <w:p>
      <w:pPr>
        <w:spacing w:after="0" w:line="159" w:lineRule="exact"/>
        <w:rPr>
          <w:sz w:val="20"/>
          <w:szCs w:val="20"/>
          <w:color w:val="auto"/>
        </w:rPr>
      </w:pPr>
    </w:p>
    <w:p>
      <w:pPr>
        <w:jc w:val="both"/>
        <w:ind w:firstLine="877"/>
        <w:spacing w:after="0" w:line="232"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hereto hereby agree as follows:</w:t>
      </w:r>
    </w:p>
    <w:p>
      <w:pPr>
        <w:spacing w:after="0" w:line="159" w:lineRule="exact"/>
        <w:rPr>
          <w:sz w:val="20"/>
          <w:szCs w:val="20"/>
          <w:color w:val="auto"/>
        </w:rPr>
      </w:pPr>
    </w:p>
    <w:p>
      <w:pPr>
        <w:ind w:left="1700" w:hanging="815"/>
        <w:spacing w:after="0"/>
        <w:tabs>
          <w:tab w:leader="none" w:pos="1700"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010000"/>
        </w:rPr>
        <w:t>Employment</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jc w:val="both"/>
        <w:ind w:firstLine="1763"/>
        <w:spacing w:after="0" w:line="252" w:lineRule="auto"/>
        <w:tabs>
          <w:tab w:leader="none" w:pos="2643" w:val="left"/>
        </w:tabs>
        <w:numPr>
          <w:ilvl w:val="1"/>
          <w:numId w:val="54"/>
        </w:numPr>
        <w:rPr>
          <w:rFonts w:ascii="Arial" w:cs="Arial" w:eastAsia="Arial" w:hAnsi="Arial"/>
          <w:sz w:val="19"/>
          <w:szCs w:val="19"/>
          <w:color w:val="010000"/>
        </w:rPr>
      </w:pPr>
      <w:r>
        <w:rPr>
          <w:rFonts w:ascii="Arial" w:cs="Arial" w:eastAsia="Arial" w:hAnsi="Arial"/>
          <w:sz w:val="19"/>
          <w:szCs w:val="19"/>
          <w:u w:val="single" w:color="auto"/>
          <w:color w:val="010000"/>
        </w:rPr>
        <w:t>Services</w:t>
      </w:r>
      <w:r>
        <w:rPr>
          <w:rFonts w:ascii="Arial" w:cs="Arial" w:eastAsia="Arial" w:hAnsi="Arial"/>
          <w:sz w:val="19"/>
          <w:szCs w:val="19"/>
          <w:color w:val="010000"/>
        </w:rPr>
        <w:t>. The Executive will be employed by the Company initially as its Chief Medical Officer, reporting to the Company’s Chief Executive Officer, and shall perform such duties as are consistent with a position as chief medical officer (the “</w:t>
      </w:r>
      <w:r>
        <w:rPr>
          <w:rFonts w:ascii="Arial" w:cs="Arial" w:eastAsia="Arial" w:hAnsi="Arial"/>
          <w:sz w:val="19"/>
          <w:szCs w:val="19"/>
          <w:b w:val="1"/>
          <w:bCs w:val="1"/>
          <w:color w:val="010000"/>
        </w:rPr>
        <w:t>Services</w:t>
      </w:r>
      <w:r>
        <w:rPr>
          <w:rFonts w:ascii="Arial" w:cs="Arial" w:eastAsia="Arial" w:hAnsi="Arial"/>
          <w:sz w:val="19"/>
          <w:szCs w:val="19"/>
          <w:color w:val="010000"/>
        </w:rPr>
        <w:t>”). The Executive agrees to perform such Services faithfully, to devote Executive’s full working time, attention and energies to the business of the Company and, while Executive remains employed and subject to the terms of this Agreement, not to engage in any other business activity that is in conflict with Executive’s duties and obligations to the Company.</w:t>
      </w:r>
    </w:p>
    <w:p>
      <w:pPr>
        <w:spacing w:after="0" w:line="149" w:lineRule="exact"/>
        <w:rPr>
          <w:rFonts w:ascii="Arial" w:cs="Arial" w:eastAsia="Arial" w:hAnsi="Arial"/>
          <w:sz w:val="19"/>
          <w:szCs w:val="19"/>
          <w:color w:val="010000"/>
        </w:rPr>
      </w:pPr>
    </w:p>
    <w:p>
      <w:pPr>
        <w:ind w:left="2660" w:hanging="897"/>
        <w:spacing w:after="0"/>
        <w:tabs>
          <w:tab w:leader="none" w:pos="2660" w:val="left"/>
        </w:tabs>
        <w:numPr>
          <w:ilvl w:val="1"/>
          <w:numId w:val="54"/>
        </w:numPr>
        <w:rPr>
          <w:rFonts w:ascii="Arial" w:cs="Arial" w:eastAsia="Arial" w:hAnsi="Arial"/>
          <w:sz w:val="19"/>
          <w:szCs w:val="19"/>
          <w:color w:val="010000"/>
        </w:rPr>
      </w:pPr>
      <w:r>
        <w:rPr>
          <w:rFonts w:ascii="Arial" w:cs="Arial" w:eastAsia="Arial" w:hAnsi="Arial"/>
          <w:sz w:val="19"/>
          <w:szCs w:val="19"/>
          <w:u w:val="single" w:color="auto"/>
          <w:color w:val="010000"/>
        </w:rPr>
        <w:t>Acceptance</w:t>
      </w:r>
      <w:r>
        <w:rPr>
          <w:rFonts w:ascii="Arial" w:cs="Arial" w:eastAsia="Arial" w:hAnsi="Arial"/>
          <w:sz w:val="19"/>
          <w:szCs w:val="19"/>
          <w:color w:val="010000"/>
        </w:rPr>
        <w:t>. The Executive hereby accepts such employment and agrees to render the Services.</w:t>
      </w:r>
    </w:p>
    <w:p>
      <w:pPr>
        <w:spacing w:after="0" w:line="213" w:lineRule="exact"/>
        <w:rPr>
          <w:rFonts w:ascii="Arial" w:cs="Arial" w:eastAsia="Arial" w:hAnsi="Arial"/>
          <w:sz w:val="19"/>
          <w:szCs w:val="19"/>
          <w:color w:val="010000"/>
        </w:rPr>
      </w:pPr>
    </w:p>
    <w:p>
      <w:pPr>
        <w:ind w:firstLine="885"/>
        <w:spacing w:after="0" w:line="232" w:lineRule="auto"/>
        <w:tabs>
          <w:tab w:leader="none" w:pos="1688"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010000"/>
        </w:rPr>
        <w:t>Term</w:t>
      </w:r>
      <w:r>
        <w:rPr>
          <w:rFonts w:ascii="Arial" w:cs="Arial" w:eastAsia="Arial" w:hAnsi="Arial"/>
          <w:sz w:val="22"/>
          <w:szCs w:val="22"/>
          <w:color w:val="010000"/>
        </w:rPr>
        <w:t>. The Executive's employment under this Agreement shall commence as of the Effective Date and shall continue on an “at-will” basis until terminated pursuant to Section 7 of this Agreement (the “</w:t>
      </w:r>
      <w:r>
        <w:rPr>
          <w:rFonts w:ascii="Arial" w:cs="Arial" w:eastAsia="Arial" w:hAnsi="Arial"/>
          <w:sz w:val="22"/>
          <w:szCs w:val="22"/>
          <w:b w:val="1"/>
          <w:bCs w:val="1"/>
          <w:color w:val="010000"/>
        </w:rPr>
        <w:t>Term</w:t>
      </w:r>
      <w:r>
        <w:rPr>
          <w:rFonts w:ascii="Arial" w:cs="Arial" w:eastAsia="Arial" w:hAnsi="Arial"/>
          <w:sz w:val="22"/>
          <w:szCs w:val="22"/>
          <w:color w:val="010000"/>
        </w:rPr>
        <w:t>”).</w:t>
      </w:r>
    </w:p>
    <w:p>
      <w:pPr>
        <w:spacing w:after="0" w:line="159" w:lineRule="exact"/>
        <w:rPr>
          <w:rFonts w:ascii="Arial" w:cs="Arial" w:eastAsia="Arial" w:hAnsi="Arial"/>
          <w:sz w:val="22"/>
          <w:szCs w:val="22"/>
          <w:color w:val="010000"/>
        </w:rPr>
      </w:pPr>
    </w:p>
    <w:p>
      <w:pPr>
        <w:jc w:val="both"/>
        <w:ind w:firstLine="885"/>
        <w:spacing w:after="0" w:line="252" w:lineRule="auto"/>
        <w:tabs>
          <w:tab w:leader="none" w:pos="1688" w:val="left"/>
        </w:tabs>
        <w:numPr>
          <w:ilvl w:val="0"/>
          <w:numId w:val="54"/>
        </w:numPr>
        <w:rPr>
          <w:rFonts w:ascii="Arial" w:cs="Arial" w:eastAsia="Arial" w:hAnsi="Arial"/>
          <w:sz w:val="19"/>
          <w:szCs w:val="19"/>
          <w:color w:val="010000"/>
        </w:rPr>
      </w:pPr>
      <w:r>
        <w:rPr>
          <w:rFonts w:ascii="Arial" w:cs="Arial" w:eastAsia="Arial" w:hAnsi="Arial"/>
          <w:sz w:val="19"/>
          <w:szCs w:val="19"/>
          <w:u w:val="single" w:color="auto"/>
          <w:color w:val="010000"/>
        </w:rPr>
        <w:t>Best Efforts</w:t>
      </w:r>
      <w:r>
        <w:rPr>
          <w:rFonts w:ascii="Arial" w:cs="Arial" w:eastAsia="Arial" w:hAnsi="Arial"/>
          <w:sz w:val="19"/>
          <w:szCs w:val="19"/>
          <w:color w:val="010000"/>
        </w:rPr>
        <w:t>. The Executive shall devote Executive’s full business time, attention and energies to the business and affairs of the Company and shall use Executive’s reasonable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Executive of Executive’s duties hereunder or the Executive’s availability to perform such duties or that will adversely affect, or negatively reflect upon,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7" w:name="page118"/>
    <w:bookmarkEnd w:id="117"/>
    <w:p>
      <w:pPr>
        <w:ind w:right="20" w:firstLine="885"/>
        <w:spacing w:after="0" w:line="232" w:lineRule="auto"/>
        <w:tabs>
          <w:tab w:leader="none" w:pos="1688"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010000"/>
        </w:rPr>
        <w:t>Compensation</w:t>
      </w:r>
      <w:r>
        <w:rPr>
          <w:rFonts w:ascii="Arial" w:cs="Arial" w:eastAsia="Arial" w:hAnsi="Arial"/>
          <w:sz w:val="22"/>
          <w:szCs w:val="22"/>
          <w:color w:val="010000"/>
        </w:rPr>
        <w:t>. During the Term, as full compensation for the performance by the Executive of her duties under this Agreement, the Company shall pay the Executive as follows:</w:t>
      </w:r>
    </w:p>
    <w:p>
      <w:pPr>
        <w:spacing w:after="0" w:line="159" w:lineRule="exact"/>
        <w:rPr>
          <w:rFonts w:ascii="Arial" w:cs="Arial" w:eastAsia="Arial" w:hAnsi="Arial"/>
          <w:sz w:val="22"/>
          <w:szCs w:val="22"/>
          <w:color w:val="010000"/>
        </w:rPr>
      </w:pPr>
    </w:p>
    <w:p>
      <w:pPr>
        <w:jc w:val="both"/>
        <w:ind w:firstLine="1763"/>
        <w:spacing w:after="0" w:line="216" w:lineRule="auto"/>
        <w:tabs>
          <w:tab w:leader="none" w:pos="2643" w:val="left"/>
        </w:tabs>
        <w:numPr>
          <w:ilvl w:val="1"/>
          <w:numId w:val="55"/>
        </w:numPr>
        <w:rPr>
          <w:rFonts w:ascii="Arial" w:cs="Arial" w:eastAsia="Arial" w:hAnsi="Arial"/>
          <w:sz w:val="22"/>
          <w:szCs w:val="22"/>
          <w:color w:val="010000"/>
        </w:rPr>
      </w:pPr>
      <w:r>
        <w:rPr>
          <w:rFonts w:ascii="Arial" w:cs="Arial" w:eastAsia="Arial" w:hAnsi="Arial"/>
          <w:sz w:val="22"/>
          <w:szCs w:val="22"/>
          <w:u w:val="single" w:color="auto"/>
          <w:color w:val="010000"/>
        </w:rPr>
        <w:t>Base Salary</w:t>
      </w:r>
      <w:r>
        <w:rPr>
          <w:rFonts w:ascii="Arial" w:cs="Arial" w:eastAsia="Arial" w:hAnsi="Arial"/>
          <w:sz w:val="22"/>
          <w:szCs w:val="22"/>
          <w:color w:val="010000"/>
        </w:rPr>
        <w:t>. The Company shall pay the Executive an initial base salary at the annualized rate of four hundred twenty-five thousand dollars ($425,000). The base salary in effect at any given time is referred to herein as the “</w:t>
      </w:r>
      <w:r>
        <w:rPr>
          <w:rFonts w:ascii="Arial" w:cs="Arial" w:eastAsia="Arial" w:hAnsi="Arial"/>
          <w:sz w:val="22"/>
          <w:szCs w:val="22"/>
          <w:b w:val="1"/>
          <w:bCs w:val="1"/>
          <w:color w:val="010000"/>
        </w:rPr>
        <w:t>Base</w:t>
      </w:r>
      <w:r>
        <w:rPr>
          <w:rFonts w:ascii="Arial" w:cs="Arial" w:eastAsia="Arial" w:hAnsi="Arial"/>
          <w:sz w:val="22"/>
          <w:szCs w:val="22"/>
          <w:color w:val="010000"/>
        </w:rPr>
        <w:t xml:space="preserve"> </w:t>
      </w:r>
      <w:r>
        <w:rPr>
          <w:rFonts w:ascii="Arial" w:cs="Arial" w:eastAsia="Arial" w:hAnsi="Arial"/>
          <w:sz w:val="22"/>
          <w:szCs w:val="22"/>
          <w:b w:val="1"/>
          <w:bCs w:val="1"/>
          <w:color w:val="010000"/>
        </w:rPr>
        <w:t>Salary</w:t>
      </w:r>
      <w:r>
        <w:rPr>
          <w:rFonts w:ascii="Arial" w:cs="Arial" w:eastAsia="Arial" w:hAnsi="Arial"/>
          <w:sz w:val="22"/>
          <w:szCs w:val="22"/>
          <w:color w:val="010000"/>
        </w:rPr>
        <w:t>.” Payment shall be made in accordance with the Company’s normal payroll practices, as they may be changed from time to</w:t>
      </w:r>
      <w:r>
        <w:rPr>
          <w:rFonts w:ascii="Arial" w:cs="Arial" w:eastAsia="Arial" w:hAnsi="Arial"/>
          <w:sz w:val="22"/>
          <w:szCs w:val="22"/>
          <w:b w:val="1"/>
          <w:bCs w:val="1"/>
          <w:color w:val="010000"/>
        </w:rPr>
        <w:t xml:space="preserve"> </w:t>
      </w:r>
      <w:r>
        <w:rPr>
          <w:rFonts w:ascii="Arial" w:cs="Arial" w:eastAsia="Arial" w:hAnsi="Arial"/>
          <w:sz w:val="22"/>
          <w:szCs w:val="22"/>
          <w:color w:val="010000"/>
        </w:rPr>
        <w:t>time. The Base Salary will be reviewed by the Chief Executive Officer and the Board of Directors (the “</w:t>
      </w:r>
      <w:r>
        <w:rPr>
          <w:rFonts w:ascii="Arial" w:cs="Arial" w:eastAsia="Arial" w:hAnsi="Arial"/>
          <w:sz w:val="22"/>
          <w:szCs w:val="22"/>
          <w:b w:val="1"/>
          <w:bCs w:val="1"/>
          <w:color w:val="010000"/>
        </w:rPr>
        <w:t>Board</w:t>
      </w:r>
      <w:r>
        <w:rPr>
          <w:rFonts w:ascii="Arial" w:cs="Arial" w:eastAsia="Arial" w:hAnsi="Arial"/>
          <w:sz w:val="22"/>
          <w:szCs w:val="22"/>
          <w:color w:val="010000"/>
        </w:rPr>
        <w:t>”), or a committee thereof, no less frequently than annually.</w:t>
      </w:r>
    </w:p>
    <w:p>
      <w:pPr>
        <w:spacing w:after="0" w:line="158" w:lineRule="exact"/>
        <w:rPr>
          <w:rFonts w:ascii="Arial" w:cs="Arial" w:eastAsia="Arial" w:hAnsi="Arial"/>
          <w:sz w:val="22"/>
          <w:szCs w:val="22"/>
          <w:color w:val="010000"/>
        </w:rPr>
      </w:pPr>
    </w:p>
    <w:p>
      <w:pPr>
        <w:jc w:val="both"/>
        <w:ind w:firstLine="1763"/>
        <w:spacing w:after="0" w:line="245" w:lineRule="auto"/>
        <w:tabs>
          <w:tab w:leader="none" w:pos="2655" w:val="left"/>
        </w:tabs>
        <w:numPr>
          <w:ilvl w:val="1"/>
          <w:numId w:val="55"/>
        </w:numPr>
        <w:rPr>
          <w:rFonts w:ascii="Arial" w:cs="Arial" w:eastAsia="Arial" w:hAnsi="Arial"/>
          <w:sz w:val="19"/>
          <w:szCs w:val="19"/>
          <w:color w:val="010000"/>
        </w:rPr>
      </w:pPr>
      <w:r>
        <w:rPr>
          <w:rFonts w:ascii="Arial" w:cs="Arial" w:eastAsia="Arial" w:hAnsi="Arial"/>
          <w:sz w:val="19"/>
          <w:szCs w:val="19"/>
          <w:u w:val="single" w:color="auto"/>
          <w:color w:val="010000"/>
        </w:rPr>
        <w:t>Annual Performance Bonus</w:t>
      </w:r>
      <w:r>
        <w:rPr>
          <w:rFonts w:ascii="Arial" w:cs="Arial" w:eastAsia="Arial" w:hAnsi="Arial"/>
          <w:sz w:val="19"/>
          <w:szCs w:val="19"/>
          <w:color w:val="010000"/>
        </w:rPr>
        <w:t>. At the sole discretion of the Board (or a committee thereof), the Executive shall be eligible to receive an annual performance-based bonus during the Term (the “</w:t>
      </w:r>
      <w:r>
        <w:rPr>
          <w:rFonts w:ascii="Arial" w:cs="Arial" w:eastAsia="Arial" w:hAnsi="Arial"/>
          <w:sz w:val="19"/>
          <w:szCs w:val="19"/>
          <w:b w:val="1"/>
          <w:bCs w:val="1"/>
          <w:color w:val="010000"/>
        </w:rPr>
        <w:t>Annual Performance Bonus</w:t>
      </w:r>
      <w:r>
        <w:rPr>
          <w:rFonts w:ascii="Arial" w:cs="Arial" w:eastAsia="Arial" w:hAnsi="Arial"/>
          <w:sz w:val="19"/>
          <w:szCs w:val="19"/>
          <w:color w:val="010000"/>
        </w:rPr>
        <w:t xml:space="preserve">”) targeted at forty percent (40%) of Executive’s then current Base Salary based on the attainment by the Executive of performance objectives as established annually by the Chief Executive Officer. Executive shall not be eligible for any Annual Performance Bonus with respect to the 2019 fiscal year. The Annual Performance Bonus shall be payable in a single lump-sum as determined by the Board (or a committee thereof) in its sole discretion. Except as otherwise provided in this Agreement, to earn any particular Annual Performance Bonus, the Executive must, in addition to satisfying the performance objectives, remain employed on the date the Annual Performance Bonus is paid; </w:t>
      </w:r>
      <w:r>
        <w:rPr>
          <w:rFonts w:ascii="Arial" w:cs="Arial" w:eastAsia="Arial" w:hAnsi="Arial"/>
          <w:sz w:val="19"/>
          <w:szCs w:val="19"/>
          <w:i w:val="1"/>
          <w:iCs w:val="1"/>
          <w:color w:val="010000"/>
        </w:rPr>
        <w:t>provided, further</w:t>
      </w:r>
      <w:r>
        <w:rPr>
          <w:rFonts w:ascii="Arial" w:cs="Arial" w:eastAsia="Arial" w:hAnsi="Arial"/>
          <w:sz w:val="19"/>
          <w:szCs w:val="19"/>
          <w:color w:val="010000"/>
        </w:rPr>
        <w:t>, that the Annual Performance Bonus will be paid no later than seventy-five (75) days after the end of the period to which the Annual Performance Bonus pertains.</w:t>
      </w:r>
    </w:p>
    <w:p>
      <w:pPr>
        <w:spacing w:after="0" w:line="153" w:lineRule="exact"/>
        <w:rPr>
          <w:rFonts w:ascii="Arial" w:cs="Arial" w:eastAsia="Arial" w:hAnsi="Arial"/>
          <w:sz w:val="19"/>
          <w:szCs w:val="19"/>
          <w:color w:val="010000"/>
        </w:rPr>
      </w:pPr>
    </w:p>
    <w:p>
      <w:pPr>
        <w:jc w:val="both"/>
        <w:ind w:firstLine="1763"/>
        <w:spacing w:after="0" w:line="246" w:lineRule="auto"/>
        <w:tabs>
          <w:tab w:leader="none" w:pos="2643" w:val="left"/>
        </w:tabs>
        <w:numPr>
          <w:ilvl w:val="1"/>
          <w:numId w:val="55"/>
        </w:numPr>
        <w:rPr>
          <w:rFonts w:ascii="Arial" w:cs="Arial" w:eastAsia="Arial" w:hAnsi="Arial"/>
          <w:sz w:val="19"/>
          <w:szCs w:val="19"/>
          <w:color w:val="010000"/>
        </w:rPr>
      </w:pPr>
      <w:r>
        <w:rPr>
          <w:rFonts w:ascii="Arial" w:cs="Arial" w:eastAsia="Arial" w:hAnsi="Arial"/>
          <w:sz w:val="19"/>
          <w:szCs w:val="19"/>
          <w:u w:val="single" w:color="auto"/>
          <w:color w:val="010000"/>
        </w:rPr>
        <w:t>Sign-on Bonus</w:t>
      </w:r>
      <w:r>
        <w:rPr>
          <w:rFonts w:ascii="Arial" w:cs="Arial" w:eastAsia="Arial" w:hAnsi="Arial"/>
          <w:sz w:val="19"/>
          <w:szCs w:val="19"/>
          <w:color w:val="010000"/>
        </w:rPr>
        <w:t>. The Company will pay the Executive a sign-on bonus in the gross amount of $100,000 (the “</w:t>
      </w:r>
      <w:r>
        <w:rPr>
          <w:rFonts w:ascii="Arial" w:cs="Arial" w:eastAsia="Arial" w:hAnsi="Arial"/>
          <w:sz w:val="19"/>
          <w:szCs w:val="19"/>
          <w:b w:val="1"/>
          <w:bCs w:val="1"/>
          <w:color w:val="010000"/>
        </w:rPr>
        <w:t>Sign-on Bonus</w:t>
      </w:r>
      <w:r>
        <w:rPr>
          <w:rFonts w:ascii="Arial" w:cs="Arial" w:eastAsia="Arial" w:hAnsi="Arial"/>
          <w:sz w:val="19"/>
          <w:szCs w:val="19"/>
          <w:color w:val="010000"/>
        </w:rPr>
        <w:t>”). The Sign-on Bonus will be payable to the Executive in a cash lump sum within 30 days following the Effective Date. If, prior to the one year anniversary of the Effective Date, the Executive terminates employment with the Company other than for Good Reason (as defined in Section 7(d)) or death or Disability (as defined in Section 7(b)) or the Company terminates the Executive for Cause (as defined in Section 7(a)), then the Executive will promptly repay to the Company 100% of the net amount of the Sign-on Bonus. If the Executive is obligated under this Section 4(c) to repay to the Company the Sign-on Bonus, then the Company may, in its discretion and as permitted under applicable law, off-set all or part of the Executive’s obligation under this Section 4(c) against amounts otherwise due to the Executive from the Company.</w:t>
      </w:r>
    </w:p>
    <w:p>
      <w:pPr>
        <w:spacing w:after="0" w:line="153" w:lineRule="exact"/>
        <w:rPr>
          <w:rFonts w:ascii="Arial" w:cs="Arial" w:eastAsia="Arial" w:hAnsi="Arial"/>
          <w:sz w:val="19"/>
          <w:szCs w:val="19"/>
          <w:color w:val="010000"/>
        </w:rPr>
      </w:pPr>
    </w:p>
    <w:p>
      <w:pPr>
        <w:jc w:val="both"/>
        <w:ind w:firstLine="1763"/>
        <w:spacing w:after="0" w:line="223" w:lineRule="auto"/>
        <w:tabs>
          <w:tab w:leader="none" w:pos="2655" w:val="left"/>
        </w:tabs>
        <w:numPr>
          <w:ilvl w:val="1"/>
          <w:numId w:val="55"/>
        </w:numPr>
        <w:rPr>
          <w:rFonts w:ascii="Arial" w:cs="Arial" w:eastAsia="Arial" w:hAnsi="Arial"/>
          <w:sz w:val="22"/>
          <w:szCs w:val="22"/>
          <w:color w:val="010000"/>
        </w:rPr>
      </w:pPr>
      <w:r>
        <w:rPr>
          <w:rFonts w:ascii="Arial" w:cs="Arial" w:eastAsia="Arial" w:hAnsi="Arial"/>
          <w:sz w:val="22"/>
          <w:szCs w:val="22"/>
          <w:u w:val="single" w:color="auto"/>
          <w:color w:val="010000"/>
        </w:rPr>
        <w:t>Withholding</w:t>
      </w:r>
      <w:r>
        <w:rPr>
          <w:rFonts w:ascii="Arial" w:cs="Arial" w:eastAsia="Arial" w:hAnsi="Arial"/>
          <w:sz w:val="22"/>
          <w:szCs w:val="22"/>
          <w:color w:val="010000"/>
        </w:rPr>
        <w:t>. Amounts payable to the Executive under this Agreement, including Section 4 and Section 8, shall be net of all applicable federal, state and local taxes, social security and such other amounts as the Company may be required by law to withhold from such amounts.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8" w:name="page119"/>
    <w:bookmarkEnd w:id="118"/>
    <w:p>
      <w:pPr>
        <w:jc w:val="both"/>
        <w:ind w:firstLine="1763"/>
        <w:spacing w:after="0" w:line="224" w:lineRule="auto"/>
        <w:tabs>
          <w:tab w:leader="none" w:pos="2643" w:val="left"/>
        </w:tabs>
        <w:numPr>
          <w:ilvl w:val="0"/>
          <w:numId w:val="56"/>
        </w:numPr>
        <w:rPr>
          <w:rFonts w:ascii="Arial" w:cs="Arial" w:eastAsia="Arial" w:hAnsi="Arial"/>
          <w:sz w:val="21"/>
          <w:szCs w:val="21"/>
          <w:color w:val="010000"/>
        </w:rPr>
      </w:pPr>
      <w:r>
        <w:rPr>
          <w:rFonts w:ascii="Arial" w:cs="Arial" w:eastAsia="Arial" w:hAnsi="Arial"/>
          <w:sz w:val="21"/>
          <w:szCs w:val="21"/>
          <w:u w:val="single" w:color="auto"/>
          <w:color w:val="auto"/>
        </w:rPr>
        <w:t>Equity</w:t>
      </w:r>
      <w:r>
        <w:rPr>
          <w:rFonts w:ascii="Arial" w:cs="Arial" w:eastAsia="Arial" w:hAnsi="Arial"/>
          <w:sz w:val="21"/>
          <w:szCs w:val="21"/>
          <w:color w:val="auto"/>
        </w:rPr>
        <w:t>. As a material inducement to accept the Company’s offer of employment, the Company will recommend to the Board (or a committee thereof) that the Executive be granted, subject to the Executive’s acceptance of this Agreement and commencement of employment, (i) an option to purchase 165,000 shares of common stock of the Company (the “</w:t>
      </w:r>
      <w:r>
        <w:rPr>
          <w:rFonts w:ascii="Arial" w:cs="Arial" w:eastAsia="Arial" w:hAnsi="Arial"/>
          <w:sz w:val="21"/>
          <w:szCs w:val="21"/>
          <w:b w:val="1"/>
          <w:bCs w:val="1"/>
          <w:color w:val="auto"/>
        </w:rPr>
        <w:t>New Hire Stock Option</w:t>
      </w:r>
      <w:r>
        <w:rPr>
          <w:rFonts w:ascii="Arial" w:cs="Arial" w:eastAsia="Arial" w:hAnsi="Arial"/>
          <w:sz w:val="21"/>
          <w:szCs w:val="21"/>
          <w:color w:val="auto"/>
        </w:rPr>
        <w:t>”) and (ii) a restricted stock unit award for 12,000 shares of common stock of the Company with time-based vesting (the “</w:t>
      </w:r>
      <w:r>
        <w:rPr>
          <w:rFonts w:ascii="Arial" w:cs="Arial" w:eastAsia="Arial" w:hAnsi="Arial"/>
          <w:sz w:val="21"/>
          <w:szCs w:val="21"/>
          <w:b w:val="1"/>
          <w:bCs w:val="1"/>
          <w:color w:val="auto"/>
        </w:rPr>
        <w:t>New Hire RSUs</w:t>
      </w:r>
      <w:r>
        <w:rPr>
          <w:rFonts w:ascii="Arial" w:cs="Arial" w:eastAsia="Arial" w:hAnsi="Arial"/>
          <w:sz w:val="21"/>
          <w:szCs w:val="21"/>
          <w:color w:val="auto"/>
        </w:rPr>
        <w:t>” and together with the New Hire Stock Option, the “</w:t>
      </w:r>
      <w:r>
        <w:rPr>
          <w:rFonts w:ascii="Arial" w:cs="Arial" w:eastAsia="Arial" w:hAnsi="Arial"/>
          <w:sz w:val="21"/>
          <w:szCs w:val="21"/>
          <w:b w:val="1"/>
          <w:bCs w:val="1"/>
          <w:color w:val="auto"/>
        </w:rPr>
        <w:t>New Hire Equity Awards</w:t>
      </w:r>
      <w:r>
        <w:rPr>
          <w:rFonts w:ascii="Arial" w:cs="Arial" w:eastAsia="Arial" w:hAnsi="Arial"/>
          <w:sz w:val="21"/>
          <w:szCs w:val="21"/>
          <w:color w:val="auto"/>
        </w:rPr>
        <w:t>”). The New Hire Equity Awards will have the following terms:</w:t>
      </w:r>
    </w:p>
    <w:p>
      <w:pPr>
        <w:spacing w:after="0" w:line="160" w:lineRule="exact"/>
        <w:rPr>
          <w:rFonts w:ascii="Arial" w:cs="Arial" w:eastAsia="Arial" w:hAnsi="Arial"/>
          <w:sz w:val="21"/>
          <w:szCs w:val="21"/>
          <w:color w:val="010000"/>
        </w:rPr>
      </w:pPr>
    </w:p>
    <w:p>
      <w:pPr>
        <w:jc w:val="both"/>
        <w:ind w:firstLine="3519"/>
        <w:spacing w:after="0" w:line="243" w:lineRule="auto"/>
        <w:tabs>
          <w:tab w:leader="none" w:pos="4363" w:val="left"/>
        </w:tabs>
        <w:numPr>
          <w:ilvl w:val="1"/>
          <w:numId w:val="56"/>
        </w:numPr>
        <w:rPr>
          <w:rFonts w:ascii="Arial" w:cs="Arial" w:eastAsia="Arial" w:hAnsi="Arial"/>
          <w:sz w:val="19"/>
          <w:szCs w:val="19"/>
          <w:color w:val="010000"/>
        </w:rPr>
      </w:pPr>
      <w:r>
        <w:rPr>
          <w:rFonts w:ascii="Arial" w:cs="Arial" w:eastAsia="Arial" w:hAnsi="Arial"/>
          <w:sz w:val="19"/>
          <w:szCs w:val="19"/>
          <w:color w:val="auto"/>
        </w:rPr>
        <w:t>As an inducement that is material to the Executive’s employment with the Company, the New Hire Stock Option will be granted to the Executive under the Company’s 2017 Inducement Award Plan (the “</w:t>
      </w:r>
      <w:r>
        <w:rPr>
          <w:rFonts w:ascii="Arial" w:cs="Arial" w:eastAsia="Arial" w:hAnsi="Arial"/>
          <w:sz w:val="19"/>
          <w:szCs w:val="19"/>
          <w:b w:val="1"/>
          <w:bCs w:val="1"/>
          <w:color w:val="auto"/>
        </w:rPr>
        <w:t>Inducement Plan</w:t>
      </w:r>
      <w:r>
        <w:rPr>
          <w:rFonts w:ascii="Arial" w:cs="Arial" w:eastAsia="Arial" w:hAnsi="Arial"/>
          <w:sz w:val="19"/>
          <w:szCs w:val="19"/>
          <w:color w:val="auto"/>
        </w:rPr>
        <w:t xml:space="preserve">”) pursuant to the inducement grant exception under Nasdaq Rule 5635(c)(4). Subject to the Executive’s continued employment and the terms of the Company’s Inducement Plan and the applicable non-qualified stock option agreement entered into by the Executive and the Company pursuant to the Inducement Plan, the New Hire Stock Option will have a term of ten years and the shares underlying the New Hire Stock Option shall vest in installments over </w:t>
      </w:r>
      <w:r>
        <w:rPr>
          <w:rFonts w:ascii="Arial" w:cs="Arial" w:eastAsia="Arial" w:hAnsi="Arial"/>
          <w:sz w:val="19"/>
          <w:szCs w:val="19"/>
          <w:color w:val="010000"/>
        </w:rPr>
        <w:t>four years with the first installment</w:t>
      </w:r>
      <w:r>
        <w:rPr>
          <w:rFonts w:ascii="Arial" w:cs="Arial" w:eastAsia="Arial" w:hAnsi="Arial"/>
          <w:sz w:val="19"/>
          <w:szCs w:val="19"/>
          <w:color w:val="auto"/>
        </w:rPr>
        <w:t xml:space="preserve"> </w:t>
      </w:r>
      <w:r>
        <w:rPr>
          <w:rFonts w:ascii="Arial" w:cs="Arial" w:eastAsia="Arial" w:hAnsi="Arial"/>
          <w:sz w:val="19"/>
          <w:szCs w:val="19"/>
          <w:color w:val="010000"/>
        </w:rPr>
        <w:t xml:space="preserve">(representing approximately 25% of the shares) vesting on the first anniversary of the grant date and the balance vesting over the next three years thereafter in approximately equal monthly installments. </w:t>
      </w:r>
      <w:r>
        <w:rPr>
          <w:rFonts w:ascii="Arial" w:cs="Arial" w:eastAsia="Arial" w:hAnsi="Arial"/>
          <w:sz w:val="19"/>
          <w:szCs w:val="19"/>
          <w:color w:val="000000"/>
        </w:rPr>
        <w:t>The New Hire Stock Option will have an exercise price</w:t>
      </w:r>
      <w:r>
        <w:rPr>
          <w:rFonts w:ascii="Arial" w:cs="Arial" w:eastAsia="Arial" w:hAnsi="Arial"/>
          <w:sz w:val="19"/>
          <w:szCs w:val="19"/>
          <w:color w:val="010000"/>
        </w:rPr>
        <w:t xml:space="preserve"> </w:t>
      </w:r>
      <w:r>
        <w:rPr>
          <w:rFonts w:ascii="Arial" w:cs="Arial" w:eastAsia="Arial" w:hAnsi="Arial"/>
          <w:sz w:val="19"/>
          <w:szCs w:val="19"/>
          <w:color w:val="000000"/>
        </w:rPr>
        <w:t>equal to the closing price of a common share of the Company on the Nasdaq Global Select Market on the grant date. The New Hire Stock Option shall be subject to accelerated vesting of time-based vesting awards in connection with a termination of employment to the extent and as provided in Section 8(b) of this Agreement.</w:t>
      </w:r>
    </w:p>
    <w:p>
      <w:pPr>
        <w:spacing w:after="0" w:line="159" w:lineRule="exact"/>
        <w:rPr>
          <w:rFonts w:ascii="Arial" w:cs="Arial" w:eastAsia="Arial" w:hAnsi="Arial"/>
          <w:sz w:val="19"/>
          <w:szCs w:val="19"/>
          <w:color w:val="010000"/>
        </w:rPr>
      </w:pPr>
    </w:p>
    <w:p>
      <w:pPr>
        <w:jc w:val="both"/>
        <w:ind w:firstLine="3519"/>
        <w:spacing w:after="0" w:line="252" w:lineRule="auto"/>
        <w:tabs>
          <w:tab w:leader="none" w:pos="4424" w:val="left"/>
        </w:tabs>
        <w:numPr>
          <w:ilvl w:val="1"/>
          <w:numId w:val="56"/>
        </w:numPr>
        <w:rPr>
          <w:rFonts w:ascii="Arial" w:cs="Arial" w:eastAsia="Arial" w:hAnsi="Arial"/>
          <w:sz w:val="19"/>
          <w:szCs w:val="19"/>
          <w:color w:val="010000"/>
        </w:rPr>
      </w:pPr>
      <w:r>
        <w:rPr>
          <w:rFonts w:ascii="Arial" w:cs="Arial" w:eastAsia="Arial" w:hAnsi="Arial"/>
          <w:sz w:val="19"/>
          <w:szCs w:val="19"/>
          <w:color w:val="auto"/>
        </w:rPr>
        <w:t>Subject to the Executive’s continued employment and the terms of the Company’s 2018 Stock Incentive Plan, as amended (the “</w:t>
      </w:r>
      <w:r>
        <w:rPr>
          <w:rFonts w:ascii="Arial" w:cs="Arial" w:eastAsia="Arial" w:hAnsi="Arial"/>
          <w:sz w:val="19"/>
          <w:szCs w:val="19"/>
          <w:b w:val="1"/>
          <w:bCs w:val="1"/>
          <w:color w:val="auto"/>
        </w:rPr>
        <w:t>2018 Plan</w:t>
      </w:r>
      <w:r>
        <w:rPr>
          <w:rFonts w:ascii="Arial" w:cs="Arial" w:eastAsia="Arial" w:hAnsi="Arial"/>
          <w:sz w:val="19"/>
          <w:szCs w:val="19"/>
          <w:color w:val="auto"/>
        </w:rPr>
        <w:t>”) and the applicable restricted stock unit award agreement entered into by the Executive and the Company pursuant to the 2018 Plan, the New Hire RSUs shall vest in one installment on the first anniversary of the grant date. The New Hire RSUs shall be subject to accelerated vesting of time-based vesting awards in connection with a termination of employment to the extent and as provided in Section 8(b) of this Agreement.</w:t>
      </w:r>
    </w:p>
    <w:p>
      <w:pPr>
        <w:spacing w:after="0" w:line="149" w:lineRule="exact"/>
        <w:rPr>
          <w:rFonts w:ascii="Arial" w:cs="Arial" w:eastAsia="Arial" w:hAnsi="Arial"/>
          <w:sz w:val="19"/>
          <w:szCs w:val="19"/>
          <w:color w:val="010000"/>
        </w:rPr>
      </w:pPr>
    </w:p>
    <w:p>
      <w:pPr>
        <w:jc w:val="both"/>
        <w:ind w:firstLine="3519"/>
        <w:spacing w:after="0" w:line="223" w:lineRule="auto"/>
        <w:tabs>
          <w:tab w:leader="none" w:pos="4484" w:val="left"/>
        </w:tabs>
        <w:numPr>
          <w:ilvl w:val="1"/>
          <w:numId w:val="56"/>
        </w:numPr>
        <w:rPr>
          <w:rFonts w:ascii="Arial" w:cs="Arial" w:eastAsia="Arial" w:hAnsi="Arial"/>
          <w:sz w:val="22"/>
          <w:szCs w:val="22"/>
          <w:color w:val="010000"/>
        </w:rPr>
      </w:pPr>
      <w:r>
        <w:rPr>
          <w:rFonts w:ascii="Arial" w:cs="Arial" w:eastAsia="Arial" w:hAnsi="Arial"/>
          <w:sz w:val="22"/>
          <w:szCs w:val="22"/>
          <w:color w:val="auto"/>
        </w:rPr>
        <w:t>The New Hire Equity Awards and any subsequently granted equity or stock-based awards under the Company’s equity incentive plans, including stock options and restricted stock unit awards, will be collectively referred to in this Agreement as the “</w:t>
      </w:r>
      <w:r>
        <w:rPr>
          <w:rFonts w:ascii="Arial" w:cs="Arial" w:eastAsia="Arial" w:hAnsi="Arial"/>
          <w:sz w:val="22"/>
          <w:szCs w:val="22"/>
          <w:b w:val="1"/>
          <w:bCs w:val="1"/>
          <w:color w:val="auto"/>
        </w:rPr>
        <w:t>Equity Awards</w:t>
      </w:r>
      <w:r>
        <w:rPr>
          <w:rFonts w:ascii="Arial" w:cs="Arial" w:eastAsia="Arial" w:hAnsi="Arial"/>
          <w:sz w:val="22"/>
          <w:szCs w:val="22"/>
          <w:color w:val="auto"/>
        </w:rPr>
        <w:t>.”</w:t>
      </w:r>
    </w:p>
    <w:p>
      <w:pPr>
        <w:spacing w:after="0" w:line="159" w:lineRule="exact"/>
        <w:rPr>
          <w:rFonts w:ascii="Arial" w:cs="Arial" w:eastAsia="Arial" w:hAnsi="Arial"/>
          <w:sz w:val="22"/>
          <w:szCs w:val="22"/>
          <w:color w:val="010000"/>
        </w:rPr>
      </w:pPr>
    </w:p>
    <w:p>
      <w:pPr>
        <w:jc w:val="both"/>
        <w:ind w:firstLine="1763"/>
        <w:spacing w:after="0" w:line="226" w:lineRule="auto"/>
        <w:tabs>
          <w:tab w:leader="none" w:pos="2619" w:val="left"/>
        </w:tabs>
        <w:numPr>
          <w:ilvl w:val="0"/>
          <w:numId w:val="56"/>
        </w:numPr>
        <w:rPr>
          <w:rFonts w:ascii="Arial" w:cs="Arial" w:eastAsia="Arial" w:hAnsi="Arial"/>
          <w:sz w:val="21"/>
          <w:szCs w:val="21"/>
          <w:color w:val="010000"/>
        </w:rPr>
      </w:pPr>
      <w:r>
        <w:rPr>
          <w:rFonts w:ascii="Arial" w:cs="Arial" w:eastAsia="Arial" w:hAnsi="Arial"/>
          <w:sz w:val="21"/>
          <w:szCs w:val="21"/>
          <w:u w:val="single" w:color="auto"/>
          <w:color w:val="010000"/>
        </w:rPr>
        <w:t>Expenses</w:t>
      </w:r>
      <w:r>
        <w:rPr>
          <w:rFonts w:ascii="Arial" w:cs="Arial" w:eastAsia="Arial" w:hAnsi="Arial"/>
          <w:sz w:val="21"/>
          <w:szCs w:val="21"/>
          <w:color w:val="010000"/>
        </w:rPr>
        <w:t>. The Company shall provide the Executive with a corporate credit card for business 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9" w:name="page120"/>
    <w:bookmarkEnd w:id="119"/>
    <w:p>
      <w:pPr>
        <w:jc w:val="both"/>
        <w:ind w:firstLine="1763"/>
        <w:spacing w:after="0" w:line="211" w:lineRule="auto"/>
        <w:tabs>
          <w:tab w:leader="none" w:pos="2655" w:val="left"/>
        </w:tabs>
        <w:numPr>
          <w:ilvl w:val="1"/>
          <w:numId w:val="57"/>
        </w:numPr>
        <w:rPr>
          <w:rFonts w:ascii="Arial" w:cs="Arial" w:eastAsia="Arial" w:hAnsi="Arial"/>
          <w:sz w:val="22"/>
          <w:szCs w:val="22"/>
          <w:color w:val="010000"/>
        </w:rPr>
      </w:pPr>
      <w:r>
        <w:rPr>
          <w:rFonts w:ascii="Arial" w:cs="Arial" w:eastAsia="Arial" w:hAnsi="Arial"/>
          <w:sz w:val="22"/>
          <w:szCs w:val="22"/>
          <w:u w:val="single" w:color="auto"/>
          <w:color w:val="010000"/>
        </w:rPr>
        <w:t>Other Benefits</w:t>
      </w:r>
      <w:r>
        <w:rPr>
          <w:rFonts w:ascii="Arial" w:cs="Arial" w:eastAsia="Arial" w:hAnsi="Arial"/>
          <w:sz w:val="22"/>
          <w:szCs w:val="22"/>
          <w:color w:val="010000"/>
        </w:rPr>
        <w:t>. The Executive shall be entitled to all rights and benefits for which Executive shall be eligible under any benefit or other plans (including, without limitation, dental, medical, medical reimbursement and hospital plans, pension plans, employee stock purchase plans, profit sharing plans, bonus plans and other so-called “</w:t>
      </w:r>
      <w:r>
        <w:rPr>
          <w:rFonts w:ascii="Arial" w:cs="Arial" w:eastAsia="Arial" w:hAnsi="Arial"/>
          <w:sz w:val="22"/>
          <w:szCs w:val="22"/>
          <w:b w:val="1"/>
          <w:bCs w:val="1"/>
          <w:color w:val="010000"/>
        </w:rPr>
        <w:t>Fringe Benefits</w:t>
      </w:r>
      <w:r>
        <w:rPr>
          <w:rFonts w:ascii="Arial" w:cs="Arial" w:eastAsia="Arial" w:hAnsi="Arial"/>
          <w:sz w:val="22"/>
          <w:szCs w:val="22"/>
          <w:color w:val="010000"/>
        </w:rPr>
        <w:t>”) as the Company shall make available to its senior executives from time to time, subject to the terms of such plans. In addition, if applicable, the Company shall reimburse the Executive for Executive’s 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w:t>
      </w:r>
    </w:p>
    <w:p>
      <w:pPr>
        <w:spacing w:after="0" w:line="159" w:lineRule="exact"/>
        <w:rPr>
          <w:rFonts w:ascii="Arial" w:cs="Arial" w:eastAsia="Arial" w:hAnsi="Arial"/>
          <w:sz w:val="22"/>
          <w:szCs w:val="22"/>
          <w:color w:val="010000"/>
        </w:rPr>
      </w:pPr>
    </w:p>
    <w:p>
      <w:pPr>
        <w:ind w:firstLine="1763"/>
        <w:spacing w:after="0" w:line="232" w:lineRule="auto"/>
        <w:tabs>
          <w:tab w:leader="none" w:pos="2655" w:val="left"/>
        </w:tabs>
        <w:numPr>
          <w:ilvl w:val="1"/>
          <w:numId w:val="57"/>
        </w:numPr>
        <w:rPr>
          <w:rFonts w:ascii="Arial" w:cs="Arial" w:eastAsia="Arial" w:hAnsi="Arial"/>
          <w:sz w:val="22"/>
          <w:szCs w:val="22"/>
          <w:color w:val="010000"/>
        </w:rPr>
      </w:pPr>
      <w:r>
        <w:rPr>
          <w:rFonts w:ascii="Arial" w:cs="Arial" w:eastAsia="Arial" w:hAnsi="Arial"/>
          <w:sz w:val="22"/>
          <w:szCs w:val="22"/>
          <w:u w:val="single" w:color="auto"/>
          <w:color w:val="010000"/>
        </w:rPr>
        <w:t>Vacation</w:t>
      </w:r>
      <w:r>
        <w:rPr>
          <w:rFonts w:ascii="Arial" w:cs="Arial" w:eastAsia="Arial" w:hAnsi="Arial"/>
          <w:sz w:val="22"/>
          <w:szCs w:val="22"/>
          <w:color w:val="010000"/>
        </w:rPr>
        <w:t>. The Executive will be entitled to paid vacation in accordance with the Company’s vacation policy, as in effect from time to time.</w:t>
      </w:r>
    </w:p>
    <w:p>
      <w:pPr>
        <w:spacing w:after="0" w:line="159" w:lineRule="exact"/>
        <w:rPr>
          <w:rFonts w:ascii="Arial" w:cs="Arial" w:eastAsia="Arial" w:hAnsi="Arial"/>
          <w:sz w:val="22"/>
          <w:szCs w:val="22"/>
          <w:color w:val="010000"/>
        </w:rPr>
      </w:pPr>
    </w:p>
    <w:p>
      <w:pPr>
        <w:ind w:firstLine="885"/>
        <w:spacing w:after="0" w:line="298" w:lineRule="auto"/>
        <w:tabs>
          <w:tab w:leader="none" w:pos="1688" w:val="left"/>
        </w:tabs>
        <w:numPr>
          <w:ilvl w:val="0"/>
          <w:numId w:val="58"/>
        </w:numPr>
        <w:rPr>
          <w:rFonts w:ascii="Arial" w:cs="Arial" w:eastAsia="Arial" w:hAnsi="Arial"/>
          <w:sz w:val="19"/>
          <w:szCs w:val="19"/>
          <w:color w:val="010000"/>
        </w:rPr>
      </w:pPr>
      <w:r>
        <w:rPr>
          <w:rFonts w:ascii="Arial" w:cs="Arial" w:eastAsia="Arial" w:hAnsi="Arial"/>
          <w:sz w:val="19"/>
          <w:szCs w:val="19"/>
          <w:u w:val="single" w:color="auto"/>
          <w:color w:val="010000"/>
        </w:rPr>
        <w:t>Confidential Information and Inventions</w:t>
      </w:r>
      <w:r>
        <w:rPr>
          <w:rFonts w:ascii="Arial" w:cs="Arial" w:eastAsia="Arial" w:hAnsi="Arial"/>
          <w:sz w:val="19"/>
          <w:szCs w:val="19"/>
          <w:color w:val="010000"/>
        </w:rPr>
        <w:t>. The Executive agrees to execute and comply with the Company’s standard form of Proprietary Information and Inventions Agreement, as it may be amended from time to time (the “</w:t>
      </w:r>
      <w:r>
        <w:rPr>
          <w:rFonts w:ascii="Arial" w:cs="Arial" w:eastAsia="Arial" w:hAnsi="Arial"/>
          <w:sz w:val="19"/>
          <w:szCs w:val="19"/>
          <w:b w:val="1"/>
          <w:bCs w:val="1"/>
          <w:color w:val="010000"/>
        </w:rPr>
        <w:t>PIIA</w:t>
      </w:r>
      <w:r>
        <w:rPr>
          <w:rFonts w:ascii="Arial" w:cs="Arial" w:eastAsia="Arial" w:hAnsi="Arial"/>
          <w:sz w:val="19"/>
          <w:szCs w:val="19"/>
          <w:color w:val="010000"/>
        </w:rPr>
        <w:t>”).</w:t>
      </w:r>
    </w:p>
    <w:p>
      <w:pPr>
        <w:spacing w:after="0" w:line="105" w:lineRule="exact"/>
        <w:rPr>
          <w:rFonts w:ascii="Arial" w:cs="Arial" w:eastAsia="Arial" w:hAnsi="Arial"/>
          <w:sz w:val="19"/>
          <w:szCs w:val="19"/>
          <w:color w:val="010000"/>
        </w:rPr>
      </w:pPr>
    </w:p>
    <w:p>
      <w:pPr>
        <w:ind w:left="1700" w:hanging="815"/>
        <w:spacing w:after="0"/>
        <w:tabs>
          <w:tab w:leader="none" w:pos="1700"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010000"/>
        </w:rPr>
        <w:t>Representations and Warranties</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ind w:left="2660" w:hanging="897"/>
        <w:spacing w:after="0"/>
        <w:tabs>
          <w:tab w:leader="none" w:pos="2660" w:val="left"/>
        </w:tabs>
        <w:numPr>
          <w:ilvl w:val="1"/>
          <w:numId w:val="58"/>
        </w:numPr>
        <w:rPr>
          <w:rFonts w:ascii="Arial" w:cs="Arial" w:eastAsia="Arial" w:hAnsi="Arial"/>
          <w:sz w:val="22"/>
          <w:szCs w:val="22"/>
          <w:color w:val="010000"/>
        </w:rPr>
      </w:pPr>
      <w:r>
        <w:rPr>
          <w:rFonts w:ascii="Arial" w:cs="Arial" w:eastAsia="Arial" w:hAnsi="Arial"/>
          <w:sz w:val="22"/>
          <w:szCs w:val="22"/>
          <w:color w:val="010000"/>
        </w:rPr>
        <w:t>The Executive hereby represents and warrants to the Company as follows:</w:t>
      </w:r>
    </w:p>
    <w:p>
      <w:pPr>
        <w:spacing w:after="0" w:line="179" w:lineRule="exact"/>
        <w:rPr>
          <w:rFonts w:ascii="Arial" w:cs="Arial" w:eastAsia="Arial" w:hAnsi="Arial"/>
          <w:sz w:val="22"/>
          <w:szCs w:val="22"/>
          <w:color w:val="010000"/>
        </w:rPr>
      </w:pPr>
    </w:p>
    <w:p>
      <w:pPr>
        <w:jc w:val="both"/>
        <w:ind w:firstLine="2642"/>
        <w:spacing w:after="0" w:line="216" w:lineRule="auto"/>
        <w:tabs>
          <w:tab w:leader="none" w:pos="3486" w:val="left"/>
        </w:tabs>
        <w:numPr>
          <w:ilvl w:val="2"/>
          <w:numId w:val="58"/>
        </w:numPr>
        <w:rPr>
          <w:rFonts w:ascii="Arial" w:cs="Arial" w:eastAsia="Arial" w:hAnsi="Arial"/>
          <w:sz w:val="22"/>
          <w:szCs w:val="22"/>
          <w:color w:val="auto"/>
        </w:rPr>
      </w:pPr>
      <w:r>
        <w:rPr>
          <w:rFonts w:ascii="Arial" w:cs="Arial" w:eastAsia="Arial" w:hAnsi="Arial"/>
          <w:sz w:val="22"/>
          <w:szCs w:val="22"/>
          <w:color w:val="auto"/>
        </w:rPr>
        <w:t>Neither the execution or delivery of this Agreement nor the performance by the Executive of Executive’s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she is bound.</w:t>
      </w:r>
    </w:p>
    <w:p>
      <w:pPr>
        <w:spacing w:after="0" w:line="158" w:lineRule="exact"/>
        <w:rPr>
          <w:rFonts w:ascii="Arial" w:cs="Arial" w:eastAsia="Arial" w:hAnsi="Arial"/>
          <w:sz w:val="22"/>
          <w:szCs w:val="22"/>
          <w:color w:val="auto"/>
        </w:rPr>
      </w:pPr>
    </w:p>
    <w:p>
      <w:pPr>
        <w:jc w:val="both"/>
        <w:ind w:firstLine="2642"/>
        <w:spacing w:after="0" w:line="216" w:lineRule="auto"/>
        <w:tabs>
          <w:tab w:leader="none" w:pos="3546" w:val="left"/>
        </w:tabs>
        <w:numPr>
          <w:ilvl w:val="2"/>
          <w:numId w:val="58"/>
        </w:numPr>
        <w:rPr>
          <w:rFonts w:ascii="Arial" w:cs="Arial" w:eastAsia="Arial" w:hAnsi="Arial"/>
          <w:sz w:val="22"/>
          <w:szCs w:val="22"/>
          <w:color w:val="auto"/>
        </w:rPr>
      </w:pPr>
      <w:r>
        <w:rPr>
          <w:rFonts w:ascii="Arial" w:cs="Arial" w:eastAsia="Arial" w:hAnsi="Arial"/>
          <w:sz w:val="22"/>
          <w:szCs w:val="22"/>
          <w:color w:val="auto"/>
        </w:rPr>
        <w:t>The Executive has the full right, power and legal capacity to enter and deliver this Agreement and to perform Executive’s duties and other obligations hereunder. This Agreement constitutes the legal, valid and binding obligation of the Executive enforceable against her in accordance with its terms. No approvals or consents of any persons or entities are required for the Executive to execute and deliver this Agreement or perform Executive’s duties and other obligations hereunder.</w:t>
      </w:r>
    </w:p>
    <w:p>
      <w:pPr>
        <w:spacing w:after="0" w:line="158" w:lineRule="exact"/>
        <w:rPr>
          <w:rFonts w:ascii="Arial" w:cs="Arial" w:eastAsia="Arial" w:hAnsi="Arial"/>
          <w:sz w:val="22"/>
          <w:szCs w:val="22"/>
          <w:color w:val="auto"/>
        </w:rPr>
      </w:pPr>
    </w:p>
    <w:p>
      <w:pPr>
        <w:jc w:val="both"/>
        <w:ind w:firstLine="1763"/>
        <w:spacing w:after="0" w:line="223" w:lineRule="auto"/>
        <w:tabs>
          <w:tab w:leader="none" w:pos="2655" w:val="left"/>
        </w:tabs>
        <w:numPr>
          <w:ilvl w:val="1"/>
          <w:numId w:val="58"/>
        </w:numPr>
        <w:rPr>
          <w:rFonts w:ascii="Arial" w:cs="Arial" w:eastAsia="Arial" w:hAnsi="Arial"/>
          <w:sz w:val="22"/>
          <w:szCs w:val="22"/>
          <w:color w:val="010000"/>
        </w:rPr>
      </w:pPr>
      <w:r>
        <w:rPr>
          <w:rFonts w:ascii="Arial" w:cs="Arial" w:eastAsia="Arial" w:hAnsi="Arial"/>
          <w:sz w:val="22"/>
          <w:szCs w:val="22"/>
          <w:color w:val="010000"/>
        </w:rPr>
        <w:t>The Company hereby represents and warrants to the Executive that this Agreement and the employment of the Executive hereunder have been duly authorized by and on behalf of the Company, including, without limitation, by all required action by the Board.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20" w:name="page121"/>
    <w:bookmarkEnd w:id="120"/>
    <w:p>
      <w:pPr>
        <w:ind w:firstLine="885"/>
        <w:spacing w:after="0" w:line="232" w:lineRule="auto"/>
        <w:tabs>
          <w:tab w:leader="none" w:pos="1688"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010000"/>
        </w:rPr>
        <w:t>Termination</w:t>
      </w:r>
      <w:r>
        <w:rPr>
          <w:rFonts w:ascii="Arial" w:cs="Arial" w:eastAsia="Arial" w:hAnsi="Arial"/>
          <w:sz w:val="22"/>
          <w:szCs w:val="22"/>
          <w:color w:val="010000"/>
        </w:rPr>
        <w:t>. The Executive’s employment hereunder shall be terminated immediately upon the Executive’s death and may be otherwise terminated as follows:</w:t>
      </w:r>
    </w:p>
    <w:p>
      <w:pPr>
        <w:spacing w:after="0" w:line="159" w:lineRule="exact"/>
        <w:rPr>
          <w:rFonts w:ascii="Arial" w:cs="Arial" w:eastAsia="Arial" w:hAnsi="Arial"/>
          <w:sz w:val="22"/>
          <w:szCs w:val="22"/>
          <w:color w:val="010000"/>
        </w:rPr>
      </w:pPr>
    </w:p>
    <w:p>
      <w:pPr>
        <w:ind w:right="20" w:firstLine="1763"/>
        <w:spacing w:after="0" w:line="232" w:lineRule="auto"/>
        <w:tabs>
          <w:tab w:leader="none" w:pos="2643" w:val="left"/>
        </w:tabs>
        <w:numPr>
          <w:ilvl w:val="1"/>
          <w:numId w:val="59"/>
        </w:numPr>
        <w:rPr>
          <w:rFonts w:ascii="Arial" w:cs="Arial" w:eastAsia="Arial" w:hAnsi="Arial"/>
          <w:sz w:val="22"/>
          <w:szCs w:val="22"/>
          <w:color w:val="010000"/>
        </w:rPr>
      </w:pPr>
      <w:r>
        <w:rPr>
          <w:rFonts w:ascii="Arial" w:cs="Arial" w:eastAsia="Arial" w:hAnsi="Arial"/>
          <w:sz w:val="22"/>
          <w:szCs w:val="22"/>
          <w:color w:val="010000"/>
        </w:rPr>
        <w:t>The Executive’s employment hereunder may be terminated by the Company for Cause as determined by the Chief Executive Officer. Any of the following actions by the Executive shall constitute “</w:t>
      </w:r>
      <w:r>
        <w:rPr>
          <w:rFonts w:ascii="Arial" w:cs="Arial" w:eastAsia="Arial" w:hAnsi="Arial"/>
          <w:sz w:val="22"/>
          <w:szCs w:val="22"/>
          <w:b w:val="1"/>
          <w:bCs w:val="1"/>
          <w:color w:val="010000"/>
        </w:rPr>
        <w:t>Cause</w:t>
      </w:r>
      <w:r>
        <w:rPr>
          <w:rFonts w:ascii="Arial" w:cs="Arial" w:eastAsia="Arial" w:hAnsi="Arial"/>
          <w:sz w:val="22"/>
          <w:szCs w:val="22"/>
          <w:color w:val="010000"/>
        </w:rPr>
        <w:t>”:</w:t>
      </w:r>
    </w:p>
    <w:p>
      <w:pPr>
        <w:spacing w:after="0" w:line="159" w:lineRule="exact"/>
        <w:rPr>
          <w:rFonts w:ascii="Arial" w:cs="Arial" w:eastAsia="Arial" w:hAnsi="Arial"/>
          <w:sz w:val="22"/>
          <w:szCs w:val="22"/>
          <w:color w:val="010000"/>
        </w:rPr>
      </w:pPr>
    </w:p>
    <w:p>
      <w:pPr>
        <w:ind w:left="3500" w:hanging="858"/>
        <w:spacing w:after="0"/>
        <w:tabs>
          <w:tab w:leader="none" w:pos="3500" w:val="left"/>
        </w:tabs>
        <w:numPr>
          <w:ilvl w:val="2"/>
          <w:numId w:val="59"/>
        </w:numPr>
        <w:rPr>
          <w:rFonts w:ascii="Arial" w:cs="Arial" w:eastAsia="Arial" w:hAnsi="Arial"/>
          <w:sz w:val="19"/>
          <w:szCs w:val="19"/>
          <w:color w:val="auto"/>
        </w:rPr>
      </w:pPr>
      <w:r>
        <w:rPr>
          <w:rFonts w:ascii="Arial" w:cs="Arial" w:eastAsia="Arial" w:hAnsi="Arial"/>
          <w:sz w:val="19"/>
          <w:szCs w:val="19"/>
          <w:color w:val="auto"/>
        </w:rPr>
        <w:t>The willful failure or disregard or continuing refusal by the Executive to perform her duties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61" w:lineRule="exact"/>
        <w:rPr>
          <w:rFonts w:ascii="Arial" w:cs="Arial" w:eastAsia="Arial" w:hAnsi="Arial"/>
          <w:sz w:val="19"/>
          <w:szCs w:val="19"/>
          <w:color w:val="auto"/>
        </w:rPr>
      </w:pPr>
    </w:p>
    <w:p>
      <w:pPr>
        <w:jc w:val="both"/>
        <w:ind w:firstLine="2642"/>
        <w:spacing w:after="0" w:line="223" w:lineRule="auto"/>
        <w:tabs>
          <w:tab w:leader="none" w:pos="3546" w:val="left"/>
        </w:tabs>
        <w:numPr>
          <w:ilvl w:val="2"/>
          <w:numId w:val="59"/>
        </w:numPr>
        <w:rPr>
          <w:rFonts w:ascii="Arial" w:cs="Arial" w:eastAsia="Arial" w:hAnsi="Arial"/>
          <w:sz w:val="22"/>
          <w:szCs w:val="22"/>
          <w:color w:val="auto"/>
        </w:rPr>
      </w:pPr>
      <w:r>
        <w:rPr>
          <w:rFonts w:ascii="Arial" w:cs="Arial" w:eastAsia="Arial" w:hAnsi="Arial"/>
          <w:sz w:val="22"/>
          <w:szCs w:val="22"/>
          <w:color w:val="auto"/>
        </w:rPr>
        <w:t>Any act of willful or intentional misconduct, or a grossly negligent act by the Executive having the effect of injuring, in a material way (as determined in good-faith by the Company), the business or reputation of the Company, including but not limited to, any officer, director, or executive of the Company;</w:t>
      </w:r>
    </w:p>
    <w:p>
      <w:pPr>
        <w:spacing w:after="0" w:line="159" w:lineRule="exact"/>
        <w:rPr>
          <w:rFonts w:ascii="Arial" w:cs="Arial" w:eastAsia="Arial" w:hAnsi="Arial"/>
          <w:sz w:val="22"/>
          <w:szCs w:val="22"/>
          <w:color w:val="auto"/>
        </w:rPr>
      </w:pPr>
    </w:p>
    <w:p>
      <w:pPr>
        <w:jc w:val="both"/>
        <w:ind w:firstLine="2642"/>
        <w:spacing w:after="0" w:line="218" w:lineRule="auto"/>
        <w:tabs>
          <w:tab w:leader="none" w:pos="3606" w:val="left"/>
        </w:tabs>
        <w:numPr>
          <w:ilvl w:val="2"/>
          <w:numId w:val="59"/>
        </w:numPr>
        <w:rPr>
          <w:rFonts w:ascii="Arial" w:cs="Arial" w:eastAsia="Arial" w:hAnsi="Arial"/>
          <w:sz w:val="22"/>
          <w:szCs w:val="22"/>
          <w:color w:val="auto"/>
        </w:rPr>
      </w:pPr>
      <w:r>
        <w:rPr>
          <w:rFonts w:ascii="Arial" w:cs="Arial" w:eastAsia="Arial" w:hAnsi="Arial"/>
          <w:sz w:val="22"/>
          <w:szCs w:val="22"/>
          <w:color w:val="auto"/>
        </w:rPr>
        <w:t>Willful misconduct by the Executive in carrying out her duties or obligations under this Agreement, including, without limitation, insubordination with respect to lawful directions received by the Executive from the Chief Executive Officer or from the Board having the effect of injuring, in a material way (as determined in good-faith by the Chief Executive Officer), the business or reputation of the Company;</w:t>
      </w:r>
    </w:p>
    <w:p>
      <w:pPr>
        <w:spacing w:after="0" w:line="161" w:lineRule="exact"/>
        <w:rPr>
          <w:rFonts w:ascii="Arial" w:cs="Arial" w:eastAsia="Arial" w:hAnsi="Arial"/>
          <w:sz w:val="22"/>
          <w:szCs w:val="22"/>
          <w:color w:val="auto"/>
        </w:rPr>
      </w:pPr>
    </w:p>
    <w:p>
      <w:pPr>
        <w:ind w:firstLine="2642"/>
        <w:spacing w:after="0" w:line="232" w:lineRule="auto"/>
        <w:tabs>
          <w:tab w:leader="none" w:pos="3594"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The Executive’s indictment of any felony or a misdemeanor involving moral turpitude (including entry of a nolo contendere plea);</w:t>
      </w:r>
    </w:p>
    <w:p>
      <w:pPr>
        <w:spacing w:after="0" w:line="159" w:lineRule="exact"/>
        <w:rPr>
          <w:rFonts w:ascii="Arial" w:cs="Arial" w:eastAsia="Arial" w:hAnsi="Arial"/>
          <w:sz w:val="22"/>
          <w:szCs w:val="22"/>
          <w:color w:val="auto"/>
        </w:rPr>
      </w:pPr>
    </w:p>
    <w:p>
      <w:pPr>
        <w:jc w:val="both"/>
        <w:ind w:firstLine="2642"/>
        <w:spacing w:after="0" w:line="218" w:lineRule="auto"/>
        <w:tabs>
          <w:tab w:leader="none" w:pos="3534"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The determination by the Company, based upon clear and convincing evidence, after a reasonable and good-faith investigation by the Company following a written allegation by another employee of the Company, that the Executive engaged in some form of harassment or discrimination prohibited by law (including, without limitation, age, sex or race discrimination);</w:t>
      </w:r>
    </w:p>
    <w:p>
      <w:pPr>
        <w:spacing w:after="0" w:line="161" w:lineRule="exact"/>
        <w:rPr>
          <w:rFonts w:ascii="Arial" w:cs="Arial" w:eastAsia="Arial" w:hAnsi="Arial"/>
          <w:sz w:val="22"/>
          <w:szCs w:val="22"/>
          <w:color w:val="auto"/>
        </w:rPr>
      </w:pPr>
    </w:p>
    <w:p>
      <w:pPr>
        <w:ind w:firstLine="2642"/>
        <w:spacing w:after="0" w:line="232" w:lineRule="auto"/>
        <w:tabs>
          <w:tab w:leader="none" w:pos="3594" w:val="left"/>
        </w:tabs>
        <w:numPr>
          <w:ilvl w:val="2"/>
          <w:numId w:val="59"/>
        </w:numPr>
        <w:rPr>
          <w:rFonts w:ascii="Arial" w:cs="Arial" w:eastAsia="Arial" w:hAnsi="Arial"/>
          <w:sz w:val="22"/>
          <w:szCs w:val="22"/>
          <w:color w:val="auto"/>
        </w:rPr>
      </w:pPr>
      <w:r>
        <w:rPr>
          <w:rFonts w:ascii="Arial" w:cs="Arial" w:eastAsia="Arial" w:hAnsi="Arial"/>
          <w:sz w:val="22"/>
          <w:szCs w:val="22"/>
          <w:color w:val="auto"/>
        </w:rPr>
        <w:t>Any intentional misappropriation of the property of the Company, or embezzlement of its funds or assets (whether or not a misdemeanor or felony);</w:t>
      </w:r>
    </w:p>
    <w:p>
      <w:pPr>
        <w:spacing w:after="0" w:line="159" w:lineRule="exact"/>
        <w:rPr>
          <w:rFonts w:ascii="Arial" w:cs="Arial" w:eastAsia="Arial" w:hAnsi="Arial"/>
          <w:sz w:val="22"/>
          <w:szCs w:val="22"/>
          <w:color w:val="auto"/>
        </w:rPr>
      </w:pPr>
    </w:p>
    <w:p>
      <w:pPr>
        <w:ind w:left="3660" w:hanging="1018"/>
        <w:spacing w:after="0"/>
        <w:tabs>
          <w:tab w:leader="none" w:pos="3660" w:val="left"/>
        </w:tabs>
        <w:numPr>
          <w:ilvl w:val="2"/>
          <w:numId w:val="59"/>
        </w:numPr>
        <w:rPr>
          <w:rFonts w:ascii="Arial" w:cs="Arial" w:eastAsia="Arial" w:hAnsi="Arial"/>
          <w:sz w:val="22"/>
          <w:szCs w:val="22"/>
          <w:color w:val="auto"/>
        </w:rPr>
      </w:pPr>
      <w:r>
        <w:rPr>
          <w:rFonts w:ascii="Arial" w:cs="Arial" w:eastAsia="Arial" w:hAnsi="Arial"/>
          <w:sz w:val="22"/>
          <w:szCs w:val="22"/>
          <w:color w:val="auto"/>
        </w:rPr>
        <w:t>Breach by the Executive of any of the provisions of the PIIA; and</w:t>
      </w:r>
    </w:p>
    <w:p>
      <w:pPr>
        <w:spacing w:after="0" w:line="179" w:lineRule="exact"/>
        <w:rPr>
          <w:rFonts w:ascii="Arial" w:cs="Arial" w:eastAsia="Arial" w:hAnsi="Arial"/>
          <w:sz w:val="22"/>
          <w:szCs w:val="22"/>
          <w:color w:val="auto"/>
        </w:rPr>
      </w:pPr>
    </w:p>
    <w:p>
      <w:pPr>
        <w:jc w:val="both"/>
        <w:ind w:firstLine="2642"/>
        <w:spacing w:after="0" w:line="223" w:lineRule="auto"/>
        <w:tabs>
          <w:tab w:leader="none" w:pos="3714" w:val="left"/>
        </w:tabs>
        <w:numPr>
          <w:ilvl w:val="2"/>
          <w:numId w:val="59"/>
        </w:numPr>
        <w:rPr>
          <w:rFonts w:ascii="Arial" w:cs="Arial" w:eastAsia="Arial" w:hAnsi="Arial"/>
          <w:sz w:val="22"/>
          <w:szCs w:val="22"/>
          <w:color w:val="auto"/>
        </w:rPr>
      </w:pPr>
      <w:r>
        <w:rPr>
          <w:rFonts w:ascii="Arial" w:cs="Arial" w:eastAsia="Arial" w:hAnsi="Arial"/>
          <w:sz w:val="22"/>
          <w:szCs w:val="22"/>
          <w:color w:val="auto"/>
        </w:rPr>
        <w:t>Breach by the Executive of any provision of this Agreement other than those contained in the PIIA, which is not cured by the Executive within thirty (30) business days after notice thereof is given to the Executive by the Company.</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21" w:name="page122"/>
    <w:bookmarkEnd w:id="121"/>
    <w:p>
      <w:pPr>
        <w:jc w:val="both"/>
        <w:ind w:firstLine="1763"/>
        <w:spacing w:after="0" w:line="241" w:lineRule="auto"/>
        <w:tabs>
          <w:tab w:leader="none" w:pos="2723" w:val="left"/>
        </w:tabs>
        <w:numPr>
          <w:ilvl w:val="0"/>
          <w:numId w:val="60"/>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Chief Executive Officer due to the Executive’s Disability. For purposes of this Agreement, a termination for “</w:t>
      </w:r>
      <w:r>
        <w:rPr>
          <w:rFonts w:ascii="Arial" w:cs="Arial" w:eastAsia="Arial" w:hAnsi="Arial"/>
          <w:sz w:val="19"/>
          <w:szCs w:val="19"/>
          <w:b w:val="1"/>
          <w:bCs w:val="1"/>
          <w:color w:val="010000"/>
        </w:rPr>
        <w:t>Disability</w:t>
      </w:r>
      <w:r>
        <w:rPr>
          <w:rFonts w:ascii="Arial" w:cs="Arial" w:eastAsia="Arial" w:hAnsi="Arial"/>
          <w:sz w:val="19"/>
          <w:szCs w:val="19"/>
          <w:color w:val="010000"/>
        </w:rPr>
        <w:t xml:space="preserve">” shall occur (i) when the Chief Executive Officer has provided a written termination notice to the Executive supported by a written statement from a reputable independent physician mutually selected by the Company and the Executive, or the Executive’s legal representatives in the event the Executive is unable to make such selection due to mental incapacity, to the effect that the Executive shall have become so physically or mentally incapacitated as to be unable to resume, even with reasonable accommodation as may be required under the Americans With Disabilities Act, within the ensuing twelve (12) months, the Executive’s employment hereunder by reason of physical or mental illness or injury, or (ii) upon rendering of a written termination notice by the Company after the Executive has been unable to substantially perform her duties hereunder, even with reasonable accommodation as may be required under the Americans With Disabilities Act, for one hundred twenty (120) or more consecutive days, or more than one hundred eighty (180) days in any consecutive twelve (12) month period, by reason of any physical or mental illness or injury. For purposes of this Section 7(b), the Executive agrees to make herself available and to cooperate in any reasonable examination by a reputable independent physician mutually selected by the Company and the Executive and paid for by the Company. Notwithstanding the foregoing, nothing herein shall give the Company the right to terminate the Executive prior to discharging its obligations to the Executive, if any, under the Family and Medical Leave Act, the Americans With Disabilities Act, or any other applicable law. The Company shall reimburse </w:t>
      </w:r>
      <w:r>
        <w:rPr>
          <w:rFonts w:ascii="Arial" w:cs="Arial" w:eastAsia="Arial" w:hAnsi="Arial"/>
          <w:sz w:val="19"/>
          <w:szCs w:val="19"/>
          <w:color w:val="000000"/>
        </w:rPr>
        <w:t xml:space="preserve">the </w:t>
      </w:r>
      <w:r>
        <w:rPr>
          <w:rFonts w:ascii="Arial" w:cs="Arial" w:eastAsia="Arial" w:hAnsi="Arial"/>
          <w:sz w:val="19"/>
          <w:szCs w:val="19"/>
          <w:color w:val="010000"/>
        </w:rPr>
        <w:t>Executive for the Executive’s actual cost of maintaining a supplementary long-term disability insurance policy during the Term</w:t>
      </w:r>
      <w:r>
        <w:rPr>
          <w:rFonts w:ascii="Arial" w:cs="Arial" w:eastAsia="Arial" w:hAnsi="Arial"/>
          <w:sz w:val="19"/>
          <w:szCs w:val="19"/>
          <w:color w:val="000000"/>
        </w:rPr>
        <w:t xml:space="preserve"> </w:t>
      </w:r>
      <w:r>
        <w:rPr>
          <w:rFonts w:ascii="Arial" w:cs="Arial" w:eastAsia="Arial" w:hAnsi="Arial"/>
          <w:sz w:val="19"/>
          <w:szCs w:val="19"/>
          <w:color w:val="010000"/>
        </w:rPr>
        <w:t>up to a maximum reimbursement of $10,000 per year.</w:t>
      </w:r>
    </w:p>
    <w:p>
      <w:pPr>
        <w:spacing w:after="0" w:line="379" w:lineRule="exact"/>
        <w:rPr>
          <w:rFonts w:ascii="Arial" w:cs="Arial" w:eastAsia="Arial" w:hAnsi="Arial"/>
          <w:sz w:val="19"/>
          <w:szCs w:val="19"/>
          <w:color w:val="010000"/>
        </w:rPr>
      </w:pPr>
    </w:p>
    <w:p>
      <w:pPr>
        <w:jc w:val="both"/>
        <w:ind w:firstLine="1763"/>
        <w:spacing w:after="0" w:line="218" w:lineRule="auto"/>
        <w:tabs>
          <w:tab w:leader="none" w:pos="2643" w:val="left"/>
        </w:tabs>
        <w:numPr>
          <w:ilvl w:val="0"/>
          <w:numId w:val="60"/>
        </w:numPr>
        <w:rPr>
          <w:rFonts w:ascii="Arial" w:cs="Arial" w:eastAsia="Arial" w:hAnsi="Arial"/>
          <w:sz w:val="21"/>
          <w:szCs w:val="21"/>
          <w:color w:val="010000"/>
        </w:rPr>
      </w:pPr>
      <w:r>
        <w:rPr>
          <w:rFonts w:ascii="Arial" w:cs="Arial" w:eastAsia="Arial" w:hAnsi="Arial"/>
          <w:sz w:val="21"/>
          <w:szCs w:val="21"/>
          <w:color w:val="010000"/>
        </w:rPr>
        <w:t>The Executive’s employment hereunder may be terminated by the Company (or its successor) by written notice to the Executive upon the occurrence of a Change of Control. For purposes of this Agreement, “</w:t>
      </w:r>
      <w:r>
        <w:rPr>
          <w:rFonts w:ascii="Arial" w:cs="Arial" w:eastAsia="Arial" w:hAnsi="Arial"/>
          <w:sz w:val="21"/>
          <w:szCs w:val="21"/>
          <w:b w:val="1"/>
          <w:bCs w:val="1"/>
          <w:color w:val="010000"/>
        </w:rPr>
        <w:t>Change of</w:t>
      </w:r>
      <w:r>
        <w:rPr>
          <w:rFonts w:ascii="Arial" w:cs="Arial" w:eastAsia="Arial" w:hAnsi="Arial"/>
          <w:sz w:val="21"/>
          <w:szCs w:val="21"/>
          <w:color w:val="010000"/>
        </w:rPr>
        <w:t xml:space="preserve"> </w:t>
      </w:r>
      <w:r>
        <w:rPr>
          <w:rFonts w:ascii="Arial" w:cs="Arial" w:eastAsia="Arial" w:hAnsi="Arial"/>
          <w:sz w:val="21"/>
          <w:szCs w:val="21"/>
          <w:b w:val="1"/>
          <w:bCs w:val="1"/>
          <w:color w:val="010000"/>
        </w:rPr>
        <w:t>Control</w:t>
      </w:r>
      <w:r>
        <w:rPr>
          <w:rFonts w:ascii="Arial" w:cs="Arial" w:eastAsia="Arial" w:hAnsi="Arial"/>
          <w:sz w:val="21"/>
          <w:szCs w:val="21"/>
          <w:color w:val="010000"/>
        </w:rPr>
        <w:t>” means (i) the acquisition, directly or indirectly, following the Effective Date by any person (as such term is defined in</w:t>
      </w:r>
      <w:r>
        <w:rPr>
          <w:rFonts w:ascii="Arial" w:cs="Arial" w:eastAsia="Arial" w:hAnsi="Arial"/>
          <w:sz w:val="21"/>
          <w:szCs w:val="21"/>
          <w:b w:val="1"/>
          <w:bCs w:val="1"/>
          <w:color w:val="010000"/>
        </w:rPr>
        <w:t xml:space="preserve"> </w:t>
      </w:r>
      <w:r>
        <w:rPr>
          <w:rFonts w:ascii="Arial" w:cs="Arial" w:eastAsia="Arial" w:hAnsi="Arial"/>
          <w:sz w:val="21"/>
          <w:szCs w:val="21"/>
          <w:color w:val="010000"/>
        </w:rPr>
        <w:t xml:space="preserve">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w:t>
      </w:r>
      <w:r>
        <w:rPr>
          <w:rFonts w:ascii="Arial" w:cs="Arial" w:eastAsia="Arial" w:hAnsi="Arial"/>
          <w:sz w:val="21"/>
          <w:szCs w:val="21"/>
          <w:color w:val="000000"/>
        </w:rPr>
        <w:t>Notwithstanding the foregoing, if the Change of Control does not constitute a change in the ownership or effective</w:t>
      </w:r>
      <w:r>
        <w:rPr>
          <w:rFonts w:ascii="Arial" w:cs="Arial" w:eastAsia="Arial" w:hAnsi="Arial"/>
          <w:sz w:val="21"/>
          <w:szCs w:val="21"/>
          <w:color w:val="010000"/>
        </w:rPr>
        <w:t xml:space="preserve"> </w:t>
      </w:r>
      <w:r>
        <w:rPr>
          <w:rFonts w:ascii="Arial" w:cs="Arial" w:eastAsia="Arial" w:hAnsi="Arial"/>
          <w:sz w:val="21"/>
          <w:szCs w:val="21"/>
          <w:color w:val="000000"/>
        </w:rPr>
        <w:t>control of the Company, or in the ownership of a substantial portion of the assets of the Company, within the meaning of Section 409A of the Internal Revenue Code of 1986, as amended (the “</w:t>
      </w:r>
      <w:r>
        <w:rPr>
          <w:rFonts w:ascii="Arial" w:cs="Arial" w:eastAsia="Arial" w:hAnsi="Arial"/>
          <w:sz w:val="21"/>
          <w:szCs w:val="21"/>
          <w:b w:val="1"/>
          <w:bCs w:val="1"/>
          <w:color w:val="000000"/>
        </w:rPr>
        <w:t>Cod</w:t>
      </w:r>
      <w:r>
        <w:rPr>
          <w:rFonts w:ascii="Arial" w:cs="Arial" w:eastAsia="Arial" w:hAnsi="Arial"/>
          <w:sz w:val="21"/>
          <w:szCs w:val="21"/>
          <w:color w:val="000000"/>
        </w:rPr>
        <w:t>e”), the amount of cash severance payable pursuant to Section 8(b), if any, shall be paid in equal installments in accordance with the Company’s then payroll practice over a 12-month period. Solely for purposes of Section 409A of the Code, each installment payment under this Agreement is considered a separate payment.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22" w:name="page123"/>
    <w:bookmarkEnd w:id="122"/>
    <w:p>
      <w:pPr>
        <w:jc w:val="both"/>
        <w:ind w:firstLine="1763"/>
        <w:spacing w:after="0" w:line="238" w:lineRule="auto"/>
        <w:tabs>
          <w:tab w:leader="none" w:pos="2655" w:val="left"/>
        </w:tabs>
        <w:numPr>
          <w:ilvl w:val="2"/>
          <w:numId w:val="61"/>
        </w:numPr>
        <w:rPr>
          <w:rFonts w:ascii="Arial" w:cs="Arial" w:eastAsia="Arial" w:hAnsi="Arial"/>
          <w:sz w:val="19"/>
          <w:szCs w:val="19"/>
          <w:color w:val="010000"/>
        </w:rPr>
      </w:pPr>
      <w:r>
        <w:rPr>
          <w:rFonts w:ascii="Arial" w:cs="Arial" w:eastAsia="Arial" w:hAnsi="Arial"/>
          <w:sz w:val="19"/>
          <w:szCs w:val="19"/>
          <w:color w:val="010000"/>
        </w:rPr>
        <w:t>The Executive’s employment hereunder may be voluntarily terminated by the Executive for Good Reason. For purposes of this Agreement, “</w:t>
      </w:r>
      <w:r>
        <w:rPr>
          <w:rFonts w:ascii="Arial" w:cs="Arial" w:eastAsia="Arial" w:hAnsi="Arial"/>
          <w:sz w:val="19"/>
          <w:szCs w:val="19"/>
          <w:b w:val="1"/>
          <w:bCs w:val="1"/>
          <w:color w:val="010000"/>
        </w:rPr>
        <w:t>Good Reason</w:t>
      </w:r>
      <w:r>
        <w:rPr>
          <w:rFonts w:ascii="Arial" w:cs="Arial" w:eastAsia="Arial" w:hAnsi="Arial"/>
          <w:sz w:val="19"/>
          <w:szCs w:val="19"/>
          <w:color w:val="010000"/>
        </w:rPr>
        <w:t>” shall mean any of the following: (i) any material reduction by the Company of the Executive’s duties, or responsibilities or authority that, taken as a whole, results in a material diminution of position; provided, however, that a change in the Executive’s title or reporting relationship shall not by itself constitute a termination by the Executive for Good Reason under this clause (i); (ii) any material (meaning 10% or more)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any requirement by the Company, without the Executive’s prior written consent, that the Executive locate the Executive’s residence or primary place of employment to a location outside a 50-mile radius of such location mutually agreed upon between the Company and the Executive as of the Effective Date, or such other location that the Company and the Executive may mutually agree upon and designate from time to time during the Term; or (iv) a material breach by the Company of Section 6(b) of this Agreement which is not cured by the Company within thirty (30) days after written notice thereof is given to the Company by the Executive. However, notwithstanding the above, Good Reason shall not exist unless:</w:t>
      </w:r>
    </w:p>
    <w:p>
      <w:pPr>
        <w:spacing w:after="0" w:line="10" w:lineRule="exact"/>
        <w:rPr>
          <w:rFonts w:ascii="Arial" w:cs="Arial" w:eastAsia="Arial" w:hAnsi="Arial"/>
          <w:sz w:val="19"/>
          <w:szCs w:val="19"/>
          <w:color w:val="010000"/>
        </w:rPr>
      </w:pPr>
    </w:p>
    <w:p>
      <w:pPr>
        <w:jc w:val="both"/>
        <w:ind w:right="20" w:firstLine="8"/>
        <w:spacing w:after="0" w:line="237" w:lineRule="auto"/>
        <w:tabs>
          <w:tab w:leader="none" w:pos="306" w:val="left"/>
        </w:tabs>
        <w:numPr>
          <w:ilvl w:val="0"/>
          <w:numId w:val="62"/>
        </w:numPr>
        <w:rPr>
          <w:rFonts w:ascii="Arial" w:cs="Arial" w:eastAsia="Arial" w:hAnsi="Arial"/>
          <w:sz w:val="19"/>
          <w:szCs w:val="19"/>
          <w:color w:val="010000"/>
        </w:rPr>
      </w:pPr>
      <w:r>
        <w:rPr>
          <w:rFonts w:ascii="Arial" w:cs="Arial" w:eastAsia="Arial" w:hAnsi="Arial"/>
          <w:sz w:val="19"/>
          <w:szCs w:val="19"/>
          <w:color w:val="010000"/>
        </w:rPr>
        <w:t>the Executive notifies in writing the Chief Executive Officer within thirty (30) days of the initial existence of one of the adverse events described above, and (y) the Company fails to correct the adverse event within thirty (30) days of such written notice, and</w:t>
      </w:r>
    </w:p>
    <w:p>
      <w:pPr>
        <w:ind w:firstLine="8"/>
        <w:spacing w:after="0" w:line="224" w:lineRule="auto"/>
        <w:tabs>
          <w:tab w:leader="none" w:pos="317" w:val="left"/>
        </w:tabs>
        <w:numPr>
          <w:ilvl w:val="0"/>
          <w:numId w:val="63"/>
        </w:numPr>
        <w:rPr>
          <w:rFonts w:ascii="Arial" w:cs="Arial" w:eastAsia="Arial" w:hAnsi="Arial"/>
          <w:sz w:val="22"/>
          <w:szCs w:val="22"/>
          <w:color w:val="010000"/>
        </w:rPr>
      </w:pPr>
      <w:r>
        <w:rPr>
          <w:rFonts w:ascii="Arial" w:cs="Arial" w:eastAsia="Arial" w:hAnsi="Arial"/>
          <w:sz w:val="22"/>
          <w:szCs w:val="22"/>
          <w:color w:val="010000"/>
        </w:rPr>
        <w:t>the Executive’s voluntary termination because of the existence of one or more of the adverse events described above occurs within ninety (90) days of the initial existence of the event.</w:t>
      </w:r>
    </w:p>
    <w:p>
      <w:pPr>
        <w:spacing w:after="0" w:line="158" w:lineRule="exact"/>
        <w:rPr>
          <w:rFonts w:ascii="Arial" w:cs="Arial" w:eastAsia="Arial" w:hAnsi="Arial"/>
          <w:sz w:val="22"/>
          <w:szCs w:val="22"/>
          <w:color w:val="010000"/>
        </w:rPr>
      </w:pPr>
    </w:p>
    <w:p>
      <w:pPr>
        <w:jc w:val="both"/>
        <w:ind w:firstLine="1763"/>
        <w:spacing w:after="0" w:line="223" w:lineRule="auto"/>
        <w:tabs>
          <w:tab w:leader="none" w:pos="2643" w:val="left"/>
        </w:tabs>
        <w:numPr>
          <w:ilvl w:val="2"/>
          <w:numId w:val="63"/>
        </w:numPr>
        <w:rPr>
          <w:rFonts w:ascii="Arial" w:cs="Arial" w:eastAsia="Arial" w:hAnsi="Arial"/>
          <w:sz w:val="22"/>
          <w:szCs w:val="22"/>
          <w:color w:val="010000"/>
        </w:rPr>
      </w:pPr>
      <w:r>
        <w:rPr>
          <w:rFonts w:ascii="Arial" w:cs="Arial" w:eastAsia="Arial" w:hAnsi="Arial"/>
          <w:sz w:val="22"/>
          <w:szCs w:val="22"/>
          <w:color w:val="010000"/>
        </w:rPr>
        <w:t>The Executive’s employment may be terminated by the Company without Cause by delivery of written notice to the Executive effective the date of delivery of such notice. For the avoidance of doubt, termination of the Executive’s employment due to her death or Disability does not constitute a termination for Cause.</w:t>
      </w:r>
    </w:p>
    <w:p>
      <w:pPr>
        <w:spacing w:after="0" w:line="159" w:lineRule="exact"/>
        <w:rPr>
          <w:rFonts w:ascii="Arial" w:cs="Arial" w:eastAsia="Arial" w:hAnsi="Arial"/>
          <w:sz w:val="22"/>
          <w:szCs w:val="22"/>
          <w:color w:val="010000"/>
        </w:rPr>
      </w:pPr>
    </w:p>
    <w:p>
      <w:pPr>
        <w:ind w:firstLine="1763"/>
        <w:spacing w:after="0" w:line="247" w:lineRule="auto"/>
        <w:tabs>
          <w:tab w:leader="none" w:pos="2619" w:val="left"/>
        </w:tabs>
        <w:numPr>
          <w:ilvl w:val="2"/>
          <w:numId w:val="63"/>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Executive in the absence of Good Reason by delivery of written notice to the Company effective fifteen (15) days after the date of delivery of such notice.</w:t>
      </w:r>
    </w:p>
    <w:p>
      <w:pPr>
        <w:spacing w:after="0" w:line="151" w:lineRule="exact"/>
        <w:rPr>
          <w:rFonts w:ascii="Arial" w:cs="Arial" w:eastAsia="Arial" w:hAnsi="Arial"/>
          <w:sz w:val="21"/>
          <w:szCs w:val="21"/>
          <w:color w:val="010000"/>
        </w:rPr>
      </w:pPr>
    </w:p>
    <w:p>
      <w:pPr>
        <w:ind w:left="1700" w:hanging="815"/>
        <w:spacing w:after="0"/>
        <w:tabs>
          <w:tab w:leader="none" w:pos="1700" w:val="left"/>
        </w:tabs>
        <w:numPr>
          <w:ilvl w:val="1"/>
          <w:numId w:val="63"/>
        </w:numPr>
        <w:rPr>
          <w:rFonts w:ascii="Arial" w:cs="Arial" w:eastAsia="Arial" w:hAnsi="Arial"/>
          <w:sz w:val="22"/>
          <w:szCs w:val="22"/>
          <w:color w:val="010000"/>
        </w:rPr>
      </w:pPr>
      <w:r>
        <w:rPr>
          <w:rFonts w:ascii="Arial" w:cs="Arial" w:eastAsia="Arial" w:hAnsi="Arial"/>
          <w:sz w:val="22"/>
          <w:szCs w:val="22"/>
          <w:u w:val="single" w:color="auto"/>
          <w:color w:val="010000"/>
        </w:rPr>
        <w:t>Compensation upon Termination</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jc w:val="both"/>
        <w:ind w:firstLine="1763"/>
        <w:spacing w:after="0" w:line="245" w:lineRule="auto"/>
        <w:tabs>
          <w:tab w:leader="none" w:pos="2643" w:val="left"/>
        </w:tabs>
        <w:numPr>
          <w:ilvl w:val="2"/>
          <w:numId w:val="64"/>
        </w:numPr>
        <w:rPr>
          <w:rFonts w:ascii="Arial" w:cs="Arial" w:eastAsia="Arial" w:hAnsi="Arial"/>
          <w:sz w:val="19"/>
          <w:szCs w:val="19"/>
          <w:color w:val="010000"/>
        </w:rPr>
      </w:pPr>
      <w:r>
        <w:rPr>
          <w:rFonts w:ascii="Arial" w:cs="Arial" w:eastAsia="Arial" w:hAnsi="Arial"/>
          <w:sz w:val="19"/>
          <w:szCs w:val="19"/>
          <w:u w:val="single" w:color="auto"/>
          <w:color w:val="010000"/>
        </w:rPr>
        <w:t>Accrued Benefits</w:t>
      </w:r>
      <w:r>
        <w:rPr>
          <w:rFonts w:ascii="Arial" w:cs="Arial" w:eastAsia="Arial" w:hAnsi="Arial"/>
          <w:sz w:val="19"/>
          <w:szCs w:val="19"/>
          <w:color w:val="010000"/>
        </w:rPr>
        <w:t>. Upon termination of the Executive’s employment by either party regardless of the cause or reason, the Executive shall be entitled to the following, referred to herein as the “</w:t>
      </w:r>
      <w:r>
        <w:rPr>
          <w:rFonts w:ascii="Arial" w:cs="Arial" w:eastAsia="Arial" w:hAnsi="Arial"/>
          <w:sz w:val="19"/>
          <w:szCs w:val="19"/>
          <w:b w:val="1"/>
          <w:bCs w:val="1"/>
          <w:color w:val="010000"/>
        </w:rPr>
        <w:t>Accrued Benefits</w:t>
      </w:r>
      <w:r>
        <w:rPr>
          <w:rFonts w:ascii="Arial" w:cs="Arial" w:eastAsia="Arial" w:hAnsi="Arial"/>
          <w:sz w:val="19"/>
          <w:szCs w:val="19"/>
          <w:color w:val="010000"/>
        </w:rPr>
        <w:t>”: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 8, the vested portion of any stock options held by the Executive as of the Executive’s termination date shall remain exercisable for ninety (90) days following such termination.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23" w:name="page124"/>
    <w:bookmarkEnd w:id="123"/>
    <w:p>
      <w:pPr>
        <w:jc w:val="both"/>
        <w:ind w:firstLine="1763"/>
        <w:spacing w:after="0"/>
        <w:tabs>
          <w:tab w:leader="none" w:pos="2655" w:val="left"/>
        </w:tabs>
        <w:numPr>
          <w:ilvl w:val="0"/>
          <w:numId w:val="65"/>
        </w:numPr>
        <w:rPr>
          <w:rFonts w:ascii="Arial" w:cs="Arial" w:eastAsia="Arial" w:hAnsi="Arial"/>
          <w:sz w:val="19"/>
          <w:szCs w:val="19"/>
          <w:color w:val="010000"/>
        </w:rPr>
      </w:pPr>
      <w:r>
        <w:rPr>
          <w:rFonts w:ascii="Arial" w:cs="Arial" w:eastAsia="Arial" w:hAnsi="Arial"/>
          <w:sz w:val="19"/>
          <w:szCs w:val="19"/>
          <w:u w:val="single" w:color="auto"/>
          <w:color w:val="auto"/>
        </w:rPr>
        <w:t>Change of Control Separation Benefits</w:t>
      </w:r>
      <w:r>
        <w:rPr>
          <w:rFonts w:ascii="Arial" w:cs="Arial" w:eastAsia="Arial" w:hAnsi="Arial"/>
          <w:sz w:val="19"/>
          <w:szCs w:val="19"/>
          <w:color w:val="auto"/>
        </w:rPr>
        <w:t xml:space="preserve">. If the Executive’s employment is terminated by the Company due to Disability pursuant to Section 7(b), by the Company without Cause pursuant to Section </w:t>
      </w:r>
      <w:r>
        <w:rPr>
          <w:rFonts w:ascii="Arial" w:cs="Arial" w:eastAsia="Arial" w:hAnsi="Arial"/>
          <w:sz w:val="19"/>
          <w:szCs w:val="19"/>
          <w:color w:val="010000"/>
        </w:rPr>
        <w:t>7</w:t>
      </w:r>
      <w:r>
        <w:rPr>
          <w:rFonts w:ascii="Arial" w:cs="Arial" w:eastAsia="Arial" w:hAnsi="Arial"/>
          <w:sz w:val="19"/>
          <w:szCs w:val="19"/>
          <w:color w:val="auto"/>
        </w:rPr>
        <w:t xml:space="preserve">(e) or by </w:t>
      </w:r>
      <w:r>
        <w:rPr>
          <w:rFonts w:ascii="Arial" w:cs="Arial" w:eastAsia="Arial" w:hAnsi="Arial"/>
          <w:sz w:val="19"/>
          <w:szCs w:val="19"/>
          <w:color w:val="010000"/>
        </w:rPr>
        <w:t>the</w:t>
      </w:r>
      <w:r>
        <w:rPr>
          <w:rFonts w:ascii="Arial" w:cs="Arial" w:eastAsia="Arial" w:hAnsi="Arial"/>
          <w:sz w:val="19"/>
          <w:szCs w:val="19"/>
          <w:color w:val="auto"/>
        </w:rPr>
        <w:t xml:space="preserve"> Executive for Good Reason pursuant to Section </w:t>
      </w:r>
      <w:r>
        <w:rPr>
          <w:rFonts w:ascii="Arial" w:cs="Arial" w:eastAsia="Arial" w:hAnsi="Arial"/>
          <w:sz w:val="19"/>
          <w:szCs w:val="19"/>
          <w:color w:val="010000"/>
        </w:rPr>
        <w:t>7</w:t>
      </w:r>
      <w:r>
        <w:rPr>
          <w:rFonts w:ascii="Arial" w:cs="Arial" w:eastAsia="Arial" w:hAnsi="Arial"/>
          <w:sz w:val="19"/>
          <w:szCs w:val="19"/>
          <w:color w:val="auto"/>
        </w:rPr>
        <w:t>(d) and such termination occurs during the period beginning on the Change of Control and ending twelve (12) months immediately following such Change of Control (the “</w:t>
      </w:r>
      <w:r>
        <w:rPr>
          <w:rFonts w:ascii="Arial" w:cs="Arial" w:eastAsia="Arial" w:hAnsi="Arial"/>
          <w:sz w:val="19"/>
          <w:szCs w:val="19"/>
          <w:b w:val="1"/>
          <w:bCs w:val="1"/>
          <w:color w:val="auto"/>
        </w:rPr>
        <w:t>COC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t>
      </w:r>
      <w:r>
        <w:rPr>
          <w:rFonts w:ascii="Arial" w:cs="Arial" w:eastAsia="Arial" w:hAnsi="Arial"/>
          <w:sz w:val="19"/>
          <w:szCs w:val="19"/>
          <w:color w:val="010000"/>
        </w:rPr>
        <w:t>the</w:t>
      </w:r>
      <w:r>
        <w:rPr>
          <w:rFonts w:ascii="Arial" w:cs="Arial" w:eastAsia="Arial" w:hAnsi="Arial"/>
          <w:sz w:val="19"/>
          <w:szCs w:val="19"/>
          <w:color w:val="auto"/>
        </w:rPr>
        <w:t xml:space="preserve"> Executive signs and does not revoke a general release of claims against the Company within the time period specified therein (which time period shall not exceed sixty (60) days), in form and substance satisfactory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then the Company shall provide the following benefits to </w:t>
      </w:r>
      <w:r>
        <w:rPr>
          <w:rFonts w:ascii="Arial" w:cs="Arial" w:eastAsia="Arial" w:hAnsi="Arial"/>
          <w:sz w:val="19"/>
          <w:szCs w:val="19"/>
          <w:color w:val="010000"/>
        </w:rPr>
        <w:t>the</w:t>
      </w:r>
      <w:r>
        <w:rPr>
          <w:rFonts w:ascii="Arial" w:cs="Arial" w:eastAsia="Arial" w:hAnsi="Arial"/>
          <w:sz w:val="19"/>
          <w:szCs w:val="19"/>
          <w:color w:val="auto"/>
        </w:rPr>
        <w:t xml:space="preserve"> Executive, referred to herein as the “</w:t>
      </w:r>
      <w:r>
        <w:rPr>
          <w:rFonts w:ascii="Arial" w:cs="Arial" w:eastAsia="Arial" w:hAnsi="Arial"/>
          <w:sz w:val="19"/>
          <w:szCs w:val="19"/>
          <w:b w:val="1"/>
          <w:bCs w:val="1"/>
          <w:color w:val="auto"/>
        </w:rPr>
        <w:t>Change of Control Separation Benefits</w:t>
      </w:r>
      <w:r>
        <w:rPr>
          <w:rFonts w:ascii="Arial" w:cs="Arial" w:eastAsia="Arial" w:hAnsi="Arial"/>
          <w:sz w:val="19"/>
          <w:szCs w:val="19"/>
          <w:color w:val="auto"/>
        </w:rPr>
        <w:t>”: (i) a lump sum payment equal to twelve (12) months of the Executive’s then-current Base Salary; (ii) the full target Annual Performance Bonus for the year in which such termination occurs, less any installments paid in advance (items (i) and (ii) being the “</w:t>
      </w:r>
      <w:r>
        <w:rPr>
          <w:rFonts w:ascii="Arial" w:cs="Arial" w:eastAsia="Arial" w:hAnsi="Arial"/>
          <w:sz w:val="19"/>
          <w:szCs w:val="19"/>
          <w:b w:val="1"/>
          <w:bCs w:val="1"/>
          <w:color w:val="auto"/>
        </w:rPr>
        <w:t>Change of</w:t>
      </w:r>
      <w:r>
        <w:rPr>
          <w:rFonts w:ascii="Arial" w:cs="Arial" w:eastAsia="Arial" w:hAnsi="Arial"/>
          <w:sz w:val="19"/>
          <w:szCs w:val="19"/>
          <w:color w:val="auto"/>
        </w:rPr>
        <w:t xml:space="preserve"> </w:t>
      </w:r>
      <w:r>
        <w:rPr>
          <w:rFonts w:ascii="Arial" w:cs="Arial" w:eastAsia="Arial" w:hAnsi="Arial"/>
          <w:sz w:val="19"/>
          <w:szCs w:val="19"/>
          <w:b w:val="1"/>
          <w:bCs w:val="1"/>
          <w:color w:val="auto"/>
        </w:rPr>
        <w:t>Control Separation Pay</w:t>
      </w:r>
      <w:r>
        <w:rPr>
          <w:rFonts w:ascii="Arial" w:cs="Arial" w:eastAsia="Arial" w:hAnsi="Arial"/>
          <w:sz w:val="19"/>
          <w:szCs w:val="19"/>
          <w:color w:val="auto"/>
        </w:rPr>
        <w:t>”); (iii) immediate vesting in full of all Equity Awards with time based vesting; and (iv) if the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properly and timely elects to continue her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Executive becomes eligible for health insurance benefits from another employer during the reimbursement period. Subject to the Release being effective, the Change of Control Separation Pay will be paid within sixty (60) days after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60-day period begins in one calendar year and ends in a second calendar year, such payments, to the extent they</w:t>
      </w:r>
      <w:r>
        <w:rPr>
          <w:rFonts w:ascii="Arial" w:cs="Arial" w:eastAsia="Arial" w:hAnsi="Arial"/>
          <w:sz w:val="19"/>
          <w:szCs w:val="19"/>
          <w:i w:val="1"/>
          <w:iCs w:val="1"/>
          <w:color w:val="auto"/>
        </w:rPr>
        <w:t xml:space="preserve"> </w:t>
      </w:r>
      <w:r>
        <w:rPr>
          <w:rFonts w:ascii="Arial" w:cs="Arial" w:eastAsia="Arial" w:hAnsi="Arial"/>
          <w:sz w:val="19"/>
          <w:szCs w:val="19"/>
          <w:color w:val="auto"/>
        </w:rPr>
        <w:t>qualify as “non-qualified deferred compensation” within the meaning of Section 409A of the Code, shall be paid no earlier than the first Company payroll date in the second calendar year and, in any case, by the last day of such 60-day period.</w:t>
      </w:r>
    </w:p>
    <w:p>
      <w:pPr>
        <w:spacing w:after="0" w:line="386" w:lineRule="exact"/>
        <w:rPr>
          <w:rFonts w:ascii="Arial" w:cs="Arial" w:eastAsia="Arial" w:hAnsi="Arial"/>
          <w:sz w:val="19"/>
          <w:szCs w:val="19"/>
          <w:color w:val="010000"/>
        </w:rPr>
      </w:pPr>
    </w:p>
    <w:p>
      <w:pPr>
        <w:jc w:val="both"/>
        <w:ind w:firstLine="1763"/>
        <w:spacing w:after="0" w:line="241" w:lineRule="auto"/>
        <w:tabs>
          <w:tab w:leader="none" w:pos="2643" w:val="left"/>
        </w:tabs>
        <w:numPr>
          <w:ilvl w:val="0"/>
          <w:numId w:val="65"/>
        </w:numPr>
        <w:rPr>
          <w:rFonts w:ascii="Arial" w:cs="Arial" w:eastAsia="Arial" w:hAnsi="Arial"/>
          <w:sz w:val="19"/>
          <w:szCs w:val="19"/>
          <w:color w:val="010000"/>
        </w:rPr>
      </w:pPr>
      <w:r>
        <w:rPr>
          <w:rFonts w:ascii="Arial" w:cs="Arial" w:eastAsia="Arial" w:hAnsi="Arial"/>
          <w:sz w:val="19"/>
          <w:szCs w:val="19"/>
          <w:u w:val="single" w:color="auto"/>
          <w:color w:val="010000"/>
        </w:rPr>
        <w:t>Base Separation Benefits</w:t>
      </w:r>
      <w:r>
        <w:rPr>
          <w:rFonts w:ascii="Arial" w:cs="Arial" w:eastAsia="Arial" w:hAnsi="Arial"/>
          <w:sz w:val="19"/>
          <w:szCs w:val="19"/>
          <w:color w:val="010000"/>
        </w:rPr>
        <w:t xml:space="preserve">. If the Executive’s employment is terminated during the Term and outside of the COC Period as a result of the Executive’s Disability pursuant to Section 7(b), by the Company without Cause pursuant to Section 7(e), or by the Executive for Good Reason pursuant to Section 7(d),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the Executive signs and does not revoke the Release within the time period specified therein (which time period shall not exceed sixty (60) days), then the Company shall provide the following benefits to the Executive, referred to herein as the “</w:t>
      </w:r>
      <w:r>
        <w:rPr>
          <w:rFonts w:ascii="Arial" w:cs="Arial" w:eastAsia="Arial" w:hAnsi="Arial"/>
          <w:sz w:val="19"/>
          <w:szCs w:val="19"/>
          <w:b w:val="1"/>
          <w:bCs w:val="1"/>
          <w:color w:val="010000"/>
        </w:rPr>
        <w:t>Base Separation Benefits</w:t>
      </w:r>
      <w:r>
        <w:rPr>
          <w:rFonts w:ascii="Arial" w:cs="Arial" w:eastAsia="Arial" w:hAnsi="Arial"/>
          <w:sz w:val="19"/>
          <w:szCs w:val="19"/>
          <w:color w:val="010000"/>
        </w:rPr>
        <w:t>”: (i) the continued payment in installments of the Executive’s then-current Base Salary for a period of twelve (12) months following the termination date (the “</w:t>
      </w:r>
      <w:r>
        <w:rPr>
          <w:rFonts w:ascii="Arial" w:cs="Arial" w:eastAsia="Arial" w:hAnsi="Arial"/>
          <w:sz w:val="19"/>
          <w:szCs w:val="19"/>
          <w:b w:val="1"/>
          <w:bCs w:val="1"/>
          <w:color w:val="010000"/>
        </w:rPr>
        <w:t>Base Separation Pay</w:t>
      </w:r>
      <w:r>
        <w:rPr>
          <w:rFonts w:ascii="Arial" w:cs="Arial" w:eastAsia="Arial" w:hAnsi="Arial"/>
          <w:sz w:val="19"/>
          <w:szCs w:val="19"/>
          <w:color w:val="010000"/>
        </w:rPr>
        <w:t xml:space="preserve">”); </w:t>
      </w:r>
      <w:r>
        <w:rPr>
          <w:rFonts w:ascii="Arial" w:cs="Arial" w:eastAsia="Arial" w:hAnsi="Arial"/>
          <w:sz w:val="19"/>
          <w:szCs w:val="19"/>
          <w:color w:val="000000"/>
        </w:rPr>
        <w:t>and</w:t>
      </w:r>
      <w:r>
        <w:rPr>
          <w:rFonts w:ascii="Arial" w:cs="Arial" w:eastAsia="Arial" w:hAnsi="Arial"/>
          <w:sz w:val="19"/>
          <w:szCs w:val="19"/>
          <w:color w:val="010000"/>
        </w:rPr>
        <w:t xml:space="preserve"> (ii) if the Executive properly and timely elects to continue Executive’s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Executive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124" w:name="page125"/>
    <w:bookmarkEnd w:id="124"/>
    <w:p>
      <w:pPr>
        <w:jc w:val="both"/>
        <w:spacing w:after="0" w:line="219" w:lineRule="auto"/>
        <w:rPr>
          <w:sz w:val="20"/>
          <w:szCs w:val="20"/>
          <w:color w:val="auto"/>
        </w:rPr>
      </w:pPr>
      <w:r>
        <w:rPr>
          <w:rFonts w:ascii="Arial" w:cs="Arial" w:eastAsia="Arial" w:hAnsi="Arial"/>
          <w:sz w:val="21"/>
          <w:szCs w:val="21"/>
          <w:color w:val="010000"/>
        </w:rPr>
        <w:t xml:space="preserve">if Executive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 409A of the Code, shall begin to be paid no earlier than the first Company payroll date in the second calendar year and, in any case, by the last day of such 60-day period; </w:t>
      </w:r>
      <w:r>
        <w:rPr>
          <w:rFonts w:ascii="Arial" w:cs="Arial" w:eastAsia="Arial" w:hAnsi="Arial"/>
          <w:sz w:val="21"/>
          <w:szCs w:val="21"/>
          <w:i w:val="1"/>
          <w:iCs w:val="1"/>
          <w:color w:val="010000"/>
        </w:rPr>
        <w:t>provided, however</w:t>
      </w:r>
      <w:r>
        <w:rPr>
          <w:rFonts w:ascii="Arial" w:cs="Arial" w:eastAsia="Arial" w:hAnsi="Arial"/>
          <w:sz w:val="21"/>
          <w:szCs w:val="21"/>
          <w:color w:val="010000"/>
        </w:rPr>
        <w:t>, that the initial payment shall include a catch-up payment to cover amounts retroactive to the day immediately</w:t>
      </w:r>
      <w:r>
        <w:rPr>
          <w:rFonts w:ascii="Arial" w:cs="Arial" w:eastAsia="Arial" w:hAnsi="Arial"/>
          <w:sz w:val="21"/>
          <w:szCs w:val="21"/>
          <w:i w:val="1"/>
          <w:iCs w:val="1"/>
          <w:color w:val="010000"/>
        </w:rPr>
        <w:t xml:space="preserve"> </w:t>
      </w:r>
      <w:r>
        <w:rPr>
          <w:rFonts w:ascii="Arial" w:cs="Arial" w:eastAsia="Arial" w:hAnsi="Arial"/>
          <w:sz w:val="21"/>
          <w:szCs w:val="21"/>
          <w:color w:val="010000"/>
        </w:rPr>
        <w:t>following the termination date. The Executive understands that if the Executive is eligible to receive the Base Separation Benefits, such Base Separation Benefits shall be in lieu of and not in addition to the Change of Control Separation Benefits described in Section 8(b) of this Agreement. Notwithstanding the foregoing, if the Executive is entitled to receive the Base Separation Benefits but violates any provisions of this Agreement, the PIIA or any other agreement entered into by the Executive and the Company after termination of employment, the Company will be entitled to immediately stop paying any further installments of the Base Separation Benefits.</w:t>
      </w:r>
    </w:p>
    <w:p>
      <w:pPr>
        <w:spacing w:after="0" w:line="161" w:lineRule="exact"/>
        <w:rPr>
          <w:sz w:val="20"/>
          <w:szCs w:val="20"/>
          <w:color w:val="auto"/>
        </w:rPr>
      </w:pPr>
    </w:p>
    <w:p>
      <w:pPr>
        <w:jc w:val="both"/>
        <w:ind w:firstLine="1763"/>
        <w:spacing w:after="0" w:line="218" w:lineRule="auto"/>
        <w:tabs>
          <w:tab w:leader="none" w:pos="2655" w:val="left"/>
        </w:tabs>
        <w:numPr>
          <w:ilvl w:val="1"/>
          <w:numId w:val="66"/>
        </w:numPr>
        <w:rPr>
          <w:rFonts w:ascii="Arial" w:cs="Arial" w:eastAsia="Arial" w:hAnsi="Arial"/>
          <w:sz w:val="22"/>
          <w:szCs w:val="22"/>
          <w:color w:val="010000"/>
        </w:rPr>
      </w:pPr>
      <w:r>
        <w:rPr>
          <w:rFonts w:ascii="Arial" w:cs="Arial" w:eastAsia="Arial" w:hAnsi="Arial"/>
          <w:sz w:val="22"/>
          <w:szCs w:val="22"/>
          <w:color w:val="010000"/>
        </w:rPr>
        <w:t>This Section 8 sets forth the only obligations of the Company with respect to the termination of the Executive’s employment with the Company, except as otherwise required by law, and the Executive acknowledges that, upon the termination of the Executive’s employment, the Executive shall not be entitled to any payments or benefits which are not explicitly provided in Section 8.</w:t>
      </w:r>
    </w:p>
    <w:p>
      <w:pPr>
        <w:spacing w:after="0" w:line="161" w:lineRule="exact"/>
        <w:rPr>
          <w:rFonts w:ascii="Arial" w:cs="Arial" w:eastAsia="Arial" w:hAnsi="Arial"/>
          <w:sz w:val="22"/>
          <w:szCs w:val="22"/>
          <w:color w:val="010000"/>
        </w:rPr>
      </w:pPr>
    </w:p>
    <w:p>
      <w:pPr>
        <w:jc w:val="both"/>
        <w:ind w:firstLine="1763"/>
        <w:spacing w:after="0" w:line="223" w:lineRule="auto"/>
        <w:tabs>
          <w:tab w:leader="none" w:pos="2643" w:val="left"/>
        </w:tabs>
        <w:numPr>
          <w:ilvl w:val="1"/>
          <w:numId w:val="66"/>
        </w:numPr>
        <w:rPr>
          <w:rFonts w:ascii="Arial" w:cs="Arial" w:eastAsia="Arial" w:hAnsi="Arial"/>
          <w:sz w:val="22"/>
          <w:szCs w:val="22"/>
          <w:color w:val="010000"/>
        </w:rPr>
      </w:pPr>
      <w:r>
        <w:rPr>
          <w:rFonts w:ascii="Arial" w:cs="Arial" w:eastAsia="Arial" w:hAnsi="Arial"/>
          <w:sz w:val="22"/>
          <w:szCs w:val="22"/>
          <w:color w:val="010000"/>
        </w:rPr>
        <w:t>Upon termination of the Executive’s employment hereunder for any reason, the Executive shall be deemed to have resigned as director and/or officer of the Company and each subsidiary of the Company, to the extent applicable, effective as of the date of such termination, unless otherwise requested by the Board.</w:t>
      </w:r>
    </w:p>
    <w:p>
      <w:pPr>
        <w:spacing w:after="0" w:line="159" w:lineRule="exact"/>
        <w:rPr>
          <w:rFonts w:ascii="Arial" w:cs="Arial" w:eastAsia="Arial" w:hAnsi="Arial"/>
          <w:sz w:val="22"/>
          <w:szCs w:val="22"/>
          <w:color w:val="010000"/>
        </w:rPr>
      </w:pPr>
    </w:p>
    <w:p>
      <w:pPr>
        <w:ind w:left="2620" w:hanging="857"/>
        <w:spacing w:after="0"/>
        <w:tabs>
          <w:tab w:leader="none" w:pos="2620" w:val="left"/>
        </w:tabs>
        <w:numPr>
          <w:ilvl w:val="1"/>
          <w:numId w:val="66"/>
        </w:numPr>
        <w:rPr>
          <w:rFonts w:ascii="Arial" w:cs="Arial" w:eastAsia="Arial" w:hAnsi="Arial"/>
          <w:sz w:val="22"/>
          <w:szCs w:val="22"/>
          <w:color w:val="010000"/>
        </w:rPr>
      </w:pPr>
      <w:r>
        <w:rPr>
          <w:rFonts w:ascii="Arial" w:cs="Arial" w:eastAsia="Arial" w:hAnsi="Arial"/>
          <w:sz w:val="22"/>
          <w:szCs w:val="22"/>
          <w:color w:val="010000"/>
        </w:rPr>
        <w:t>The provisions of this Section 8 shall survive any termination of this Agreement.</w:t>
      </w:r>
    </w:p>
    <w:p>
      <w:pPr>
        <w:spacing w:after="0" w:line="179" w:lineRule="exact"/>
        <w:rPr>
          <w:rFonts w:ascii="Arial" w:cs="Arial" w:eastAsia="Arial" w:hAnsi="Arial"/>
          <w:sz w:val="22"/>
          <w:szCs w:val="22"/>
          <w:color w:val="010000"/>
        </w:rPr>
      </w:pPr>
    </w:p>
    <w:p>
      <w:pPr>
        <w:jc w:val="both"/>
        <w:ind w:firstLine="885"/>
        <w:spacing w:after="0" w:line="234" w:lineRule="auto"/>
        <w:tabs>
          <w:tab w:leader="none" w:pos="1688" w:val="left"/>
        </w:tabs>
        <w:numPr>
          <w:ilvl w:val="0"/>
          <w:numId w:val="67"/>
        </w:numPr>
        <w:rPr>
          <w:rFonts w:ascii="Arial" w:cs="Arial" w:eastAsia="Arial" w:hAnsi="Arial"/>
          <w:sz w:val="21"/>
          <w:szCs w:val="21"/>
          <w:color w:val="010000"/>
        </w:rPr>
      </w:pPr>
      <w:r>
        <w:rPr>
          <w:rFonts w:ascii="Arial" w:cs="Arial" w:eastAsia="Arial" w:hAnsi="Arial"/>
          <w:sz w:val="21"/>
          <w:szCs w:val="21"/>
          <w:u w:val="single" w:color="auto"/>
          <w:color w:val="010000"/>
        </w:rPr>
        <w:t>Section 409A</w:t>
      </w:r>
      <w:r>
        <w:rPr>
          <w:rFonts w:ascii="Arial" w:cs="Arial" w:eastAsia="Arial" w:hAnsi="Arial"/>
          <w:sz w:val="21"/>
          <w:szCs w:val="21"/>
          <w:color w:val="010000"/>
        </w:rPr>
        <w:t>. The intent of the parties to this Agreement is that the payments, compensation and benefits under this Agreement be exempt from or comply with Section 409A of the Code and the regulations and guidance promulgated thereunder (collectively, “</w:t>
      </w:r>
      <w:r>
        <w:rPr>
          <w:rFonts w:ascii="Arial" w:cs="Arial" w:eastAsia="Arial" w:hAnsi="Arial"/>
          <w:sz w:val="21"/>
          <w:szCs w:val="21"/>
          <w:b w:val="1"/>
          <w:bCs w:val="1"/>
          <w:color w:val="010000"/>
        </w:rPr>
        <w:t>Section 409A</w:t>
      </w:r>
      <w:r>
        <w:rPr>
          <w:rFonts w:ascii="Arial" w:cs="Arial" w:eastAsia="Arial" w:hAnsi="Arial"/>
          <w:sz w:val="21"/>
          <w:szCs w:val="21"/>
          <w:color w:val="010000"/>
        </w:rPr>
        <w:t>”) and, in this connection, the following shall be applicable:</w:t>
      </w:r>
    </w:p>
    <w:p>
      <w:pPr>
        <w:spacing w:after="0" w:line="158" w:lineRule="exact"/>
        <w:rPr>
          <w:rFonts w:ascii="Arial" w:cs="Arial" w:eastAsia="Arial" w:hAnsi="Arial"/>
          <w:sz w:val="21"/>
          <w:szCs w:val="21"/>
          <w:color w:val="010000"/>
        </w:rPr>
      </w:pPr>
    </w:p>
    <w:p>
      <w:pPr>
        <w:ind w:firstLine="1763"/>
        <w:spacing w:after="0" w:line="232" w:lineRule="auto"/>
        <w:tabs>
          <w:tab w:leader="none" w:pos="2643" w:val="left"/>
        </w:tabs>
        <w:numPr>
          <w:ilvl w:val="1"/>
          <w:numId w:val="67"/>
        </w:numPr>
        <w:rPr>
          <w:rFonts w:ascii="Arial" w:cs="Arial" w:eastAsia="Arial" w:hAnsi="Arial"/>
          <w:sz w:val="22"/>
          <w:szCs w:val="22"/>
          <w:color w:val="010000"/>
        </w:rPr>
      </w:pPr>
      <w:r>
        <w:rPr>
          <w:rFonts w:ascii="Arial" w:cs="Arial" w:eastAsia="Arial" w:hAnsi="Arial"/>
          <w:sz w:val="22"/>
          <w:szCs w:val="22"/>
          <w:color w:val="010000"/>
        </w:rPr>
        <w:t>To the greatest extent possible, this Agreement shall be interpreted to be exempt from or in compliance with Section 409A.</w:t>
      </w:r>
    </w:p>
    <w:p>
      <w:pPr>
        <w:spacing w:after="0" w:line="159" w:lineRule="exact"/>
        <w:rPr>
          <w:rFonts w:ascii="Arial" w:cs="Arial" w:eastAsia="Arial" w:hAnsi="Arial"/>
          <w:sz w:val="22"/>
          <w:szCs w:val="22"/>
          <w:color w:val="010000"/>
        </w:rPr>
      </w:pPr>
    </w:p>
    <w:p>
      <w:pPr>
        <w:ind w:firstLine="1763"/>
        <w:spacing w:after="0" w:line="298" w:lineRule="auto"/>
        <w:tabs>
          <w:tab w:leader="none" w:pos="2655" w:val="left"/>
        </w:tabs>
        <w:numPr>
          <w:ilvl w:val="1"/>
          <w:numId w:val="67"/>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is to be paid in a series of installment payments, each individual payment in the series shall be considered a separate payment for purposes of Section 409A.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25" w:name="page126"/>
    <w:bookmarkEnd w:id="125"/>
    <w:p>
      <w:pPr>
        <w:jc w:val="both"/>
        <w:ind w:firstLine="1763"/>
        <w:spacing w:after="0" w:line="245" w:lineRule="auto"/>
        <w:tabs>
          <w:tab w:leader="none" w:pos="2643" w:val="left"/>
        </w:tabs>
        <w:numPr>
          <w:ilvl w:val="1"/>
          <w:numId w:val="68"/>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that constitutes “nonqualified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 plus one (1) day after such separation from service or the Executive’s death (the “</w:t>
      </w:r>
      <w:r>
        <w:rPr>
          <w:rFonts w:ascii="Arial" w:cs="Arial" w:eastAsia="Arial" w:hAnsi="Arial"/>
          <w:sz w:val="19"/>
          <w:szCs w:val="19"/>
          <w:b w:val="1"/>
          <w:bCs w:val="1"/>
          <w:color w:val="010000"/>
        </w:rPr>
        <w:t>New Payment Date</w:t>
      </w:r>
      <w:r>
        <w:rPr>
          <w:rFonts w:ascii="Arial" w:cs="Arial" w:eastAsia="Arial" w:hAnsi="Arial"/>
          <w:sz w:val="19"/>
          <w:szCs w:val="19"/>
          <w:color w:val="010000"/>
        </w:rPr>
        <w:t>”). The aggregate amount of any such payments that would have otherwise been paid during the period between the date of separation from service and the New Payment Date shall be paid to the Executive or her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spacing w:after="0" w:line="153" w:lineRule="exact"/>
        <w:rPr>
          <w:rFonts w:ascii="Arial" w:cs="Arial" w:eastAsia="Arial" w:hAnsi="Arial"/>
          <w:sz w:val="19"/>
          <w:szCs w:val="19"/>
          <w:color w:val="010000"/>
        </w:rPr>
      </w:pPr>
    </w:p>
    <w:p>
      <w:pPr>
        <w:jc w:val="both"/>
        <w:ind w:firstLine="1763"/>
        <w:spacing w:after="0" w:line="216" w:lineRule="auto"/>
        <w:tabs>
          <w:tab w:leader="none" w:pos="2655" w:val="left"/>
        </w:tabs>
        <w:numPr>
          <w:ilvl w:val="1"/>
          <w:numId w:val="68"/>
        </w:numPr>
        <w:rPr>
          <w:rFonts w:ascii="Arial" w:cs="Arial" w:eastAsia="Arial" w:hAnsi="Arial"/>
          <w:sz w:val="22"/>
          <w:szCs w:val="22"/>
          <w:color w:val="010000"/>
        </w:rPr>
      </w:pPr>
      <w:r>
        <w:rPr>
          <w:rFonts w:ascii="Arial" w:cs="Arial" w:eastAsia="Arial" w:hAnsi="Arial"/>
          <w:sz w:val="22"/>
          <w:szCs w:val="22"/>
          <w:color w:val="010000"/>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58" w:lineRule="exact"/>
        <w:rPr>
          <w:rFonts w:ascii="Arial" w:cs="Arial" w:eastAsia="Arial" w:hAnsi="Arial"/>
          <w:sz w:val="22"/>
          <w:szCs w:val="22"/>
          <w:color w:val="010000"/>
        </w:rPr>
      </w:pPr>
    </w:p>
    <w:p>
      <w:pPr>
        <w:jc w:val="both"/>
        <w:ind w:firstLine="1763"/>
        <w:spacing w:after="0" w:line="234" w:lineRule="auto"/>
        <w:tabs>
          <w:tab w:leader="none" w:pos="2643" w:val="left"/>
        </w:tabs>
        <w:numPr>
          <w:ilvl w:val="1"/>
          <w:numId w:val="68"/>
        </w:numPr>
        <w:rPr>
          <w:rFonts w:ascii="Arial" w:cs="Arial" w:eastAsia="Arial" w:hAnsi="Arial"/>
          <w:sz w:val="21"/>
          <w:szCs w:val="21"/>
          <w:color w:val="010000"/>
        </w:rPr>
      </w:pPr>
      <w:r>
        <w:rPr>
          <w:rFonts w:ascii="Arial" w:cs="Arial" w:eastAsia="Arial" w:hAnsi="Arial"/>
          <w:sz w:val="21"/>
          <w:szCs w:val="21"/>
          <w:color w:val="010000"/>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58" w:lineRule="exact"/>
        <w:rPr>
          <w:rFonts w:ascii="Arial" w:cs="Arial" w:eastAsia="Arial" w:hAnsi="Arial"/>
          <w:sz w:val="21"/>
          <w:szCs w:val="21"/>
          <w:color w:val="010000"/>
        </w:rPr>
      </w:pPr>
    </w:p>
    <w:p>
      <w:pPr>
        <w:ind w:left="2620" w:hanging="857"/>
        <w:spacing w:after="0"/>
        <w:tabs>
          <w:tab w:leader="none" w:pos="2620" w:val="left"/>
        </w:tabs>
        <w:numPr>
          <w:ilvl w:val="1"/>
          <w:numId w:val="68"/>
        </w:numPr>
        <w:rPr>
          <w:rFonts w:ascii="Arial" w:cs="Arial" w:eastAsia="Arial" w:hAnsi="Arial"/>
          <w:sz w:val="22"/>
          <w:szCs w:val="22"/>
          <w:color w:val="010000"/>
        </w:rPr>
      </w:pPr>
      <w:r>
        <w:rPr>
          <w:rFonts w:ascii="Arial" w:cs="Arial" w:eastAsia="Arial" w:hAnsi="Arial"/>
          <w:sz w:val="22"/>
          <w:szCs w:val="22"/>
          <w:color w:val="010000"/>
        </w:rPr>
        <w:t>The provisions of this Section 9 shall survive any termination of this Agreement.</w:t>
      </w:r>
    </w:p>
    <w:p>
      <w:pPr>
        <w:spacing w:after="0" w:line="179" w:lineRule="exact"/>
        <w:rPr>
          <w:rFonts w:ascii="Arial" w:cs="Arial" w:eastAsia="Arial" w:hAnsi="Arial"/>
          <w:sz w:val="22"/>
          <w:szCs w:val="22"/>
          <w:color w:val="010000"/>
        </w:rPr>
      </w:pPr>
    </w:p>
    <w:p>
      <w:pPr>
        <w:ind w:left="1800" w:hanging="915"/>
        <w:spacing w:after="0"/>
        <w:tabs>
          <w:tab w:leader="none" w:pos="1800"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010000"/>
        </w:rPr>
        <w:t>Section 280G.</w:t>
      </w:r>
    </w:p>
    <w:p>
      <w:pPr>
        <w:spacing w:after="0" w:line="179" w:lineRule="exact"/>
        <w:rPr>
          <w:rFonts w:ascii="Arial" w:cs="Arial" w:eastAsia="Arial" w:hAnsi="Arial"/>
          <w:sz w:val="22"/>
          <w:szCs w:val="22"/>
          <w:color w:val="010000"/>
        </w:rPr>
      </w:pPr>
    </w:p>
    <w:p>
      <w:pPr>
        <w:jc w:val="both"/>
        <w:ind w:firstLine="1763"/>
        <w:spacing w:after="0" w:line="242" w:lineRule="auto"/>
        <w:tabs>
          <w:tab w:leader="none" w:pos="2643" w:val="left"/>
        </w:tabs>
        <w:numPr>
          <w:ilvl w:val="1"/>
          <w:numId w:val="69"/>
        </w:numPr>
        <w:rPr>
          <w:rFonts w:ascii="Arial" w:cs="Arial" w:eastAsia="Arial" w:hAnsi="Arial"/>
          <w:sz w:val="19"/>
          <w:szCs w:val="19"/>
          <w:color w:val="010000"/>
        </w:rPr>
      </w:pPr>
      <w:r>
        <w:rPr>
          <w:rFonts w:ascii="Arial" w:cs="Arial" w:eastAsia="Arial" w:hAnsi="Arial"/>
          <w:sz w:val="19"/>
          <w:szCs w:val="19"/>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w:t>
      </w:r>
      <w:r>
        <w:rPr>
          <w:rFonts w:ascii="Arial" w:cs="Arial" w:eastAsia="Arial" w:hAnsi="Arial"/>
          <w:sz w:val="19"/>
          <w:szCs w:val="19"/>
          <w:b w:val="1"/>
          <w:bCs w:val="1"/>
          <w:color w:val="auto"/>
        </w:rPr>
        <w:t>Covered Payments</w:t>
      </w:r>
      <w:r>
        <w:rPr>
          <w:rFonts w:ascii="Arial" w:cs="Arial" w:eastAsia="Arial" w:hAnsi="Arial"/>
          <w:sz w:val="19"/>
          <w:szCs w:val="19"/>
          <w:color w:val="auto"/>
        </w:rPr>
        <w:t>”) constitute parachute payments (“</w:t>
      </w:r>
      <w:r>
        <w:rPr>
          <w:rFonts w:ascii="Arial" w:cs="Arial" w:eastAsia="Arial" w:hAnsi="Arial"/>
          <w:sz w:val="19"/>
          <w:szCs w:val="19"/>
          <w:b w:val="1"/>
          <w:bCs w:val="1"/>
          <w:color w:val="auto"/>
        </w:rPr>
        <w:t>Parachute Payments</w:t>
      </w:r>
      <w:r>
        <w:rPr>
          <w:rFonts w:ascii="Arial" w:cs="Arial" w:eastAsia="Arial" w:hAnsi="Arial"/>
          <w:sz w:val="19"/>
          <w:szCs w:val="19"/>
          <w:color w:val="auto"/>
        </w:rPr>
        <w:t>”) within the meaning of Section 280G of the Code and would, but for this Section 10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color w:val="auto"/>
        </w:rPr>
        <w:t>Excise Tax</w:t>
      </w:r>
      <w:r>
        <w:rPr>
          <w:rFonts w:ascii="Arial" w:cs="Arial" w:eastAsia="Arial" w:hAnsi="Arial"/>
          <w:sz w:val="19"/>
          <w:szCs w:val="19"/>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t>
      </w:r>
      <w:r>
        <w:rPr>
          <w:rFonts w:ascii="Arial" w:cs="Arial" w:eastAsia="Arial" w:hAnsi="Arial"/>
          <w:sz w:val="19"/>
          <w:szCs w:val="19"/>
          <w:b w:val="1"/>
          <w:b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26" w:name="page127"/>
    <w:bookmarkEnd w:id="126"/>
    <w:p>
      <w:pPr>
        <w:jc w:val="both"/>
        <w:ind w:firstLine="1763"/>
        <w:spacing w:after="0" w:line="216" w:lineRule="auto"/>
        <w:tabs>
          <w:tab w:leader="none" w:pos="2655"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58" w:lineRule="exact"/>
        <w:rPr>
          <w:rFonts w:ascii="Arial" w:cs="Arial" w:eastAsia="Arial" w:hAnsi="Arial"/>
          <w:sz w:val="22"/>
          <w:szCs w:val="22"/>
          <w:color w:val="010000"/>
        </w:rPr>
      </w:pPr>
    </w:p>
    <w:p>
      <w:pPr>
        <w:jc w:val="both"/>
        <w:ind w:firstLine="1763"/>
        <w:spacing w:after="0" w:line="245" w:lineRule="auto"/>
        <w:tabs>
          <w:tab w:leader="none" w:pos="2643"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Any determination required under this Section 10 shall be made in writing in good faith by the accounting firm that was the Company’s independent auditor immediately before the Change of Control (the “</w:t>
      </w:r>
      <w:r>
        <w:rPr>
          <w:rFonts w:ascii="Arial" w:cs="Arial" w:eastAsia="Arial" w:hAnsi="Arial"/>
          <w:sz w:val="19"/>
          <w:szCs w:val="19"/>
          <w:b w:val="1"/>
          <w:bCs w:val="1"/>
          <w:color w:val="auto"/>
        </w:rPr>
        <w:t>Accounting</w:t>
      </w:r>
      <w:r>
        <w:rPr>
          <w:rFonts w:ascii="Arial" w:cs="Arial" w:eastAsia="Arial" w:hAnsi="Arial"/>
          <w:sz w:val="19"/>
          <w:szCs w:val="19"/>
          <w:color w:val="auto"/>
        </w:rPr>
        <w:t xml:space="preserve"> </w:t>
      </w:r>
      <w:r>
        <w:rPr>
          <w:rFonts w:ascii="Arial" w:cs="Arial" w:eastAsia="Arial" w:hAnsi="Arial"/>
          <w:sz w:val="19"/>
          <w:szCs w:val="19"/>
          <w:b w:val="1"/>
          <w:bCs w:val="1"/>
          <w:color w:val="auto"/>
        </w:rPr>
        <w:t>Firm</w:t>
      </w:r>
      <w:r>
        <w:rPr>
          <w:rFonts w:ascii="Arial" w:cs="Arial" w:eastAsia="Arial" w:hAnsi="Arial"/>
          <w:sz w:val="19"/>
          <w:szCs w:val="19"/>
          <w:color w:val="auto"/>
        </w:rPr>
        <w:t>”). The Accounting Firm shall provide detailed supporting calculations to the Company and the Executive as requested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the Executive. The Company and the Executive shall provide the Accounting Firm with such information and documents as the Accounting Firm may reasonably request in order to make a determination under this Section 10. For purposes of making the calculations and determinations required by this Section 10, the Accounting Firm may rely on reasonable, good faith assumptions and approximations concerning the application of Section 280G and Section 4999 of the Code. The Accounting Firm’s determinations shall be final and binding on the Company and the Executive. The Company shall be responsible for all fees and expenses incurred by the Accounting Firm in connection with the calculations required by this Section 10.</w:t>
      </w:r>
    </w:p>
    <w:p>
      <w:pPr>
        <w:spacing w:after="0" w:line="153" w:lineRule="exact"/>
        <w:rPr>
          <w:rFonts w:ascii="Arial" w:cs="Arial" w:eastAsia="Arial" w:hAnsi="Arial"/>
          <w:sz w:val="19"/>
          <w:szCs w:val="19"/>
          <w:color w:val="010000"/>
        </w:rPr>
      </w:pPr>
    </w:p>
    <w:p>
      <w:pPr>
        <w:jc w:val="both"/>
        <w:ind w:firstLine="1763"/>
        <w:spacing w:after="0" w:line="223" w:lineRule="auto"/>
        <w:tabs>
          <w:tab w:leader="none" w:pos="2655"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It is possible that after the determinations and selections made pursuant to this Section 10 the Executive will receive Covered Payments that are in the aggregate more than the amount provided under this Section 10 (“</w:t>
      </w:r>
      <w:r>
        <w:rPr>
          <w:rFonts w:ascii="Arial" w:cs="Arial" w:eastAsia="Arial" w:hAnsi="Arial"/>
          <w:sz w:val="22"/>
          <w:szCs w:val="22"/>
          <w:b w:val="1"/>
          <w:bCs w:val="1"/>
          <w:color w:val="auto"/>
        </w:rPr>
        <w:t>Overpaymen</w:t>
      </w:r>
      <w:r>
        <w:rPr>
          <w:rFonts w:ascii="Arial" w:cs="Arial" w:eastAsia="Arial" w:hAnsi="Arial"/>
          <w:sz w:val="22"/>
          <w:szCs w:val="22"/>
          <w:color w:val="auto"/>
        </w:rPr>
        <w:t>t”) or less than the amount provided under this Section 10 (“</w:t>
      </w:r>
      <w:r>
        <w:rPr>
          <w:rFonts w:ascii="Arial" w:cs="Arial" w:eastAsia="Arial" w:hAnsi="Arial"/>
          <w:sz w:val="22"/>
          <w:szCs w:val="22"/>
          <w:b w:val="1"/>
          <w:bCs w:val="1"/>
          <w:color w:val="auto"/>
        </w:rPr>
        <w:t>Underpayment</w:t>
      </w:r>
      <w:r>
        <w:rPr>
          <w:rFonts w:ascii="Arial" w:cs="Arial" w:eastAsia="Arial" w:hAnsi="Arial"/>
          <w:sz w:val="22"/>
          <w:szCs w:val="22"/>
          <w:color w:val="auto"/>
        </w:rPr>
        <w:t>”).</w:t>
      </w:r>
    </w:p>
    <w:p>
      <w:pPr>
        <w:spacing w:after="0" w:line="159" w:lineRule="exact"/>
        <w:rPr>
          <w:rFonts w:ascii="Arial" w:cs="Arial" w:eastAsia="Arial" w:hAnsi="Arial"/>
          <w:sz w:val="22"/>
          <w:szCs w:val="22"/>
          <w:color w:val="010000"/>
        </w:rPr>
      </w:pPr>
    </w:p>
    <w:p>
      <w:pPr>
        <w:jc w:val="both"/>
        <w:ind w:firstLine="2642"/>
        <w:spacing w:after="0" w:line="216" w:lineRule="auto"/>
        <w:tabs>
          <w:tab w:leader="none" w:pos="3486" w:val="left"/>
        </w:tabs>
        <w:numPr>
          <w:ilvl w:val="1"/>
          <w:numId w:val="70"/>
        </w:numPr>
        <w:rPr>
          <w:rFonts w:ascii="Arial" w:cs="Arial" w:eastAsia="Arial" w:hAnsi="Arial"/>
          <w:sz w:val="22"/>
          <w:szCs w:val="22"/>
          <w:color w:val="010000"/>
        </w:rPr>
      </w:pPr>
      <w:r>
        <w:rPr>
          <w:rFonts w:ascii="Arial" w:cs="Arial" w:eastAsia="Arial" w:hAnsi="Arial"/>
          <w:sz w:val="22"/>
          <w:szCs w:val="22"/>
          <w:color w:val="auto"/>
        </w:rPr>
        <w:t>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spacing w:after="0" w:line="158" w:lineRule="exact"/>
        <w:rPr>
          <w:rFonts w:ascii="Arial" w:cs="Arial" w:eastAsia="Arial" w:hAnsi="Arial"/>
          <w:sz w:val="22"/>
          <w:szCs w:val="22"/>
          <w:color w:val="010000"/>
        </w:rPr>
      </w:pPr>
    </w:p>
    <w:p>
      <w:pPr>
        <w:jc w:val="both"/>
        <w:ind w:firstLine="2642"/>
        <w:spacing w:after="0" w:line="268" w:lineRule="auto"/>
        <w:tabs>
          <w:tab w:leader="none" w:pos="3546"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27" w:name="page128"/>
    <w:bookmarkEnd w:id="127"/>
    <w:p>
      <w:pPr>
        <w:ind w:left="1800" w:hanging="915"/>
        <w:spacing w:after="0"/>
        <w:tabs>
          <w:tab w:leader="none" w:pos="1800"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010000"/>
        </w:rPr>
        <w:t>Miscellaneous</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ind w:firstLine="1763"/>
        <w:spacing w:after="0" w:line="232" w:lineRule="auto"/>
        <w:tabs>
          <w:tab w:leader="none" w:pos="2643" w:val="left"/>
        </w:tabs>
        <w:numPr>
          <w:ilvl w:val="1"/>
          <w:numId w:val="71"/>
        </w:numPr>
        <w:rPr>
          <w:rFonts w:ascii="Arial" w:cs="Arial" w:eastAsia="Arial" w:hAnsi="Arial"/>
          <w:sz w:val="22"/>
          <w:szCs w:val="22"/>
          <w:color w:val="010000"/>
        </w:rPr>
      </w:pPr>
      <w:r>
        <w:rPr>
          <w:rFonts w:ascii="Arial" w:cs="Arial" w:eastAsia="Arial" w:hAnsi="Arial"/>
          <w:sz w:val="22"/>
          <w:szCs w:val="22"/>
          <w:color w:val="010000"/>
        </w:rPr>
        <w:t>This Agreement shall be governed by, and construed and interpreted in accordance with, the laws of the State of California, without giving effect to its principles of conflicts of laws.</w:t>
      </w:r>
    </w:p>
    <w:p>
      <w:pPr>
        <w:spacing w:after="0" w:line="159" w:lineRule="exact"/>
        <w:rPr>
          <w:rFonts w:ascii="Arial" w:cs="Arial" w:eastAsia="Arial" w:hAnsi="Arial"/>
          <w:sz w:val="22"/>
          <w:szCs w:val="22"/>
          <w:color w:val="010000"/>
        </w:rPr>
      </w:pPr>
    </w:p>
    <w:p>
      <w:pPr>
        <w:jc w:val="both"/>
        <w:ind w:firstLine="1763"/>
        <w:spacing w:after="0" w:line="252" w:lineRule="auto"/>
        <w:tabs>
          <w:tab w:leader="none" w:pos="2655" w:val="left"/>
        </w:tabs>
        <w:numPr>
          <w:ilvl w:val="1"/>
          <w:numId w:val="71"/>
        </w:numPr>
        <w:rPr>
          <w:rFonts w:ascii="Arial" w:cs="Arial" w:eastAsia="Arial" w:hAnsi="Arial"/>
          <w:sz w:val="19"/>
          <w:szCs w:val="19"/>
          <w:color w:val="010000"/>
        </w:rPr>
      </w:pPr>
      <w:r>
        <w:rPr>
          <w:rFonts w:ascii="Arial" w:cs="Arial" w:eastAsia="Arial" w:hAnsi="Arial"/>
          <w:sz w:val="19"/>
          <w:szCs w:val="19"/>
          <w:color w:val="010000"/>
        </w:rPr>
        <w:t xml:space="preserve">In the event of any dispute arising out of, or relating to, this Agreement or the breach thereof, 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w:t>
      </w:r>
      <w:r>
        <w:rPr>
          <w:rFonts w:ascii="Arial" w:cs="Arial" w:eastAsia="Arial" w:hAnsi="Arial"/>
          <w:sz w:val="19"/>
          <w:szCs w:val="19"/>
          <w:color w:val="000000"/>
        </w:rPr>
        <w:t>11</w:t>
      </w:r>
      <w:r>
        <w:rPr>
          <w:rFonts w:ascii="Arial" w:cs="Arial" w:eastAsia="Arial" w:hAnsi="Arial"/>
          <w:sz w:val="19"/>
          <w:szCs w:val="19"/>
          <w:color w:val="010000"/>
        </w:rPr>
        <w:t>(g) below.</w:t>
      </w:r>
    </w:p>
    <w:p>
      <w:pPr>
        <w:spacing w:after="0" w:line="149" w:lineRule="exact"/>
        <w:rPr>
          <w:rFonts w:ascii="Arial" w:cs="Arial" w:eastAsia="Arial" w:hAnsi="Arial"/>
          <w:sz w:val="19"/>
          <w:szCs w:val="19"/>
          <w:color w:val="010000"/>
        </w:rPr>
      </w:pPr>
    </w:p>
    <w:p>
      <w:pPr>
        <w:ind w:firstLine="1763"/>
        <w:spacing w:after="0" w:line="232" w:lineRule="auto"/>
        <w:tabs>
          <w:tab w:leader="none" w:pos="2643" w:val="left"/>
        </w:tabs>
        <w:numPr>
          <w:ilvl w:val="1"/>
          <w:numId w:val="71"/>
        </w:numPr>
        <w:rPr>
          <w:rFonts w:ascii="Arial" w:cs="Arial" w:eastAsia="Arial" w:hAnsi="Arial"/>
          <w:sz w:val="22"/>
          <w:szCs w:val="22"/>
          <w:color w:val="010000"/>
        </w:rPr>
      </w:pPr>
      <w:r>
        <w:rPr>
          <w:rFonts w:ascii="Arial" w:cs="Arial" w:eastAsia="Arial" w:hAnsi="Arial"/>
          <w:sz w:val="22"/>
          <w:szCs w:val="22"/>
          <w:color w:val="010000"/>
        </w:rPr>
        <w:t>This Agreement shall be binding upon and inure to the benefit of the parties hereto, and their respective heirs, legal representatives, successors and permitted assigns.</w:t>
      </w:r>
    </w:p>
    <w:p>
      <w:pPr>
        <w:spacing w:after="0" w:line="159" w:lineRule="exact"/>
        <w:rPr>
          <w:rFonts w:ascii="Arial" w:cs="Arial" w:eastAsia="Arial" w:hAnsi="Arial"/>
          <w:sz w:val="22"/>
          <w:szCs w:val="22"/>
          <w:color w:val="010000"/>
        </w:rPr>
      </w:pPr>
    </w:p>
    <w:p>
      <w:pPr>
        <w:jc w:val="both"/>
        <w:ind w:right="20" w:firstLine="1763"/>
        <w:spacing w:after="0" w:line="218" w:lineRule="auto"/>
        <w:tabs>
          <w:tab w:leader="none" w:pos="2655" w:val="left"/>
        </w:tabs>
        <w:numPr>
          <w:ilvl w:val="1"/>
          <w:numId w:val="71"/>
        </w:numPr>
        <w:rPr>
          <w:rFonts w:ascii="Arial" w:cs="Arial" w:eastAsia="Arial" w:hAnsi="Arial"/>
          <w:sz w:val="22"/>
          <w:szCs w:val="22"/>
          <w:color w:val="010000"/>
        </w:rPr>
      </w:pPr>
      <w:r>
        <w:rPr>
          <w:rFonts w:ascii="Arial" w:cs="Arial" w:eastAsia="Arial" w:hAnsi="Arial"/>
          <w:sz w:val="22"/>
          <w:szCs w:val="22"/>
          <w:color w:val="010000"/>
        </w:rPr>
        <w:t>This Agreement, and the Executive’s rights and obligations hereunder, may not be assigned by the Executive.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spacing w:after="0" w:line="161" w:lineRule="exact"/>
        <w:rPr>
          <w:rFonts w:ascii="Arial" w:cs="Arial" w:eastAsia="Arial" w:hAnsi="Arial"/>
          <w:sz w:val="22"/>
          <w:szCs w:val="22"/>
          <w:color w:val="010000"/>
        </w:rPr>
      </w:pPr>
    </w:p>
    <w:p>
      <w:pPr>
        <w:ind w:firstLine="1763"/>
        <w:spacing w:after="0" w:line="232" w:lineRule="auto"/>
        <w:tabs>
          <w:tab w:leader="none" w:pos="2643" w:val="left"/>
        </w:tabs>
        <w:numPr>
          <w:ilvl w:val="1"/>
          <w:numId w:val="71"/>
        </w:numPr>
        <w:rPr>
          <w:rFonts w:ascii="Arial" w:cs="Arial" w:eastAsia="Arial" w:hAnsi="Arial"/>
          <w:sz w:val="22"/>
          <w:szCs w:val="22"/>
          <w:color w:val="010000"/>
        </w:rPr>
      </w:pPr>
      <w:r>
        <w:rPr>
          <w:rFonts w:ascii="Arial" w:cs="Arial" w:eastAsia="Arial" w:hAnsi="Arial"/>
          <w:sz w:val="22"/>
          <w:szCs w:val="22"/>
          <w:color w:val="010000"/>
        </w:rPr>
        <w:t>This Agreement cannot be amended orally, or by any course of conduct or dealing, but only by a written agreement signed by the parties hereto.</w:t>
      </w:r>
    </w:p>
    <w:p>
      <w:pPr>
        <w:spacing w:after="0" w:line="159" w:lineRule="exact"/>
        <w:rPr>
          <w:rFonts w:ascii="Arial" w:cs="Arial" w:eastAsia="Arial" w:hAnsi="Arial"/>
          <w:sz w:val="22"/>
          <w:szCs w:val="22"/>
          <w:color w:val="010000"/>
        </w:rPr>
      </w:pPr>
    </w:p>
    <w:p>
      <w:pPr>
        <w:jc w:val="both"/>
        <w:ind w:firstLine="1763"/>
        <w:spacing w:after="0" w:line="257" w:lineRule="auto"/>
        <w:tabs>
          <w:tab w:leader="none" w:pos="2619" w:val="left"/>
        </w:tabs>
        <w:numPr>
          <w:ilvl w:val="1"/>
          <w:numId w:val="71"/>
        </w:numPr>
        <w:rPr>
          <w:rFonts w:ascii="Arial" w:cs="Arial" w:eastAsia="Arial" w:hAnsi="Arial"/>
          <w:sz w:val="19"/>
          <w:szCs w:val="19"/>
          <w:color w:val="010000"/>
        </w:rPr>
      </w:pPr>
      <w:r>
        <w:rPr>
          <w:rFonts w:ascii="Arial" w:cs="Arial" w:eastAsia="Arial" w:hAnsi="Arial"/>
          <w:sz w:val="19"/>
          <w:szCs w:val="19"/>
          <w:color w:val="010000"/>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44" w:lineRule="exact"/>
        <w:rPr>
          <w:rFonts w:ascii="Arial" w:cs="Arial" w:eastAsia="Arial" w:hAnsi="Arial"/>
          <w:sz w:val="19"/>
          <w:szCs w:val="19"/>
          <w:color w:val="010000"/>
        </w:rPr>
      </w:pPr>
    </w:p>
    <w:p>
      <w:pPr>
        <w:jc w:val="both"/>
        <w:ind w:firstLine="1763"/>
        <w:spacing w:after="0" w:line="249" w:lineRule="auto"/>
        <w:tabs>
          <w:tab w:leader="none" w:pos="2655" w:val="left"/>
        </w:tabs>
        <w:numPr>
          <w:ilvl w:val="1"/>
          <w:numId w:val="71"/>
        </w:numPr>
        <w:rPr>
          <w:rFonts w:ascii="Arial" w:cs="Arial" w:eastAsia="Arial" w:hAnsi="Arial"/>
          <w:sz w:val="19"/>
          <w:szCs w:val="19"/>
          <w:color w:val="010000"/>
        </w:rPr>
      </w:pPr>
      <w:r>
        <w:rPr>
          <w:rFonts w:ascii="Arial" w:cs="Arial" w:eastAsia="Arial" w:hAnsi="Arial"/>
          <w:sz w:val="19"/>
          <w:szCs w:val="19"/>
          <w:color w:val="010000"/>
        </w:rPr>
        <w:t xml:space="preserve">All notices, requests, consents and other communications, required or permitted to be given hereunder, shall be in writing and shall be delivered personally or by an overnight courier service or sent by registered or certified mail, postage prepaid, return receipt requested, to the Executive at the last address of record in her personnel file and to the Company at the address for its corporate headquarters,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w:t>
      </w:r>
      <w:r>
        <w:rPr>
          <w:rFonts w:ascii="Arial" w:cs="Arial" w:eastAsia="Arial" w:hAnsi="Arial"/>
          <w:sz w:val="19"/>
          <w:szCs w:val="19"/>
          <w:color w:val="000000"/>
        </w:rPr>
        <w:t>11</w:t>
      </w:r>
      <w:r>
        <w:rPr>
          <w:rFonts w:ascii="Arial" w:cs="Arial" w:eastAsia="Arial" w:hAnsi="Arial"/>
          <w:sz w:val="19"/>
          <w:szCs w:val="19"/>
          <w:color w:val="010000"/>
        </w:rPr>
        <w:t>(g).</w:t>
      </w:r>
    </w:p>
    <w:p>
      <w:pPr>
        <w:spacing w:after="0" w:line="152" w:lineRule="exact"/>
        <w:rPr>
          <w:rFonts w:ascii="Arial" w:cs="Arial" w:eastAsia="Arial" w:hAnsi="Arial"/>
          <w:sz w:val="19"/>
          <w:szCs w:val="19"/>
          <w:color w:val="010000"/>
        </w:rPr>
      </w:pPr>
    </w:p>
    <w:p>
      <w:pPr>
        <w:jc w:val="both"/>
        <w:ind w:firstLine="1763"/>
        <w:spacing w:after="0" w:line="257" w:lineRule="auto"/>
        <w:tabs>
          <w:tab w:leader="none" w:pos="2655" w:val="left"/>
        </w:tabs>
        <w:numPr>
          <w:ilvl w:val="1"/>
          <w:numId w:val="71"/>
        </w:numPr>
        <w:rPr>
          <w:rFonts w:ascii="Arial" w:cs="Arial" w:eastAsia="Arial" w:hAnsi="Arial"/>
          <w:sz w:val="19"/>
          <w:szCs w:val="19"/>
          <w:color w:val="010000"/>
        </w:rPr>
      </w:pPr>
      <w:r>
        <w:rPr>
          <w:rFonts w:ascii="Arial" w:cs="Arial" w:eastAsia="Arial" w:hAnsi="Arial"/>
          <w:sz w:val="19"/>
          <w:szCs w:val="19"/>
          <w:color w:val="010000"/>
        </w:rPr>
        <w:t>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28" w:name="page129"/>
    <w:bookmarkEnd w:id="128"/>
    <w:p>
      <w:pPr>
        <w:ind w:right="20" w:firstLine="1763"/>
        <w:spacing w:after="0" w:line="232" w:lineRule="auto"/>
        <w:tabs>
          <w:tab w:leader="none" w:pos="2607" w:val="left"/>
        </w:tabs>
        <w:numPr>
          <w:ilvl w:val="0"/>
          <w:numId w:val="72"/>
        </w:numPr>
        <w:rPr>
          <w:rFonts w:ascii="Arial" w:cs="Arial" w:eastAsia="Arial" w:hAnsi="Arial"/>
          <w:sz w:val="22"/>
          <w:szCs w:val="22"/>
          <w:color w:val="010000"/>
        </w:rPr>
      </w:pPr>
      <w:r>
        <w:rPr>
          <w:rFonts w:ascii="Arial" w:cs="Arial" w:eastAsia="Arial" w:hAnsi="Arial"/>
          <w:sz w:val="22"/>
          <w:szCs w:val="22"/>
          <w:color w:val="010000"/>
        </w:rPr>
        <w:t>As used in this Agreement, “affiliate” of a specified person or entity shall mean and include any person or entity controlling, controlled by or under common control with the specified person or entity.</w:t>
      </w:r>
    </w:p>
    <w:p>
      <w:pPr>
        <w:spacing w:after="0" w:line="159" w:lineRule="exact"/>
        <w:rPr>
          <w:rFonts w:ascii="Arial" w:cs="Arial" w:eastAsia="Arial" w:hAnsi="Arial"/>
          <w:sz w:val="22"/>
          <w:szCs w:val="22"/>
          <w:color w:val="010000"/>
        </w:rPr>
      </w:pPr>
    </w:p>
    <w:p>
      <w:pPr>
        <w:ind w:firstLine="1763"/>
        <w:spacing w:after="0" w:line="232" w:lineRule="auto"/>
        <w:tabs>
          <w:tab w:leader="none" w:pos="2607" w:val="left"/>
        </w:tabs>
        <w:numPr>
          <w:ilvl w:val="0"/>
          <w:numId w:val="72"/>
        </w:numPr>
        <w:rPr>
          <w:rFonts w:ascii="Arial" w:cs="Arial" w:eastAsia="Arial" w:hAnsi="Arial"/>
          <w:sz w:val="22"/>
          <w:szCs w:val="22"/>
          <w:color w:val="010000"/>
        </w:rPr>
      </w:pPr>
      <w:r>
        <w:rPr>
          <w:rFonts w:ascii="Arial" w:cs="Arial" w:eastAsia="Arial" w:hAnsi="Arial"/>
          <w:sz w:val="22"/>
          <w:szCs w:val="22"/>
          <w:color w:val="010000"/>
        </w:rPr>
        <w:t>The section headings contained herein are for reference purposes only and shall not in any way affect the meaning or interpretation of this Agreement.</w:t>
      </w:r>
    </w:p>
    <w:p>
      <w:pPr>
        <w:spacing w:after="0" w:line="159" w:lineRule="exact"/>
        <w:rPr>
          <w:rFonts w:ascii="Arial" w:cs="Arial" w:eastAsia="Arial" w:hAnsi="Arial"/>
          <w:sz w:val="22"/>
          <w:szCs w:val="22"/>
          <w:color w:val="010000"/>
        </w:rPr>
      </w:pPr>
    </w:p>
    <w:p>
      <w:pPr>
        <w:jc w:val="both"/>
        <w:ind w:firstLine="1763"/>
        <w:spacing w:after="0" w:line="214" w:lineRule="auto"/>
        <w:tabs>
          <w:tab w:leader="none" w:pos="2655"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29" w:name="page130"/>
    <w:bookmarkEnd w:id="129"/>
    <w:p>
      <w:pPr>
        <w:ind w:firstLine="877"/>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and intend it to be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by proper person thereunto duly authorized.</w:t>
      </w:r>
    </w:p>
    <w:p>
      <w:pPr>
        <w:spacing w:after="0" w:line="153" w:lineRule="exact"/>
        <w:rPr>
          <w:sz w:val="20"/>
          <w:szCs w:val="20"/>
          <w:color w:val="auto"/>
        </w:rPr>
      </w:pPr>
    </w:p>
    <w:p>
      <w:pPr>
        <w:ind w:left="6140"/>
        <w:spacing w:after="0"/>
        <w:rPr>
          <w:sz w:val="20"/>
          <w:szCs w:val="20"/>
          <w:color w:val="auto"/>
        </w:rPr>
      </w:pPr>
      <w:r>
        <w:rPr>
          <w:rFonts w:ascii="Arial" w:cs="Arial" w:eastAsia="Arial" w:hAnsi="Arial"/>
          <w:sz w:val="22"/>
          <w:szCs w:val="22"/>
          <w:b w:val="1"/>
          <w:bCs w:val="1"/>
          <w:color w:val="auto"/>
        </w:rPr>
        <w:t>ASSEMBLY BIOSCIENCES, INC.</w:t>
      </w:r>
    </w:p>
    <w:p>
      <w:pPr>
        <w:spacing w:after="0" w:line="378" w:lineRule="exact"/>
        <w:rPr>
          <w:sz w:val="20"/>
          <w:szCs w:val="20"/>
          <w:color w:val="auto"/>
        </w:rPr>
      </w:pPr>
    </w:p>
    <w:tbl>
      <w:tblPr>
        <w:tblLayout w:type="fixed"/>
        <w:tblInd w:w="614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040" w:type="dxa"/>
            <w:vAlign w:val="bottom"/>
          </w:tcPr>
          <w:p>
            <w:pPr>
              <w:spacing w:after="0"/>
              <w:rPr>
                <w:sz w:val="20"/>
                <w:szCs w:val="20"/>
                <w:color w:val="auto"/>
              </w:rPr>
            </w:pPr>
            <w:r>
              <w:rPr>
                <w:rFonts w:ascii="Arial" w:cs="Arial" w:eastAsia="Arial" w:hAnsi="Arial"/>
                <w:sz w:val="22"/>
                <w:szCs w:val="22"/>
                <w:color w:val="auto"/>
              </w:rPr>
              <w:t>/s/ Jennifer Troia</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17" w:lineRule="exact"/>
              <w:rPr>
                <w:sz w:val="20"/>
                <w:szCs w:val="20"/>
                <w:color w:val="auto"/>
              </w:rPr>
            </w:pPr>
            <w:r>
              <w:rPr>
                <w:rFonts w:ascii="Arial" w:cs="Arial" w:eastAsia="Arial" w:hAnsi="Arial"/>
                <w:sz w:val="22"/>
                <w:szCs w:val="22"/>
                <w:color w:val="auto"/>
              </w:rPr>
              <w:t>Name:</w:t>
            </w:r>
          </w:p>
        </w:tc>
        <w:tc>
          <w:tcPr>
            <w:tcW w:w="3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760" w:type="dxa"/>
            <w:vAlign w:val="bottom"/>
            <w:vMerge w:val="continue"/>
          </w:tcPr>
          <w:p>
            <w:pPr>
              <w:spacing w:after="0"/>
              <w:rPr>
                <w:sz w:val="15"/>
                <w:szCs w:val="15"/>
                <w:color w:val="auto"/>
              </w:rPr>
            </w:pPr>
          </w:p>
        </w:tc>
        <w:tc>
          <w:tcPr>
            <w:tcW w:w="3040" w:type="dxa"/>
            <w:vAlign w:val="bottom"/>
          </w:tcPr>
          <w:p>
            <w:pPr>
              <w:spacing w:after="0" w:line="174" w:lineRule="exact"/>
              <w:rPr>
                <w:sz w:val="20"/>
                <w:szCs w:val="20"/>
                <w:color w:val="auto"/>
              </w:rPr>
            </w:pPr>
            <w:r>
              <w:rPr>
                <w:rFonts w:ascii="Arial" w:cs="Arial" w:eastAsia="Arial" w:hAnsi="Arial"/>
                <w:sz w:val="19"/>
                <w:szCs w:val="19"/>
                <w:color w:val="auto"/>
              </w:rPr>
              <w:t>Jennifer Troia</w:t>
            </w:r>
          </w:p>
        </w:tc>
        <w:tc>
          <w:tcPr>
            <w:tcW w:w="0" w:type="dxa"/>
            <w:vAlign w:val="bottom"/>
          </w:tcPr>
          <w:p>
            <w:pPr>
              <w:spacing w:after="0"/>
              <w:rPr>
                <w:sz w:val="1"/>
                <w:szCs w:val="1"/>
                <w:color w:val="auto"/>
              </w:rPr>
            </w:pPr>
          </w:p>
        </w:tc>
      </w:tr>
      <w:tr>
        <w:trPr>
          <w:trHeight w:val="216"/>
        </w:trPr>
        <w:tc>
          <w:tcPr>
            <w:tcW w:w="760" w:type="dxa"/>
            <w:vAlign w:val="bottom"/>
          </w:tcPr>
          <w:p>
            <w:pPr>
              <w:spacing w:after="0" w:line="217" w:lineRule="exact"/>
              <w:rPr>
                <w:sz w:val="20"/>
                <w:szCs w:val="20"/>
                <w:color w:val="auto"/>
              </w:rPr>
            </w:pPr>
            <w:r>
              <w:rPr>
                <w:rFonts w:ascii="Arial" w:cs="Arial" w:eastAsia="Arial" w:hAnsi="Arial"/>
                <w:sz w:val="22"/>
                <w:szCs w:val="22"/>
                <w:color w:val="auto"/>
              </w:rPr>
              <w:t>Title:</w:t>
            </w:r>
          </w:p>
        </w:tc>
        <w:tc>
          <w:tcPr>
            <w:tcW w:w="3040" w:type="dxa"/>
            <w:vAlign w:val="bottom"/>
          </w:tcPr>
          <w:p>
            <w:pPr>
              <w:spacing w:after="0" w:line="217" w:lineRule="exact"/>
              <w:rPr>
                <w:sz w:val="20"/>
                <w:szCs w:val="20"/>
                <w:color w:val="auto"/>
              </w:rPr>
            </w:pPr>
            <w:r>
              <w:rPr>
                <w:rFonts w:ascii="Arial" w:cs="Arial" w:eastAsia="Arial" w:hAnsi="Arial"/>
                <w:sz w:val="22"/>
                <w:szCs w:val="22"/>
                <w:color w:val="auto"/>
              </w:rPr>
              <w:t>SVP, Human Resources and</w:t>
            </w:r>
          </w:p>
        </w:tc>
        <w:tc>
          <w:tcPr>
            <w:tcW w:w="0" w:type="dxa"/>
            <w:vAlign w:val="bottom"/>
          </w:tcPr>
          <w:p>
            <w:pPr>
              <w:spacing w:after="0"/>
              <w:rPr>
                <w:sz w:val="1"/>
                <w:szCs w:val="1"/>
                <w:color w:val="auto"/>
              </w:rPr>
            </w:pPr>
          </w:p>
        </w:tc>
      </w:tr>
      <w:tr>
        <w:trPr>
          <w:trHeight w:val="275"/>
        </w:trPr>
        <w:tc>
          <w:tcPr>
            <w:tcW w:w="760" w:type="dxa"/>
            <w:vAlign w:val="bottom"/>
          </w:tcPr>
          <w:p>
            <w:pPr>
              <w:spacing w:after="0"/>
              <w:rPr>
                <w:sz w:val="23"/>
                <w:szCs w:val="23"/>
                <w:color w:val="auto"/>
              </w:rPr>
            </w:pPr>
          </w:p>
        </w:tc>
        <w:tc>
          <w:tcPr>
            <w:tcW w:w="3040" w:type="dxa"/>
            <w:vAlign w:val="bottom"/>
          </w:tcPr>
          <w:p>
            <w:pPr>
              <w:spacing w:after="0"/>
              <w:rPr>
                <w:sz w:val="20"/>
                <w:szCs w:val="20"/>
                <w:color w:val="auto"/>
              </w:rPr>
            </w:pPr>
            <w:r>
              <w:rPr>
                <w:rFonts w:ascii="Arial" w:cs="Arial" w:eastAsia="Arial" w:hAnsi="Arial"/>
                <w:sz w:val="22"/>
                <w:szCs w:val="22"/>
                <w:color w:val="auto"/>
              </w:rPr>
              <w:t>Organization Development</w:t>
            </w: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6140"/>
        <w:spacing w:after="0"/>
        <w:rPr>
          <w:sz w:val="20"/>
          <w:szCs w:val="20"/>
          <w:color w:val="auto"/>
        </w:rPr>
      </w:pPr>
      <w:r>
        <w:rPr>
          <w:rFonts w:ascii="Arial" w:cs="Arial" w:eastAsia="Arial" w:hAnsi="Arial"/>
          <w:sz w:val="22"/>
          <w:szCs w:val="22"/>
          <w:b w:val="1"/>
          <w:bCs w:val="1"/>
          <w:color w:val="auto"/>
        </w:rPr>
        <w:t>EXECUTIVE</w:t>
      </w:r>
    </w:p>
    <w:p>
      <w:pPr>
        <w:spacing w:after="0" w:line="396"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/s/ Luisa M. Stamm, M.D., Ph.D.</w:t>
      </w:r>
    </w:p>
    <w:p>
      <w:pPr>
        <w:ind w:left="6140"/>
        <w:spacing w:after="0"/>
        <w:tabs>
          <w:tab w:leader="none" w:pos="6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Luisa M. Stamm,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-158115</wp:posOffset>
            </wp:positionV>
            <wp:extent cx="24009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60" w:type="dxa"/>
            <w:vAlign w:val="bottom"/>
            <w:gridSpan w:val="3"/>
          </w:tcPr>
          <w:p>
            <w:pPr>
              <w:ind w:left="4080"/>
              <w:spacing w:after="0"/>
              <w:rPr>
                <w:sz w:val="20"/>
                <w:szCs w:val="20"/>
                <w:color w:val="auto"/>
              </w:rPr>
            </w:pPr>
            <w:r>
              <w:rPr>
                <w:rFonts w:ascii="Arial" w:cs="Arial" w:eastAsia="Arial" w:hAnsi="Arial"/>
                <w:sz w:val="18"/>
                <w:szCs w:val="18"/>
                <w:b w:val="1"/>
                <w:bCs w:val="1"/>
                <w:color w:val="auto"/>
                <w:w w:val="96"/>
              </w:rPr>
              <w:t>Subsidiaries of Assembly Biosciences, Inc.</w:t>
            </w:r>
          </w:p>
        </w:tc>
        <w:tc>
          <w:tcPr>
            <w:tcW w:w="374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7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Jurisdiction of</w:t>
            </w:r>
          </w:p>
        </w:tc>
      </w:tr>
      <w:tr>
        <w:trPr>
          <w:trHeight w:val="234"/>
        </w:trPr>
        <w:tc>
          <w:tcPr>
            <w:tcW w:w="7680" w:type="dxa"/>
            <w:vAlign w:val="bottom"/>
            <w:gridSpan w:val="4"/>
          </w:tcPr>
          <w:p>
            <w:pPr>
              <w:spacing w:after="0"/>
              <w:rPr>
                <w:sz w:val="20"/>
                <w:szCs w:val="20"/>
                <w:color w:val="auto"/>
              </w:rPr>
            </w:pPr>
            <w:r>
              <w:rPr>
                <w:rFonts w:ascii="Arial" w:cs="Arial" w:eastAsia="Arial" w:hAnsi="Arial"/>
                <w:sz w:val="18"/>
                <w:szCs w:val="18"/>
                <w:b w:val="1"/>
                <w:bCs w:val="1"/>
                <w:color w:val="auto"/>
              </w:rPr>
              <w:t>Subsidiaries</w:t>
            </w:r>
          </w:p>
        </w:tc>
        <w:tc>
          <w:tcPr>
            <w:tcW w:w="37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3"/>
              </w:rPr>
              <w:t>Incorporation</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Assembly Pharmaceuticals, Inc.</w:t>
            </w:r>
          </w:p>
        </w:tc>
        <w:tc>
          <w:tcPr>
            <w:tcW w:w="2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jc w:val="center"/>
              <w:ind w:right="1770"/>
              <w:spacing w:after="0" w:line="195" w:lineRule="exact"/>
              <w:rPr>
                <w:sz w:val="20"/>
                <w:szCs w:val="20"/>
                <w:color w:val="auto"/>
              </w:rPr>
            </w:pPr>
            <w:r>
              <w:rPr>
                <w:rFonts w:ascii="Arial" w:cs="Arial" w:eastAsia="Arial" w:hAnsi="Arial"/>
                <w:sz w:val="18"/>
                <w:szCs w:val="18"/>
                <w:color w:val="auto"/>
                <w:w w:val="89"/>
              </w:rPr>
              <w:t>Delaware</w:t>
            </w:r>
          </w:p>
        </w:tc>
      </w:tr>
      <w:tr>
        <w:trPr>
          <w:trHeight w:val="216"/>
        </w:trPr>
        <w:tc>
          <w:tcPr>
            <w:tcW w:w="7680" w:type="dxa"/>
            <w:vAlign w:val="bottom"/>
            <w:gridSpan w:val="4"/>
          </w:tcPr>
          <w:p>
            <w:pPr>
              <w:spacing w:after="0"/>
              <w:rPr>
                <w:sz w:val="20"/>
                <w:szCs w:val="20"/>
                <w:color w:val="auto"/>
              </w:rPr>
            </w:pPr>
            <w:r>
              <w:rPr>
                <w:rFonts w:ascii="Arial" w:cs="Arial" w:eastAsia="Arial" w:hAnsi="Arial"/>
                <w:sz w:val="18"/>
                <w:szCs w:val="18"/>
                <w:color w:val="auto"/>
              </w:rPr>
              <w:t>Assembly Biosciences Ireland Limited</w:t>
            </w:r>
          </w:p>
        </w:tc>
        <w:tc>
          <w:tcPr>
            <w:tcW w:w="3740" w:type="dxa"/>
            <w:vAlign w:val="bottom"/>
          </w:tcPr>
          <w:p>
            <w:pPr>
              <w:jc w:val="center"/>
              <w:ind w:right="1770"/>
              <w:spacing w:after="0"/>
              <w:rPr>
                <w:sz w:val="20"/>
                <w:szCs w:val="20"/>
                <w:color w:val="auto"/>
              </w:rPr>
            </w:pPr>
            <w:r>
              <w:rPr>
                <w:rFonts w:ascii="Arial" w:cs="Arial" w:eastAsia="Arial" w:hAnsi="Arial"/>
                <w:sz w:val="18"/>
                <w:szCs w:val="18"/>
                <w:color w:val="auto"/>
                <w:w w:val="94"/>
              </w:rPr>
              <w:t>Ireland</w:t>
            </w:r>
          </w:p>
        </w:tc>
      </w:tr>
      <w:tr>
        <w:trPr>
          <w:trHeight w:val="216"/>
        </w:trPr>
        <w:tc>
          <w:tcPr>
            <w:tcW w:w="7680" w:type="dxa"/>
            <w:vAlign w:val="bottom"/>
            <w:gridSpan w:val="4"/>
          </w:tcPr>
          <w:p>
            <w:pPr>
              <w:spacing w:after="0"/>
              <w:rPr>
                <w:sz w:val="20"/>
                <w:szCs w:val="20"/>
                <w:color w:val="auto"/>
              </w:rPr>
            </w:pPr>
            <w:r>
              <w:rPr>
                <w:rFonts w:ascii="Arial" w:cs="Arial" w:eastAsia="Arial" w:hAnsi="Arial"/>
                <w:sz w:val="18"/>
                <w:szCs w:val="18"/>
                <w:color w:val="auto"/>
              </w:rPr>
              <w:t>ASMB Microbiome China Holdco Limited</w:t>
            </w:r>
          </w:p>
        </w:tc>
        <w:tc>
          <w:tcPr>
            <w:tcW w:w="3740" w:type="dxa"/>
            <w:vAlign w:val="bottom"/>
          </w:tcPr>
          <w:p>
            <w:pPr>
              <w:jc w:val="center"/>
              <w:ind w:right="1770"/>
              <w:spacing w:after="0"/>
              <w:rPr>
                <w:sz w:val="20"/>
                <w:szCs w:val="20"/>
                <w:color w:val="auto"/>
              </w:rPr>
            </w:pPr>
            <w:r>
              <w:rPr>
                <w:rFonts w:ascii="Arial" w:cs="Arial" w:eastAsia="Arial" w:hAnsi="Arial"/>
                <w:sz w:val="18"/>
                <w:szCs w:val="18"/>
                <w:color w:val="auto"/>
                <w:w w:val="94"/>
              </w:rPr>
              <w:t>Ireland</w:t>
            </w:r>
          </w:p>
        </w:tc>
      </w:tr>
      <w:tr>
        <w:trPr>
          <w:trHeight w:val="216"/>
        </w:trPr>
        <w:tc>
          <w:tcPr>
            <w:tcW w:w="7680" w:type="dxa"/>
            <w:vAlign w:val="bottom"/>
            <w:gridSpan w:val="4"/>
          </w:tcPr>
          <w:p>
            <w:pPr>
              <w:spacing w:after="0"/>
              <w:rPr>
                <w:sz w:val="20"/>
                <w:szCs w:val="20"/>
                <w:color w:val="auto"/>
              </w:rPr>
            </w:pPr>
            <w:r>
              <w:rPr>
                <w:rFonts w:ascii="Arial" w:cs="Arial" w:eastAsia="Arial" w:hAnsi="Arial"/>
                <w:sz w:val="18"/>
                <w:szCs w:val="18"/>
                <w:color w:val="auto"/>
              </w:rPr>
              <w:t>ASMB HBV China Holdco Limited</w:t>
            </w:r>
          </w:p>
        </w:tc>
        <w:tc>
          <w:tcPr>
            <w:tcW w:w="3740" w:type="dxa"/>
            <w:vAlign w:val="bottom"/>
          </w:tcPr>
          <w:p>
            <w:pPr>
              <w:jc w:val="center"/>
              <w:ind w:right="1770"/>
              <w:spacing w:after="0"/>
              <w:rPr>
                <w:sz w:val="20"/>
                <w:szCs w:val="20"/>
                <w:color w:val="auto"/>
              </w:rPr>
            </w:pPr>
            <w:r>
              <w:rPr>
                <w:rFonts w:ascii="Arial" w:cs="Arial" w:eastAsia="Arial" w:hAnsi="Arial"/>
                <w:sz w:val="18"/>
                <w:szCs w:val="18"/>
                <w:color w:val="auto"/>
                <w:w w:val="94"/>
              </w:rPr>
              <w:t>Ireland</w:t>
            </w:r>
          </w:p>
        </w:tc>
      </w:tr>
      <w:tr>
        <w:trPr>
          <w:trHeight w:val="216"/>
        </w:trPr>
        <w:tc>
          <w:tcPr>
            <w:tcW w:w="7680" w:type="dxa"/>
            <w:vAlign w:val="bottom"/>
            <w:gridSpan w:val="4"/>
          </w:tcPr>
          <w:p>
            <w:pPr>
              <w:spacing w:after="0"/>
              <w:rPr>
                <w:sz w:val="20"/>
                <w:szCs w:val="20"/>
                <w:color w:val="auto"/>
              </w:rPr>
            </w:pPr>
            <w:r>
              <w:rPr>
                <w:rFonts w:ascii="Arial" w:cs="Arial" w:eastAsia="Arial" w:hAnsi="Arial"/>
                <w:sz w:val="18"/>
                <w:szCs w:val="18"/>
                <w:color w:val="auto"/>
              </w:rPr>
              <w:t>Assembly Biotechnology Development (Shanghai) Co, Ltd.</w:t>
            </w:r>
          </w:p>
        </w:tc>
        <w:tc>
          <w:tcPr>
            <w:tcW w:w="3740" w:type="dxa"/>
            <w:vAlign w:val="bottom"/>
          </w:tcPr>
          <w:p>
            <w:pPr>
              <w:jc w:val="center"/>
              <w:ind w:right="1770"/>
              <w:spacing w:after="0"/>
              <w:rPr>
                <w:sz w:val="20"/>
                <w:szCs w:val="20"/>
                <w:color w:val="auto"/>
              </w:rPr>
            </w:pPr>
            <w:r>
              <w:rPr>
                <w:rFonts w:ascii="Arial" w:cs="Arial" w:eastAsia="Arial" w:hAnsi="Arial"/>
                <w:sz w:val="18"/>
                <w:szCs w:val="18"/>
                <w:color w:val="auto"/>
                <w:w w:val="93"/>
              </w:rPr>
              <w:t>China</w:t>
            </w:r>
          </w:p>
        </w:tc>
      </w:tr>
      <w:tr>
        <w:trPr>
          <w:trHeight w:val="230"/>
        </w:trPr>
        <w:tc>
          <w:tcPr>
            <w:tcW w:w="7680" w:type="dxa"/>
            <w:vAlign w:val="bottom"/>
            <w:gridSpan w:val="4"/>
          </w:tcPr>
          <w:p>
            <w:pPr>
              <w:spacing w:after="0"/>
              <w:rPr>
                <w:sz w:val="20"/>
                <w:szCs w:val="20"/>
                <w:color w:val="auto"/>
              </w:rPr>
            </w:pPr>
            <w:r>
              <w:rPr>
                <w:rFonts w:ascii="Arial" w:cs="Arial" w:eastAsia="Arial" w:hAnsi="Arial"/>
                <w:sz w:val="18"/>
                <w:szCs w:val="18"/>
                <w:color w:val="auto"/>
              </w:rPr>
              <w:t>Assembly Biosciences Hong Kong Limited</w:t>
            </w:r>
          </w:p>
        </w:tc>
        <w:tc>
          <w:tcPr>
            <w:tcW w:w="3740" w:type="dxa"/>
            <w:vAlign w:val="bottom"/>
          </w:tcPr>
          <w:p>
            <w:pPr>
              <w:jc w:val="center"/>
              <w:ind w:right="1770"/>
              <w:spacing w:after="0"/>
              <w:rPr>
                <w:sz w:val="20"/>
                <w:szCs w:val="20"/>
                <w:color w:val="auto"/>
              </w:rPr>
            </w:pPr>
            <w:r>
              <w:rPr>
                <w:rFonts w:ascii="Arial" w:cs="Arial" w:eastAsia="Arial" w:hAnsi="Arial"/>
                <w:sz w:val="18"/>
                <w:szCs w:val="18"/>
                <w:color w:val="auto"/>
                <w:w w:val="93"/>
              </w:rPr>
              <w:t>Hong Kong</w:t>
            </w:r>
          </w:p>
        </w:tc>
      </w:tr>
      <w:tr>
        <w:trPr>
          <w:trHeight w:val="230"/>
        </w:trPr>
        <w:tc>
          <w:tcPr>
            <w:tcW w:w="7680" w:type="dxa"/>
            <w:vAlign w:val="bottom"/>
            <w:gridSpan w:val="4"/>
          </w:tcPr>
          <w:p>
            <w:pPr>
              <w:spacing w:after="0"/>
              <w:rPr>
                <w:sz w:val="20"/>
                <w:szCs w:val="20"/>
                <w:color w:val="auto"/>
              </w:rPr>
            </w:pPr>
            <w:r>
              <w:rPr>
                <w:rFonts w:ascii="Arial" w:cs="Arial" w:eastAsia="Arial" w:hAnsi="Arial"/>
                <w:sz w:val="18"/>
                <w:szCs w:val="18"/>
                <w:color w:val="auto"/>
              </w:rPr>
              <w:t>Assembly Biosciences Cayman</w:t>
            </w:r>
          </w:p>
        </w:tc>
        <w:tc>
          <w:tcPr>
            <w:tcW w:w="3740" w:type="dxa"/>
            <w:vAlign w:val="bottom"/>
          </w:tcPr>
          <w:p>
            <w:pPr>
              <w:jc w:val="center"/>
              <w:ind w:right="1770"/>
              <w:spacing w:after="0"/>
              <w:rPr>
                <w:sz w:val="20"/>
                <w:szCs w:val="20"/>
                <w:color w:val="auto"/>
              </w:rPr>
            </w:pPr>
            <w:r>
              <w:rPr>
                <w:rFonts w:ascii="Arial" w:cs="Arial" w:eastAsia="Arial" w:hAnsi="Arial"/>
                <w:sz w:val="18"/>
                <w:szCs w:val="18"/>
                <w:color w:val="auto"/>
                <w:w w:val="89"/>
              </w:rPr>
              <w:t>Cayman Islands</w:t>
            </w:r>
          </w:p>
        </w:tc>
      </w:tr>
    </w:tbl>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1740" w:hanging="868"/>
        <w:spacing w:after="0"/>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S-3 No. 333-222366) of Assembly Biosciences, Inc.,</w:t>
      </w:r>
    </w:p>
    <w:p>
      <w:pPr>
        <w:spacing w:after="0" w:line="184" w:lineRule="exact"/>
        <w:rPr>
          <w:rFonts w:ascii="Arial" w:cs="Arial" w:eastAsia="Arial" w:hAnsi="Arial"/>
          <w:sz w:val="18"/>
          <w:szCs w:val="18"/>
          <w:color w:val="auto"/>
        </w:rPr>
      </w:pPr>
    </w:p>
    <w:p>
      <w:pPr>
        <w:ind w:left="1740" w:hanging="868"/>
        <w:spacing w:after="0" w:line="277" w:lineRule="auto"/>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S-8 No. 333-173613) pertaining to the 2007 Stock Incentive Plan and 2010 Equity Incentive Plan of Ventrus Biosciences, Inc.,</w:t>
      </w:r>
    </w:p>
    <w:p>
      <w:pPr>
        <w:spacing w:after="0" w:line="129" w:lineRule="exact"/>
        <w:rPr>
          <w:rFonts w:ascii="Arial" w:cs="Arial" w:eastAsia="Arial" w:hAnsi="Arial"/>
          <w:sz w:val="18"/>
          <w:szCs w:val="18"/>
          <w:color w:val="auto"/>
        </w:rPr>
      </w:pPr>
    </w:p>
    <w:p>
      <w:pPr>
        <w:ind w:left="1740" w:hanging="868"/>
        <w:spacing w:after="0"/>
        <w:tabs>
          <w:tab w:leader="none" w:pos="1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Registration Statement (Form S-8 No. 333-182167) pertaining to the 2010 Equity Incentive Plan of Ventrus Biosciences, Inc.,</w:t>
      </w:r>
    </w:p>
    <w:p>
      <w:pPr>
        <w:spacing w:after="0" w:line="196" w:lineRule="exact"/>
        <w:rPr>
          <w:rFonts w:ascii="Arial" w:cs="Arial" w:eastAsia="Arial" w:hAnsi="Arial"/>
          <w:sz w:val="17"/>
          <w:szCs w:val="17"/>
          <w:color w:val="auto"/>
        </w:rPr>
      </w:pPr>
    </w:p>
    <w:p>
      <w:pPr>
        <w:ind w:left="1740" w:hanging="868"/>
        <w:spacing w:after="0"/>
        <w:tabs>
          <w:tab w:leader="none" w:pos="1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Registration Statement (Form S-8 No. 333-198803) pertaining to the 2014 Stock Incentive Plan of Assembly Biosciences, Inc.,</w:t>
      </w:r>
    </w:p>
    <w:p>
      <w:pPr>
        <w:spacing w:after="0" w:line="196" w:lineRule="exact"/>
        <w:rPr>
          <w:rFonts w:ascii="Arial" w:cs="Arial" w:eastAsia="Arial" w:hAnsi="Arial"/>
          <w:sz w:val="17"/>
          <w:szCs w:val="17"/>
          <w:color w:val="auto"/>
        </w:rPr>
      </w:pPr>
    </w:p>
    <w:p>
      <w:pPr>
        <w:ind w:left="1740" w:hanging="868"/>
        <w:spacing w:after="0" w:line="277" w:lineRule="auto"/>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S-8 No. 333-213019) pertaining to the Amended and Restated 2014 Stock Incentive Plan of Assembly Biosciences, Inc.,</w:t>
      </w:r>
    </w:p>
    <w:p>
      <w:pPr>
        <w:spacing w:after="0" w:line="129" w:lineRule="exact"/>
        <w:rPr>
          <w:rFonts w:ascii="Arial" w:cs="Arial" w:eastAsia="Arial" w:hAnsi="Arial"/>
          <w:sz w:val="18"/>
          <w:szCs w:val="18"/>
          <w:color w:val="auto"/>
        </w:rPr>
      </w:pPr>
    </w:p>
    <w:p>
      <w:pPr>
        <w:ind w:left="1740" w:hanging="868"/>
        <w:spacing w:after="0" w:line="277" w:lineRule="auto"/>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S-8 No. 333-216902) pertaining to the Non-Qualified Stock Option Agreements dated May 16, 2014 of Assembly Biosciences, Inc.,</w:t>
      </w:r>
    </w:p>
    <w:p>
      <w:pPr>
        <w:spacing w:after="0" w:line="129" w:lineRule="exact"/>
        <w:rPr>
          <w:rFonts w:ascii="Arial" w:cs="Arial" w:eastAsia="Arial" w:hAnsi="Arial"/>
          <w:sz w:val="18"/>
          <w:szCs w:val="18"/>
          <w:color w:val="auto"/>
        </w:rPr>
      </w:pPr>
    </w:p>
    <w:p>
      <w:pPr>
        <w:ind w:left="1740" w:hanging="868"/>
        <w:spacing w:after="0"/>
        <w:tabs>
          <w:tab w:leader="none" w:pos="17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Registration Statement (Form S-8 No. 333-219919) pertaining to the 2017 Inducement Award Plan of Assembly Biosciences, Inc.,</w:t>
      </w:r>
    </w:p>
    <w:p>
      <w:pPr>
        <w:spacing w:after="0" w:line="207" w:lineRule="exact"/>
        <w:rPr>
          <w:rFonts w:ascii="Arial" w:cs="Arial" w:eastAsia="Arial" w:hAnsi="Arial"/>
          <w:sz w:val="16"/>
          <w:szCs w:val="16"/>
          <w:color w:val="auto"/>
        </w:rPr>
      </w:pPr>
    </w:p>
    <w:p>
      <w:pPr>
        <w:ind w:left="1740" w:hanging="868"/>
        <w:spacing w:after="0" w:line="277" w:lineRule="auto"/>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S-8 No. 333-226703) pertaining to the 2018 Stock Incentive Plan and the 2018 Employee Stock Purchase Plan of Assembly Biosciences, Inc.,</w:t>
      </w:r>
    </w:p>
    <w:p>
      <w:pPr>
        <w:spacing w:after="0" w:line="129" w:lineRule="exact"/>
        <w:rPr>
          <w:rFonts w:ascii="Arial" w:cs="Arial" w:eastAsia="Arial" w:hAnsi="Arial"/>
          <w:sz w:val="18"/>
          <w:szCs w:val="18"/>
          <w:color w:val="auto"/>
        </w:rPr>
      </w:pPr>
    </w:p>
    <w:p>
      <w:pPr>
        <w:ind w:left="1740" w:hanging="868"/>
        <w:spacing w:after="0"/>
        <w:tabs>
          <w:tab w:leader="none" w:pos="17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Registration Statement (Form S-8 No. 333-233030) pertaining to the 2018 Stock Incentive Plan of Assembly Biosciences, Inc., and</w:t>
      </w:r>
    </w:p>
    <w:p>
      <w:pPr>
        <w:spacing w:after="0" w:line="207" w:lineRule="exact"/>
        <w:rPr>
          <w:rFonts w:ascii="Arial" w:cs="Arial" w:eastAsia="Arial" w:hAnsi="Arial"/>
          <w:sz w:val="16"/>
          <w:szCs w:val="16"/>
          <w:color w:val="auto"/>
        </w:rPr>
      </w:pPr>
    </w:p>
    <w:p>
      <w:pPr>
        <w:ind w:left="1740" w:right="20" w:hanging="868"/>
        <w:spacing w:after="0" w:line="277" w:lineRule="auto"/>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S-8 No. 333-234580) pertaining to 2019 Inducement Award Plan and the Amended and Restated 2014 Stock Incentive Plan of Assembly Biosciences, Inc.</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March 4, 2020, with respect to the consolidated financial statements of Assembly Biosciences, Inc. and the effectiveness of internal control over financial reporting of Assembly Biosciences, Inc. included in this Annual Report (Form 10-K) of Assembly Biosciences, Inc. for the year ended December 31,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ectPr>
          <w:pgSz w:w="11900" w:h="16838" w:orient="portrait"/>
          <w:cols w:equalWidth="0" w:num="1">
            <w:col w:w="11420"/>
          </w:cols>
          <w:pgMar w:left="240" w:top="35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85" w:lineRule="exact"/>
        <w:rPr>
          <w:sz w:val="20"/>
          <w:szCs w:val="20"/>
          <w:color w:val="auto"/>
        </w:rPr>
      </w:pPr>
    </w:p>
    <w:p>
      <w:pPr>
        <w:ind w:left="500" w:hanging="370"/>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Assembly Biosciences, Inc.;</w:t>
      </w:r>
    </w:p>
    <w:p>
      <w:pPr>
        <w:spacing w:after="0" w:line="184" w:lineRule="exact"/>
        <w:rPr>
          <w:rFonts w:ascii="Arial" w:cs="Arial" w:eastAsia="Arial" w:hAnsi="Arial"/>
          <w:sz w:val="18"/>
          <w:szCs w:val="18"/>
          <w:color w:val="auto"/>
        </w:rPr>
      </w:pPr>
    </w:p>
    <w:p>
      <w:pPr>
        <w:jc w:val="both"/>
        <w:ind w:left="500" w:right="440" w:hanging="370"/>
        <w:spacing w:after="0" w:line="264"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500" w:right="360" w:hanging="370"/>
        <w:spacing w:after="0" w:line="308"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500" w:right="20" w:hanging="370"/>
        <w:spacing w:after="0" w:line="264"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left="500" w:right="180" w:hanging="370"/>
        <w:spacing w:after="0" w:line="264"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500" w:right="180" w:hanging="370"/>
        <w:spacing w:after="0" w:line="264"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500" w:right="40" w:hanging="370"/>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500" w:right="80" w:hanging="370"/>
        <w:spacing w:after="0" w:line="264"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sz w:val="20"/>
          <w:szCs w:val="20"/>
          <w:color w:val="auto"/>
        </w:rPr>
      </w:pPr>
    </w:p>
    <w:p>
      <w:pPr>
        <w:ind w:left="500" w:right="140" w:hanging="370"/>
        <w:spacing w:after="0" w:line="308" w:lineRule="auto"/>
        <w:tabs>
          <w:tab w:leader="none" w:pos="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6" w:lineRule="exact"/>
        <w:rPr>
          <w:sz w:val="20"/>
          <w:szCs w:val="20"/>
          <w:color w:val="auto"/>
        </w:rPr>
      </w:pPr>
    </w:p>
    <w:p>
      <w:pPr>
        <w:ind w:left="500" w:right="140" w:hanging="370"/>
        <w:spacing w:after="0" w:line="277"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500" w:right="200" w:hanging="370"/>
        <w:spacing w:after="0" w:line="277"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March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 (Principal Executive Officer)</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J. Russo, CFA, certify that:</w:t>
      </w:r>
    </w:p>
    <w:p>
      <w:pPr>
        <w:spacing w:after="0" w:line="185" w:lineRule="exact"/>
        <w:rPr>
          <w:sz w:val="20"/>
          <w:szCs w:val="20"/>
          <w:color w:val="auto"/>
        </w:rPr>
      </w:pPr>
    </w:p>
    <w:p>
      <w:pPr>
        <w:ind w:left="500" w:hanging="370"/>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Assembly Biosciences, Inc.;</w:t>
      </w:r>
    </w:p>
    <w:p>
      <w:pPr>
        <w:spacing w:after="0" w:line="184" w:lineRule="exact"/>
        <w:rPr>
          <w:rFonts w:ascii="Arial" w:cs="Arial" w:eastAsia="Arial" w:hAnsi="Arial"/>
          <w:sz w:val="18"/>
          <w:szCs w:val="18"/>
          <w:color w:val="auto"/>
        </w:rPr>
      </w:pPr>
    </w:p>
    <w:p>
      <w:pPr>
        <w:jc w:val="both"/>
        <w:ind w:left="500" w:right="440" w:hanging="370"/>
        <w:spacing w:after="0" w:line="264"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500" w:right="360" w:hanging="370"/>
        <w:spacing w:after="0" w:line="308" w:lineRule="auto"/>
        <w:tabs>
          <w:tab w:leader="none" w:pos="5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500" w:right="20" w:hanging="370"/>
        <w:spacing w:after="0" w:line="264"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left="500" w:right="180" w:hanging="370"/>
        <w:spacing w:after="0" w:line="264"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500" w:right="180" w:hanging="370"/>
        <w:spacing w:after="0" w:line="264"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500" w:right="40" w:hanging="370"/>
        <w:spacing w:after="0" w:line="277"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500" w:right="80" w:hanging="370"/>
        <w:spacing w:after="0" w:line="264"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sz w:val="20"/>
          <w:szCs w:val="20"/>
          <w:color w:val="auto"/>
        </w:rPr>
      </w:pPr>
    </w:p>
    <w:p>
      <w:pPr>
        <w:ind w:left="500" w:right="140" w:hanging="370"/>
        <w:spacing w:after="0" w:line="308"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sz w:val="20"/>
          <w:szCs w:val="20"/>
          <w:color w:val="auto"/>
        </w:rPr>
      </w:pPr>
    </w:p>
    <w:p>
      <w:pPr>
        <w:ind w:left="500" w:right="140" w:hanging="370"/>
        <w:spacing w:after="0" w:line="277"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500" w:right="200" w:hanging="370"/>
        <w:spacing w:after="0" w:line="277"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March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Thomas J. Russo,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4"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In connection with the annual report on Form 10-K of Assembly Biosciences, Inc. (the Company) for the fiscal year ended December 31, 2019, as filed with the Securities and Exchange Commission on the date hereof (the Report), I, John G. McHutchison, A.O., M.D., Chief Executive Officer and President (Principal Executive Officer) of the Company, certify, pursuant to 18 U.S.C. Section 1350, as adopted pursuant to Section 906 of the Sarbanes-Oxley Act of 2002, that, to my knowledge:</w:t>
      </w:r>
    </w:p>
    <w:p>
      <w:pPr>
        <w:spacing w:after="0" w:line="146" w:lineRule="exact"/>
        <w:rPr>
          <w:sz w:val="20"/>
          <w:szCs w:val="20"/>
          <w:color w:val="auto"/>
        </w:rPr>
      </w:pPr>
    </w:p>
    <w:p>
      <w:pPr>
        <w:ind w:left="580" w:hanging="437"/>
        <w:spacing w:after="0"/>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400" w:firstLine="143"/>
        <w:spacing w:after="0" w:line="481" w:lineRule="auto"/>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4, 2020</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 (Principal Executive Officer)</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4" w:lineRule="exact"/>
        <w:rPr>
          <w:sz w:val="20"/>
          <w:szCs w:val="20"/>
          <w:color w:val="auto"/>
        </w:rPr>
      </w:pPr>
    </w:p>
    <w:p>
      <w:pPr>
        <w:jc w:val="both"/>
        <w:ind w:firstLine="439"/>
        <w:spacing w:after="0" w:line="312" w:lineRule="auto"/>
        <w:rPr>
          <w:sz w:val="20"/>
          <w:szCs w:val="20"/>
          <w:color w:val="auto"/>
        </w:rPr>
      </w:pPr>
      <w:r>
        <w:rPr>
          <w:rFonts w:ascii="Arial" w:cs="Arial" w:eastAsia="Arial" w:hAnsi="Arial"/>
          <w:sz w:val="16"/>
          <w:szCs w:val="16"/>
          <w:color w:val="auto"/>
        </w:rPr>
        <w:t>In connection with the annual report on Form 10-K of Assembly Biosciences, Inc. (the Company) for the fiscal year ended December 31, 2019, as filed with the Securities and Exchange Commission on the date hereof (the Report), I, Thomas J. Russo, CFA, Chief Financial Officer (Principal Financial Officer) of the Company, certify, pursuant to 18 U.S.C. Section 1350, as adopted pursuant to Section 906 of the Sarbanes-Oxley Act of 2002, that, to my knowledge:</w:t>
      </w:r>
    </w:p>
    <w:p>
      <w:pPr>
        <w:spacing w:after="0" w:line="106" w:lineRule="exact"/>
        <w:rPr>
          <w:sz w:val="20"/>
          <w:szCs w:val="20"/>
          <w:color w:val="auto"/>
        </w:rPr>
      </w:pPr>
    </w:p>
    <w:p>
      <w:pPr>
        <w:ind w:left="580" w:hanging="437"/>
        <w:spacing w:after="0"/>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400" w:firstLine="143"/>
        <w:spacing w:after="0" w:line="481" w:lineRule="auto"/>
        <w:tabs>
          <w:tab w:leader="none" w:pos="5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4, 2020</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 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Thomas J. Russo,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1"/>
      <w:numFmt w:val="decimal"/>
      <w:start w:val="104"/>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decimal"/>
      <w:start w:val="1"/>
    </w:lvl>
    <w:lvl w:ilvl="1">
      <w:lvlJc w:val="left"/>
      <w:lvlText w:val="(%2)"/>
      <w:numFmt w:val="lowerLetter"/>
      <w:start w:val="1"/>
    </w:lvl>
  </w:abstractNum>
  <w:abstractNum w:abstractNumId="54">
    <w:nsid w:val="6590700B"/>
    <w:multiLevelType w:val="hybridMultilevel"/>
    <w:lvl w:ilvl="0">
      <w:lvlJc w:val="left"/>
      <w:lvlText w:val="%1."/>
      <w:numFmt w:val="decimal"/>
      <w:start w:val="4"/>
    </w:lvl>
    <w:lvl w:ilvl="1">
      <w:lvlJc w:val="left"/>
      <w:lvlText w:val="(%2)"/>
      <w:numFmt w:val="lowerLetter"/>
      <w:start w:val="1"/>
    </w:lvl>
  </w:abstractNum>
  <w:abstractNum w:abstractNumId="55">
    <w:nsid w:val="15014ACB"/>
    <w:multiLevelType w:val="hybridMultilevel"/>
    <w:lvl w:ilvl="0">
      <w:lvlJc w:val="left"/>
      <w:lvlText w:val="(%1)"/>
      <w:numFmt w:val="lowerLetter"/>
      <w:start w:val="5"/>
    </w:lvl>
    <w:lvl w:ilvl="1">
      <w:lvlJc w:val="left"/>
      <w:lvlText w:val="(%2)"/>
      <w:numFmt w:val="lowerRoman"/>
      <w:start w:val="1"/>
    </w:lvl>
  </w:abstractNum>
  <w:abstractNum w:abstractNumId="56">
    <w:nsid w:val="5F5E7FD0"/>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57">
    <w:nsid w:val="98A31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8">
    <w:nsid w:val="799D024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9">
    <w:nsid w:val="6B94764"/>
    <w:multiLevelType w:val="hybridMultilevel"/>
    <w:lvl w:ilvl="0">
      <w:lvlJc w:val="left"/>
      <w:lvlText w:val="(%1)"/>
      <w:numFmt w:val="lowerLetter"/>
      <w:start w:val="2"/>
    </w:lvl>
  </w:abstractNum>
  <w:abstractNum w:abstractNumId="60">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1">
    <w:nsid w:val="168E121F"/>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62">
    <w:nsid w:val="1EBA5D23"/>
    <w:multiLevelType w:val="hybridMultilevel"/>
    <w:lvl w:ilvl="0">
      <w:lvlJc w:val="left"/>
      <w:lvlText w:val="(%1)"/>
      <w:numFmt w:val="lowerLetter"/>
      <w:start w:val="26"/>
    </w:lvl>
    <w:lvl w:ilvl="1">
      <w:lvlJc w:val="left"/>
      <w:lvlText w:val="%2."/>
      <w:numFmt w:val="decimal"/>
      <w:start w:val="7"/>
    </w:lvl>
    <w:lvl w:ilvl="2">
      <w:lvlJc w:val="left"/>
      <w:lvlText w:val="(%3)"/>
      <w:numFmt w:val="lowerLetter"/>
      <w:start w:val="5"/>
    </w:lvl>
  </w:abstractNum>
  <w:abstractNum w:abstractNumId="63">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4">
    <w:nsid w:val="5DC79EA8"/>
    <w:multiLevelType w:val="hybridMultilevel"/>
    <w:lvl w:ilvl="0">
      <w:lvlJc w:val="left"/>
      <w:lvlText w:val="(%1)"/>
      <w:numFmt w:val="lowerLetter"/>
      <w:start w:val="2"/>
    </w:lvl>
  </w:abstractNum>
  <w:abstractNum w:abstractNumId="65">
    <w:nsid w:val="540A471C"/>
    <w:multiLevelType w:val="hybridMultilevel"/>
    <w:lvl w:ilvl="0">
      <w:lvlJc w:val="left"/>
      <w:lvlText w:val="%1"/>
      <w:numFmt w:val="decimal"/>
      <w:start w:val="1"/>
    </w:lvl>
    <w:lvl w:ilvl="1">
      <w:lvlJc w:val="left"/>
      <w:lvlText w:val="(%2)"/>
      <w:numFmt w:val="lowerLetter"/>
      <w:start w:val="4"/>
    </w:lvl>
  </w:abstractNum>
  <w:abstractNum w:abstractNumId="66">
    <w:nsid w:val="7BD3EE7B"/>
    <w:multiLevelType w:val="hybridMultilevel"/>
    <w:lvl w:ilvl="0">
      <w:lvlJc w:val="left"/>
      <w:lvlText w:val="%1."/>
      <w:numFmt w:val="decimal"/>
      <w:start w:val="9"/>
    </w:lvl>
    <w:lvl w:ilvl="1">
      <w:lvlJc w:val="left"/>
      <w:lvlText w:val="(%2)"/>
      <w:numFmt w:val="lowerLetter"/>
      <w:start w:val="1"/>
    </w:lvl>
  </w:abstractNum>
  <w:abstractNum w:abstractNumId="67">
    <w:nsid w:val="51D9C564"/>
    <w:multiLevelType w:val="hybridMultilevel"/>
    <w:lvl w:ilvl="0">
      <w:lvlJc w:val="left"/>
      <w:lvlText w:val="%1"/>
      <w:numFmt w:val="decimal"/>
      <w:start w:val="1"/>
    </w:lvl>
    <w:lvl w:ilvl="1">
      <w:lvlJc w:val="left"/>
      <w:lvlText w:val="(%2)"/>
      <w:numFmt w:val="lowerLetter"/>
      <w:start w:val="3"/>
    </w:lvl>
  </w:abstractNum>
  <w:abstractNum w:abstractNumId="68">
    <w:nsid w:val="613EFDC5"/>
    <w:multiLevelType w:val="hybridMultilevel"/>
    <w:lvl w:ilvl="0">
      <w:lvlJc w:val="left"/>
      <w:lvlText w:val="%1."/>
      <w:numFmt w:val="decimal"/>
      <w:start w:val="10"/>
    </w:lvl>
    <w:lvl w:ilvl="1">
      <w:lvlJc w:val="left"/>
      <w:lvlText w:val="(%2)"/>
      <w:numFmt w:val="lowerLetter"/>
      <w:start w:val="1"/>
    </w:lvl>
  </w:abstractNum>
  <w:abstractNum w:abstractNumId="69">
    <w:nsid w:val="BF72B14"/>
    <w:multiLevelType w:val="hybridMultilevel"/>
    <w:lvl w:ilvl="0">
      <w:lvlJc w:val="left"/>
      <w:lvlText w:val="(%1)"/>
      <w:numFmt w:val="lowerLetter"/>
      <w:start w:val="2"/>
    </w:lvl>
    <w:lvl w:ilvl="1">
      <w:lvlJc w:val="left"/>
      <w:lvlText w:val="(%2)"/>
      <w:numFmt w:val="lowerRoman"/>
      <w:start w:val="1"/>
    </w:lvl>
  </w:abstractNum>
  <w:abstractNum w:abstractNumId="70">
    <w:nsid w:val="11447B73"/>
    <w:multiLevelType w:val="hybridMultilevel"/>
    <w:lvl w:ilvl="0">
      <w:lvlJc w:val="left"/>
      <w:lvlText w:val="%1."/>
      <w:numFmt w:val="decimal"/>
      <w:start w:val="11"/>
    </w:lvl>
    <w:lvl w:ilvl="1">
      <w:lvlJc w:val="left"/>
      <w:lvlText w:val="(%2)"/>
      <w:numFmt w:val="lowerLetter"/>
      <w:start w:val="1"/>
    </w:lvl>
  </w:abstractNum>
  <w:abstractNum w:abstractNumId="71">
    <w:nsid w:val="42963E5A"/>
    <w:multiLevelType w:val="hybridMultilevel"/>
    <w:lvl w:ilvl="0">
      <w:lvlJc w:val="left"/>
      <w:lvlText w:val="(%1)"/>
      <w:numFmt w:val="lowerLetter"/>
      <w:start w:val="9"/>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decimal"/>
      <w:start w:val="5"/>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decimal"/>
      <w:start w:val="5"/>
    </w:lvl>
  </w:abstractNum>
  <w:abstractNum w:abstractNumId="80">
    <w:nsid w:val="14330624"/>
    <w:multiLevelType w:val="hybridMultilevel"/>
    <w:lvl w:ilvl="0">
      <w:lvlJc w:val="left"/>
      <w:lvlText w:val="(%1)"/>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93" Type="http://schemas.openxmlformats.org/officeDocument/2006/relationships/hyperlink" Target="http://www.sec.gov/Archives/edgar/data/1426800/000114420418032371/tv495357_ex3-1.htm" TargetMode="External"/><Relationship Id="rId94" Type="http://schemas.openxmlformats.org/officeDocument/2006/relationships/hyperlink" Target="http://www.sec.gov/Archives/edgar/data/1426800/000095012319010301/asmb-ex31_190.htm" TargetMode="External"/><Relationship Id="rId95" Type="http://schemas.openxmlformats.org/officeDocument/2006/relationships/hyperlink" Target="http://www.sec.gov/Archives/edgar/data/1426800/000114420415073414/v427997_ex4-1.htm" TargetMode="External"/><Relationship Id="rId96" Type="http://schemas.openxmlformats.org/officeDocument/2006/relationships/hyperlink" Target="http://www.sec.gov/Archives/edgar/data/0001426800/000119312519315242/d849253dex41.htm" TargetMode="External"/><Relationship Id="rId97" Type="http://schemas.openxmlformats.org/officeDocument/2006/relationships/hyperlink" Target="http://www.sec.gov/Archives/edgar/data/1426800/000114420418058118/tv505055_ex10-1.htm" TargetMode="External"/><Relationship Id="rId98" Type="http://schemas.openxmlformats.org/officeDocument/2006/relationships/hyperlink" Target="http://www.sec.gov/Archives/edgar/data/1426800/000114420414069040/v393386_ex10-29.htm" TargetMode="External"/><Relationship Id="rId99" Type="http://schemas.openxmlformats.org/officeDocument/2006/relationships/hyperlink" Target="http://www.sec.gov/Archives/edgar/data/1426800/000114420414019383/v371774_ex10-22.htm" TargetMode="External"/><Relationship Id="rId100" Type="http://schemas.openxmlformats.org/officeDocument/2006/relationships/hyperlink" Target="http://www.sec.gov/Archives/edgar/data/1426800/000114420417024996/v465414_ex10-1.htm" TargetMode="External"/><Relationship Id="rId101" Type="http://schemas.openxmlformats.org/officeDocument/2006/relationships/hyperlink" Target="http://www.sec.gov/Archives/edgar/data/1426800/000095012319010301/asmb-ex101_188.htm" TargetMode="External"/><Relationship Id="rId102" Type="http://schemas.openxmlformats.org/officeDocument/2006/relationships/hyperlink" Target="http://www.sec.gov/Archives/edgar/data/1426800/000095012319010301/asmb-ex106_713.htm" TargetMode="External"/><Relationship Id="rId103" Type="http://schemas.openxmlformats.org/officeDocument/2006/relationships/hyperlink" Target="http://www.sec.gov/Archives/edgar/data/1426800/000114420416132547/v451818_ex10-1.htm" TargetMode="External"/><Relationship Id="rId104" Type="http://schemas.openxmlformats.org/officeDocument/2006/relationships/hyperlink" Target="http://www.sec.gov/Archives/edgar/data/1426800/000114420418053659/tv504698_ex10-2.htm" TargetMode="External"/><Relationship Id="rId105" Type="http://schemas.openxmlformats.org/officeDocument/2006/relationships/hyperlink" Target="http://www.sec.gov/Archives/edgar/data/1426800/000114420419011361/tv514070_ex10-11.htm" TargetMode="External"/><Relationship Id="rId106" Type="http://schemas.openxmlformats.org/officeDocument/2006/relationships/hyperlink" Target="http://www.sec.gov/Archives/edgar/data/1426800/000114420410052266/v196825_ex10-14.htm" TargetMode="External"/><Relationship Id="rId107" Type="http://schemas.openxmlformats.org/officeDocument/2006/relationships/hyperlink" Target="http://www.sec.gov/Archives/edgar/data/1426800/000114420416107050/v441808_ex10-1.htm" TargetMode="External"/><Relationship Id="rId108" Type="http://schemas.openxmlformats.org/officeDocument/2006/relationships/hyperlink" Target="http://www.sec.gov/Archives/edgar/data/1426800/000114420414056572/v389114_ex10-28.htm" TargetMode="External"/><Relationship Id="rId109" Type="http://schemas.openxmlformats.org/officeDocument/2006/relationships/hyperlink" Target="http://www.sec.gov/Archives/edgar/data/1426800/000114420417055501/tv477592_ex10-1.htm" TargetMode="External"/><Relationship Id="rId110" Type="http://schemas.openxmlformats.org/officeDocument/2006/relationships/hyperlink" Target="http://www.sec.gov/Archives/edgar/data/1426800/000114420417041660/v472206_ex10-1.htm" TargetMode="External"/><Relationship Id="rId111" Type="http://schemas.openxmlformats.org/officeDocument/2006/relationships/hyperlink" Target="http://www.sec.gov/Archives/edgar/data/1426800/000114420417041660/v472206_ex10-2.htm" TargetMode="External"/><Relationship Id="rId112" Type="http://schemas.openxmlformats.org/officeDocument/2006/relationships/hyperlink" Target="http://www.sec.gov/Archives/edgar/data/1426800/000114420417041660/v472206_ex10-3.htm" TargetMode="External"/><Relationship Id="rId113" Type="http://schemas.openxmlformats.org/officeDocument/2006/relationships/hyperlink" Target="http://www.sec.gov/Archives/edgar/data/1426800/000114420418032371/tv495357_ex10-1.htm" TargetMode="External"/><Relationship Id="rId114" Type="http://schemas.openxmlformats.org/officeDocument/2006/relationships/hyperlink" Target="http://www.sec.gov/Archives/edgar/data/0001426800/000114420419027502/tv522122_ex10-2.htm" TargetMode="External"/><Relationship Id="rId116" Type="http://schemas.openxmlformats.org/officeDocument/2006/relationships/hyperlink" Target="http://www.sec.gov/Archives/edgar/data/1426800/000114420418032371/tv495357_ex10-2.htm" TargetMode="External"/><Relationship Id="rId117" Type="http://schemas.openxmlformats.org/officeDocument/2006/relationships/hyperlink" Target="http://www.sec.gov/Archives/edgar/data/1426800/000114420418032371/tv495357_ex10-3.htm" TargetMode="External"/><Relationship Id="rId118" Type="http://schemas.openxmlformats.org/officeDocument/2006/relationships/hyperlink" Target="http://www.sec.gov/Archives/edgar/data/1426800/000114420418053659/tv504698_ex10-4.htm" TargetMode="External"/><Relationship Id="rId119" Type="http://schemas.openxmlformats.org/officeDocument/2006/relationships/hyperlink" Target="http://www.sec.gov/Archives/edgar/data/1426800/000114420418032371/tv495357_ex10-4.htm" TargetMode="External"/><Relationship Id="rId120" Type="http://schemas.openxmlformats.org/officeDocument/2006/relationships/hyperlink" Target="http://www.sec.gov/Archives/edgar/data/1426800/000095012319010301/asmb-ex104_186.htm" TargetMode="External"/><Relationship Id="rId121" Type="http://schemas.openxmlformats.org/officeDocument/2006/relationships/hyperlink" Target="http://www.sec.gov/Archives/edgar/data/0001426800/000095012319010301/asmb-ex105_185.htm" TargetMode="External"/><Relationship Id="rId122" Type="http://schemas.openxmlformats.org/officeDocument/2006/relationships/hyperlink" Target="http://www.sec.gov/Archives/edgar/data/1426800/000095012319010301/asmb-ex102_191.htm" TargetMode="External"/><Relationship Id="rId123" Type="http://schemas.openxmlformats.org/officeDocument/2006/relationships/hyperlink" Target="http://www.sec.gov/Archives/edgar/data/1426800/000095012319010301/asmb-ex103_187.htm" TargetMode="External"/><Relationship Id="rId124" Type="http://schemas.openxmlformats.org/officeDocument/2006/relationships/hyperlink" Target="http://www.sec.gov/Archives/edgar/data/0001426800/000114420419037687/asmb-20190630ex1015b3077.htm" TargetMode="External"/><Relationship Id="rId125" Type="http://schemas.openxmlformats.org/officeDocument/2006/relationships/hyperlink" Target="http://www.sec.gov/Archives/edgar/data/1426800/000114420419037687/asmb-20190630ex102e9f38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2020-03-04T15:36:21Z</dcterms:created>
  <dcterms:modified xsi:type="dcterms:W3CDTF">2020-03-04T15:36:21Z</dcterms:modified>
</cp:coreProperties>
</file>