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mb-20240630.htm"/>
      <w:bookmarkStart w:id="1" w:name="ksasmb20240630"/>
      <w:bookmarkEnd w:id="0"/>
      <w:bookmarkEnd w:id="1"/>
      <w:r>
        <w:rPr/>
        <w:t> </w:t>
      </w:r>
    </w:p>
    <w:p>
      <w:pPr>
        <w:pStyle w:val="TextBody"/>
        <w:pBdr>
          <w:bottom w:val="double" w:sz="4" w:space="1" w:color="000000"/>
        </w:pBdr>
        <w:bidi w:val="0"/>
        <w:jc w:val="left"/>
        <w:rPr/>
      </w:pPr>
      <w:r>
        <w:rPr/>
        <w:t>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FORM 10-Q</w:t>
      </w:r>
    </w:p>
    <w:p>
      <w:pPr>
        <w:pStyle w:val="TextBody"/>
        <w:pBdr>
          <w:bottom w:val="single" w:sz="4" w:space="1" w:color="000000"/>
        </w:pBdr>
        <w:bidi w:val="0"/>
        <w:jc w:val="center"/>
        <w:rPr/>
      </w:pPr>
      <w:r>
        <w:rPr/>
        <w:t> </w:t>
      </w:r>
    </w:p>
    <w:p>
      <w:pPr>
        <w:pStyle w:val="TextBody"/>
        <w:bidi w:val="0"/>
        <w:jc w:val="both"/>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421" w:type="dxa"/>
            <w:tcBorders/>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QUARTERLY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quarterly period ended June 30, 2024</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OR</w:t>
      </w:r>
    </w:p>
    <w:p>
      <w:pPr>
        <w:pStyle w:val="TextBody"/>
        <w:bidi w:val="0"/>
        <w:jc w:val="both"/>
        <w:rPr/>
      </w:pPr>
      <w:r>
        <w:rPr/>
        <w:t> </w:t>
      </w:r>
    </w:p>
    <w:tbl>
      <w:tblPr>
        <w:tblW w:w="9752" w:type="dxa"/>
        <w:jc w:val="left"/>
        <w:tblInd w:w="0" w:type="dxa"/>
        <w:tblLayout w:type="fixed"/>
        <w:tblCellMar>
          <w:top w:w="28" w:type="dxa"/>
          <w:left w:w="28" w:type="dxa"/>
          <w:bottom w:w="28" w:type="dxa"/>
          <w:right w:w="28" w:type="dxa"/>
        </w:tblCellMar>
      </w:tblPr>
      <w:tblGrid>
        <w:gridCol w:w="331"/>
        <w:gridCol w:w="9421"/>
      </w:tblGrid>
      <w:tr>
        <w:trPr/>
        <w:tc>
          <w:tcPr>
            <w:tcW w:w="331" w:type="dxa"/>
            <w:tcBorders/>
            <w:vAlign w:val="center"/>
          </w:tcPr>
          <w:p>
            <w:pPr>
              <w:pStyle w:val="TableContents"/>
              <w:bidi w:val="0"/>
              <w:spacing w:before="0" w:after="283"/>
              <w:jc w:val="left"/>
              <w:rPr>
                <w:sz w:val="4"/>
                <w:szCs w:val="4"/>
              </w:rPr>
            </w:pPr>
            <w:r>
              <w:rPr>
                <w:sz w:val="4"/>
                <w:szCs w:val="4"/>
              </w:rPr>
            </w:r>
          </w:p>
        </w:tc>
        <w:tc>
          <w:tcPr>
            <w:tcW w:w="942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9421" w:type="dxa"/>
            <w:tcBorders/>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TRANSITION REPORT PURSUANT TO SECTION 13 OR 15(d) OF THE SECURITIES EXCHANGE ACT OF 1934</w:t>
            </w:r>
          </w:p>
        </w:tc>
      </w:tr>
    </w:tbl>
    <w:p>
      <w:pPr>
        <w:pStyle w:val="TextBody"/>
        <w:bidi w:val="0"/>
        <w:jc w:val="both"/>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 the transition period from ___________to___________.</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Commission file number: 001-35005</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ASSEMBLY BIOSCIENCES, INC.</w:t>
      </w:r>
    </w:p>
    <w:p>
      <w:pPr>
        <w:pStyle w:val="TextBody"/>
        <w:bidi w:val="0"/>
        <w:jc w:val="center"/>
        <w:rPr>
          <w:rFonts w:ascii="Times New Roman" w:hAnsi="Times New Roman"/>
          <w:color w:val="000000"/>
          <w:sz w:val="18"/>
        </w:rPr>
      </w:pPr>
      <w:r>
        <w:rPr>
          <w:rFonts w:ascii="Times New Roman" w:hAnsi="Times New Roman"/>
          <w:color w:val="000000"/>
          <w:sz w:val="18"/>
        </w:rPr>
        <w:t>(Exact name of Registrant as specified in its charter)</w:t>
      </w:r>
    </w:p>
    <w:p>
      <w:pPr>
        <w:pStyle w:val="TextBody"/>
        <w:bidi w:val="0"/>
        <w:jc w:val="both"/>
        <w:rPr/>
      </w:pPr>
      <w:r>
        <w:rPr/>
        <w:t> </w:t>
      </w:r>
    </w:p>
    <w:tbl>
      <w:tblPr>
        <w:tblW w:w="4952" w:type="dxa"/>
        <w:jc w:val="left"/>
        <w:tblInd w:w="0" w:type="dxa"/>
        <w:tblLayout w:type="fixed"/>
        <w:tblCellMar>
          <w:top w:w="28" w:type="dxa"/>
          <w:left w:w="28" w:type="dxa"/>
          <w:bottom w:w="28" w:type="dxa"/>
          <w:right w:w="28" w:type="dxa"/>
        </w:tblCellMar>
      </w:tblPr>
      <w:tblGrid>
        <w:gridCol w:w="2236"/>
        <w:gridCol w:w="2716"/>
      </w:tblGrid>
      <w:tr>
        <w:trPr/>
        <w:tc>
          <w:tcPr>
            <w:tcW w:w="2236"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223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271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20-8729264</w:t>
            </w:r>
          </w:p>
        </w:tc>
      </w:tr>
      <w:tr>
        <w:trPr/>
        <w:tc>
          <w:tcPr>
            <w:tcW w:w="223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(State or other jurisdiction of</w:t>
            </w:r>
          </w:p>
        </w:tc>
        <w:tc>
          <w:tcPr>
            <w:tcW w:w="271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(I.R.S. Employer Identification No.)</w:t>
            </w:r>
          </w:p>
        </w:tc>
      </w:tr>
      <w:tr>
        <w:trPr/>
        <w:tc>
          <w:tcPr>
            <w:tcW w:w="223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incorporation or organization)</w:t>
            </w:r>
          </w:p>
        </w:tc>
        <w:tc>
          <w:tcPr>
            <w:tcW w:w="2716" w:type="dxa"/>
            <w:tcBorders/>
            <w:vAlign w:val="center"/>
          </w:tcPr>
          <w:p>
            <w:pPr>
              <w:pStyle w:val="TableContents"/>
              <w:bidi w:val="0"/>
              <w:spacing w:before="0" w:after="283"/>
              <w:jc w:val="left"/>
              <w:rPr/>
            </w:pPr>
            <w:r>
              <w:rPr/>
              <w:t> </w:t>
            </w:r>
          </w:p>
        </w:tc>
      </w:tr>
    </w:tbl>
    <w:p>
      <w:pPr>
        <w:pStyle w:val="TextBody"/>
        <w:bidi w:val="0"/>
        <w:jc w:val="both"/>
        <w:rPr/>
      </w:pPr>
      <w:r>
        <w:rPr/>
        <w:t> </w:t>
      </w:r>
    </w:p>
    <w:tbl>
      <w:tblPr>
        <w:tblW w:w="3782" w:type="dxa"/>
        <w:jc w:val="left"/>
        <w:tblInd w:w="0" w:type="dxa"/>
        <w:tblLayout w:type="fixed"/>
        <w:tblCellMar>
          <w:top w:w="28" w:type="dxa"/>
          <w:left w:w="28" w:type="dxa"/>
          <w:bottom w:w="28" w:type="dxa"/>
          <w:right w:w="28" w:type="dxa"/>
        </w:tblCellMar>
      </w:tblPr>
      <w:tblGrid>
        <w:gridCol w:w="2926"/>
        <w:gridCol w:w="856"/>
      </w:tblGrid>
      <w:tr>
        <w:trPr/>
        <w:tc>
          <w:tcPr>
            <w:tcW w:w="29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Two Tower Place, 7th Floor</w:t>
            </w:r>
          </w:p>
        </w:tc>
        <w:tc>
          <w:tcPr>
            <w:tcW w:w="856"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South San Francisco, California</w:t>
            </w:r>
          </w:p>
        </w:tc>
        <w:tc>
          <w:tcPr>
            <w:tcW w:w="856"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94080</w:t>
            </w:r>
          </w:p>
        </w:tc>
      </w:tr>
      <w:tr>
        <w:trPr/>
        <w:tc>
          <w:tcPr>
            <w:tcW w:w="292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(Address of principal executive offices)</w:t>
            </w:r>
          </w:p>
        </w:tc>
        <w:tc>
          <w:tcPr>
            <w:tcW w:w="856"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(833) 509-4583</w:t>
      </w:r>
    </w:p>
    <w:p>
      <w:pPr>
        <w:pStyle w:val="TextBody"/>
        <w:bidi w:val="0"/>
        <w:jc w:val="center"/>
        <w:rPr>
          <w:rFonts w:ascii="Times New Roman" w:hAnsi="Times New Roman"/>
          <w:color w:val="000000"/>
          <w:sz w:val="18"/>
        </w:rPr>
      </w:pPr>
      <w:r>
        <w:rPr>
          <w:rFonts w:ascii="Times New Roman" w:hAnsi="Times New Roman"/>
          <w:color w:val="000000"/>
          <w:sz w:val="18"/>
        </w:rPr>
        <w:t>(Registrant’s telephone number, including area code)</w:t>
      </w:r>
    </w:p>
    <w:p>
      <w:pPr>
        <w:pStyle w:val="TextBody"/>
        <w:pBdr>
          <w:bottom w:val="single" w:sz="4" w:space="1" w:color="000000"/>
        </w:pBdr>
        <w:bidi w:val="0"/>
        <w:spacing w:before="0" w:after="12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p>
      <w:pPr>
        <w:pStyle w:val="TextBody"/>
        <w:bidi w:val="0"/>
        <w:jc w:val="both"/>
        <w:rPr/>
      </w:pPr>
      <w:r>
        <w:rPr/>
        <w:t> </w:t>
      </w:r>
    </w:p>
    <w:tbl>
      <w:tblPr>
        <w:tblW w:w="7158" w:type="dxa"/>
        <w:jc w:val="left"/>
        <w:tblInd w:w="0" w:type="dxa"/>
        <w:tblLayout w:type="fixed"/>
        <w:tblCellMar>
          <w:top w:w="28" w:type="dxa"/>
          <w:left w:w="28" w:type="dxa"/>
          <w:bottom w:w="28" w:type="dxa"/>
          <w:right w:w="28" w:type="dxa"/>
        </w:tblCellMar>
      </w:tblPr>
      <w:tblGrid>
        <w:gridCol w:w="2506"/>
        <w:gridCol w:w="1426"/>
        <w:gridCol w:w="3226"/>
      </w:tblGrid>
      <w:tr>
        <w:trPr/>
        <w:tc>
          <w:tcPr>
            <w:tcW w:w="250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250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Title of each class</w:t>
            </w:r>
          </w:p>
        </w:tc>
        <w:tc>
          <w:tcPr>
            <w:tcW w:w="14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Trading Symbol(s)</w:t>
            </w:r>
          </w:p>
        </w:tc>
        <w:tc>
          <w:tcPr>
            <w:tcW w:w="3226"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40" w:after="283"/>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2506"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Common Stock, par value $0.001</w:t>
            </w:r>
          </w:p>
        </w:tc>
        <w:tc>
          <w:tcPr>
            <w:tcW w:w="1426" w:type="dxa"/>
            <w:tcBorders>
              <w:bottom w:val="single" w:sz="8" w:space="0" w:color="000000"/>
              <w:right w:val="single" w:sz="8"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ASMB</w:t>
            </w:r>
          </w:p>
        </w:tc>
        <w:tc>
          <w:tcPr>
            <w:tcW w:w="3226" w:type="dxa"/>
            <w:tcBorders>
              <w:bottom w:val="single" w:sz="8" w:space="0" w:color="000000"/>
              <w:right w:val="single" w:sz="8" w:space="0" w:color="000000"/>
            </w:tcBorders>
            <w:tcMar>
              <w:top w:w="0" w:type="dxa"/>
              <w:left w:w="0" w:type="dxa"/>
            </w:tcMar>
            <w:vAlign w:val="center"/>
          </w:tcPr>
          <w:p>
            <w:pPr>
              <w:pStyle w:val="TableContents"/>
              <w:bidi w:val="0"/>
              <w:spacing w:before="40" w:after="283"/>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both"/>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2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vAlign w:val="center"/>
          </w:tcPr>
          <w:p>
            <w:pPr>
              <w:pStyle w:val="TableContents"/>
              <w:bidi w:val="0"/>
              <w:spacing w:before="0" w:after="283"/>
              <w:jc w:val="left"/>
              <w:rPr>
                <w:color w:val="000000"/>
              </w:rPr>
            </w:pPr>
            <w:r>
              <w:rPr>
                <w:color w:val="000000"/>
              </w:rPr>
              <w:t>☒</w:t>
            </w:r>
          </w:p>
        </w:tc>
      </w:tr>
      <w:tr>
        <w:trPr/>
        <w:tc>
          <w:tcPr>
            <w:tcW w:w="2056"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387" w:type="dxa"/>
            <w:gridSpan w:val="2"/>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 xml:space="preserve">No </w:t>
      </w:r>
      <w:r>
        <w:rPr>
          <w:rFonts w:ascii="Times New Roman" w:hAnsi="Times New Roman"/>
          <w:color w:val="000000"/>
          <w:sz w:val="20"/>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18"/>
        </w:rPr>
        <w:t>As of August 2, 2024, there were 6,345,561</w:t>
      </w:r>
      <w:r>
        <w:rPr>
          <w:rFonts w:ascii="Times New Roman" w:hAnsi="Times New Roman"/>
          <w:color w:val="000000"/>
          <w:sz w:val="20"/>
        </w:rPr>
        <w:t xml:space="preserve"> </w:t>
      </w:r>
      <w:r>
        <w:rPr>
          <w:rFonts w:ascii="Times New Roman" w:hAnsi="Times New Roman"/>
          <w:color w:val="000000"/>
          <w:sz w:val="18"/>
        </w:rPr>
        <w:t>shares of the registrant’s common stock outstanding.</w:t>
      </w:r>
    </w:p>
    <w:p>
      <w:pPr>
        <w:pStyle w:val="TextBody"/>
        <w:pBdr>
          <w:bottom w:val="double" w:sz="4" w:space="1" w:color="000000"/>
        </w:pBdr>
        <w:bidi w:val="0"/>
        <w:jc w:val="both"/>
        <w:rPr/>
      </w:pPr>
      <w:r>
        <w:rPr/>
        <w:t> </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81"/>
        <w:gridCol w:w="8348"/>
        <w:gridCol w:w="976"/>
      </w:tblGrid>
      <w:tr>
        <w:trPr/>
        <w:tc>
          <w:tcPr>
            <w:tcW w:w="881" w:type="dxa"/>
            <w:tcBorders/>
            <w:vAlign w:val="center"/>
          </w:tcPr>
          <w:p>
            <w:pPr>
              <w:pStyle w:val="TableContents"/>
              <w:bidi w:val="0"/>
              <w:spacing w:before="0" w:after="283"/>
              <w:jc w:val="left"/>
              <w:rPr>
                <w:sz w:val="4"/>
                <w:szCs w:val="4"/>
              </w:rPr>
            </w:pPr>
            <w:r>
              <w:rPr>
                <w:sz w:val="4"/>
                <w:szCs w:val="4"/>
              </w:rPr>
            </w:r>
          </w:p>
        </w:tc>
        <w:tc>
          <w:tcPr>
            <w:tcW w:w="8348"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881" w:type="dxa"/>
            <w:tcBorders/>
            <w:vAlign w:val="center"/>
          </w:tcPr>
          <w:p>
            <w:pPr>
              <w:pStyle w:val="TableContents"/>
              <w:bidi w:val="0"/>
              <w:spacing w:before="0" w:after="80"/>
              <w:jc w:val="left"/>
              <w:rPr/>
            </w:pPr>
            <w:r>
              <w:rPr/>
              <w:t> </w:t>
            </w:r>
          </w:p>
        </w:tc>
        <w:tc>
          <w:tcPr>
            <w:tcW w:w="8348" w:type="dxa"/>
            <w:tcBorders/>
            <w:vAlign w:val="center"/>
          </w:tcPr>
          <w:p>
            <w:pPr>
              <w:pStyle w:val="TableContents"/>
              <w:bidi w:val="0"/>
              <w:spacing w:before="0" w:after="80"/>
              <w:jc w:val="left"/>
              <w:rPr/>
            </w:pPr>
            <w:r>
              <w:rPr/>
              <w:t> </w:t>
            </w:r>
          </w:p>
        </w:tc>
        <w:tc>
          <w:tcPr>
            <w:tcW w:w="976"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Page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w:t>
            </w:r>
          </w:p>
        </w:tc>
        <w:tc>
          <w:tcPr>
            <w:tcW w:w="8348" w:type="dxa"/>
            <w:tcBorders/>
            <w:vAlign w:val="center"/>
          </w:tcPr>
          <w:p>
            <w:pPr>
              <w:pStyle w:val="TableContents"/>
              <w:bidi w:val="0"/>
              <w:spacing w:before="0" w:after="283"/>
              <w:jc w:val="left"/>
              <w:rPr/>
            </w:pPr>
            <w:hyperlink w:anchor="part_i_financial_information">
              <w:r>
                <w:rPr>
                  <w:rStyle w:val="InternetLink"/>
                  <w:rFonts w:ascii="Times New Roman" w:hAnsi="Times New Roman"/>
                  <w:color w:val="0000FF"/>
                  <w:sz w:val="20"/>
                  <w:u w:val="single"/>
                </w:rPr>
                <w:t>FINANCIAL INFORMATION</w:t>
              </w:r>
            </w:hyperlink>
          </w:p>
        </w:tc>
        <w:tc>
          <w:tcPr>
            <w:tcW w:w="97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348" w:type="dxa"/>
            <w:tcBorders/>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976"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ind w:left="0" w:right="0" w:firstLine="720"/>
              <w:jc w:val="right"/>
              <w:rPr/>
            </w:pPr>
            <w:r>
              <w:rPr/>
              <w:t> </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hyperlink w:anchor="condensed_consolidated_balance_sheets">
              <w:r>
                <w:rPr>
                  <w:rStyle w:val="InternetLink"/>
                  <w:rFonts w:ascii="Times New Roman" w:hAnsi="Times New Roman"/>
                  <w:color w:val="0000FF"/>
                  <w:sz w:val="20"/>
                  <w:u w:val="single"/>
                </w:rPr>
                <w:t>Condensed Consolidated Balance Sheets at June 30, 2024 (unaudited) and December 31, 2023</w:t>
              </w:r>
            </w:hyperlink>
          </w:p>
        </w:tc>
        <w:tc>
          <w:tcPr>
            <w:tcW w:w="976"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2</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ind w:left="0" w:right="0" w:firstLine="720"/>
              <w:jc w:val="right"/>
              <w:rPr/>
            </w:pPr>
            <w:r>
              <w:rPr/>
              <w:t> </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 for the Three and Six Months Ended June 30, 2024 and 2023 (unaudited)</w:t>
              </w:r>
            </w:hyperlink>
          </w:p>
        </w:tc>
        <w:tc>
          <w:tcPr>
            <w:tcW w:w="976"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3</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ind w:left="0" w:right="0" w:firstLine="720"/>
              <w:jc w:val="right"/>
              <w:rPr/>
            </w:pPr>
            <w:r>
              <w:rPr/>
              <w:t> </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hyperlink w:anchor="condensed_consolidated_statements_change">
              <w:r>
                <w:rPr>
                  <w:rStyle w:val="InternetLink"/>
                  <w:rFonts w:ascii="Times New Roman" w:hAnsi="Times New Roman"/>
                  <w:color w:val="0000FF"/>
                  <w:sz w:val="20"/>
                  <w:u w:val="single"/>
                </w:rPr>
                <w:t>Condensed Consolidated Statements of Changes in Stockholders’ Equity for the Three and Six Months Ended June 30, 2024 and 2023 (unaudited)</w:t>
              </w:r>
            </w:hyperlink>
          </w:p>
        </w:tc>
        <w:tc>
          <w:tcPr>
            <w:tcW w:w="976"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4</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ind w:left="0" w:right="0" w:firstLine="720"/>
              <w:jc w:val="right"/>
              <w:rPr/>
            </w:pPr>
            <w:r>
              <w:rPr/>
              <w:t> </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FF"/>
                  <w:sz w:val="20"/>
                  <w:u w:val="single"/>
                </w:rPr>
                <w:t>Condensed Consolidated Statements of Cash Flows for the Six Months Ended June 30, 2024 and 2023 (unaudited)</w:t>
              </w:r>
            </w:hyperlink>
          </w:p>
        </w:tc>
        <w:tc>
          <w:tcPr>
            <w:tcW w:w="976" w:type="dxa"/>
            <w:tcBorders/>
            <w:vAlign w:val="center"/>
          </w:tcPr>
          <w:p>
            <w:pPr>
              <w:pStyle w:val="TableContents"/>
              <w:bidi w:val="0"/>
              <w:spacing w:before="0" w:after="283"/>
              <w:ind w:left="0" w:right="0" w:firstLine="720"/>
              <w:jc w:val="right"/>
              <w:rPr>
                <w:rFonts w:ascii="Times New Roman" w:hAnsi="Times New Roman"/>
                <w:color w:val="000000"/>
                <w:sz w:val="20"/>
              </w:rPr>
            </w:pPr>
            <w:r>
              <w:rPr>
                <w:rFonts w:ascii="Times New Roman" w:hAnsi="Times New Roman"/>
                <w:color w:val="000000"/>
                <w:sz w:val="20"/>
              </w:rPr>
              <w:t>6</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ind w:left="0" w:right="0" w:firstLine="720"/>
              <w:jc w:val="right"/>
              <w:rPr/>
            </w:pPr>
            <w:r>
              <w:rPr/>
              <w:t> </w:t>
            </w:r>
          </w:p>
        </w:tc>
      </w:tr>
      <w:tr>
        <w:trPr/>
        <w:tc>
          <w:tcPr>
            <w:tcW w:w="881" w:type="dxa"/>
            <w:tcBorders/>
            <w:vAlign w:val="center"/>
          </w:tcPr>
          <w:p>
            <w:pPr>
              <w:pStyle w:val="TableContents"/>
              <w:bidi w:val="0"/>
              <w:spacing w:before="0" w:after="283"/>
              <w:ind w:left="720" w:right="0" w:firstLine="720"/>
              <w:jc w:val="left"/>
              <w:rPr/>
            </w:pPr>
            <w:r>
              <w:rPr/>
              <w:t> </w:t>
            </w:r>
          </w:p>
        </w:tc>
        <w:tc>
          <w:tcPr>
            <w:tcW w:w="8348" w:type="dxa"/>
            <w:tcBorders/>
            <w:vAlign w:val="center"/>
          </w:tcPr>
          <w:p>
            <w:pPr>
              <w:pStyle w:val="TableContents"/>
              <w:bidi w:val="0"/>
              <w:spacing w:before="0" w:after="283"/>
              <w:jc w:val="left"/>
              <w:rPr/>
            </w:pPr>
            <w:hyperlink w:anchor="notes_to_condensed_consolidated_financia">
              <w:r>
                <w:rPr>
                  <w:rStyle w:val="InternetLink"/>
                  <w:rFonts w:ascii="Times New Roman" w:hAnsi="Times New Roman"/>
                  <w:color w:val="0000FF"/>
                  <w:sz w:val="20"/>
                  <w:u w:val="single"/>
                </w:rPr>
                <w:t>Notes to the Condensed Consolidated Financial Statements (unaudited)</w:t>
              </w:r>
            </w:hyperlink>
          </w:p>
        </w:tc>
        <w:tc>
          <w:tcPr>
            <w:tcW w:w="97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348" w:type="dxa"/>
            <w:tcBorders/>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97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348" w:type="dxa"/>
            <w:tcBorders/>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97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348" w:type="dxa"/>
            <w:tcBorders/>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97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 II:</w:t>
            </w:r>
          </w:p>
        </w:tc>
        <w:tc>
          <w:tcPr>
            <w:tcW w:w="8348" w:type="dxa"/>
            <w:tcBorders/>
            <w:vAlign w:val="center"/>
          </w:tcPr>
          <w:p>
            <w:pPr>
              <w:pStyle w:val="TableContents"/>
              <w:bidi w:val="0"/>
              <w:spacing w:before="0" w:after="283"/>
              <w:jc w:val="left"/>
              <w:rPr/>
            </w:pPr>
            <w:hyperlink w:anchor="part_ii_or_information">
              <w:r>
                <w:rPr>
                  <w:rStyle w:val="InternetLink"/>
                  <w:rFonts w:ascii="Times New Roman" w:hAnsi="Times New Roman"/>
                  <w:color w:val="0000FF"/>
                  <w:sz w:val="20"/>
                  <w:u w:val="single"/>
                </w:rPr>
                <w:t>OTHER INFORMATION</w:t>
              </w:r>
            </w:hyperlink>
          </w:p>
        </w:tc>
        <w:tc>
          <w:tcPr>
            <w:tcW w:w="97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348" w:type="dxa"/>
            <w:tcBorders/>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97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348"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97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348" w:type="dxa"/>
            <w:tcBorders/>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97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348" w:type="dxa"/>
            <w:tcBorders/>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97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348"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97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348" w:type="dxa"/>
            <w:tcBorders/>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97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81" w:type="dxa"/>
            <w:tcBorders/>
            <w:vAlign w:val="center"/>
          </w:tcPr>
          <w:p>
            <w:pPr>
              <w:pStyle w:val="TableContents"/>
              <w:bidi w:val="0"/>
              <w:spacing w:before="0" w:after="283"/>
              <w:jc w:val="left"/>
              <w:rPr/>
            </w:pPr>
            <w:r>
              <w:rPr/>
              <w:t> </w:t>
            </w:r>
          </w:p>
        </w:tc>
        <w:tc>
          <w:tcPr>
            <w:tcW w:w="8348"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88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348" w:type="dxa"/>
            <w:tcBorders/>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97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r>
      <w:tr>
        <w:trPr/>
        <w:tc>
          <w:tcPr>
            <w:tcW w:w="9229" w:type="dxa"/>
            <w:gridSpan w:val="2"/>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right"/>
              <w:rPr/>
            </w:pPr>
            <w:r>
              <w:rPr/>
              <w:t> </w:t>
            </w:r>
          </w:p>
        </w:tc>
      </w:tr>
      <w:tr>
        <w:trPr/>
        <w:tc>
          <w:tcPr>
            <w:tcW w:w="9229" w:type="dxa"/>
            <w:gridSpan w:val="2"/>
            <w:tcBorders/>
            <w:vAlign w:val="center"/>
          </w:tcPr>
          <w:p>
            <w:pPr>
              <w:pStyle w:val="TableContents"/>
              <w:bidi w:val="0"/>
              <w:spacing w:before="0" w:after="283"/>
              <w:jc w:val="left"/>
              <w:rPr/>
            </w:pPr>
            <w:hyperlink w:anchor="signathure">
              <w:r>
                <w:rPr>
                  <w:rStyle w:val="InternetLink"/>
                  <w:rFonts w:ascii="Times New Roman" w:hAnsi="Times New Roman"/>
                  <w:color w:val="0000FF"/>
                  <w:sz w:val="20"/>
                  <w:u w:val="single"/>
                </w:rPr>
                <w:t>SIGNATURES</w:t>
              </w:r>
            </w:hyperlink>
          </w:p>
        </w:tc>
        <w:tc>
          <w:tcPr>
            <w:tcW w:w="976"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References to Assembly Biosciences,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Throughout this Quarterly Report on Form 10-Q, the “Company,” “Assembly,” “we,” “us,” and “our,” except where the context requires otherwise, refer to Assembly Biosciences, Inc. and its consolidated subsidiaries, and “board of directors” refers to the board of directors of Assembly Biosciences, Inc.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Quarterly Report on Form 10-Q contains “forward-looking statements” that are subject to certain risks and uncertainties, including, without limitation, those set forth in Part I, Item 1A of our Annual Report on Form 10-K filed with the U.S. Securities and Exchange Commission (SEC) on March 28, 2024 (2023 Annual Report) and Part II, Item 1A of this Quarterly Report on Form 10-Q under the heading “Risk Factors,” that could cause actual results to materially differ. Such risks and uncertainties include,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realize the potential benefits of our collaboration with Gilead Sciences, Inc. (Gilead), including all financial aspects of the collaboration and equity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initiate and complete clinical studies involving our therapeutic product candidates, including studies contemplated by our collaboration with Gilead, in the currently anticipated timeframes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safety and efficacy data from clinical or nonclinical studies may not warrant further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clinical and nonclinical data presented at conferences may not differentiate our product candidates from other companies’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nonclinical studies may not be representative of disease behavior in a clinical setting and may not be predictive of the outcomes of clinical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and our ability to successfully complete, and receive favorable results in, clinical studies for our product candidates.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 w:name="part_i_financial_information"/>
      <w:bookmarkEnd w:id="2"/>
      <w:r>
        <w:rPr>
          <w:rFonts w:ascii="Times New Roman" w:hAnsi="Times New Roman"/>
          <w:b/>
          <w:color w:val="000000"/>
          <w:sz w:val="20"/>
        </w:rPr>
        <w:t>PART I - FINANCIAL INFORMATION</w:t>
      </w:r>
    </w:p>
    <w:p>
      <w:pPr>
        <w:pStyle w:val="TextBody"/>
        <w:bidi w:val="0"/>
        <w:jc w:val="both"/>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amounts and par value)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03"/>
        <w:gridCol w:w="146"/>
        <w:gridCol w:w="211"/>
        <w:gridCol w:w="841"/>
        <w:gridCol w:w="166"/>
        <w:gridCol w:w="146"/>
        <w:gridCol w:w="216"/>
        <w:gridCol w:w="864"/>
        <w:gridCol w:w="412"/>
      </w:tblGrid>
      <w:tr>
        <w:trPr/>
        <w:tc>
          <w:tcPr>
            <w:tcW w:w="72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72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412" w:type="dxa"/>
            <w:tcBorders/>
            <w:shd w:fill="FFFFFF" w:val="clear"/>
            <w:vAlign w:val="center"/>
          </w:tcPr>
          <w:p>
            <w:pPr>
              <w:pStyle w:val="TableContents"/>
              <w:bidi w:val="0"/>
              <w:spacing w:before="0" w:after="283"/>
              <w:jc w:val="center"/>
              <w:rPr/>
            </w:pPr>
            <w:r>
              <w:rPr/>
              <w:t> </w:t>
            </w:r>
          </w:p>
        </w:tc>
      </w:tr>
      <w:tr>
        <w:trPr/>
        <w:tc>
          <w:tcPr>
            <w:tcW w:w="72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80" w:type="dxa"/>
            <w:gridSpan w:val="2"/>
            <w:tcBorders/>
            <w:shd w:fill="FFFFFF" w:val="clear"/>
            <w:vAlign w:val="center"/>
          </w:tcPr>
          <w:p>
            <w:pPr>
              <w:pStyle w:val="TableContents"/>
              <w:bidi w:val="0"/>
              <w:spacing w:before="0" w:after="283"/>
              <w:jc w:val="center"/>
              <w:rPr/>
            </w:pPr>
            <w:r>
              <w:rPr/>
              <w:t> </w:t>
            </w:r>
          </w:p>
        </w:tc>
        <w:tc>
          <w:tcPr>
            <w:tcW w:w="412" w:type="dxa"/>
            <w:tcBorders/>
            <w:shd w:fill="FFFFFF" w:val="clear"/>
            <w:vAlign w:val="center"/>
          </w:tcPr>
          <w:p>
            <w:pPr>
              <w:pStyle w:val="TableContents"/>
              <w:bidi w:val="0"/>
              <w:spacing w:before="0" w:after="283"/>
              <w:jc w:val="center"/>
              <w:rPr/>
            </w:pPr>
            <w:r>
              <w:rPr/>
              <w:t> </w:t>
            </w:r>
          </w:p>
        </w:tc>
      </w:tr>
      <w:tr>
        <w:trPr/>
        <w:tc>
          <w:tcPr>
            <w:tcW w:w="720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0" w:type="dxa"/>
            <w:gridSpan w:val="2"/>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pPr>
            <w:r>
              <w:rPr/>
              <w:t> </w:t>
            </w:r>
          </w:p>
        </w:tc>
      </w:tr>
      <w:tr>
        <w:trPr/>
        <w:tc>
          <w:tcPr>
            <w:tcW w:w="72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72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19,841</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72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110,406</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72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from collaboration</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72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133,787</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ind w:left="0" w:right="0" w:firstLine="200"/>
              <w:jc w:val="right"/>
              <w:rPr/>
            </w:pPr>
            <w:r>
              <w:rPr/>
              <w:t> </w:t>
            </w:r>
          </w:p>
        </w:tc>
      </w:tr>
      <w:tr>
        <w:trPr/>
        <w:tc>
          <w:tcPr>
            <w:tcW w:w="72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72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(ROU)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72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136,823</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0" w:type="dxa"/>
            <w:gridSpan w:val="2"/>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pPr>
            <w:r>
              <w:rPr/>
              <w:t> </w:t>
            </w:r>
          </w:p>
        </w:tc>
      </w:tr>
      <w:tr>
        <w:trPr/>
        <w:tc>
          <w:tcPr>
            <w:tcW w:w="720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r>
      <w:tr>
        <w:trPr/>
        <w:tc>
          <w:tcPr>
            <w:tcW w:w="72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0" w:type="dxa"/>
            <w:gridSpan w:val="2"/>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72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72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72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72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from a related party - short-term</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30,915</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72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 short-term</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39,225</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shd w:fill="FFFFFF" w:val="clear"/>
            <w:vAlign w:val="center"/>
          </w:tcPr>
          <w:p>
            <w:pPr>
              <w:pStyle w:val="TableContents"/>
              <w:bidi w:val="0"/>
              <w:spacing w:before="0" w:after="283"/>
              <w:jc w:val="right"/>
              <w:rPr/>
            </w:pPr>
            <w:r>
              <w:rPr/>
              <w:t> </w:t>
            </w:r>
          </w:p>
        </w:tc>
        <w:tc>
          <w:tcPr>
            <w:tcW w:w="412" w:type="dxa"/>
            <w:tcBorders/>
            <w:shd w:fill="FFFFFF" w:val="clear"/>
            <w:vAlign w:val="center"/>
          </w:tcPr>
          <w:p>
            <w:pPr>
              <w:pStyle w:val="TableContents"/>
              <w:bidi w:val="0"/>
              <w:spacing w:before="0" w:after="283"/>
              <w:ind w:left="0" w:right="0" w:firstLine="200"/>
              <w:jc w:val="right"/>
              <w:rPr/>
            </w:pPr>
            <w:r>
              <w:rPr/>
              <w:t> </w:t>
            </w:r>
          </w:p>
        </w:tc>
      </w:tr>
      <w:tr>
        <w:trPr/>
        <w:tc>
          <w:tcPr>
            <w:tcW w:w="72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from a related party - long-term</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55,379</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72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 long-term</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95,726</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r>
      <w:tr>
        <w:trPr/>
        <w:tc>
          <w:tcPr>
            <w:tcW w:w="720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0" w:type="dxa"/>
            <w:gridSpan w:val="2"/>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jc w:val="left"/>
              <w:rPr/>
            </w:pPr>
            <w:r>
              <w:rPr/>
              <w:t> </w:t>
            </w:r>
          </w:p>
        </w:tc>
      </w:tr>
      <w:tr>
        <w:trPr/>
        <w:tc>
          <w:tcPr>
            <w:tcW w:w="720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0" w:type="dxa"/>
            <w:gridSpan w:val="2"/>
            <w:tcBorders/>
            <w:shd w:fill="FFFFFF" w:val="clear"/>
            <w:vAlign w:val="center"/>
          </w:tcPr>
          <w:p>
            <w:pPr>
              <w:pStyle w:val="TableContents"/>
              <w:bidi w:val="0"/>
              <w:spacing w:before="0" w:after="283"/>
              <w:jc w:val="left"/>
              <w:rPr/>
            </w:pPr>
            <w:r>
              <w:rPr/>
              <w:t> </w:t>
            </w:r>
          </w:p>
        </w:tc>
        <w:tc>
          <w:tcPr>
            <w:tcW w:w="412" w:type="dxa"/>
            <w:tcBorders/>
            <w:shd w:fill="FFFFFF" w:val="clear"/>
            <w:vAlign w:val="center"/>
          </w:tcPr>
          <w:p>
            <w:pPr>
              <w:pStyle w:val="TableContents"/>
              <w:bidi w:val="0"/>
              <w:spacing w:before="0" w:after="283"/>
              <w:jc w:val="left"/>
              <w:rPr/>
            </w:pPr>
            <w:r>
              <w:rPr/>
              <w:t> </w:t>
            </w:r>
          </w:p>
        </w:tc>
      </w:tr>
      <w:tr>
        <w:trPr/>
        <w:tc>
          <w:tcPr>
            <w:tcW w:w="720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0" w:type="dxa"/>
            <w:gridSpan w:val="2"/>
            <w:tcBorders/>
            <w:shd w:fill="CFF0FC" w:val="clear"/>
            <w:vAlign w:val="center"/>
          </w:tcPr>
          <w:p>
            <w:pPr>
              <w:pStyle w:val="TableContents"/>
              <w:bidi w:val="0"/>
              <w:spacing w:before="0" w:after="283"/>
              <w:jc w:val="left"/>
              <w:rPr/>
            </w:pPr>
            <w:r>
              <w:rPr/>
              <w:t> </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72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$0.001 par value; 5,000,000 shares authorized; no shares issued or outstanding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color w:val="000000"/>
              </w:rPr>
            </w:pPr>
            <w:r>
              <w:rPr>
                <w:color w:val="000000"/>
              </w:rPr>
              <w:t>—</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72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$0.001 par value; 150,000,000 shares authorized as of June 30, 2024 and December 31, 2023; 6,345,561 and 5,482,752 shares issued and outstanding as of June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2" w:type="dxa"/>
            <w:tcBorders/>
            <w:shd w:fill="CFF0FC" w:val="clear"/>
            <w:vAlign w:val="center"/>
          </w:tcPr>
          <w:p>
            <w:pPr>
              <w:pStyle w:val="TableContents"/>
              <w:bidi w:val="0"/>
              <w:spacing w:before="0" w:after="283"/>
              <w:ind w:left="0" w:right="0" w:firstLine="200"/>
              <w:jc w:val="left"/>
              <w:rPr/>
            </w:pPr>
            <w:r>
              <w:rPr/>
              <w:t> </w:t>
            </w:r>
          </w:p>
        </w:tc>
      </w:tr>
      <w:tr>
        <w:trPr/>
        <w:tc>
          <w:tcPr>
            <w:tcW w:w="72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840,946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86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826,921</w:t>
            </w:r>
          </w:p>
        </w:tc>
        <w:tc>
          <w:tcPr>
            <w:tcW w:w="412" w:type="dxa"/>
            <w:tcBorders/>
            <w:shd w:fill="FFFFFF" w:val="clear"/>
            <w:vAlign w:val="center"/>
          </w:tcPr>
          <w:p>
            <w:pPr>
              <w:pStyle w:val="TableContents"/>
              <w:bidi w:val="0"/>
              <w:spacing w:before="0" w:after="283"/>
              <w:ind w:left="0" w:right="0" w:firstLine="200"/>
              <w:jc w:val="left"/>
              <w:rPr/>
            </w:pPr>
            <w:r>
              <w:rPr/>
              <w:t> </w:t>
            </w:r>
          </w:p>
        </w:tc>
      </w:tr>
      <w:tr>
        <w:trPr/>
        <w:tc>
          <w:tcPr>
            <w:tcW w:w="72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6" w:type="dxa"/>
            <w:tcBorders/>
            <w:shd w:fill="CFF0FC" w:val="clear"/>
            <w:vAlign w:val="center"/>
          </w:tcPr>
          <w:p>
            <w:pPr>
              <w:pStyle w:val="TableContents"/>
              <w:bidi w:val="0"/>
              <w:spacing w:before="0" w:after="283"/>
              <w:jc w:val="left"/>
              <w:rPr/>
            </w:pPr>
            <w:r>
              <w:rPr/>
              <w:t> </w:t>
            </w:r>
          </w:p>
        </w:tc>
        <w:tc>
          <w:tcPr>
            <w:tcW w:w="86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41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3"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(805,977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(785,748</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3"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41,097</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136,823</w:t>
            </w:r>
          </w:p>
        </w:tc>
        <w:tc>
          <w:tcPr>
            <w:tcW w:w="4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and per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146"/>
        <w:gridCol w:w="146"/>
        <w:gridCol w:w="212"/>
        <w:gridCol w:w="937"/>
        <w:gridCol w:w="166"/>
        <w:gridCol w:w="146"/>
        <w:gridCol w:w="212"/>
        <w:gridCol w:w="937"/>
        <w:gridCol w:w="166"/>
        <w:gridCol w:w="146"/>
        <w:gridCol w:w="211"/>
        <w:gridCol w:w="931"/>
        <w:gridCol w:w="166"/>
        <w:gridCol w:w="146"/>
        <w:gridCol w:w="211"/>
        <w:gridCol w:w="931"/>
        <w:gridCol w:w="395"/>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Six Months Ended June 30,</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Collaboration revenue from a related party</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395" w:type="dxa"/>
            <w:tcBorders/>
            <w:shd w:fill="CFF0FC" w:val="clear"/>
            <w:vAlign w:val="center"/>
          </w:tcPr>
          <w:p>
            <w:pPr>
              <w:pStyle w:val="TableContents"/>
              <w:bidi w:val="0"/>
              <w:spacing w:before="0" w:after="283"/>
              <w:jc w:val="left"/>
              <w:rPr/>
            </w:pPr>
            <w:r>
              <w:rPr/>
              <w:t> </w:t>
            </w:r>
          </w:p>
        </w:tc>
      </w:tr>
      <w:tr>
        <w:trPr/>
        <w:tc>
          <w:tcPr>
            <w:tcW w:w="4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41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114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ind w:left="0" w:right="0" w:firstLine="200"/>
              <w:jc w:val="right"/>
              <w:rPr/>
            </w:pPr>
            <w:r>
              <w:rPr/>
              <w:t> </w:t>
            </w:r>
          </w:p>
        </w:tc>
      </w:tr>
      <w:tr>
        <w:trPr/>
        <w:tc>
          <w:tcPr>
            <w:tcW w:w="4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27,070</w:t>
            </w:r>
          </w:p>
        </w:tc>
        <w:tc>
          <w:tcPr>
            <w:tcW w:w="395" w:type="dxa"/>
            <w:tcBorders/>
            <w:shd w:fill="FFFFFF" w:val="clear"/>
            <w:vAlign w:val="center"/>
          </w:tcPr>
          <w:p>
            <w:pPr>
              <w:pStyle w:val="TableContents"/>
              <w:bidi w:val="0"/>
              <w:spacing w:before="0" w:after="283"/>
              <w:ind w:left="0" w:right="0" w:firstLine="200"/>
              <w:jc w:val="left"/>
              <w:rPr/>
            </w:pPr>
            <w:r>
              <w:rPr/>
              <w:t> </w:t>
            </w:r>
          </w:p>
        </w:tc>
      </w:tr>
      <w:tr>
        <w:trPr/>
        <w:tc>
          <w:tcPr>
            <w:tcW w:w="414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9,977</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37,047</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(37,047</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41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w:t>
            </w:r>
          </w:p>
        </w:tc>
        <w:tc>
          <w:tcPr>
            <w:tcW w:w="146" w:type="dxa"/>
            <w:tcBorders/>
            <w:shd w:fill="CFF0FC" w:val="clear"/>
            <w:vAlign w:val="center"/>
          </w:tcPr>
          <w:p>
            <w:pPr>
              <w:pStyle w:val="TableContents"/>
              <w:bidi w:val="0"/>
              <w:spacing w:before="0" w:after="283"/>
              <w:jc w:val="left"/>
              <w:rPr/>
            </w:pPr>
            <w:r>
              <w:rPr/>
              <w:t> </w:t>
            </w:r>
          </w:p>
        </w:tc>
        <w:tc>
          <w:tcPr>
            <w:tcW w:w="114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ind w:left="0" w:right="0" w:firstLine="200"/>
              <w:jc w:val="right"/>
              <w:rPr/>
            </w:pPr>
            <w:r>
              <w:rPr/>
              <w:t> </w:t>
            </w:r>
          </w:p>
        </w:tc>
      </w:tr>
      <w:tr>
        <w:trPr/>
        <w:tc>
          <w:tcPr>
            <w:tcW w:w="4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4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(35,846</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4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114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9"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jc w:val="right"/>
              <w:rPr/>
            </w:pPr>
            <w:r>
              <w:rPr/>
              <w:t> </w:t>
            </w:r>
          </w:p>
        </w:tc>
      </w:tr>
      <w:tr>
        <w:trPr/>
        <w:tc>
          <w:tcPr>
            <w:tcW w:w="4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(11,152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(16,896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(20,229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(35,846</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41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46" w:type="dxa"/>
            <w:tcBorders/>
            <w:shd w:fill="CFF0FC" w:val="clear"/>
            <w:vAlign w:val="center"/>
          </w:tcPr>
          <w:p>
            <w:pPr>
              <w:pStyle w:val="TableContents"/>
              <w:bidi w:val="0"/>
              <w:spacing w:before="0" w:after="283"/>
              <w:jc w:val="left"/>
              <w:rPr/>
            </w:pPr>
            <w:r>
              <w:rPr/>
              <w:t> </w:t>
            </w:r>
          </w:p>
        </w:tc>
        <w:tc>
          <w:tcPr>
            <w:tcW w:w="114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9"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5" w:type="dxa"/>
            <w:tcBorders/>
            <w:shd w:fill="CFF0FC" w:val="clear"/>
            <w:vAlign w:val="center"/>
          </w:tcPr>
          <w:p>
            <w:pPr>
              <w:pStyle w:val="TableContents"/>
              <w:bidi w:val="0"/>
              <w:spacing w:before="0" w:after="283"/>
              <w:ind w:left="0" w:right="0" w:firstLine="200"/>
              <w:jc w:val="right"/>
              <w:rPr/>
            </w:pPr>
            <w:r>
              <w:rPr/>
              <w:t> </w:t>
            </w:r>
          </w:p>
        </w:tc>
      </w:tr>
      <w:tr>
        <w:trPr/>
        <w:tc>
          <w:tcPr>
            <w:tcW w:w="414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 gain on marketable securities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4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(11,206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(20,441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(35,368</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41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4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9"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shd w:fill="FFFFFF" w:val="clear"/>
            <w:vAlign w:val="center"/>
          </w:tcPr>
          <w:p>
            <w:pPr>
              <w:pStyle w:val="TableContents"/>
              <w:bidi w:val="0"/>
              <w:spacing w:before="0" w:after="283"/>
              <w:jc w:val="right"/>
              <w:rPr/>
            </w:pPr>
            <w:r>
              <w:rPr/>
              <w:t> </w:t>
            </w:r>
          </w:p>
        </w:tc>
        <w:tc>
          <w:tcPr>
            <w:tcW w:w="395" w:type="dxa"/>
            <w:tcBorders/>
            <w:shd w:fill="FFFFFF" w:val="clear"/>
            <w:vAlign w:val="center"/>
          </w:tcPr>
          <w:p>
            <w:pPr>
              <w:pStyle w:val="TableContents"/>
              <w:bidi w:val="0"/>
              <w:spacing w:before="0" w:after="283"/>
              <w:jc w:val="right"/>
              <w:rPr/>
            </w:pPr>
            <w:r>
              <w:rPr/>
              <w:t> </w:t>
            </w:r>
          </w:p>
        </w:tc>
      </w:tr>
      <w:tr>
        <w:trPr/>
        <w:tc>
          <w:tcPr>
            <w:tcW w:w="41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3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5,563,033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4,303,244</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6" w:name="condensed_consolidated_statements_change"/>
      <w:bookmarkEnd w:id="6"/>
      <w:r>
        <w:rPr>
          <w:rFonts w:ascii="Times New Roman" w:hAnsi="Times New Roman"/>
          <w:b/>
          <w:color w:val="000000"/>
          <w:sz w:val="20"/>
        </w:rPr>
        <w:t>CONDENSED CONSOLIDATED STATEMENTS OF CHANGES IN STOCKHOLDERS’ EQUITY</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amounts)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39"/>
        <w:gridCol w:w="146"/>
        <w:gridCol w:w="146"/>
        <w:gridCol w:w="931"/>
        <w:gridCol w:w="146"/>
        <w:gridCol w:w="146"/>
        <w:gridCol w:w="261"/>
        <w:gridCol w:w="430"/>
        <w:gridCol w:w="146"/>
        <w:gridCol w:w="146"/>
        <w:gridCol w:w="211"/>
        <w:gridCol w:w="781"/>
        <w:gridCol w:w="146"/>
        <w:gridCol w:w="146"/>
        <w:gridCol w:w="370"/>
        <w:gridCol w:w="846"/>
        <w:gridCol w:w="166"/>
        <w:gridCol w:w="146"/>
        <w:gridCol w:w="211"/>
        <w:gridCol w:w="841"/>
        <w:gridCol w:w="166"/>
        <w:gridCol w:w="146"/>
        <w:gridCol w:w="240"/>
        <w:gridCol w:w="841"/>
        <w:gridCol w:w="211"/>
      </w:tblGrid>
      <w:tr>
        <w:trPr/>
        <w:tc>
          <w:tcPr>
            <w:tcW w:w="2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0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 Period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vAlign w:val="center"/>
          </w:tcPr>
          <w:p>
            <w:pPr>
              <w:pStyle w:val="TableContents"/>
              <w:bidi w:val="0"/>
              <w:spacing w:before="0" w:after="283"/>
              <w:jc w:val="center"/>
              <w:rPr/>
            </w:pPr>
            <w:r>
              <w:rPr/>
              <w:t> </w:t>
            </w:r>
          </w:p>
        </w:tc>
      </w:tr>
      <w:tr>
        <w:trPr/>
        <w:tc>
          <w:tcPr>
            <w:tcW w:w="2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9"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March 31, 2024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5,482,752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827,660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70"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(239</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(794,825</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right"/>
              <w:rPr/>
            </w:pPr>
            <w:r>
              <w:rPr/>
              <w:t> </w:t>
            </w:r>
          </w:p>
        </w:tc>
        <w:tc>
          <w:tcPr>
            <w:tcW w:w="240"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32,601</w:t>
            </w:r>
          </w:p>
        </w:tc>
        <w:tc>
          <w:tcPr>
            <w:tcW w:w="211" w:type="dxa"/>
            <w:tcBorders/>
            <w:shd w:fill="CFF0FC"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and warrants in a registered direct offering and a private placement, 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12,395</w:t>
            </w:r>
          </w:p>
        </w:tc>
        <w:tc>
          <w:tcPr>
            <w:tcW w:w="211" w:type="dxa"/>
            <w:tcBorders/>
            <w:shd w:fill="FFFFFF" w:val="clear"/>
            <w:vAlign w:val="center"/>
          </w:tcPr>
          <w:p>
            <w:pPr>
              <w:pStyle w:val="TableContents"/>
              <w:bidi w:val="0"/>
              <w:spacing w:before="0" w:after="283"/>
              <w:jc w:val="left"/>
              <w:rPr/>
            </w:pPr>
            <w:r>
              <w:rPr/>
              <w:t> </w:t>
            </w:r>
          </w:p>
        </w:tc>
      </w:tr>
      <w:tr>
        <w:trPr/>
        <w:tc>
          <w:tcPr>
            <w:tcW w:w="2239" w:type="dxa"/>
            <w:tcBorders/>
            <w:shd w:fill="CEF1FE"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under Employee Stock Purchase Plan (ESPP)</w:t>
            </w:r>
          </w:p>
        </w:tc>
        <w:tc>
          <w:tcPr>
            <w:tcW w:w="14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left"/>
              <w:rPr/>
            </w:pPr>
            <w:r>
              <w:rPr/>
              <w:t> </w:t>
            </w:r>
          </w:p>
        </w:tc>
        <w:tc>
          <w:tcPr>
            <w:tcW w:w="931" w:type="dxa"/>
            <w:tcBorders/>
            <w:shd w:fill="CEF1FE"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7,252</w:t>
            </w:r>
          </w:p>
        </w:tc>
        <w:tc>
          <w:tcPr>
            <w:tcW w:w="14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right"/>
              <w:rPr/>
            </w:pPr>
            <w:r>
              <w:rPr/>
              <w:t> </w:t>
            </w:r>
          </w:p>
        </w:tc>
        <w:tc>
          <w:tcPr>
            <w:tcW w:w="261" w:type="dxa"/>
            <w:tcBorders/>
            <w:shd w:fill="CEF1FE" w:val="clear"/>
            <w:vAlign w:val="center"/>
          </w:tcPr>
          <w:p>
            <w:pPr>
              <w:pStyle w:val="TableContents"/>
              <w:bidi w:val="0"/>
              <w:spacing w:before="0" w:after="283"/>
              <w:jc w:val="left"/>
              <w:rPr/>
            </w:pPr>
            <w:r>
              <w:rPr/>
              <w:t> </w:t>
            </w:r>
          </w:p>
        </w:tc>
        <w:tc>
          <w:tcPr>
            <w:tcW w:w="430" w:type="dxa"/>
            <w:tcBorders/>
            <w:shd w:fill="CEF1FE" w:val="clear"/>
            <w:vAlign w:val="center"/>
          </w:tcPr>
          <w:p>
            <w:pPr>
              <w:pStyle w:val="TableContents"/>
              <w:bidi w:val="0"/>
              <w:spacing w:before="0" w:after="283"/>
              <w:jc w:val="right"/>
              <w:rPr>
                <w:color w:val="000000"/>
              </w:rPr>
            </w:pPr>
            <w:r>
              <w:rPr>
                <w:color w:val="000000"/>
              </w:rPr>
              <w:t>—</w:t>
            </w:r>
          </w:p>
        </w:tc>
        <w:tc>
          <w:tcPr>
            <w:tcW w:w="14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right"/>
              <w:rPr/>
            </w:pPr>
            <w:r>
              <w:rPr/>
              <w:t> </w:t>
            </w:r>
          </w:p>
        </w:tc>
        <w:tc>
          <w:tcPr>
            <w:tcW w:w="211" w:type="dxa"/>
            <w:tcBorders/>
            <w:shd w:fill="CEF1FE" w:val="clear"/>
            <w:vAlign w:val="center"/>
          </w:tcPr>
          <w:p>
            <w:pPr>
              <w:pStyle w:val="TableContents"/>
              <w:bidi w:val="0"/>
              <w:spacing w:before="0" w:after="283"/>
              <w:jc w:val="left"/>
              <w:rPr/>
            </w:pPr>
            <w:r>
              <w:rPr/>
              <w:t> </w:t>
            </w:r>
          </w:p>
        </w:tc>
        <w:tc>
          <w:tcPr>
            <w:tcW w:w="781" w:type="dxa"/>
            <w:tcBorders/>
            <w:shd w:fill="CEF1FE"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14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right"/>
              <w:rPr/>
            </w:pPr>
            <w:r>
              <w:rPr/>
              <w:t> </w:t>
            </w:r>
          </w:p>
        </w:tc>
        <w:tc>
          <w:tcPr>
            <w:tcW w:w="370" w:type="dxa"/>
            <w:tcBorders/>
            <w:shd w:fill="CEF1FE" w:val="clear"/>
            <w:vAlign w:val="center"/>
          </w:tcPr>
          <w:p>
            <w:pPr>
              <w:pStyle w:val="TableContents"/>
              <w:bidi w:val="0"/>
              <w:spacing w:before="0" w:after="283"/>
              <w:jc w:val="left"/>
              <w:rPr/>
            </w:pPr>
            <w:r>
              <w:rPr/>
              <w:t> </w:t>
            </w:r>
          </w:p>
        </w:tc>
        <w:tc>
          <w:tcPr>
            <w:tcW w:w="846" w:type="dxa"/>
            <w:tcBorders/>
            <w:shd w:fill="CEF1FE" w:val="clear"/>
            <w:vAlign w:val="center"/>
          </w:tcPr>
          <w:p>
            <w:pPr>
              <w:pStyle w:val="TableContents"/>
              <w:bidi w:val="0"/>
              <w:spacing w:before="0" w:after="283"/>
              <w:jc w:val="right"/>
              <w:rPr>
                <w:color w:val="000000"/>
              </w:rPr>
            </w:pPr>
            <w:r>
              <w:rPr>
                <w:color w:val="000000"/>
              </w:rPr>
              <w:t>—</w:t>
            </w:r>
          </w:p>
        </w:tc>
        <w:tc>
          <w:tcPr>
            <w:tcW w:w="16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right"/>
              <w:rPr/>
            </w:pPr>
            <w:r>
              <w:rPr/>
              <w:t> </w:t>
            </w:r>
          </w:p>
        </w:tc>
        <w:tc>
          <w:tcPr>
            <w:tcW w:w="211" w:type="dxa"/>
            <w:tcBorders/>
            <w:shd w:fill="CEF1FE" w:val="clear"/>
            <w:vAlign w:val="center"/>
          </w:tcPr>
          <w:p>
            <w:pPr>
              <w:pStyle w:val="TableContents"/>
              <w:bidi w:val="0"/>
              <w:spacing w:before="0" w:after="283"/>
              <w:jc w:val="left"/>
              <w:rPr/>
            </w:pPr>
            <w:r>
              <w:rPr/>
              <w:t> </w:t>
            </w:r>
          </w:p>
        </w:tc>
        <w:tc>
          <w:tcPr>
            <w:tcW w:w="841" w:type="dxa"/>
            <w:tcBorders/>
            <w:shd w:fill="CEF1FE" w:val="clear"/>
            <w:vAlign w:val="center"/>
          </w:tcPr>
          <w:p>
            <w:pPr>
              <w:pStyle w:val="TableContents"/>
              <w:bidi w:val="0"/>
              <w:spacing w:before="0" w:after="283"/>
              <w:jc w:val="right"/>
              <w:rPr>
                <w:color w:val="000000"/>
              </w:rPr>
            </w:pPr>
            <w:r>
              <w:rPr>
                <w:color w:val="000000"/>
              </w:rPr>
              <w:t>—</w:t>
            </w:r>
          </w:p>
        </w:tc>
        <w:tc>
          <w:tcPr>
            <w:tcW w:w="16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left"/>
              <w:rPr/>
            </w:pPr>
            <w:r>
              <w:rPr/>
              <w:t> </w:t>
            </w:r>
          </w:p>
        </w:tc>
        <w:tc>
          <w:tcPr>
            <w:tcW w:w="240" w:type="dxa"/>
            <w:tcBorders/>
            <w:shd w:fill="CEF1FE" w:val="clear"/>
            <w:vAlign w:val="center"/>
          </w:tcPr>
          <w:p>
            <w:pPr>
              <w:pStyle w:val="TableContents"/>
              <w:bidi w:val="0"/>
              <w:spacing w:before="0" w:after="283"/>
              <w:jc w:val="left"/>
              <w:rPr/>
            </w:pPr>
            <w:r>
              <w:rPr/>
              <w:t> </w:t>
            </w:r>
          </w:p>
        </w:tc>
        <w:tc>
          <w:tcPr>
            <w:tcW w:w="841" w:type="dxa"/>
            <w:tcBorders/>
            <w:shd w:fill="CEF1FE"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211" w:type="dxa"/>
            <w:tcBorders/>
            <w:shd w:fill="CEF1FE"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for settlement of restricted stock units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41,143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239" w:type="dxa"/>
            <w:tcBorders/>
            <w:shd w:fill="CEF1FE"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upon exercise of stock options</w:t>
            </w:r>
          </w:p>
        </w:tc>
        <w:tc>
          <w:tcPr>
            <w:tcW w:w="14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left"/>
              <w:rPr/>
            </w:pPr>
            <w:r>
              <w:rPr/>
              <w:t> </w:t>
            </w:r>
          </w:p>
        </w:tc>
        <w:tc>
          <w:tcPr>
            <w:tcW w:w="931" w:type="dxa"/>
            <w:tcBorders/>
            <w:shd w:fill="CEF1FE"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414</w:t>
            </w:r>
          </w:p>
        </w:tc>
        <w:tc>
          <w:tcPr>
            <w:tcW w:w="14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right"/>
              <w:rPr/>
            </w:pPr>
            <w:r>
              <w:rPr/>
              <w:t> </w:t>
            </w:r>
          </w:p>
        </w:tc>
        <w:tc>
          <w:tcPr>
            <w:tcW w:w="261" w:type="dxa"/>
            <w:tcBorders/>
            <w:shd w:fill="CEF1FE" w:val="clear"/>
            <w:vAlign w:val="center"/>
          </w:tcPr>
          <w:p>
            <w:pPr>
              <w:pStyle w:val="TableContents"/>
              <w:bidi w:val="0"/>
              <w:spacing w:before="0" w:after="283"/>
              <w:jc w:val="left"/>
              <w:rPr/>
            </w:pPr>
            <w:r>
              <w:rPr/>
              <w:t> </w:t>
            </w:r>
          </w:p>
        </w:tc>
        <w:tc>
          <w:tcPr>
            <w:tcW w:w="430" w:type="dxa"/>
            <w:tcBorders/>
            <w:shd w:fill="CEF1FE" w:val="clear"/>
            <w:vAlign w:val="center"/>
          </w:tcPr>
          <w:p>
            <w:pPr>
              <w:pStyle w:val="TableContents"/>
              <w:bidi w:val="0"/>
              <w:spacing w:before="0" w:after="283"/>
              <w:jc w:val="right"/>
              <w:rPr>
                <w:color w:val="000000"/>
              </w:rPr>
            </w:pPr>
            <w:r>
              <w:rPr>
                <w:color w:val="000000"/>
              </w:rPr>
              <w:t>—</w:t>
            </w:r>
          </w:p>
        </w:tc>
        <w:tc>
          <w:tcPr>
            <w:tcW w:w="14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right"/>
              <w:rPr/>
            </w:pPr>
            <w:r>
              <w:rPr/>
              <w:t> </w:t>
            </w:r>
          </w:p>
        </w:tc>
        <w:tc>
          <w:tcPr>
            <w:tcW w:w="211" w:type="dxa"/>
            <w:tcBorders/>
            <w:shd w:fill="CEF1FE" w:val="clear"/>
            <w:vAlign w:val="center"/>
          </w:tcPr>
          <w:p>
            <w:pPr>
              <w:pStyle w:val="TableContents"/>
              <w:bidi w:val="0"/>
              <w:spacing w:before="0" w:after="283"/>
              <w:jc w:val="left"/>
              <w:rPr/>
            </w:pPr>
            <w:r>
              <w:rPr/>
              <w:t> </w:t>
            </w:r>
          </w:p>
        </w:tc>
        <w:tc>
          <w:tcPr>
            <w:tcW w:w="781" w:type="dxa"/>
            <w:tcBorders/>
            <w:shd w:fill="CEF1FE"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14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right"/>
              <w:rPr/>
            </w:pPr>
            <w:r>
              <w:rPr/>
              <w:t> </w:t>
            </w:r>
          </w:p>
        </w:tc>
        <w:tc>
          <w:tcPr>
            <w:tcW w:w="370" w:type="dxa"/>
            <w:tcBorders/>
            <w:shd w:fill="CEF1FE" w:val="clear"/>
            <w:vAlign w:val="center"/>
          </w:tcPr>
          <w:p>
            <w:pPr>
              <w:pStyle w:val="TableContents"/>
              <w:bidi w:val="0"/>
              <w:spacing w:before="0" w:after="283"/>
              <w:jc w:val="left"/>
              <w:rPr/>
            </w:pPr>
            <w:r>
              <w:rPr/>
              <w:t> </w:t>
            </w:r>
          </w:p>
        </w:tc>
        <w:tc>
          <w:tcPr>
            <w:tcW w:w="846" w:type="dxa"/>
            <w:tcBorders/>
            <w:shd w:fill="CEF1FE" w:val="clear"/>
            <w:vAlign w:val="center"/>
          </w:tcPr>
          <w:p>
            <w:pPr>
              <w:pStyle w:val="TableContents"/>
              <w:bidi w:val="0"/>
              <w:spacing w:before="0" w:after="283"/>
              <w:jc w:val="right"/>
              <w:rPr>
                <w:color w:val="000000"/>
              </w:rPr>
            </w:pPr>
            <w:r>
              <w:rPr>
                <w:color w:val="000000"/>
              </w:rPr>
              <w:t>—</w:t>
            </w:r>
          </w:p>
        </w:tc>
        <w:tc>
          <w:tcPr>
            <w:tcW w:w="16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right"/>
              <w:rPr/>
            </w:pPr>
            <w:r>
              <w:rPr/>
              <w:t> </w:t>
            </w:r>
          </w:p>
        </w:tc>
        <w:tc>
          <w:tcPr>
            <w:tcW w:w="211" w:type="dxa"/>
            <w:tcBorders/>
            <w:shd w:fill="CEF1FE" w:val="clear"/>
            <w:vAlign w:val="center"/>
          </w:tcPr>
          <w:p>
            <w:pPr>
              <w:pStyle w:val="TableContents"/>
              <w:bidi w:val="0"/>
              <w:spacing w:before="0" w:after="283"/>
              <w:jc w:val="left"/>
              <w:rPr/>
            </w:pPr>
            <w:r>
              <w:rPr/>
              <w:t> </w:t>
            </w:r>
          </w:p>
        </w:tc>
        <w:tc>
          <w:tcPr>
            <w:tcW w:w="841" w:type="dxa"/>
            <w:tcBorders/>
            <w:shd w:fill="CEF1FE" w:val="clear"/>
            <w:vAlign w:val="center"/>
          </w:tcPr>
          <w:p>
            <w:pPr>
              <w:pStyle w:val="TableContents"/>
              <w:bidi w:val="0"/>
              <w:spacing w:before="0" w:after="283"/>
              <w:jc w:val="right"/>
              <w:rPr>
                <w:color w:val="000000"/>
              </w:rPr>
            </w:pPr>
            <w:r>
              <w:rPr>
                <w:color w:val="000000"/>
              </w:rPr>
              <w:t>—</w:t>
            </w:r>
          </w:p>
        </w:tc>
        <w:tc>
          <w:tcPr>
            <w:tcW w:w="16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left"/>
              <w:rPr/>
            </w:pPr>
            <w:r>
              <w:rPr/>
              <w:t> </w:t>
            </w:r>
          </w:p>
        </w:tc>
        <w:tc>
          <w:tcPr>
            <w:tcW w:w="240" w:type="dxa"/>
            <w:tcBorders/>
            <w:shd w:fill="CEF1FE" w:val="clear"/>
            <w:vAlign w:val="center"/>
          </w:tcPr>
          <w:p>
            <w:pPr>
              <w:pStyle w:val="TableContents"/>
              <w:bidi w:val="0"/>
              <w:spacing w:before="0" w:after="283"/>
              <w:jc w:val="left"/>
              <w:rPr/>
            </w:pPr>
            <w:r>
              <w:rPr/>
              <w:t> </w:t>
            </w:r>
          </w:p>
        </w:tc>
        <w:tc>
          <w:tcPr>
            <w:tcW w:w="841" w:type="dxa"/>
            <w:tcBorders/>
            <w:shd w:fill="CEF1FE"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211" w:type="dxa"/>
            <w:tcBorders/>
            <w:shd w:fill="CEF1FE"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Unrealized loss on marketable debt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39" w:type="dxa"/>
            <w:tcBorders/>
            <w:shd w:fill="CEF1FE"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left"/>
              <w:rPr/>
            </w:pPr>
            <w:r>
              <w:rPr/>
              <w:t> </w:t>
            </w:r>
          </w:p>
        </w:tc>
        <w:tc>
          <w:tcPr>
            <w:tcW w:w="931" w:type="dxa"/>
            <w:tcBorders/>
            <w:shd w:fill="CEF1FE" w:val="clear"/>
            <w:vAlign w:val="center"/>
          </w:tcPr>
          <w:p>
            <w:pPr>
              <w:pStyle w:val="TableContents"/>
              <w:bidi w:val="0"/>
              <w:spacing w:before="0" w:after="283"/>
              <w:jc w:val="right"/>
              <w:rPr>
                <w:color w:val="000000"/>
              </w:rPr>
            </w:pPr>
            <w:r>
              <w:rPr>
                <w:color w:val="000000"/>
              </w:rPr>
              <w:t>—</w:t>
            </w:r>
          </w:p>
        </w:tc>
        <w:tc>
          <w:tcPr>
            <w:tcW w:w="14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right"/>
              <w:rPr/>
            </w:pPr>
            <w:r>
              <w:rPr/>
              <w:t> </w:t>
            </w:r>
          </w:p>
        </w:tc>
        <w:tc>
          <w:tcPr>
            <w:tcW w:w="261" w:type="dxa"/>
            <w:tcBorders/>
            <w:shd w:fill="CEF1FE" w:val="clear"/>
            <w:vAlign w:val="center"/>
          </w:tcPr>
          <w:p>
            <w:pPr>
              <w:pStyle w:val="TableContents"/>
              <w:bidi w:val="0"/>
              <w:spacing w:before="0" w:after="283"/>
              <w:jc w:val="left"/>
              <w:rPr/>
            </w:pPr>
            <w:r>
              <w:rPr/>
              <w:t> </w:t>
            </w:r>
          </w:p>
        </w:tc>
        <w:tc>
          <w:tcPr>
            <w:tcW w:w="430" w:type="dxa"/>
            <w:tcBorders/>
            <w:shd w:fill="CEF1FE" w:val="clear"/>
            <w:vAlign w:val="center"/>
          </w:tcPr>
          <w:p>
            <w:pPr>
              <w:pStyle w:val="TableContents"/>
              <w:bidi w:val="0"/>
              <w:spacing w:before="0" w:after="283"/>
              <w:jc w:val="right"/>
              <w:rPr>
                <w:color w:val="000000"/>
              </w:rPr>
            </w:pPr>
            <w:r>
              <w:rPr>
                <w:color w:val="000000"/>
              </w:rPr>
              <w:t>—</w:t>
            </w:r>
          </w:p>
        </w:tc>
        <w:tc>
          <w:tcPr>
            <w:tcW w:w="14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right"/>
              <w:rPr/>
            </w:pPr>
            <w:r>
              <w:rPr/>
              <w:t> </w:t>
            </w:r>
          </w:p>
        </w:tc>
        <w:tc>
          <w:tcPr>
            <w:tcW w:w="211" w:type="dxa"/>
            <w:tcBorders/>
            <w:shd w:fill="CEF1FE" w:val="clear"/>
            <w:vAlign w:val="center"/>
          </w:tcPr>
          <w:p>
            <w:pPr>
              <w:pStyle w:val="TableContents"/>
              <w:bidi w:val="0"/>
              <w:spacing w:before="0" w:after="283"/>
              <w:jc w:val="left"/>
              <w:rPr/>
            </w:pPr>
            <w:r>
              <w:rPr/>
              <w:t> </w:t>
            </w:r>
          </w:p>
        </w:tc>
        <w:tc>
          <w:tcPr>
            <w:tcW w:w="781" w:type="dxa"/>
            <w:tcBorders/>
            <w:shd w:fill="CEF1FE"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833</w:t>
            </w:r>
          </w:p>
        </w:tc>
        <w:tc>
          <w:tcPr>
            <w:tcW w:w="14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right"/>
              <w:rPr/>
            </w:pPr>
            <w:r>
              <w:rPr/>
              <w:t> </w:t>
            </w:r>
          </w:p>
        </w:tc>
        <w:tc>
          <w:tcPr>
            <w:tcW w:w="370" w:type="dxa"/>
            <w:tcBorders/>
            <w:shd w:fill="CEF1FE" w:val="clear"/>
            <w:vAlign w:val="center"/>
          </w:tcPr>
          <w:p>
            <w:pPr>
              <w:pStyle w:val="TableContents"/>
              <w:bidi w:val="0"/>
              <w:spacing w:before="0" w:after="283"/>
              <w:jc w:val="left"/>
              <w:rPr/>
            </w:pPr>
            <w:r>
              <w:rPr/>
              <w:t> </w:t>
            </w:r>
          </w:p>
        </w:tc>
        <w:tc>
          <w:tcPr>
            <w:tcW w:w="846" w:type="dxa"/>
            <w:tcBorders/>
            <w:shd w:fill="CEF1FE" w:val="clear"/>
            <w:vAlign w:val="center"/>
          </w:tcPr>
          <w:p>
            <w:pPr>
              <w:pStyle w:val="TableContents"/>
              <w:bidi w:val="0"/>
              <w:spacing w:before="0" w:after="283"/>
              <w:jc w:val="right"/>
              <w:rPr>
                <w:color w:val="000000"/>
              </w:rPr>
            </w:pPr>
            <w:r>
              <w:rPr>
                <w:color w:val="000000"/>
              </w:rPr>
              <w:t>—</w:t>
            </w:r>
          </w:p>
        </w:tc>
        <w:tc>
          <w:tcPr>
            <w:tcW w:w="16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right"/>
              <w:rPr/>
            </w:pPr>
            <w:r>
              <w:rPr/>
              <w:t> </w:t>
            </w:r>
          </w:p>
        </w:tc>
        <w:tc>
          <w:tcPr>
            <w:tcW w:w="211" w:type="dxa"/>
            <w:tcBorders/>
            <w:shd w:fill="CEF1FE" w:val="clear"/>
            <w:vAlign w:val="center"/>
          </w:tcPr>
          <w:p>
            <w:pPr>
              <w:pStyle w:val="TableContents"/>
              <w:bidi w:val="0"/>
              <w:spacing w:before="0" w:after="283"/>
              <w:jc w:val="left"/>
              <w:rPr/>
            </w:pPr>
            <w:r>
              <w:rPr/>
              <w:t> </w:t>
            </w:r>
          </w:p>
        </w:tc>
        <w:tc>
          <w:tcPr>
            <w:tcW w:w="841" w:type="dxa"/>
            <w:tcBorders/>
            <w:shd w:fill="CEF1FE" w:val="clear"/>
            <w:vAlign w:val="center"/>
          </w:tcPr>
          <w:p>
            <w:pPr>
              <w:pStyle w:val="TableContents"/>
              <w:bidi w:val="0"/>
              <w:spacing w:before="0" w:after="283"/>
              <w:jc w:val="right"/>
              <w:rPr>
                <w:color w:val="000000"/>
              </w:rPr>
            </w:pPr>
            <w:r>
              <w:rPr>
                <w:color w:val="000000"/>
              </w:rPr>
              <w:t>—</w:t>
            </w:r>
          </w:p>
        </w:tc>
        <w:tc>
          <w:tcPr>
            <w:tcW w:w="166" w:type="dxa"/>
            <w:tcBorders/>
            <w:shd w:fill="CEF1FE" w:val="clear"/>
            <w:vAlign w:val="center"/>
          </w:tcPr>
          <w:p>
            <w:pPr>
              <w:pStyle w:val="TableContents"/>
              <w:bidi w:val="0"/>
              <w:spacing w:before="0" w:after="283"/>
              <w:jc w:val="left"/>
              <w:rPr/>
            </w:pPr>
            <w:r>
              <w:rPr/>
              <w:t> </w:t>
            </w:r>
          </w:p>
        </w:tc>
        <w:tc>
          <w:tcPr>
            <w:tcW w:w="146" w:type="dxa"/>
            <w:tcBorders/>
            <w:shd w:fill="CEF1FE" w:val="clear"/>
            <w:vAlign w:val="center"/>
          </w:tcPr>
          <w:p>
            <w:pPr>
              <w:pStyle w:val="TableContents"/>
              <w:bidi w:val="0"/>
              <w:spacing w:before="0" w:after="283"/>
              <w:jc w:val="left"/>
              <w:rPr/>
            </w:pPr>
            <w:r>
              <w:rPr/>
              <w:t> </w:t>
            </w:r>
          </w:p>
        </w:tc>
        <w:tc>
          <w:tcPr>
            <w:tcW w:w="240" w:type="dxa"/>
            <w:tcBorders/>
            <w:shd w:fill="CEF1FE" w:val="clear"/>
            <w:vAlign w:val="center"/>
          </w:tcPr>
          <w:p>
            <w:pPr>
              <w:pStyle w:val="TableContents"/>
              <w:bidi w:val="0"/>
              <w:spacing w:before="0" w:after="283"/>
              <w:jc w:val="left"/>
              <w:rPr/>
            </w:pPr>
            <w:r>
              <w:rPr/>
              <w:t> </w:t>
            </w:r>
          </w:p>
        </w:tc>
        <w:tc>
          <w:tcPr>
            <w:tcW w:w="841" w:type="dxa"/>
            <w:tcBorders/>
            <w:shd w:fill="CEF1FE"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833</w:t>
            </w:r>
          </w:p>
        </w:tc>
        <w:tc>
          <w:tcPr>
            <w:tcW w:w="211" w:type="dxa"/>
            <w:tcBorders/>
            <w:shd w:fill="CEF1FE"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39"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6,345,561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840,946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(805,977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34,682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239"/>
        <w:gridCol w:w="146"/>
        <w:gridCol w:w="146"/>
        <w:gridCol w:w="931"/>
        <w:gridCol w:w="146"/>
        <w:gridCol w:w="146"/>
        <w:gridCol w:w="261"/>
        <w:gridCol w:w="430"/>
        <w:gridCol w:w="146"/>
        <w:gridCol w:w="146"/>
        <w:gridCol w:w="211"/>
        <w:gridCol w:w="781"/>
        <w:gridCol w:w="146"/>
        <w:gridCol w:w="146"/>
        <w:gridCol w:w="370"/>
        <w:gridCol w:w="846"/>
        <w:gridCol w:w="166"/>
        <w:gridCol w:w="146"/>
        <w:gridCol w:w="211"/>
        <w:gridCol w:w="841"/>
        <w:gridCol w:w="166"/>
        <w:gridCol w:w="146"/>
        <w:gridCol w:w="240"/>
        <w:gridCol w:w="841"/>
        <w:gridCol w:w="211"/>
      </w:tblGrid>
      <w:tr>
        <w:trPr/>
        <w:tc>
          <w:tcPr>
            <w:tcW w:w="2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vAlign w:val="center"/>
          </w:tcPr>
          <w:p>
            <w:pPr>
              <w:pStyle w:val="TableContents"/>
              <w:bidi w:val="0"/>
              <w:spacing w:before="0" w:after="283"/>
              <w:jc w:val="center"/>
              <w:rPr/>
            </w:pPr>
            <w:r>
              <w:rPr/>
              <w:t> </w:t>
            </w:r>
          </w:p>
        </w:tc>
      </w:tr>
      <w:tr>
        <w:trPr/>
        <w:tc>
          <w:tcPr>
            <w:tcW w:w="2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9"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March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4,334,575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814,312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(513</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(743,470</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70,333</w:t>
            </w:r>
          </w:p>
        </w:tc>
        <w:tc>
          <w:tcPr>
            <w:tcW w:w="211" w:type="dxa"/>
            <w:tcBorders/>
            <w:shd w:fill="CFF0FC"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under at-the-market (ATM) equity offering program, 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6,966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211" w:type="dxa"/>
            <w:tcBorders/>
            <w:shd w:fill="FFFFFF" w:val="clear"/>
            <w:vAlign w:val="center"/>
          </w:tcPr>
          <w:p>
            <w:pPr>
              <w:pStyle w:val="TableContents"/>
              <w:bidi w:val="0"/>
              <w:spacing w:before="0" w:after="283"/>
              <w:jc w:val="left"/>
              <w:rPr/>
            </w:pPr>
            <w:r>
              <w:rPr/>
              <w:t> </w:t>
            </w:r>
          </w:p>
        </w:tc>
      </w:tr>
      <w:tr>
        <w:trPr/>
        <w:tc>
          <w:tcPr>
            <w:tcW w:w="223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under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w:t>
            </w:r>
          </w:p>
        </w:tc>
        <w:tc>
          <w:tcPr>
            <w:tcW w:w="211" w:type="dxa"/>
            <w:tcBorders/>
            <w:shd w:fill="CFF0FC"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for settlement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21,789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23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Unrealized gain on marketable debt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188</w:t>
            </w:r>
          </w:p>
        </w:tc>
        <w:tc>
          <w:tcPr>
            <w:tcW w:w="211" w:type="dxa"/>
            <w:tcBorders/>
            <w:shd w:fill="CFF0FC"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1,190</w:t>
            </w:r>
          </w:p>
        </w:tc>
        <w:tc>
          <w:tcPr>
            <w:tcW w:w="211" w:type="dxa"/>
            <w:tcBorders/>
            <w:shd w:fill="FFFFFF" w:val="clear"/>
            <w:vAlign w:val="center"/>
          </w:tcPr>
          <w:p>
            <w:pPr>
              <w:pStyle w:val="TableContents"/>
              <w:bidi w:val="0"/>
              <w:spacing w:before="0" w:after="283"/>
              <w:jc w:val="left"/>
              <w:rPr/>
            </w:pPr>
            <w:r>
              <w:rPr/>
              <w:t> </w:t>
            </w:r>
          </w:p>
        </w:tc>
      </w:tr>
      <w:tr>
        <w:trPr/>
        <w:tc>
          <w:tcPr>
            <w:tcW w:w="223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39"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4,370,863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815,636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(760,366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54,949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39"/>
        <w:gridCol w:w="146"/>
        <w:gridCol w:w="146"/>
        <w:gridCol w:w="931"/>
        <w:gridCol w:w="146"/>
        <w:gridCol w:w="146"/>
        <w:gridCol w:w="261"/>
        <w:gridCol w:w="430"/>
        <w:gridCol w:w="146"/>
        <w:gridCol w:w="146"/>
        <w:gridCol w:w="211"/>
        <w:gridCol w:w="781"/>
        <w:gridCol w:w="146"/>
        <w:gridCol w:w="146"/>
        <w:gridCol w:w="370"/>
        <w:gridCol w:w="846"/>
        <w:gridCol w:w="166"/>
        <w:gridCol w:w="146"/>
        <w:gridCol w:w="211"/>
        <w:gridCol w:w="841"/>
        <w:gridCol w:w="166"/>
        <w:gridCol w:w="146"/>
        <w:gridCol w:w="240"/>
        <w:gridCol w:w="841"/>
        <w:gridCol w:w="211"/>
      </w:tblGrid>
      <w:tr>
        <w:trPr/>
        <w:tc>
          <w:tcPr>
            <w:tcW w:w="2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60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 Period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vAlign w:val="center"/>
          </w:tcPr>
          <w:p>
            <w:pPr>
              <w:pStyle w:val="TableContents"/>
              <w:bidi w:val="0"/>
              <w:spacing w:before="0" w:after="283"/>
              <w:jc w:val="center"/>
              <w:rPr/>
            </w:pPr>
            <w:r>
              <w:rPr/>
              <w:t> </w:t>
            </w:r>
          </w:p>
        </w:tc>
      </w:tr>
      <w:tr>
        <w:trPr/>
        <w:tc>
          <w:tcPr>
            <w:tcW w:w="2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9"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5,482,752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826,921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(81</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(785,748</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41,097</w:t>
            </w:r>
          </w:p>
        </w:tc>
        <w:tc>
          <w:tcPr>
            <w:tcW w:w="211" w:type="dxa"/>
            <w:tcBorders/>
            <w:shd w:fill="CFF0FC"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and warrants in a registered direct offering and a private placement, 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814,000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12,395</w:t>
            </w:r>
          </w:p>
        </w:tc>
        <w:tc>
          <w:tcPr>
            <w:tcW w:w="211" w:type="dxa"/>
            <w:tcBorders/>
            <w:shd w:fill="FFFFFF" w:val="clear"/>
            <w:vAlign w:val="center"/>
          </w:tcPr>
          <w:p>
            <w:pPr>
              <w:pStyle w:val="TableContents"/>
              <w:bidi w:val="0"/>
              <w:spacing w:before="0" w:after="283"/>
              <w:jc w:val="left"/>
              <w:rPr/>
            </w:pPr>
            <w:r>
              <w:rPr/>
              <w:t> </w:t>
            </w:r>
          </w:p>
        </w:tc>
      </w:tr>
      <w:tr>
        <w:trPr/>
        <w:tc>
          <w:tcPr>
            <w:tcW w:w="223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under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55</w:t>
            </w:r>
          </w:p>
        </w:tc>
        <w:tc>
          <w:tcPr>
            <w:tcW w:w="211" w:type="dxa"/>
            <w:tcBorders/>
            <w:shd w:fill="CFF0FC"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for settlement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41,143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23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upon exercise of stock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w:t>
            </w:r>
          </w:p>
        </w:tc>
        <w:tc>
          <w:tcPr>
            <w:tcW w:w="211" w:type="dxa"/>
            <w:tcBorders/>
            <w:shd w:fill="CFF0FC"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Unrealized loss on marketable debt securities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(212</w:t>
            </w:r>
          </w:p>
        </w:tc>
        <w:tc>
          <w:tcPr>
            <w:tcW w:w="166"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(212</w:t>
            </w:r>
          </w:p>
        </w:tc>
        <w:tc>
          <w:tcPr>
            <w:tcW w:w="211"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3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1,572</w:t>
            </w:r>
          </w:p>
        </w:tc>
        <w:tc>
          <w:tcPr>
            <w:tcW w:w="211" w:type="dxa"/>
            <w:tcBorders/>
            <w:shd w:fill="CFF0FC"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(20,229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39"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6,345,561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840,946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(293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(805,977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34,682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39"/>
        <w:gridCol w:w="146"/>
        <w:gridCol w:w="146"/>
        <w:gridCol w:w="931"/>
        <w:gridCol w:w="146"/>
        <w:gridCol w:w="146"/>
        <w:gridCol w:w="261"/>
        <w:gridCol w:w="430"/>
        <w:gridCol w:w="146"/>
        <w:gridCol w:w="146"/>
        <w:gridCol w:w="211"/>
        <w:gridCol w:w="781"/>
        <w:gridCol w:w="146"/>
        <w:gridCol w:w="146"/>
        <w:gridCol w:w="370"/>
        <w:gridCol w:w="846"/>
        <w:gridCol w:w="166"/>
        <w:gridCol w:w="146"/>
        <w:gridCol w:w="211"/>
        <w:gridCol w:w="841"/>
        <w:gridCol w:w="166"/>
        <w:gridCol w:w="146"/>
        <w:gridCol w:w="240"/>
        <w:gridCol w:w="841"/>
        <w:gridCol w:w="211"/>
      </w:tblGrid>
      <w:tr>
        <w:trPr/>
        <w:tc>
          <w:tcPr>
            <w:tcW w:w="22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6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1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8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vAlign w:val="center"/>
          </w:tcPr>
          <w:p>
            <w:pPr>
              <w:pStyle w:val="TableContents"/>
              <w:bidi w:val="0"/>
              <w:spacing w:before="0" w:after="283"/>
              <w:jc w:val="center"/>
              <w:rPr/>
            </w:pPr>
            <w:r>
              <w:rPr/>
              <w:t> </w:t>
            </w:r>
          </w:p>
        </w:tc>
      </w:tr>
      <w:tr>
        <w:trPr/>
        <w:tc>
          <w:tcPr>
            <w:tcW w:w="2239"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b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9"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4,074,552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807,983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(803</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(724,520</w:t>
            </w:r>
          </w:p>
        </w:tc>
        <w:tc>
          <w:tcPr>
            <w:tcW w:w="166"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shd w:fill="CFF0FC" w:val="cle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82,664</w:t>
            </w:r>
          </w:p>
        </w:tc>
        <w:tc>
          <w:tcPr>
            <w:tcW w:w="211" w:type="dxa"/>
            <w:tcBorders/>
            <w:shd w:fill="CFF0FC"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under ATM equity offering program, net of issuance costs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261,170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4,546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4,546</w:t>
            </w:r>
          </w:p>
        </w:tc>
        <w:tc>
          <w:tcPr>
            <w:tcW w:w="211" w:type="dxa"/>
            <w:tcBorders/>
            <w:shd w:fill="FFFFFF" w:val="clear"/>
            <w:vAlign w:val="center"/>
          </w:tcPr>
          <w:p>
            <w:pPr>
              <w:pStyle w:val="TableContents"/>
              <w:bidi w:val="0"/>
              <w:spacing w:before="0" w:after="283"/>
              <w:jc w:val="left"/>
              <w:rPr/>
            </w:pPr>
            <w:r>
              <w:rPr/>
              <w:t> </w:t>
            </w:r>
          </w:p>
        </w:tc>
      </w:tr>
      <w:tr>
        <w:trPr/>
        <w:tc>
          <w:tcPr>
            <w:tcW w:w="223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under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7,533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w:t>
            </w:r>
          </w:p>
        </w:tc>
        <w:tc>
          <w:tcPr>
            <w:tcW w:w="211" w:type="dxa"/>
            <w:tcBorders/>
            <w:shd w:fill="CFF0FC"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Issuance of common stock for settlement of RSUs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27,608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23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Unrealized gain on marketable debt securities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1" w:type="dxa"/>
            <w:tcBorders/>
            <w:shd w:fill="CFF0FC" w:val="clear"/>
            <w:vAlign w:val="center"/>
          </w:tcPr>
          <w:p>
            <w:pPr>
              <w:pStyle w:val="TableContents"/>
              <w:bidi w:val="0"/>
              <w:spacing w:before="0" w:after="283"/>
              <w:jc w:val="left"/>
              <w:rPr/>
            </w:pPr>
            <w:r>
              <w:rPr/>
              <w:t> </w:t>
            </w:r>
          </w:p>
        </w:tc>
        <w:tc>
          <w:tcPr>
            <w:tcW w:w="43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0" w:type="dxa"/>
            <w:tcBorders/>
            <w:shd w:fill="CFF0FC" w:val="clear"/>
            <w:vAlign w:val="center"/>
          </w:tcPr>
          <w:p>
            <w:pPr>
              <w:pStyle w:val="TableContents"/>
              <w:bidi w:val="0"/>
              <w:spacing w:before="0" w:after="283"/>
              <w:jc w:val="left"/>
              <w:rPr/>
            </w:pPr>
            <w:r>
              <w:rPr/>
              <w:t> </w:t>
            </w:r>
          </w:p>
        </w:tc>
        <w:tc>
          <w:tcPr>
            <w:tcW w:w="846"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0"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478</w:t>
            </w:r>
          </w:p>
        </w:tc>
        <w:tc>
          <w:tcPr>
            <w:tcW w:w="211" w:type="dxa"/>
            <w:tcBorders/>
            <w:shd w:fill="CFF0FC" w:val="clear"/>
            <w:vAlign w:val="center"/>
          </w:tcPr>
          <w:p>
            <w:pPr>
              <w:pStyle w:val="TableContents"/>
              <w:bidi w:val="0"/>
              <w:spacing w:before="0" w:after="283"/>
              <w:jc w:val="left"/>
              <w:rPr/>
            </w:pPr>
            <w:r>
              <w:rPr/>
              <w:t> </w:t>
            </w:r>
          </w:p>
        </w:tc>
      </w:tr>
      <w:tr>
        <w:trPr/>
        <w:tc>
          <w:tcPr>
            <w:tcW w:w="2239" w:type="dxa"/>
            <w:tcBorders/>
            <w:shd w:fill="FFFFFF"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Stock-based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0" w:type="dxa"/>
            <w:tcBorders/>
            <w:shd w:fill="FFFFFF" w:val="clear"/>
            <w:vAlign w:val="center"/>
          </w:tcPr>
          <w:p>
            <w:pPr>
              <w:pStyle w:val="TableContents"/>
              <w:bidi w:val="0"/>
              <w:spacing w:before="0" w:after="283"/>
              <w:jc w:val="left"/>
              <w:rPr/>
            </w:pPr>
            <w:r>
              <w:rPr/>
              <w:t> </w:t>
            </w:r>
          </w:p>
        </w:tc>
        <w:tc>
          <w:tcPr>
            <w:tcW w:w="84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3,027</w:t>
            </w:r>
          </w:p>
        </w:tc>
        <w:tc>
          <w:tcPr>
            <w:tcW w:w="211" w:type="dxa"/>
            <w:tcBorders/>
            <w:shd w:fill="FFFFFF" w:val="clear"/>
            <w:vAlign w:val="center"/>
          </w:tcPr>
          <w:p>
            <w:pPr>
              <w:pStyle w:val="TableContents"/>
              <w:bidi w:val="0"/>
              <w:spacing w:before="0" w:after="283"/>
              <w:jc w:val="left"/>
              <w:rPr/>
            </w:pPr>
            <w:r>
              <w:rPr/>
              <w:t> </w:t>
            </w:r>
          </w:p>
        </w:tc>
      </w:tr>
      <w:tr>
        <w:trPr/>
        <w:tc>
          <w:tcPr>
            <w:tcW w:w="2239" w:type="dxa"/>
            <w:tcBorders/>
            <w:shd w:fill="CFF0FC" w:val="cle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(35,846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(35,846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239" w:type="dxa"/>
            <w:tcBorders/>
            <w:shd w:fill="FFFFFF" w:val="cle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Balance as of June 30,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4,370,863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815,636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(325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(760,366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9"/>
              </w:rPr>
            </w:pPr>
            <w:r>
              <w:rPr>
                <w:rFonts w:ascii="Times New Roman" w:hAnsi="Times New Roman"/>
                <w:b/>
                <w:color w:val="000000"/>
                <w:sz w:val="19"/>
              </w:rPr>
              <w:t>54,949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125"/>
        <w:gridCol w:w="246"/>
        <w:gridCol w:w="212"/>
        <w:gridCol w:w="741"/>
        <w:gridCol w:w="167"/>
        <w:gridCol w:w="146"/>
        <w:gridCol w:w="212"/>
        <w:gridCol w:w="741"/>
        <w:gridCol w:w="615"/>
      </w:tblGrid>
      <w:tr>
        <w:trPr/>
        <w:tc>
          <w:tcPr>
            <w:tcW w:w="712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7125"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221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 June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5"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2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2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right"/>
              <w:rPr/>
            </w:pPr>
            <w:r>
              <w:rPr/>
              <w:t> </w:t>
            </w:r>
          </w:p>
        </w:tc>
      </w:tr>
      <w:tr>
        <w:trPr/>
        <w:tc>
          <w:tcPr>
            <w:tcW w:w="71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(20,229</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(35,846</w:t>
            </w:r>
          </w:p>
        </w:tc>
        <w:tc>
          <w:tcPr>
            <w:tcW w:w="6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2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200"/>
              <w:jc w:val="right"/>
              <w:rPr/>
            </w:pPr>
            <w:r>
              <w:rPr/>
              <w:t> </w:t>
            </w:r>
          </w:p>
        </w:tc>
      </w:tr>
      <w:tr>
        <w:trPr/>
        <w:tc>
          <w:tcPr>
            <w:tcW w:w="712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7125"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712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accretion of investments in marketable debt securities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125"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rent expense</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712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953"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3"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400"/>
              <w:jc w:val="right"/>
              <w:rPr/>
            </w:pPr>
            <w:r>
              <w:rPr/>
              <w:t> </w:t>
            </w:r>
          </w:p>
        </w:tc>
      </w:tr>
      <w:tr>
        <w:trPr/>
        <w:tc>
          <w:tcPr>
            <w:tcW w:w="7125"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from collaboration</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712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7125"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color w:val="000000"/>
              </w:rPr>
            </w:pPr>
            <w:r>
              <w:rPr>
                <w:color w:val="000000"/>
              </w:rPr>
              <w:t>—</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712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w:t>
            </w:r>
          </w:p>
        </w:tc>
        <w:tc>
          <w:tcPr>
            <w:tcW w:w="615"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25"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research and development expenses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1,646</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2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accrued expenses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(2,157</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(3,127</w:t>
            </w:r>
          </w:p>
        </w:tc>
        <w:tc>
          <w:tcPr>
            <w:tcW w:w="615"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25"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from a related party</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w:t>
            </w:r>
          </w:p>
        </w:tc>
        <w:tc>
          <w:tcPr>
            <w:tcW w:w="1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color w:val="000000"/>
              </w:rPr>
            </w:pPr>
            <w:r>
              <w:rPr>
                <w:color w:val="000000"/>
              </w:rPr>
              <w:t>—</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712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2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(35,466</w:t>
            </w:r>
          </w:p>
        </w:tc>
        <w:tc>
          <w:tcPr>
            <w:tcW w:w="1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(37,056</w:t>
            </w:r>
          </w:p>
        </w:tc>
        <w:tc>
          <w:tcPr>
            <w:tcW w:w="6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5"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953"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3"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jc w:val="right"/>
              <w:rPr/>
            </w:pPr>
            <w:r>
              <w:rPr/>
              <w:t> </w:t>
            </w:r>
          </w:p>
        </w:tc>
      </w:tr>
      <w:tr>
        <w:trPr/>
        <w:tc>
          <w:tcPr>
            <w:tcW w:w="712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2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400"/>
              <w:jc w:val="right"/>
              <w:rPr/>
            </w:pPr>
            <w:r>
              <w:rPr/>
              <w:t> </w:t>
            </w:r>
          </w:p>
        </w:tc>
      </w:tr>
      <w:tr>
        <w:trPr/>
        <w:tc>
          <w:tcPr>
            <w:tcW w:w="712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57,300</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24,645</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7125"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marketable securities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(34,893</w:t>
            </w:r>
          </w:p>
        </w:tc>
        <w:tc>
          <w:tcPr>
            <w:tcW w:w="1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(22,962</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12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and equipment</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6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investing activities</w:t>
            </w:r>
          </w:p>
        </w:tc>
        <w:tc>
          <w:tcPr>
            <w:tcW w:w="246" w:type="dxa"/>
            <w:tcBorders/>
            <w:shd w:fill="CFF0FC" w:val="clear"/>
            <w:vAlign w:val="center"/>
          </w:tcPr>
          <w:p>
            <w:pPr>
              <w:pStyle w:val="TableContents"/>
              <w:bidi w:val="0"/>
              <w:spacing w:before="0" w:after="283"/>
              <w:jc w:val="left"/>
              <w:rPr/>
            </w:pPr>
            <w:r>
              <w:rPr/>
              <w:t> </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22,379</w:t>
            </w:r>
          </w:p>
        </w:tc>
        <w:tc>
          <w:tcPr>
            <w:tcW w:w="1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6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7125"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pPr>
            <w:r>
              <w:rPr/>
              <w:t> </w:t>
            </w:r>
          </w:p>
        </w:tc>
        <w:tc>
          <w:tcPr>
            <w:tcW w:w="953"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3"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jc w:val="right"/>
              <w:rPr/>
            </w:pPr>
            <w:r>
              <w:rPr/>
              <w:t> </w:t>
            </w:r>
          </w:p>
        </w:tc>
      </w:tr>
      <w:tr>
        <w:trPr/>
        <w:tc>
          <w:tcPr>
            <w:tcW w:w="7125"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2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400"/>
              <w:jc w:val="right"/>
              <w:rPr/>
            </w:pPr>
            <w:r>
              <w:rPr/>
              <w:t> </w:t>
            </w:r>
          </w:p>
        </w:tc>
      </w:tr>
      <w:tr>
        <w:trPr/>
        <w:tc>
          <w:tcPr>
            <w:tcW w:w="712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stock and warrants in a registered direct offering and a private placement, net of issuance costs</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12,395</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color w:val="000000"/>
              </w:rPr>
            </w:pPr>
            <w:r>
              <w:rPr>
                <w:color w:val="000000"/>
              </w:rPr>
              <w:t>—</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7125" w:type="dxa"/>
            <w:tcBorders/>
            <w:shd w:fill="CFF0FC"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stock under ATM equity offering program, net of issuance costs</w:t>
            </w:r>
          </w:p>
        </w:tc>
        <w:tc>
          <w:tcPr>
            <w:tcW w:w="246" w:type="dxa"/>
            <w:tcBorders/>
            <w:shd w:fill="CFF0FC" w:val="clear"/>
            <w:vAlign w:val="center"/>
          </w:tcPr>
          <w:p>
            <w:pPr>
              <w:pStyle w:val="TableContents"/>
              <w:bidi w:val="0"/>
              <w:spacing w:before="0" w:after="283"/>
              <w:ind w:left="100" w:right="0" w:firstLine="100"/>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color w:val="000000"/>
              </w:rPr>
            </w:pPr>
            <w:r>
              <w:rPr>
                <w:color w:val="000000"/>
              </w:rPr>
              <w:t>—</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7125" w:type="dxa"/>
            <w:tcBorders/>
            <w:shd w:fill="FFFFFF" w:val="cle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stock under ESPP</w:t>
            </w:r>
          </w:p>
        </w:tc>
        <w:tc>
          <w:tcPr>
            <w:tcW w:w="246" w:type="dxa"/>
            <w:tcBorders/>
            <w:shd w:fill="FFFFFF" w:val="clear"/>
            <w:vAlign w:val="center"/>
          </w:tcPr>
          <w:p>
            <w:pPr>
              <w:pStyle w:val="TableContents"/>
              <w:bidi w:val="0"/>
              <w:spacing w:before="0" w:after="283"/>
              <w:ind w:left="100" w:right="0" w:firstLine="100"/>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7125"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2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w:t>
            </w:r>
          </w:p>
        </w:tc>
        <w:tc>
          <w:tcPr>
            <w:tcW w:w="615" w:type="dxa"/>
            <w:tcBorders/>
            <w:shd w:fill="FFFFFF" w:val="clear"/>
            <w:vAlign w:val="center"/>
          </w:tcPr>
          <w:p>
            <w:pPr>
              <w:pStyle w:val="TableContents"/>
              <w:bidi w:val="0"/>
              <w:spacing w:before="0" w:after="283"/>
              <w:jc w:val="left"/>
              <w:rPr/>
            </w:pPr>
            <w:r>
              <w:rPr/>
              <w:t> </w:t>
            </w:r>
          </w:p>
        </w:tc>
      </w:tr>
      <w:tr>
        <w:trPr/>
        <w:tc>
          <w:tcPr>
            <w:tcW w:w="7125" w:type="dxa"/>
            <w:tcBorders/>
            <w:shd w:fill="CFF0FC" w:val="clear"/>
            <w:vAlign w:val="center"/>
          </w:tcPr>
          <w:p>
            <w:pPr>
              <w:pStyle w:val="TableContents"/>
              <w:bidi w:val="0"/>
              <w:spacing w:before="0" w:after="283"/>
              <w:jc w:val="left"/>
              <w:rPr>
                <w:sz w:val="4"/>
                <w:szCs w:val="4"/>
              </w:rPr>
            </w:pPr>
            <w:r>
              <w:rPr>
                <w:sz w:val="4"/>
                <w:szCs w:val="4"/>
              </w:rPr>
            </w:r>
          </w:p>
        </w:tc>
        <w:tc>
          <w:tcPr>
            <w:tcW w:w="2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3"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right"/>
              <w:rPr/>
            </w:pPr>
            <w:r>
              <w:rPr/>
              <w:t> </w:t>
            </w:r>
          </w:p>
        </w:tc>
      </w:tr>
      <w:tr>
        <w:trPr/>
        <w:tc>
          <w:tcPr>
            <w:tcW w:w="712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and cash equivalents</w:t>
            </w:r>
          </w:p>
        </w:tc>
        <w:tc>
          <w:tcPr>
            <w:tcW w:w="2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(30,795</w:t>
            </w:r>
          </w:p>
        </w:tc>
        <w:tc>
          <w:tcPr>
            <w:tcW w:w="61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2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beginning of the period</w:t>
            </w:r>
          </w:p>
        </w:tc>
        <w:tc>
          <w:tcPr>
            <w:tcW w:w="2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19,841</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52,418</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25"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the end of the period</w:t>
            </w:r>
          </w:p>
        </w:tc>
        <w:tc>
          <w:tcPr>
            <w:tcW w:w="246"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19,208</w:t>
            </w:r>
          </w:p>
        </w:tc>
        <w:tc>
          <w:tcPr>
            <w:tcW w:w="1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21,623</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8" w:name="notes_to_condensed_consolidated_financia"/>
      <w:bookmarkEnd w:id="8"/>
      <w:r>
        <w:rPr>
          <w:rFonts w:ascii="Times New Roman" w:hAnsi="Times New Roman"/>
          <w:b/>
          <w:color w:val="000000"/>
          <w:sz w:val="20"/>
        </w:rPr>
        <w:t>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Note 1 - Nature of Business</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Assembly Biosciences, Inc. (together with its subsidiaries, Assembly or the Company), incorporated in Delaware in October 2005, is a biotechnology company developing innovative therapeutics. The Company's pipeline includes two helicase-primase inhibitors (HPI) for the treatment of recurrent genital herpes, an orally bioavailable hepatitis delta virus (HDV) entry inhibitor, a clinical stage capsid assembly modulator candidate designed to disrupt the replication cycle of hepatitis B virus (HBV) and research programs focused on a non-nucleoside polymerase inhibitor (NNPI) targeting transplant-related herpesviruses and a small molecule interferon-α (IFN-α) receptor (IFNAR) agonist targeting HBV and HDV. The Company operates in one segment and is headquartered in South San Francisco, California.</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through the sale of equity securities, the proceeds from the exercise of warrants and stock options, the issuance of debt, and upfront payments related to collaboration agreements.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these unaudited condensed consolidated financial statements are issued.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2 - Summary of Significant Accounting Policies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include the accounts of the Company and its subsidiaries. All intercompany balances and transactions have been eliminated in consolidation.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SEC. In management’s opinion, the unaudited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2023, which are contained in the 2023 Annual Report. The results for the three and six months ended June 30, 2024 are not necessarily indicative of results to be expected for the entire year ending December 31, 2024 or future operating periods.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Significant estimates inherent in the preparation of the accompanying unaudited condensed consolidated financial statements include estimates for revenue recognition and costs incurred but not yet invoiced for research and development accruals.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Other Risks and Uncertainties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U.S. and global financial markets have experienced volatility and disruption due to macroeconomic and geopolitical events such as rising inflation, rising interest rates to combat inflation, the risk of a recession, the war between Russia and Ukraine and the Israel-Hamas war. The Company cannot predict at this time to what extent, if at all, it and its employees, contract research organizations, vendors and/or collaborators could potentially be negatively impacted by these events.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Reverse Stock Split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September 2023, the Company received a letter from the Listing Qualifications Department of the Nasdaq Stock Market notifying the Company, as the bid price for its common stock had closed below $1.00 per share for the last 30 consecutive business days, it was not in compliance with Nasdaq Listing Rule 5450(a)(1), which is the minimum bid price requirement for continued listing on the Nasdaq Global Select Market. In accordance with Nasdaq Listing Rule 5810(c)(3)(A), the Company was provided a 180-calendar day period, or until March 25, 2024, to regain compliance with the minimum bid price requirement. The continued listing standard would be met once the closing bid price of the Company’s common stock was at least $1.00 per share for a minimum of ten consecutive business days during the 180-calendar day period. In January 2024, the Company's stockholders approved a reverse stock split of its common stock at a range of ratios between 1-for-7 to 1-for-17, and the Company's board of directors approved the implementation of the reverse stock split at a ratio of 1-for-12 (the Reverse Stock Split). The Reverse Stock Split was effective as of February 9, 2024 and the Company regained compliance with the minimum bid price requirement in February 2024.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the effective time of the Reverse Stock Split, every 12 issued and outstanding shares of the Company’s common stock was automatically reclassified into one issued and outstanding share of the Company’s common stock. This reduced the number of shares outstanding from 65.8 million shares to 5.5 million shares. The Reverse Stock Split did not affect the number of authorized shares of common stock or the par value of the common stock. No fractional shares of common stock were issued in connection with the Reverse Stock Split and all fractional shares were rounded down to the nearest whole share with respect to outstanding shares of common stock. Any holders of common stock who would have otherwise received a fractional share of common stock pursuant to the Reverse Stock Split, received cash in lieu of the fractional share. All prior period share and per share amounts of the Company's common stock presented have been retroactively adjusted to reflect the 1-for-12 Reverse Stock Split, including reclassifying an amount equal to the reduction in par value of common stock to additional paid-in capital.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net loss per share of common stock excludes dilution and is computed by dividing net loss by the weighted average number of shares of common stock outstanding during the period. Diluted net loss per share of common stock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Diluted net loss per share is the same as basic net loss per share, since the effects of potentially dilutive securities are antidilutive given the net loss for each period presented.</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A reconciliation of the numerators and the denominators of the basic and diluted net loss per common share computations is as follows (in thousands, except for share and per share amounts):</w:t>
      </w:r>
    </w:p>
    <w:tbl>
      <w:tblPr>
        <w:tblW w:w="10205" w:type="dxa"/>
        <w:jc w:val="left"/>
        <w:tblInd w:w="0" w:type="dxa"/>
        <w:tblLayout w:type="fixed"/>
        <w:tblCellMar>
          <w:top w:w="28" w:type="dxa"/>
          <w:left w:w="28" w:type="dxa"/>
          <w:bottom w:w="28" w:type="dxa"/>
          <w:right w:w="28" w:type="dxa"/>
        </w:tblCellMar>
      </w:tblPr>
      <w:tblGrid>
        <w:gridCol w:w="4164"/>
        <w:gridCol w:w="146"/>
        <w:gridCol w:w="211"/>
        <w:gridCol w:w="931"/>
        <w:gridCol w:w="166"/>
        <w:gridCol w:w="146"/>
        <w:gridCol w:w="211"/>
        <w:gridCol w:w="931"/>
        <w:gridCol w:w="166"/>
        <w:gridCol w:w="146"/>
        <w:gridCol w:w="211"/>
        <w:gridCol w:w="931"/>
        <w:gridCol w:w="166"/>
        <w:gridCol w:w="146"/>
        <w:gridCol w:w="211"/>
        <w:gridCol w:w="931"/>
        <w:gridCol w:w="391"/>
      </w:tblGrid>
      <w:tr>
        <w:trPr/>
        <w:tc>
          <w:tcPr>
            <w:tcW w:w="41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1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42"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4164"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common shares outstanding -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5,642,752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4,355,007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5,563,033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4,303,244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6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3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Securities excluded from the computation of diluted net loss per share because including them would have been antidilutive are as follows:</w:t>
      </w:r>
    </w:p>
    <w:tbl>
      <w:tblPr>
        <w:tblW w:w="6579" w:type="dxa"/>
        <w:jc w:val="left"/>
        <w:tblInd w:w="0" w:type="dxa"/>
        <w:tblLayout w:type="fixed"/>
        <w:tblCellMar>
          <w:top w:w="28" w:type="dxa"/>
          <w:left w:w="28" w:type="dxa"/>
          <w:bottom w:w="28" w:type="dxa"/>
          <w:right w:w="28" w:type="dxa"/>
        </w:tblCellMar>
      </w:tblPr>
      <w:tblGrid>
        <w:gridCol w:w="3946"/>
        <w:gridCol w:w="146"/>
        <w:gridCol w:w="146"/>
        <w:gridCol w:w="931"/>
        <w:gridCol w:w="146"/>
        <w:gridCol w:w="146"/>
        <w:gridCol w:w="146"/>
        <w:gridCol w:w="781"/>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1,003,111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844,383</w:t>
            </w:r>
          </w:p>
        </w:tc>
        <w:tc>
          <w:tcPr>
            <w:tcW w:w="191" w:type="dxa"/>
            <w:tcBorders/>
            <w:shd w:fill="FFFFFF" w:val="clear"/>
            <w:vAlign w:val="center"/>
          </w:tcPr>
          <w:p>
            <w:pPr>
              <w:pStyle w:val="TableContents"/>
              <w:bidi w:val="0"/>
              <w:spacing w:before="0" w:after="283"/>
              <w:jc w:val="left"/>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subject to purchase under ESPP</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w:t>
            </w:r>
          </w:p>
        </w:tc>
        <w:tc>
          <w:tcPr>
            <w:tcW w:w="191" w:type="dxa"/>
            <w:tcBorders/>
            <w:shd w:fill="CFF0FC" w:val="clear"/>
            <w:vAlign w:val="center"/>
          </w:tcPr>
          <w:p>
            <w:pPr>
              <w:pStyle w:val="TableContents"/>
              <w:bidi w:val="0"/>
              <w:spacing w:before="0" w:after="283"/>
              <w:jc w:val="left"/>
              <w:rPr/>
            </w:pPr>
            <w:r>
              <w:rPr/>
              <w:t> </w:t>
            </w:r>
          </w:p>
        </w:tc>
      </w:tr>
      <w:tr>
        <w:trPr/>
        <w:tc>
          <w:tcPr>
            <w:tcW w:w="39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116,986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1,900,374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966,704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3 –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October 2023, the Company entered into an Option, License and Collaboration agreement (the Gilead Collaboration Agreement), and a Common Stock Purchase Agreement and an Investor Rights Agreement (collectively, the Gilead Equity Agreements) under which it received aggregate gross proceeds of $100.0 million from Gilead Sciences, Inc. (Gilead). During the three and six months ended June 30, 2024, the Company recognized $8.5 million and $14.3 million of collaboration revenue under the Gilead Collaboration Agreement, respectively (see Note 8).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June 2024, the Company entered into a Securities Purchase Agreement with Gilead for the issuance and sale of 179,500 shares of the Company’s common stock and a warrant to purchase up to 179,500 shares of the Company’s common stock in a private placement (see Note 6). The common stock and warrant were sold at a combined offering price of $15.46, for aggregate gross proceeds to the Company of approximately $2.8 million.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Also in June 2024, the Gilead Equity Agreements were amended to extend deadlines relating to the Company’s efforts to complete an equity financing and its ability to require Gilead to purchase additional shares of the Company’s common stock by three months. The amendments also explicitly include the shares of the Company's common stock and warrant sold to Gilead in June 2024 in the definition of registrable securities. The amendments to the Gilead Equity Agreements did not have an impact to the Company's condensed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2024, Gilead held approximately 19.9% of the Company’s outstanding voting common stock. Additionally, Gilead may, at the Company’s or Gilead’s option, subject to certain conditions, purchase additional shares to increase its holdings up to a maximum of 29.9% of the Company’s then-outstanding voting common stock. Under the Investor Rights Agreement, Gilead has the right to designate two directors to the Company’s board of directors. The Company appointed each of Gilead’s designees to its board of directors in December 2023 and February 2024.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4 – Fair Value Measurements and Investments in Marketable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and accrued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uses the following three-level hierarchy that maximizes the use of observable inputs and minimizes the use of unobservable inputs to value its financial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1: Observable inputs such as unadjusted quoted prices in active markets for identical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2: Quoted prices for similar instruments that are directly or indirectly observable in the marketplace.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3: Significant unobservable inputs that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Investments in marketable securities consisted of the following (in thousands):</w:t>
      </w:r>
    </w:p>
    <w:tbl>
      <w:tblPr>
        <w:tblW w:w="9240" w:type="dxa"/>
        <w:jc w:val="left"/>
        <w:tblInd w:w="0" w:type="dxa"/>
        <w:tblLayout w:type="fixed"/>
        <w:tblCellMar>
          <w:top w:w="28" w:type="dxa"/>
          <w:left w:w="28" w:type="dxa"/>
          <w:bottom w:w="28" w:type="dxa"/>
          <w:right w:w="28" w:type="dxa"/>
        </w:tblCellMar>
      </w:tblPr>
      <w:tblGrid>
        <w:gridCol w:w="4051"/>
        <w:gridCol w:w="146"/>
        <w:gridCol w:w="211"/>
        <w:gridCol w:w="781"/>
        <w:gridCol w:w="146"/>
        <w:gridCol w:w="146"/>
        <w:gridCol w:w="335"/>
        <w:gridCol w:w="551"/>
        <w:gridCol w:w="146"/>
        <w:gridCol w:w="146"/>
        <w:gridCol w:w="318"/>
        <w:gridCol w:w="568"/>
        <w:gridCol w:w="166"/>
        <w:gridCol w:w="146"/>
        <w:gridCol w:w="211"/>
        <w:gridCol w:w="781"/>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0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56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59,775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240" w:type="dxa"/>
        <w:jc w:val="left"/>
        <w:tblInd w:w="0" w:type="dxa"/>
        <w:tblLayout w:type="fixed"/>
        <w:tblCellMar>
          <w:top w:w="28" w:type="dxa"/>
          <w:left w:w="28" w:type="dxa"/>
          <w:bottom w:w="28" w:type="dxa"/>
          <w:right w:w="28" w:type="dxa"/>
        </w:tblCellMar>
      </w:tblPr>
      <w:tblGrid>
        <w:gridCol w:w="4051"/>
        <w:gridCol w:w="146"/>
        <w:gridCol w:w="211"/>
        <w:gridCol w:w="781"/>
        <w:gridCol w:w="146"/>
        <w:gridCol w:w="146"/>
        <w:gridCol w:w="295"/>
        <w:gridCol w:w="591"/>
        <w:gridCol w:w="146"/>
        <w:gridCol w:w="146"/>
        <w:gridCol w:w="335"/>
        <w:gridCol w:w="551"/>
        <w:gridCol w:w="166"/>
        <w:gridCol w:w="146"/>
        <w:gridCol w:w="211"/>
        <w:gridCol w:w="781"/>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40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5" w:type="dxa"/>
            <w:tcBorders/>
            <w:shd w:fill="CFF0FC" w:val="clear"/>
            <w:vAlign w:val="center"/>
          </w:tcPr>
          <w:p>
            <w:pPr>
              <w:pStyle w:val="TableContents"/>
              <w:bidi w:val="0"/>
              <w:spacing w:before="0" w:after="283"/>
              <w:jc w:val="left"/>
              <w:rPr/>
            </w:pPr>
            <w:r>
              <w:rPr/>
              <w:t> </w:t>
            </w:r>
          </w:p>
        </w:tc>
        <w:tc>
          <w:tcPr>
            <w:tcW w:w="5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35" w:type="dxa"/>
            <w:tcBorders/>
            <w:shd w:fill="CFF0FC" w:val="clear"/>
            <w:vAlign w:val="center"/>
          </w:tcPr>
          <w:p>
            <w:pPr>
              <w:pStyle w:val="TableContents"/>
              <w:bidi w:val="0"/>
              <w:spacing w:before="0" w:after="283"/>
              <w:jc w:val="left"/>
              <w:rPr/>
            </w:pPr>
            <w:r>
              <w:rPr/>
              <w:t> </w:t>
            </w:r>
          </w:p>
        </w:tc>
        <w:tc>
          <w:tcPr>
            <w:tcW w:w="55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40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5" w:type="dxa"/>
            <w:tcBorders/>
            <w:shd w:fill="FFFFFF" w:val="clear"/>
            <w:vAlign w:val="center"/>
          </w:tcPr>
          <w:p>
            <w:pPr>
              <w:pStyle w:val="TableContents"/>
              <w:bidi w:val="0"/>
              <w:spacing w:before="0" w:after="283"/>
              <w:jc w:val="left"/>
              <w:rPr/>
            </w:pPr>
            <w:r>
              <w:rPr/>
              <w:t> </w:t>
            </w:r>
          </w:p>
        </w:tc>
        <w:tc>
          <w:tcPr>
            <w:tcW w:w="5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55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0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There were no realized gains and losses for the three and six months ended June 30, 2024 and 2023. As of June 30, 2024 and 2023, investments which were in an unrealized loss position were not material and generally due to interest rate fluctuations, as opposed to declines in credit quality. The Company determined it has the intent and ability to hold all marketable securities that have been in a continuous loss position until recovery of their amortized cost basis, which may be until maturity. As a result, the Company did not recognize any credit losses related to its investments and all unrealized gains and losses on available-for-sale securities are recorded in accumulated other comprehensive loss on the condensed consolidated balance sheets during the three and six months ended June 30, 2024 and 2023.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interest receivable was $0.4 million and $0.3 million as of June 30, 2024 and December 31, 2023, respectively, and was recorded in prepaid expenses and other current assets on the condensed consolidated balance sheets. The Company did not write off any accrued interest receivable during the three and six months ended June 30, 2024 and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present the fair value of the Company’s financial assets measured at fair value on a recurring basis (in thousands):</w:t>
      </w:r>
    </w:p>
    <w:p>
      <w:pPr>
        <w:pStyle w:val="TextBody"/>
        <w:bidi w:val="0"/>
        <w:jc w:val="both"/>
        <w:rPr/>
      </w:pPr>
      <w:r>
        <w:rPr/>
        <w:t> </w:t>
      </w:r>
    </w:p>
    <w:tbl>
      <w:tblPr>
        <w:tblW w:w="8460"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676"/>
        <w:gridCol w:w="146"/>
        <w:gridCol w:w="146"/>
        <w:gridCol w:w="239"/>
        <w:gridCol w:w="391"/>
        <w:gridCol w:w="146"/>
        <w:gridCol w:w="146"/>
        <w:gridCol w:w="211"/>
        <w:gridCol w:w="78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59,775</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565"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781"/>
        <w:gridCol w:w="146"/>
        <w:gridCol w:w="146"/>
        <w:gridCol w:w="239"/>
        <w:gridCol w:w="391"/>
        <w:gridCol w:w="146"/>
        <w:gridCol w:w="146"/>
        <w:gridCol w:w="211"/>
        <w:gridCol w:w="78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3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2"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30"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corporate debt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65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77,018</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commercial paper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estimates the fair value of its investments in marketable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transfers between Level 1, Level 2 or Level 3 investments during the periods presented.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5 – Other Accrued Expenses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Other accrued expenses consist of the following (in thousands):</w:t>
      </w:r>
    </w:p>
    <w:tbl>
      <w:tblPr>
        <w:tblW w:w="5907" w:type="dxa"/>
        <w:jc w:val="left"/>
        <w:tblInd w:w="0" w:type="dxa"/>
        <w:tblLayout w:type="fixed"/>
        <w:tblCellMar>
          <w:top w:w="28" w:type="dxa"/>
          <w:left w:w="28" w:type="dxa"/>
          <w:bottom w:w="28" w:type="dxa"/>
          <w:right w:w="28" w:type="dxa"/>
        </w:tblCellMar>
      </w:tblPr>
      <w:tblGrid>
        <w:gridCol w:w="3201"/>
        <w:gridCol w:w="146"/>
        <w:gridCol w:w="211"/>
        <w:gridCol w:w="571"/>
        <w:gridCol w:w="146"/>
        <w:gridCol w:w="146"/>
        <w:gridCol w:w="294"/>
        <w:gridCol w:w="801"/>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vAlign w:val="center"/>
          </w:tcPr>
          <w:p>
            <w:pPr>
              <w:pStyle w:val="TableContents"/>
              <w:bidi w:val="0"/>
              <w:spacing w:before="0" w:after="283"/>
              <w:jc w:val="left"/>
              <w:rPr/>
            </w:pPr>
            <w:r>
              <w:rPr/>
              <w:t> </w:t>
            </w:r>
          </w:p>
        </w:tc>
        <w:tc>
          <w:tcPr>
            <w:tcW w:w="78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95" w:type="dxa"/>
            <w:gridSpan w:val="2"/>
            <w:tcBorders/>
            <w:shd w:fill="CFF0FC" w:val="clear"/>
            <w:vAlign w:val="center"/>
          </w:tcPr>
          <w:p>
            <w:pPr>
              <w:pStyle w:val="TableContents"/>
              <w:bidi w:val="0"/>
              <w:spacing w:before="0" w:after="283"/>
              <w:jc w:val="right"/>
              <w:rPr/>
            </w:pPr>
            <w:r>
              <w:rPr/>
              <w:t> </w:t>
            </w:r>
          </w:p>
        </w:tc>
        <w:tc>
          <w:tcPr>
            <w:tcW w:w="391" w:type="dxa"/>
            <w:tcBorders/>
            <w:shd w:fill="CFF0FC" w:val="clear"/>
            <w:vAlign w:val="center"/>
          </w:tcPr>
          <w:p>
            <w:pPr>
              <w:pStyle w:val="TableContents"/>
              <w:bidi w:val="0"/>
              <w:spacing w:before="0" w:after="283"/>
              <w:ind w:left="0" w:right="0" w:firstLine="200"/>
              <w:jc w:val="right"/>
              <w:rPr/>
            </w:pPr>
            <w:r>
              <w:rPr/>
              <w:t> </w:t>
            </w:r>
          </w:p>
        </w:tc>
      </w:tr>
      <w:tr>
        <w:trPr/>
        <w:tc>
          <w:tcPr>
            <w:tcW w:w="320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20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professional fees and other</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6 – Sale of Common Stock and 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June 2024, the Company entered into a Securities Purchase Agreement with an investor for the issuance and sale of 634,500 shares of the Company's common stock and a warrant to purchase up to 634,500 shares of the Company's common stock in a registered direct offering, pursuant to its shelf registration statement on Form S-3 on file with the SEC. The common stock and warrant were sold at a combined offering price of $15.46 for aggregate gross proceeds to the Company of approximately $9.8 million. The Company also entered into a Securities Purchase Agreement with Gilead for the issuance and sale of 179,500 shares of the Company's common stock and a warrant to purchase up to 179,500 shares of the Company's common stock in a private placement. The common stock and warrant were sold at a combined offering price of $15.46 for aggregate gross proceeds to the Company of approximately $2.8 million. The sale of common stock to Gilead maintains Gilead's ownership of approximately 19.9% of the Company's outstanding voting common stock as of the date of closing pursuant to the terms of Gilead's existing Investor Rights Agreement with the Company entered into in October 2023 and amended in June 2024 (see Note 3). The warrants sold to both parties have an exercise price equal to $17.00 per share, became immediately exercisable on the date of issuance and expire on June 18, 2029. Neither party may exercise any portion of the warrants to the extent it would beneficially own more than the limits defined in the warrant agreements. The exercise price and number of shares of common stock issuable upon the exercise of the warrants are subject to adjustment in the event of any stock dividends and distributions, stock splits, stock combinations or stock reclassifications, as described in the respective warrant agreements. Under certain circumstances, the warrants may be exercised on a “cashless” basis.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warrants were classified as a component of permanent stockholders’ equity within additional paid-in-capital and were recorded at the issuance date. The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classification criteria. In addition, such warrants do not provide any guarantee of value or return. There were no warrants exercised during the three and six months ended June 30,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2020, the Company entered into a sales agreement under which the Company may offer and sell shares of its common stock having an aggregate offering price of up to $100.0 million through “at-the-market” offerings (2020 ATM), pursuant to its shelf registration statement on Form S-3 on file with the SEC. The Company did not sell any shares of common stock under the 2020 ATM during the three and six months ended June 30, 2024. During the three months ended June 30, 2023, the Company sold 6,966 shares of common stock under the 2020 ATM, for which the Company received net proceeds of $0.1 million, after deducting commissions, fees and expenses. During the six months ended June 30, 2023, the Company sold 261,170 shares of common stock under the 2020 ATM, for which the Company received net proceeds of $4.5 million, after deducting commissions, fees and expenses.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7 – Stock-Based Compensation</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components of total stock-based compensation expense included in the condensed consolidated statements of operations and comprehensive loss (in thousands):</w:t>
      </w:r>
    </w:p>
    <w:tbl>
      <w:tblPr>
        <w:tblW w:w="8557" w:type="dxa"/>
        <w:jc w:val="left"/>
        <w:tblInd w:w="0" w:type="dxa"/>
        <w:tblLayout w:type="fixed"/>
        <w:tblCellMar>
          <w:top w:w="28" w:type="dxa"/>
          <w:left w:w="28" w:type="dxa"/>
          <w:bottom w:w="28" w:type="dxa"/>
          <w:right w:w="28" w:type="dxa"/>
        </w:tblCellMar>
      </w:tblPr>
      <w:tblGrid>
        <w:gridCol w:w="3451"/>
        <w:gridCol w:w="146"/>
        <w:gridCol w:w="280"/>
        <w:gridCol w:w="559"/>
        <w:gridCol w:w="193"/>
        <w:gridCol w:w="193"/>
        <w:gridCol w:w="280"/>
        <w:gridCol w:w="758"/>
        <w:gridCol w:w="146"/>
        <w:gridCol w:w="146"/>
        <w:gridCol w:w="235"/>
        <w:gridCol w:w="637"/>
        <w:gridCol w:w="162"/>
        <w:gridCol w:w="162"/>
        <w:gridCol w:w="235"/>
        <w:gridCol w:w="637"/>
        <w:gridCol w:w="146"/>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93" w:type="dxa"/>
            <w:tcBorders/>
            <w:shd w:fill="CFF0FC" w:val="clear"/>
            <w:vAlign w:val="center"/>
          </w:tcPr>
          <w:p>
            <w:pPr>
              <w:pStyle w:val="TableContents"/>
              <w:bidi w:val="0"/>
              <w:spacing w:before="0" w:after="283"/>
              <w:jc w:val="left"/>
              <w:rPr/>
            </w:pPr>
            <w:r>
              <w:rPr/>
              <w:t> </w:t>
            </w:r>
          </w:p>
        </w:tc>
        <w:tc>
          <w:tcPr>
            <w:tcW w:w="193"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23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w:t>
            </w:r>
          </w:p>
        </w:tc>
        <w:tc>
          <w:tcPr>
            <w:tcW w:w="146" w:type="dxa"/>
            <w:tcBorders/>
            <w:shd w:fill="CFF0FC"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833</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June 30, 2024, there was $3.7 million of total unrecognized stock-based compensation related to outstanding equity awards, which is expected to be recognized over a weighted average remaining amortization period of 1.7 years.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fair value of stock options granted during the periods indicated was estimated using the Black-Scholes option pricing model, based on the following assumptions:</w:t>
      </w:r>
    </w:p>
    <w:tbl>
      <w:tblPr>
        <w:tblW w:w="7370" w:type="dxa"/>
        <w:jc w:val="left"/>
        <w:tblInd w:w="0" w:type="dxa"/>
        <w:tblLayout w:type="fixed"/>
        <w:tblCellMar>
          <w:top w:w="28" w:type="dxa"/>
          <w:left w:w="28" w:type="dxa"/>
          <w:bottom w:w="28" w:type="dxa"/>
          <w:right w:w="28" w:type="dxa"/>
        </w:tblCellMar>
      </w:tblPr>
      <w:tblGrid>
        <w:gridCol w:w="2131"/>
        <w:gridCol w:w="146"/>
        <w:gridCol w:w="1416"/>
        <w:gridCol w:w="165"/>
        <w:gridCol w:w="683"/>
        <w:gridCol w:w="146"/>
        <w:gridCol w:w="1246"/>
        <w:gridCol w:w="146"/>
        <w:gridCol w:w="129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r>
      <w:tr>
        <w:trPr/>
        <w:tc>
          <w:tcPr>
            <w:tcW w:w="21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vAlign w:val="center"/>
          </w:tcPr>
          <w:p>
            <w:pPr>
              <w:pStyle w:val="TableContents"/>
              <w:bidi w:val="0"/>
              <w:spacing w:before="0" w:after="283"/>
              <w:jc w:val="left"/>
              <w:rPr/>
            </w:pPr>
            <w:r>
              <w:rPr/>
              <w:t> </w:t>
            </w:r>
          </w:p>
        </w:tc>
        <w:tc>
          <w:tcPr>
            <w:tcW w:w="141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$12.90</w:t>
            </w:r>
            <w:r>
              <w:rPr>
                <w:rFonts w:ascii="Times New Roman" w:hAnsi="Times New Roman"/>
                <w:color w:val="000000"/>
                <w:sz w:val="20"/>
              </w:rPr>
              <w:t> </w:t>
            </w:r>
            <w:r>
              <w:rPr>
                <w:rFonts w:ascii="Times New Roman" w:hAnsi="Times New Roman"/>
                <w:color w:val="000000"/>
                <w:sz w:val="18"/>
              </w:rPr>
              <w:t>- $15.06</w:t>
            </w:r>
          </w:p>
        </w:tc>
        <w:tc>
          <w:tcPr>
            <w:tcW w:w="165"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$11.64</w:t>
            </w:r>
          </w:p>
        </w:tc>
        <w:tc>
          <w:tcPr>
            <w:tcW w:w="146" w:type="dxa"/>
            <w:tcBorders/>
            <w:shd w:fill="CFF0FC" w:val="clear"/>
            <w:vAlign w:val="center"/>
          </w:tcPr>
          <w:p>
            <w:pPr>
              <w:pStyle w:val="TableContents"/>
              <w:bidi w:val="0"/>
              <w:spacing w:before="0" w:after="283"/>
              <w:jc w:val="center"/>
              <w:rPr/>
            </w:pPr>
            <w:r>
              <w:rPr/>
              <w:t> </w:t>
            </w:r>
          </w:p>
        </w:tc>
        <w:tc>
          <w:tcPr>
            <w:tcW w:w="1246"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$12.90</w:t>
            </w:r>
            <w:r>
              <w:rPr>
                <w:rFonts w:ascii="Times New Roman" w:hAnsi="Times New Roman"/>
                <w:color w:val="000000"/>
                <w:sz w:val="20"/>
              </w:rPr>
              <w:t> </w:t>
            </w:r>
            <w:r>
              <w:rPr>
                <w:rFonts w:ascii="Times New Roman" w:hAnsi="Times New Roman"/>
                <w:color w:val="000000"/>
                <w:sz w:val="18"/>
              </w:rPr>
              <w:t>- $15.06</w:t>
            </w:r>
          </w:p>
        </w:tc>
        <w:tc>
          <w:tcPr>
            <w:tcW w:w="146" w:type="dxa"/>
            <w:tcBorders/>
            <w:shd w:fill="CFF0FC" w:val="clear"/>
            <w:vAlign w:val="center"/>
          </w:tcPr>
          <w:p>
            <w:pPr>
              <w:pStyle w:val="TableContents"/>
              <w:bidi w:val="0"/>
              <w:spacing w:before="0" w:after="283"/>
              <w:jc w:val="center"/>
              <w:rPr/>
            </w:pPr>
            <w:r>
              <w:rPr/>
              <w:t> </w:t>
            </w:r>
          </w:p>
        </w:tc>
        <w:tc>
          <w:tcPr>
            <w:tcW w:w="1291" w:type="dxa"/>
            <w:tcBorders/>
            <w:shd w:fill="CFF0FC"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$10.68</w:t>
            </w:r>
            <w:r>
              <w:rPr>
                <w:rFonts w:ascii="Times New Roman" w:hAnsi="Times New Roman"/>
                <w:color w:val="000000"/>
                <w:sz w:val="20"/>
              </w:rPr>
              <w:t> </w:t>
            </w:r>
            <w:r>
              <w:rPr>
                <w:rFonts w:ascii="Times New Roman" w:hAnsi="Times New Roman"/>
                <w:color w:val="000000"/>
                <w:sz w:val="18"/>
              </w:rPr>
              <w:t>- $18.36</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vAlign w:val="center"/>
          </w:tcPr>
          <w:p>
            <w:pPr>
              <w:pStyle w:val="TableContents"/>
              <w:bidi w:val="0"/>
              <w:spacing w:before="0" w:after="283"/>
              <w:jc w:val="left"/>
              <w:rPr/>
            </w:pPr>
            <w:r>
              <w:rPr/>
              <w:t> </w:t>
            </w:r>
          </w:p>
        </w:tc>
        <w:tc>
          <w:tcPr>
            <w:tcW w:w="141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79.1% - 86.9%</w:t>
            </w:r>
          </w:p>
        </w:tc>
        <w:tc>
          <w:tcPr>
            <w:tcW w:w="165"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77.6%</w:t>
            </w:r>
          </w:p>
        </w:tc>
        <w:tc>
          <w:tcPr>
            <w:tcW w:w="146" w:type="dxa"/>
            <w:tcBorders/>
            <w:shd w:fill="FFFFFF" w:val="clear"/>
            <w:vAlign w:val="center"/>
          </w:tcPr>
          <w:p>
            <w:pPr>
              <w:pStyle w:val="TableContents"/>
              <w:bidi w:val="0"/>
              <w:spacing w:before="0" w:after="283"/>
              <w:jc w:val="center"/>
              <w:rPr/>
            </w:pPr>
            <w:r>
              <w:rPr/>
              <w:t> </w:t>
            </w:r>
          </w:p>
        </w:tc>
        <w:tc>
          <w:tcPr>
            <w:tcW w:w="124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79.1% - 86.9%</w:t>
            </w:r>
          </w:p>
        </w:tc>
        <w:tc>
          <w:tcPr>
            <w:tcW w:w="146" w:type="dxa"/>
            <w:tcBorders/>
            <w:shd w:fill="FFFFFF" w:val="clear"/>
            <w:vAlign w:val="center"/>
          </w:tcPr>
          <w:p>
            <w:pPr>
              <w:pStyle w:val="TableContents"/>
              <w:bidi w:val="0"/>
              <w:spacing w:before="0" w:after="283"/>
              <w:jc w:val="center"/>
              <w:rPr/>
            </w:pPr>
            <w:r>
              <w:rPr/>
              <w:t> </w:t>
            </w:r>
          </w:p>
        </w:tc>
        <w:tc>
          <w:tcPr>
            <w:tcW w:w="1291"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77.5% - 82.8%</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vAlign w:val="center"/>
          </w:tcPr>
          <w:p>
            <w:pPr>
              <w:pStyle w:val="TableContents"/>
              <w:bidi w:val="0"/>
              <w:spacing w:before="0" w:after="283"/>
              <w:jc w:val="left"/>
              <w:rPr/>
            </w:pPr>
            <w:r>
              <w:rPr/>
              <w:t> </w:t>
            </w:r>
          </w:p>
        </w:tc>
        <w:tc>
          <w:tcPr>
            <w:tcW w:w="141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4.28% - 4.57%</w:t>
            </w:r>
          </w:p>
        </w:tc>
        <w:tc>
          <w:tcPr>
            <w:tcW w:w="165"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3.82%</w:t>
            </w:r>
          </w:p>
        </w:tc>
        <w:tc>
          <w:tcPr>
            <w:tcW w:w="146" w:type="dxa"/>
            <w:tcBorders/>
            <w:shd w:fill="CFF0FC" w:val="clear"/>
            <w:vAlign w:val="center"/>
          </w:tcPr>
          <w:p>
            <w:pPr>
              <w:pStyle w:val="TableContents"/>
              <w:bidi w:val="0"/>
              <w:spacing w:before="0" w:after="283"/>
              <w:jc w:val="center"/>
              <w:rPr/>
            </w:pPr>
            <w:r>
              <w:rPr/>
              <w:t> </w:t>
            </w:r>
          </w:p>
        </w:tc>
        <w:tc>
          <w:tcPr>
            <w:tcW w:w="124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4.16% - 4.57%</w:t>
            </w:r>
          </w:p>
        </w:tc>
        <w:tc>
          <w:tcPr>
            <w:tcW w:w="146" w:type="dxa"/>
            <w:tcBorders/>
            <w:shd w:fill="CFF0FC" w:val="clear"/>
            <w:vAlign w:val="center"/>
          </w:tcPr>
          <w:p>
            <w:pPr>
              <w:pStyle w:val="TableContents"/>
              <w:bidi w:val="0"/>
              <w:spacing w:before="0" w:after="283"/>
              <w:jc w:val="center"/>
              <w:rPr/>
            </w:pPr>
            <w:r>
              <w:rPr/>
              <w:t> </w:t>
            </w:r>
          </w:p>
        </w:tc>
        <w:tc>
          <w:tcPr>
            <w:tcW w:w="129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3.59% - 4.00%</w:t>
            </w:r>
          </w:p>
        </w:tc>
      </w:tr>
      <w:tr>
        <w:trPr/>
        <w:tc>
          <w:tcPr>
            <w:tcW w:w="21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vAlign w:val="center"/>
          </w:tcPr>
          <w:p>
            <w:pPr>
              <w:pStyle w:val="TableContents"/>
              <w:bidi w:val="0"/>
              <w:spacing w:before="0" w:after="283"/>
              <w:jc w:val="left"/>
              <w:rPr/>
            </w:pPr>
            <w:r>
              <w:rPr/>
              <w:t> </w:t>
            </w:r>
          </w:p>
        </w:tc>
        <w:tc>
          <w:tcPr>
            <w:tcW w:w="141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5.5</w:t>
            </w:r>
            <w:r>
              <w:rPr>
                <w:rFonts w:ascii="Times New Roman" w:hAnsi="Times New Roman"/>
                <w:color w:val="000000"/>
                <w:sz w:val="20"/>
              </w:rPr>
              <w:t> </w:t>
            </w:r>
            <w:r>
              <w:rPr>
                <w:rFonts w:ascii="Times New Roman" w:hAnsi="Times New Roman"/>
                <w:color w:val="000000"/>
                <w:sz w:val="18"/>
              </w:rPr>
              <w:t>- 7.5</w:t>
            </w:r>
          </w:p>
        </w:tc>
        <w:tc>
          <w:tcPr>
            <w:tcW w:w="165" w:type="dxa"/>
            <w:tcBorders/>
            <w:shd w:fill="FFFFFF" w:val="clear"/>
            <w:vAlign w:val="center"/>
          </w:tcPr>
          <w:p>
            <w:pPr>
              <w:pStyle w:val="TableContents"/>
              <w:bidi w:val="0"/>
              <w:spacing w:before="0" w:after="283"/>
              <w:jc w:val="left"/>
              <w:rPr/>
            </w:pPr>
            <w:r>
              <w:rPr/>
              <w:t> </w:t>
            </w:r>
          </w:p>
        </w:tc>
        <w:tc>
          <w:tcPr>
            <w:tcW w:w="6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7.5</w:t>
            </w:r>
          </w:p>
        </w:tc>
        <w:tc>
          <w:tcPr>
            <w:tcW w:w="146" w:type="dxa"/>
            <w:tcBorders/>
            <w:shd w:fill="FFFFFF" w:val="clear"/>
            <w:vAlign w:val="center"/>
          </w:tcPr>
          <w:p>
            <w:pPr>
              <w:pStyle w:val="TableContents"/>
              <w:bidi w:val="0"/>
              <w:spacing w:before="0" w:after="283"/>
              <w:jc w:val="center"/>
              <w:rPr/>
            </w:pPr>
            <w:r>
              <w:rPr/>
              <w:t> </w:t>
            </w:r>
          </w:p>
        </w:tc>
        <w:tc>
          <w:tcPr>
            <w:tcW w:w="1246"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5.5</w:t>
            </w:r>
            <w:r>
              <w:rPr>
                <w:rFonts w:ascii="Times New Roman" w:hAnsi="Times New Roman"/>
                <w:color w:val="000000"/>
                <w:sz w:val="20"/>
              </w:rPr>
              <w:t> </w:t>
            </w:r>
            <w:r>
              <w:rPr>
                <w:rFonts w:ascii="Times New Roman" w:hAnsi="Times New Roman"/>
                <w:color w:val="000000"/>
                <w:sz w:val="18"/>
              </w:rPr>
              <w:t>- 7.5</w:t>
            </w:r>
          </w:p>
        </w:tc>
        <w:tc>
          <w:tcPr>
            <w:tcW w:w="146" w:type="dxa"/>
            <w:tcBorders/>
            <w:shd w:fill="FFFFFF" w:val="clear"/>
            <w:vAlign w:val="center"/>
          </w:tcPr>
          <w:p>
            <w:pPr>
              <w:pStyle w:val="TableContents"/>
              <w:bidi w:val="0"/>
              <w:spacing w:before="0" w:after="283"/>
              <w:jc w:val="center"/>
              <w:rPr/>
            </w:pPr>
            <w:r>
              <w:rPr/>
              <w:t> </w:t>
            </w:r>
          </w:p>
        </w:tc>
        <w:tc>
          <w:tcPr>
            <w:tcW w:w="1291" w:type="dxa"/>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5.5</w:t>
            </w:r>
            <w:r>
              <w:rPr>
                <w:rFonts w:ascii="Times New Roman" w:hAnsi="Times New Roman"/>
                <w:color w:val="000000"/>
                <w:sz w:val="20"/>
              </w:rPr>
              <w:t> </w:t>
            </w:r>
            <w:r>
              <w:rPr>
                <w:rFonts w:ascii="Times New Roman" w:hAnsi="Times New Roman"/>
                <w:color w:val="000000"/>
                <w:sz w:val="18"/>
              </w:rPr>
              <w:t>- 7.5</w:t>
            </w:r>
          </w:p>
        </w:tc>
      </w:tr>
      <w:tr>
        <w:trPr/>
        <w:tc>
          <w:tcPr>
            <w:tcW w:w="21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vAlign w:val="center"/>
          </w:tcPr>
          <w:p>
            <w:pPr>
              <w:pStyle w:val="TableContents"/>
              <w:bidi w:val="0"/>
              <w:spacing w:before="0" w:after="283"/>
              <w:jc w:val="left"/>
              <w:rPr/>
            </w:pPr>
            <w:r>
              <w:rPr/>
              <w:t> </w:t>
            </w:r>
          </w:p>
        </w:tc>
        <w:tc>
          <w:tcPr>
            <w:tcW w:w="141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65" w:type="dxa"/>
            <w:tcBorders/>
            <w:shd w:fill="CFF0FC" w:val="clear"/>
            <w:vAlign w:val="center"/>
          </w:tcPr>
          <w:p>
            <w:pPr>
              <w:pStyle w:val="TableContents"/>
              <w:bidi w:val="0"/>
              <w:spacing w:before="0" w:after="283"/>
              <w:jc w:val="left"/>
              <w:rPr/>
            </w:pPr>
            <w:r>
              <w:rPr/>
              <w:t> </w:t>
            </w:r>
          </w:p>
        </w:tc>
        <w:tc>
          <w:tcPr>
            <w:tcW w:w="68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vAlign w:val="center"/>
          </w:tcPr>
          <w:p>
            <w:pPr>
              <w:pStyle w:val="TableContents"/>
              <w:bidi w:val="0"/>
              <w:spacing w:before="0" w:after="283"/>
              <w:jc w:val="center"/>
              <w:rPr/>
            </w:pPr>
            <w:r>
              <w:rPr/>
              <w:t> </w:t>
            </w:r>
          </w:p>
        </w:tc>
        <w:tc>
          <w:tcPr>
            <w:tcW w:w="124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vAlign w:val="center"/>
          </w:tcPr>
          <w:p>
            <w:pPr>
              <w:pStyle w:val="TableContents"/>
              <w:bidi w:val="0"/>
              <w:spacing w:before="0" w:after="283"/>
              <w:jc w:val="center"/>
              <w:rPr/>
            </w:pPr>
            <w:r>
              <w:rPr/>
              <w:t> </w:t>
            </w:r>
          </w:p>
        </w:tc>
        <w:tc>
          <w:tcPr>
            <w:tcW w:w="129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bl>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8 - Collaboration Agreements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Gilead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October 2023, the Company entered into the Gilead Collaboration Agreement and the Gilead Equity Agreements under which it received total proceeds of $100.0 million. Under the Gilead Collaboration Agreement, Gilead exclusively licensed to the Company its HPI program and NNPI program, while retaining opt-in rights to these programs and have an option to take an exclusive license, on a program-by-program basis, to all of the Company’s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Gilead exercises its opt-in right to any current or future program under the collaboration, the Company is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of the Company’s programs, the Company may opt in to cover 40% of the research and development costs in the United States and share 40% of the profits and operating loss in the United States for products within the program in lieu of receiving milestones and royalties for that program in the United States, unless the Company later opts out of the cost/profit share for the program. Prior to Gilead’s potential exercise of its opt-in, the Company will be primarily responsible for all discovery, research and development on its programs and the two Gilead-contributed programs. Following Gilead’s opt-in, Gilead will control the further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discovery, research, development, and commercialization on any optioned programs. During the term, Gilead will continue to support the collaboration through extension fees of $75.0 million in each of the third, fifth and seventh years of the collaboration.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Gilead Collaboration Agreement is subject to termination by either party for the other party’s uncured, material breach or insolvency. Subject to certain limitations, the Company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concluded Gilead is a customer and accordingly, the Gilead Collaboration Agreement is within the scope of the revenue from contracts with customers guidance. The Company identified a single combined performance obligation for the discovery, research and development services during the collaboration term (the R&amp;D Services). As of June 30, 2024, the total transaction price of the Gilead Collaboration Agreement was determined to be $90.7 million. The Company will reevaluate the transaction price in each reporting period as uncertain events are resolved or other changes in circumstances occur.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transaction price is reflected as collaboration revenue when realized in the Company’s condensed consolidated statements of operations. The Company will recognize revenue over time using a cost-based input method over the initial non-cancellable term of three years since this method best reflects the transfer of services to Gilead. In applying a cost-based input method of revenue recognition, the Company uses actual costs incurred relative to estimated total costs to fulfill each performance obligation.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recognized collaboration revenue of $8.5 million and $14.3 million during the three and six months ended June 30, 2024. The transaction price for future collaborative activities was recorded as deferred revenue on the condensed consolidated balance sheet as of June 30, 2024, of which $33.1 million was short-term and $38.9 million was long-term. The reimbursable expenses incurred by the Company during the three months ended June 30, 2024 were insignificant. During the six months ended June 30, 2024, the Company incurred $0.2 million in reimbursable expenses due to Gilead.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presents changes in the Company’s contract liabilities (in thousands):</w:t>
      </w:r>
    </w:p>
    <w:tbl>
      <w:tblPr>
        <w:tblW w:w="9216" w:type="dxa"/>
        <w:jc w:val="left"/>
        <w:tblInd w:w="0" w:type="dxa"/>
        <w:tblLayout w:type="fixed"/>
        <w:tblCellMar>
          <w:top w:w="28" w:type="dxa"/>
          <w:left w:w="28" w:type="dxa"/>
          <w:bottom w:w="28" w:type="dxa"/>
          <w:right w:w="28" w:type="dxa"/>
        </w:tblCellMar>
      </w:tblPr>
      <w:tblGrid>
        <w:gridCol w:w="2866"/>
        <w:gridCol w:w="346"/>
        <w:gridCol w:w="211"/>
        <w:gridCol w:w="676"/>
        <w:gridCol w:w="346"/>
        <w:gridCol w:w="346"/>
        <w:gridCol w:w="301"/>
        <w:gridCol w:w="495"/>
        <w:gridCol w:w="346"/>
        <w:gridCol w:w="346"/>
        <w:gridCol w:w="211"/>
        <w:gridCol w:w="736"/>
        <w:gridCol w:w="366"/>
        <w:gridCol w:w="346"/>
        <w:gridCol w:w="211"/>
        <w:gridCol w:w="676"/>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w:t>
              <w:br/>
              <w:t>of Period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w:t>
              <w:b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Six Months Ended June 30, 2024</w:t>
            </w:r>
          </w:p>
        </w:tc>
        <w:tc>
          <w:tcPr>
            <w:tcW w:w="3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796" w:type="dxa"/>
            <w:gridSpan w:val="2"/>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left"/>
              <w:rPr/>
            </w:pPr>
            <w:r>
              <w:rPr/>
              <w:t> </w:t>
            </w:r>
          </w:p>
        </w:tc>
        <w:tc>
          <w:tcPr>
            <w:tcW w:w="36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left"/>
              <w:rPr/>
            </w:pPr>
            <w:r>
              <w:rPr/>
              <w:t> </w:t>
            </w:r>
          </w:p>
        </w:tc>
        <w:tc>
          <w:tcPr>
            <w:tcW w:w="887" w:type="dxa"/>
            <w:gridSpan w:val="2"/>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3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286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86,294</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3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5" w:type="dxa"/>
            <w:tcBorders/>
            <w:shd w:fill="CFF0FC" w:val="clear"/>
            <w:vAlign w:val="center"/>
          </w:tcPr>
          <w:p>
            <w:pPr>
              <w:pStyle w:val="TableContents"/>
              <w:bidi w:val="0"/>
              <w:spacing w:before="0" w:after="283"/>
              <w:jc w:val="right"/>
              <w:rPr>
                <w:color w:val="000000"/>
              </w:rPr>
            </w:pPr>
            <w:r>
              <w:rPr>
                <w:color w:val="000000"/>
              </w:rPr>
              <w:t>—</w:t>
            </w:r>
          </w:p>
        </w:tc>
        <w:tc>
          <w:tcPr>
            <w:tcW w:w="346" w:type="dxa"/>
            <w:tcBorders/>
            <w:shd w:fill="CFF0FC" w:val="clear"/>
            <w:vAlign w:val="center"/>
          </w:tcPr>
          <w:p>
            <w:pPr>
              <w:pStyle w:val="TableContents"/>
              <w:bidi w:val="0"/>
              <w:spacing w:before="0" w:after="283"/>
              <w:ind w:left="0" w:right="0" w:firstLine="200"/>
              <w:jc w:val="left"/>
              <w:rPr/>
            </w:pPr>
            <w:r>
              <w:rPr/>
              <w:t> </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w:t>
            </w:r>
          </w:p>
        </w:tc>
        <w:tc>
          <w:tcPr>
            <w:tcW w:w="366"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71,976</w:t>
            </w:r>
          </w:p>
        </w:tc>
        <w:tc>
          <w:tcPr>
            <w:tcW w:w="391" w:type="dxa"/>
            <w:tcBorders/>
            <w:shd w:fill="CFF0FC" w:val="cle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left"/>
              <w:rPr/>
            </w:pPr>
            <w:r>
              <w:rPr/>
              <w:t> </w:t>
            </w:r>
          </w:p>
        </w:tc>
        <w:tc>
          <w:tcPr>
            <w:tcW w:w="36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5324"/>
        <w:gridCol w:w="146"/>
        <w:gridCol w:w="286"/>
        <w:gridCol w:w="774"/>
        <w:gridCol w:w="197"/>
        <w:gridCol w:w="197"/>
        <w:gridCol w:w="286"/>
        <w:gridCol w:w="468"/>
        <w:gridCol w:w="146"/>
        <w:gridCol w:w="146"/>
        <w:gridCol w:w="247"/>
        <w:gridCol w:w="795"/>
        <w:gridCol w:w="171"/>
        <w:gridCol w:w="171"/>
        <w:gridCol w:w="247"/>
        <w:gridCol w:w="406"/>
        <w:gridCol w:w="198"/>
      </w:tblGrid>
      <w:tr>
        <w:trPr/>
        <w:tc>
          <w:tcPr>
            <w:tcW w:w="5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53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4"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2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Collaboration revenue recognized in the period from</w:t>
            </w:r>
          </w:p>
        </w:tc>
        <w:tc>
          <w:tcPr>
            <w:tcW w:w="146" w:type="dxa"/>
            <w:tcBorders/>
            <w:shd w:fill="CFF0FC" w:val="clear"/>
            <w:vAlign w:val="center"/>
          </w:tcPr>
          <w:p>
            <w:pPr>
              <w:pStyle w:val="TableContents"/>
              <w:bidi w:val="0"/>
              <w:spacing w:before="0" w:after="283"/>
              <w:jc w:val="left"/>
              <w:rPr/>
            </w:pPr>
            <w:r>
              <w:rPr/>
              <w:t> </w:t>
            </w:r>
          </w:p>
        </w:tc>
        <w:tc>
          <w:tcPr>
            <w:tcW w:w="1060"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754"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42" w:type="dxa"/>
            <w:gridSpan w:val="2"/>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653" w:type="dxa"/>
            <w:gridSpan w:val="2"/>
            <w:tcBorders/>
            <w:shd w:fill="CFF0FC" w:val="clear"/>
            <w:vAlign w:val="center"/>
          </w:tcPr>
          <w:p>
            <w:pPr>
              <w:pStyle w:val="TableContents"/>
              <w:bidi w:val="0"/>
              <w:spacing w:before="0" w:after="283"/>
              <w:jc w:val="left"/>
              <w:rPr/>
            </w:pPr>
            <w:r>
              <w:rPr/>
              <w:t> </w:t>
            </w:r>
          </w:p>
        </w:tc>
        <w:tc>
          <w:tcPr>
            <w:tcW w:w="198" w:type="dxa"/>
            <w:tcBorders/>
            <w:shd w:fill="CFF0FC" w:val="clear"/>
            <w:vAlign w:val="center"/>
          </w:tcPr>
          <w:p>
            <w:pPr>
              <w:pStyle w:val="TableContents"/>
              <w:bidi w:val="0"/>
              <w:spacing w:before="0" w:after="283"/>
              <w:jc w:val="left"/>
              <w:rPr/>
            </w:pPr>
            <w:r>
              <w:rPr/>
              <w:t> </w:t>
            </w:r>
          </w:p>
        </w:tc>
      </w:tr>
      <w:tr>
        <w:trPr/>
        <w:tc>
          <w:tcPr>
            <w:tcW w:w="532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deferred revenue at the beginning of the period</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w:t>
            </w:r>
          </w:p>
        </w:tc>
        <w:tc>
          <w:tcPr>
            <w:tcW w:w="197"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w:t>
            </w:r>
          </w:p>
        </w:tc>
        <w:tc>
          <w:tcPr>
            <w:tcW w:w="171"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6" w:type="dxa"/>
            <w:tcBorders/>
            <w:shd w:fill="FFFFFF" w:val="clear"/>
            <w:vAlign w:val="center"/>
          </w:tcPr>
          <w:p>
            <w:pPr>
              <w:pStyle w:val="TableContents"/>
              <w:bidi w:val="0"/>
              <w:spacing w:before="0" w:after="283"/>
              <w:jc w:val="right"/>
              <w:rPr>
                <w:color w:val="000000"/>
              </w:rPr>
            </w:pPr>
            <w:r>
              <w:rPr>
                <w:color w:val="000000"/>
              </w:rPr>
              <w:t>—</w:t>
            </w:r>
          </w:p>
        </w:tc>
        <w:tc>
          <w:tcPr>
            <w:tcW w:w="198" w:type="dxa"/>
            <w:tcBorders/>
            <w:shd w:fill="FFFFFF" w:val="clear"/>
            <w:vAlign w:val="center"/>
          </w:tcPr>
          <w:p>
            <w:pPr>
              <w:pStyle w:val="TableContents"/>
              <w:bidi w:val="0"/>
              <w:spacing w:before="0" w:after="283"/>
              <w:jc w:val="left"/>
              <w:rPr/>
            </w:pPr>
            <w:r>
              <w:rPr/>
              <w:t> </w:t>
            </w:r>
          </w:p>
        </w:tc>
      </w:tr>
      <w:tr>
        <w:trPr/>
        <w:tc>
          <w:tcPr>
            <w:tcW w:w="532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obligations satisfied in previous period</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4" w:type="dxa"/>
            <w:tcBorders/>
            <w:shd w:fill="CFF0FC" w:val="clear"/>
            <w:vAlign w:val="center"/>
          </w:tcPr>
          <w:p>
            <w:pPr>
              <w:pStyle w:val="TableContents"/>
              <w:bidi w:val="0"/>
              <w:spacing w:before="0" w:after="283"/>
              <w:jc w:val="right"/>
              <w:rPr>
                <w:color w:val="000000"/>
              </w:rPr>
            </w:pPr>
            <w:r>
              <w:rPr>
                <w:color w:val="000000"/>
              </w:rPr>
              <w:t>—</w:t>
            </w:r>
          </w:p>
        </w:tc>
        <w:tc>
          <w:tcPr>
            <w:tcW w:w="197"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CFF0FC" w:val="clear"/>
            <w:vAlign w:val="center"/>
          </w:tcPr>
          <w:p>
            <w:pPr>
              <w:pStyle w:val="TableContents"/>
              <w:bidi w:val="0"/>
              <w:spacing w:before="0" w:after="283"/>
              <w:jc w:val="right"/>
              <w:rPr>
                <w:color w:val="000000"/>
              </w:rPr>
            </w:pPr>
            <w:r>
              <w:rPr>
                <w:color w:val="000000"/>
              </w:rPr>
              <w:t>—</w:t>
            </w:r>
          </w:p>
        </w:tc>
        <w:tc>
          <w:tcPr>
            <w:tcW w:w="171" w:type="dxa"/>
            <w:tcBorders/>
            <w:shd w:fill="CFF0FC" w:val="clear"/>
            <w:vAlign w:val="center"/>
          </w:tcPr>
          <w:p>
            <w:pPr>
              <w:pStyle w:val="TableContents"/>
              <w:bidi w:val="0"/>
              <w:spacing w:before="0" w:after="283"/>
              <w:jc w:val="left"/>
              <w:rPr/>
            </w:pPr>
            <w:r>
              <w:rPr/>
              <w:t> </w:t>
            </w:r>
          </w:p>
        </w:tc>
        <w:tc>
          <w:tcPr>
            <w:tcW w:w="171"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6" w:type="dxa"/>
            <w:tcBorders/>
            <w:shd w:fill="CFF0FC" w:val="clear"/>
            <w:vAlign w:val="center"/>
          </w:tcPr>
          <w:p>
            <w:pPr>
              <w:pStyle w:val="TableContents"/>
              <w:bidi w:val="0"/>
              <w:spacing w:before="0" w:after="283"/>
              <w:jc w:val="right"/>
              <w:rPr>
                <w:color w:val="000000"/>
              </w:rPr>
            </w:pPr>
            <w:r>
              <w:rPr>
                <w:color w:val="000000"/>
              </w:rPr>
              <w:t>—</w:t>
            </w:r>
          </w:p>
        </w:tc>
        <w:tc>
          <w:tcPr>
            <w:tcW w:w="198" w:type="dxa"/>
            <w:tcBorders/>
            <w:shd w:fill="CFF0FC" w:val="cle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Arbutus Biopharma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August 2020, the Company and Arbutus Biopharma Corporation (Arbutus Biopharma) entered into a Clinical Trial Collaboration Agreement (the Arbutus Biopharma Agreement) to conduct a randomized, multi-center, open-label Phase 2 clinical trial to explore the safety, pharmacokinetics and antiviral activity of the triple combination of vebicorvir (VBR), AB-729 and a nucleos(t)ide analog reverse transcriptase inhibitor (NrtI) compared to the double combinations of VBR with a NrtI and AB-729 with a NrtI. Under the Arbutus Biopharma Agreement, Assembly and Arbutus Biopharma share responsibility for the costs of the trial equally, excluding manufacturing supply which are the burden of each company to supply their respective drugs, VBR and AB-729. Assembly is responsible for conducting this clinical trial with Arbutus Biopharma reimbursing Assembly its share of expenses. In February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Assembly and Arbutus Biopharma decided to terminate the Phase 2 clinical trial early, at the end of the 48-week on-treatment period, and are in the process of completing the final reconciliation of costs.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Reimbursements and cost-sharing portions from Arbutus Biopharma are reflected as a reduction of research and development expense when realized in the Company’s condensed consolidated statements of operations. There were no costs incurred under the Arbutus Biopharma Agreement during the three and six months ended June 30, 2024. During the three and six months ended June 30, 2023, the Company recognized a reduction of research and development expenses of $0.5 million and $1.1 million, respectively, under the Arbutus Biopharma Agreement.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Note 9 - Milestones and Research Agreements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HBV Research Agreement with Indiana University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September 2013, the Company was party to an exclusive License Agreement dated September 3, 2013 with Indiana University Research and Technology Corporation (IURTC) from whom it licensed aspects of the Company’s HBV program held by IURTC. The license agreement required the Company to make milestone payments based upon the successful accomplishment of clinical and regulatory milestones. The aggregate amount of all performance milestone payments under the IURTC license agreement, if all milestones through development were met, was $0.8 million, with a portion having been paid. The Company was obligated to pay IURTC royalty payments based on net sales of the licensed technology as well as a portion of any sublicensing revenue Assembly received. The Company was also required to pay diligence maintenance fees each year to the extent that the royalty, sublicensing, and milestone payments to IURTC were less than such fees for that year. In February 2024, following its decision to discontinue further development or partnering for ABI-H3733, the Company terminated the IURTC license agreement, which became effective April 2024. There were no fees paid to IURTC during the three months ended June 30, 2024 or 2023. The Company paid IURTC $0.1 million in diligence maintenance fees during both the six months ended June 30, 2024 and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The condensed consolidated financial statements and this Management’s Discussion and Analysis of Financial Condition and Results of Operations should be read in conjunction with the consolidated financial statements and notes thereto for the year ended December 31, 2023 and the related Management’s Discussion and Analysis of Financial Condition and Results of Operations, both of which are contained in our Annual Report on Form 10-K for the fiscal year ended December 31, 2023 filed with the U.S. Securities and Exchange Commission on March 28, 2024 (2023 Annual Report). In addition to historical information, this discussion and analysis contains forward-looking statements that involve risks and uncertainties. Our actual results could differ materially from those expressed or implied in any forward-looking statements as a result of various factors, including those set forth under “Part I. Item 1A. Risk Factors” in our 2023 Annual Report and “Part II. Item 1A. Risk Factors” in this report.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biotechnology company developing innovative therapeutics targeting serious viral diseases with the potential to improve the lives of patients worldwide. Our pipeline includes two helicase-primase inhibitors (HPI) for the treatment of recurrent genital herpes, an orally bioavailable hepatitis delta virus (HDV) entry inhibitor, a clinical stage capsid assembly modulator (CAM) designed to disrupt the replication cycle of hepatitis B virus (HBV) and research programs focused on a non-nucleoside polymerase inhibitor (NNPI) targeting transplant-related herpesviruses and a small molecule interferon-α (IFN-α) receptor (IFNAR) agonist targeting HBV and HDV.</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Clinical Programs and CTA-Enabling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second quarter of 2024, we initiated the Phase 1a portion of a Phase 1a/b study of ABI-5366 (5366), a long-acting HPI for recurrent genital herpes, and a Phase 1b study of ABI-4334 (4334), a highly potent, next-generation CAM for chronic HBV infection. By the end of 2024, we expect to initiate: the Phase 1b portion of the Phase 1a/b study of 5366; a Phase 1a study of ABI-6250 (6250), an orally bioavailable HDV entry inhibitor; and a Phase 1a study of ABI-1179 (1179), a long-acting HPI for recurrent genital herpes contributed by Gilead Sciences, Inc. (Gilead) through the Gilead Collaboration (as defined below).</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Recurrent Genital Herpes/HSV-1 and HSV-2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Genital herpes can be caused by either herpes simplex virus type 1 (HSV-1) or herpes simplex virus type 2 (HSV-2). HSV-1 and HSV-2 are acquired by oral or genital contact either during symptomatic or asymptomatic reactivation of the virus. Both viruses replicate in neurons, where they can remain latent for the rest of the patient’s life and periodically reactivate, with the virus spreading and replicating in epithelial tissues. Initial infection can be asymptomatic or can be marked by symptoms, including localized pain and painful lesions. Genital herpes recurrence is common and can cause painful genital lesions that can lead to increased transmission and debilitate patients, and symptoms may become more serious with additional episodes. Additional complications include increased risk of HIV infection, as well as associated psychological stress and isolationary thoughts, depression and suicidal ideation. Immunocompromised patients may experience more severe and prolonged symptoms due to increased recurrence rates. While genital herpes can be caused by either HSV-1 or HSV-2, recurrences are more likely to be experienced by patients infected by HSV-2.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HPIs are antiviral agents in development for HSV-1 and HSV-2, with a clinically-validated mechanism of action. HPIs inhibit the HSV helicase-primase complex, which is a unique viral enzyme complex without a human homolog, consisting of helicase, primase and cofactor subunits. These subunits have functions that are essential for viral DNA replication and are conserved across HSV-1 and HSV-2. Unlike nucleoside analogs, these compounds do not require phosphorylation by the HSV thymidine kinase (TK) and ongoing viral replication to become active drugs. As a result, HPIs are active immediately upon reactivation of latent HSV-1 and HSV-2. Furthermore, HPIs are active against TK-deficient HSV-1 and HSV-2, which is a major mechanism of resistance to nucleoside analogs.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Approximately 50% of individuals with initial symptomatic genital herpes infection have three or more recurrences per year, including over four million people in the United States and France, Germany, Italy and Spain (collectively, the EU4) and the United Kingdom (UK). Currently, there are three antiviral drugs (all nucleoside analogs) that have been approved in the United States and the EU4/UK for the treatment of genital herpes. However, no new drugs have been approved in these regions to treat genital herpes for more than 25 years. In addition to the approved nucleoside analogs, agents such as local anesthetics or analgesics may be used to alleviate local symptoms of minor pain and discomfort.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Nucleoside analogs can be administered as episodic therapy as individual outbreaks arise or daily as chronic suppressive therapy for those with high post-exposure recurrences. However, these agents are only partially effective at controlling the infection or reducing transmission risk. With current nucleoside analog therapies, only one out of three recurrent genital herpes patients with six or more recurrences per year are able to make it through a year of treatment without a recurrence. There are still high titer (greater than 10</w:t>
      </w:r>
      <w:r>
        <w:rPr>
          <w:rFonts w:ascii="Times New Roman" w:hAnsi="Times New Roman"/>
          <w:color w:val="000000"/>
          <w:sz w:val="13"/>
        </w:rPr>
        <w:t>4</w:t>
      </w:r>
      <w:r>
        <w:rPr>
          <w:rFonts w:ascii="Times New Roman" w:hAnsi="Times New Roman"/>
          <w:color w:val="000000"/>
          <w:sz w:val="20"/>
        </w:rPr>
        <w:t xml:space="preserve"> HSV-2 DNA copies/mL) shedding episodes under this current standard of care for recurrent genital herpes, which can lead to recurrent episodes and transmission of genital herpes.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Based on the limitations of current therapies, we see a path to advancing the treatment paradigm for patients suffering from recurrent genital herpes. To reach that goal, we identified an opportunity to develop a potent, long-acting HPI for recurrent genital herpes, 5366, which has demonstrated a strong nonclinical profile, with low nanomolar potency in vitro against both HSV-1 and HSV-2 clinical isolates, exceptionally low plasma clearance rates in multiple nonclinical models and a projected human half-life of more than seven days. This nonclinical profile has led us to target 5366 for development as a long-acting treatment with the potential to be administered orally.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date, 5366 has demonstrated a favorable nonclinical safety profile in Good Laboratory Practice (GLP) toxicology studies, with high safety margins and minimal potential for off-target effects. During the first quarter of 2024, we filed a CTA to support initiation of Phase 1a/b clinical studies, which was approved in April 2024, and we dosed our first participant in the Phase 1a portion of this study during the second quarter of 2024. We expect interim Phase 1a data in the third quarter of 2024, and we plan to initiate the Phase 1b portion of the study by the end of 2024, with interim data expected to be available during the first half of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5366, we are also advancing 1179, a structurally-differentiated HPI with single digit nanomolar potency against HSV-1 and HSV-2 and a nonclinical pharmacokinetics (PK) profile supportive of a potential long-acting treatment by oral administration. GLP toxicology studies are ongoing and clinical studies are expected to begin by the end of 2024. We acquired rights to 1179, Gilead’s HPI program, as part of the Gilead Collaboration in October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July 2024, we highlighted nonclinical data for both 5366 and 1179 at the International Herpesvirus Workshop through poster presentations for each, as well as an oral presentation for 1179.</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HBV and HDV</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World Health Organization (WHO) estimates that 254 million people worldwide are chronically infected with HBV as of 2022, and 1.2 million new infections occur each year. HBV is a leading global cause of chronic liver disease and liver transplants, and the WHO estimates that 1.1 million people died in 2022 from HBV, mostly due to cirrhosis and hepatocellular carcinoma. As of 2022, of the 254 million people living with chronic HBV infection, only approximately 33 million, or 13%, were aware of their infection, and only approximately 7 million, or 3%, of those diagnosed received treatment. HBV is a highly prevalent disease that infects almost three times the number of people infected with hepatitis C virus and HIV infections combined, according to the WHO.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current standard of care for chronic HBV infection, nucleos(t)ide analog reverse transcriptase inhibitors (NrtIs), are taken life-long and reduce, but do not eliminate, the virus and result in very low cure rates. No new mechanisms of action (MOA) have been approved for the treatment of chronic HBV infection in over 25 years. The focus of our HBV program is to improve outcomes and increase the number of patients diagnosed and treated through the development of finite and curative therapies targeting an orthogonal MOA.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HDV is a “satellite virus,” because it can only infect people (1) who are already infected with HBV or (2) at the same time as a person is infected with HBV. HDV affects a subset of approximately 12 to 72 million HBV infected people. These individuals infected with HDV, which comprise an estimated 4.5% of hepatitis B surface antigen (HBsAg) positive individuals, experience a substantially increased disease burden, as they account for 18% of cirrhosis and 20% of hepatocellular carcinoma associated with HBV. HDV is considered the most severe form of hepatitis, as 70% of individuals infected with HDV progress to cirrhosis within ten years. While HDV is less prevalent in the United States, it is a significant and serious health problem with inadequate treatment in many parts of Europe, Africa, the Middle East, East Asia and parts of South America. HDV may be significantly underdiagnosed, because there were no HDV-targeted therapies approved until very recently, and the first therapy approved is only approved in the European Union (EU). HDV is known to accelerate disease progression and increase the incidence of liver cirrhosis and liver cancer, which results in higher morbidity and mortality rates than HBV alone.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current standard of care treatment for HDV is off-label pegylated IFN-α injected weekly or, in some regions, a large, complex molecule that requires daily injections. There are no approved HDV treatments in the United States, and there is only one approved HDV treatment in the EU. We believe a safe and effective oral small molecule entry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inhibitor would be a significant innovation for patients living with HDV, which face a significant and immediate disease burden.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HDV Entry Inhibitor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HDV is a small RNA virus that encodes just two viral proteins and relies on host enzymes as well as the HBsAg from HBV to replicate, which limits the number of HDV-specific antiviral targets. Similar to HBV, HDV utilizes HBsAg to enter hepatocytes by binding the cellular transmembrane protein sodium taurocholate co-transporting peptide (NTCP). NTCP is highly expressed on human hepatocytes, where it serves as one of several proteins involved in the transport of bile acids. The binding of specific small or large molecules to NTCP has been shown to effectively inhibit the interaction of HBsAg with NTCP, which prevents HBV and HDV from infecting hepatocytes.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inhibition of HBV and HDV infection by molecules that bind NTCP has been demonstrated in vitro, in animal models and clinically. Notably, bulevirtide, a peptide blocker of NTCP, is the only approved therapy for HDV (approved in the EU). The binding of NTCP-targeted HBV/HDV entry inhibitors to NTCP has also been shown to inhibit the transport of certain bile acids into cells, which results in plasma elevations of bile acids; this effect has been well tolerated clinically and may serve as a biomarker of pharmacologically active concentrations of drug in the plasma.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a safe and effective oral small molecule entry inhibitor would be a significant innovation for patients living with HDV and could significantly improve treatment uptake and diagnosis rates, especially when compared with currently available injectable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2023, we nominated 6250, a novel, orally bioavailable small molecule approach to inhibit entry of HBV and HDV by targeting NTCP. In nonclinical studies, 6250 demonstrated low nanomolar potency against all tested HBV/HDV genotypes, favorable selectivity for NTCP versus other bile acid transporters, good oral bioavailability and a PK profile in nonclinical species projected to support once-daily oral dosing.</w:t>
      </w:r>
    </w:p>
    <w:p>
      <w:pPr>
        <w:pStyle w:val="TextBody"/>
        <w:bidi w:val="0"/>
        <w:spacing w:before="200" w:after="283"/>
        <w:jc w:val="both"/>
        <w:rPr>
          <w:rFonts w:ascii="Times New Roman" w:hAnsi="Times New Roman"/>
          <w:sz w:val="20"/>
        </w:rPr>
      </w:pPr>
      <w:r>
        <w:rPr>
          <w:rFonts w:ascii="Times New Roman" w:hAnsi="Times New Roman"/>
          <w:color w:val="000000"/>
          <w:sz w:val="20"/>
        </w:rPr>
        <w:t>At the European Association for the Study of the Liver's International Liver Congress</w:t>
      </w:r>
      <w:r>
        <w:rPr>
          <w:rFonts w:ascii="Times New Roman" w:hAnsi="Times New Roman"/>
          <w:color w:val="000000"/>
          <w:sz w:val="13"/>
        </w:rPr>
        <w:t>TM</w:t>
      </w:r>
      <w:r>
        <w:rPr>
          <w:rFonts w:ascii="Times New Roman" w:hAnsi="Times New Roman"/>
          <w:color w:val="000000"/>
          <w:sz w:val="20"/>
        </w:rPr>
        <w:t xml:space="preserve"> in June 2024, we presented nonclinical profiling of 6250. In addition, 6250 was featured in an oral presentation at the Science of HBV Cure Meeting 2024. We expect to initiate a Phase 1a clinical study of 6250 by the end of 2024.</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Capsid Assembly Modulator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HBV is a DNA virus that infects hepatocytes and establishes a reservoir of covalently closed circular DNA (cccDNA), a unique viral DNA moiety that resides in the nucleus of HBV-infected hepatocytes and is associated with viral persistence and chronic infection. No currently approved oral therapies target cccDNA activity directly, which makes molecules that can modulate cccDNA generation or disrupt its function highly sought after in the HBV field. As a result, we have worked to discover and develop compounds targeting the core protein, a viral protein involved in numerous aspects of the HBV replication cycle, including the generation of HBV cccDNA.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benchmark for therapeutic agents aiming to decrease cccDNA levels is the use of several key viral antigens as surrogate biomarkers of active cccDNA. The same biomarkers can be used in both primary human hepatocytes and infected individuals. On this basis, our next-generation CAM, 4334, has shown nonclinical proof of principle. In a variety of cell culture models, 4334 has demonstrated the ability to reduce production of HBV DNA levels as well as the surrogate markers for cccDNA establishment: HBV e antigen (HBeAg), HBV core-related antigen (HBcrAg) and HBV pre-genomic RNA (pgRNA).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next-generation CAM, 4334 has been optimized to potently disrupt viral replication (MOA #1) and prevent the establishment and replenishment of new cccDNA (MOA #2). In contrast, while active against MOA #1, first-generation CAMs have not demonstrated adequate potency to sufficiently block cccDNA formation (MOA #2). Further, the current standard of care, NrtIs, impacts the viral life cycle after establishment of cccDNA and can only inhibit production of new viral particles, and it does so incompletely. The chemical scaffold of 4334 is novel and distinct from all our prior CAM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believe that 4334 has a best-in-class nonclinical profile, with single-digit nanomolar potency against MOA #1 and MOA #2, pan-genotypic activity, an improved resistance profile and a favorable safety profile. Through mechanistic studies presented at multiple conferences, we have demonstrated that 4334 promotes the formation of empty capsids by acceleration of capsid assembly, prevents the formation of cccDNA by disrupting incoming capsids, and prematurely disrupts capsids containing duplex linear DNA, the precursor for integrated HBV DNA.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Phase 1a study demonstrated that 4334 was well tolerated when administered orally as single or multiple doses. In addition, the PK data support 4334 as a once daily oral therapy and predicts best in class activity against both MOA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 and MOA #2. During the second quarter of 2024, we dosed our first participant in a Phase 1b clinical study of 4334.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Research Programs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Transplant-Associated Herpesviruses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2022, in connection with our announcement of our HPI program, we also introduced our NNPI research program, targeting transplant-associated herpesviruses. In a transplant setting, when people are experiencing immunosuppression, they are at high risk of uncontrolled viral replication and severe disease brought on by one or more herpesviruses, including cytomegalovirus (CMV), HSV-1, HSV-2 and varicella zoster virus (VZV). Each of these herpesviruses are highly prevalent, as approximately (1) 60% of people receiving transplants are CMV-positive; (2) 60% of people receiving transplants are HSV-positive; and (3) 80% of people receiving transplants are VZV-positive. These viruses establish lifelong latent infections and frequently reactivate in people receiving transplants due to the use of immunosuppressive drugs following the transplant. These uncontrolled viral infections increase the risk of severe disease and serious complications, including organ rejection, graft loss and death, and impacted approximately 95,000 people receiving transplants in 2021 in the United States and Europe.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While there are approved antivirals that are administered in a transplant setting, currently approved antivirals are not broad spectrum and pose the risk of potentially serious side effects and drug-drug interactions. As a result of these limitations, we identified an opportunity to develop a potent oral pan-herpes NNPI for these transplant-associated herpesvirus infections, which could greatly advance treatment. Our research team has discovered multiple chemical series of potent, broad-spectrum herpesvirus NNPIs. In addition, Gilead exclusively licensed us its NNPI program, and we believe the combined effort will accelerate candidate nomination and enhance our chance of clinical success.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IFNAR Agonist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July 2022, we introduced our research program advancing a novel, small molecule IFNAR agonist designed to selectively activate the IFN-α pathway within the liver and offer the convenience of oral dosing. IFN-α is a subcutaneous injectable immune modulatory therapy approved for HBV that has demonstrated functional cure in some HBV infected people, but its poor tolerability profile significantly limits its use. Substantial side effects include flu-like symptoms, cytopenias, serious depression and psychiatric effects. In addition, multiple contraindications limit its use, and it requires weekly injections that result in systemic exposure for up to a year.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By focusing exposure on the liver, our investigational IFNAR agonist program aims to engage IFN-α’s validated antiviral and immune modulatory mechanisms, retaining the efficacy of IFN-α while reducing systemic exposure to improve tolerability. Lead optimization of multiple IFNAR agonists is in progress.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Gilead Collaboration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On October 15, 2023, we entered into an Option, License and Collaboration agreement (the Gilead Collaboration Agreement) with Gilead pursuant to which Gilead (1) exclusively licensed to us its HPI program and its NNPI program, while retaining opt-in rights to these programs and (2) has an option to take an exclusive license, on a program-by-program basis, to all of our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 Pursuant to the Gilead Collaboration Agreement, Gilead made an $84.8 million upfront cash payment to us.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Gilead exercises its opt-in right to any current or future program under the collaboration, we are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of our programs, we may opt in to cover 40% of the research and development costs in the United States and share 40% of the profits and operating loss in the United States for products within the program in lieu of receiving milestones and royalties for that program in the United States, unless we later opt out of the cost/profit share for the program. Prior to Gilead’s potential exercise of its opt-in, we will be primarily responsible for all discovery, research and development on both our programs 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years of the collaboration.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Gilead Collaboration Agreement is subject to termination by either party for the other party’s uncured, material breach or insolvency. Subject to certain limitations, we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and Gilead also entered into a Common Stock Purchase Agreement and an Investor Rights Agreement (together, the Gilead Equity Agreements), which were both amended in June 2024 in connection with a financing transaction (the 2024 Financing Transaction). Pursuant to the Gilead Equity Agreements, Gilead made an upfront equity investment of $15.2 million by purchasing from us 1,089,472 shares of our common stock at a purchase price of $13.92 per share. If we complete an equity financing (or series of financings) by October 15, 2024 that results in at least $30 million of proceeds to us, then, subject to approval by our stockholders (which was obtained on January 31, 2024), we may require Gilead to purchase additional shares of common stock from us in an amount that results in Gilead owning 29.9% of our then-outstanding voting capital stock. If we do not complete the equity financing or do not require Gilead to purchase the additional shares, Gilead may elect to purchase additional shares of common stock from us in an amount that results in Gilead owning 29.9% of our then-outstanding voting capital stock. The purchase price per share for additional shares purchased by Gilead will be equal to the lesser of (1) a 35% premium to the 30-day volume weighted average price immediately prior to the date of purchase or (2) a 35% premium to the 30-day volume weighted average price immediately prior to delivery by Gilead of notice of the anticipated closing date. The Gilead Equity Agreements also include a three-year standstill provision and a two-year lockup provision, each with customary exceptions, and provide Gilead with certain other stock purchase rights and registration rights, as well as the right to designate two directors (or, alternatively, board observers at Gilead’s election) to our board of directors. In December 2023, Gilead designated Tomas Cihlar, Ph.D. to serve on our board of directors, and in March 2024, Gilead designated Robert D. Cook II to serve on our board of directors.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part of the 2024 Financing Transaction, we and Gilead entered into a Securities Purchase Agreement for the issuance and sale, in a private placement, of 179,500 shares of our common stock and a warrant to purchase up to 179,500 shares of our common stock. The common stock and warrant were sold to Gilead pursuant to the terms of the Investor Rights Agreement. The warrant sold to Gilead has an exercise price equal to $17.00 per share, became immediately exercisable on the date of issuance and will expire on June 18, 2029. Neither Gilead nor its affiliates may exercise any portion of the warrant to the extent that Gilead would own more than 19.9% of the number of our shares of common stock outstanding immediately after giving effect to such exercise.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currently have corporate and administrative offices and research laboratory space in South San Francisco, California.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licensing our product candidates, discovering and developing our product candidates, maintaining and improving our patent portfolio and raising capital.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generated significant losses to date, and we expect to continue to generate losses as we develop our product candidates. As of June 30, 2024, we had an accumulated deficit of $806.0 million. Because we do not generate revenue from any of our product candidates, our losses will continue as we further develop and seek regulatory approval for, and commercialize, our product candidates. Additionally, we expect our research and development expenses to increase over the next few years due to the Gilead Collaboration Agreement. As a result, our operating losses are likely to be substantial over the next several years as we continue the development of our product candidates and thereafter if none are approved or successfully launched. We are unable to predict the extent of any future losses or when we will become profitable, if at all.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is based on our condensed consolidated financial statements, which have been prepared in accordance with accounting principles generally accepted in the United States (U.S. GAAP). The preparation of these financial statements requires us to make estimates and assumptions that affect the reported amounts of assets, liabilities, revenues and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critical accounting policies and significant estimates are detailed in our 2023 Annual Report. Our critical accounting policies and significant estimates have not changed from those previously disclosed in our 2023 Annual Report.</w:t>
      </w:r>
    </w:p>
    <w:p>
      <w:pPr>
        <w:pStyle w:val="TextBody"/>
        <w:bidi w:val="0"/>
        <w:spacing w:before="200" w:after="283"/>
        <w:jc w:val="both"/>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Comparison of the Three Months Ended June 30, 2024 and 2023</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collaboration revenue (in thousands, except for percentages):</w:t>
      </w:r>
    </w:p>
    <w:tbl>
      <w:tblPr>
        <w:tblW w:w="7480" w:type="dxa"/>
        <w:jc w:val="left"/>
        <w:tblInd w:w="0" w:type="dxa"/>
        <w:tblLayout w:type="fixed"/>
        <w:tblCellMar>
          <w:top w:w="28" w:type="dxa"/>
          <w:left w:w="28" w:type="dxa"/>
          <w:bottom w:w="28" w:type="dxa"/>
          <w:right w:w="28" w:type="dxa"/>
        </w:tblCellMar>
      </w:tblPr>
      <w:tblGrid>
        <w:gridCol w:w="1951"/>
        <w:gridCol w:w="146"/>
        <w:gridCol w:w="293"/>
        <w:gridCol w:w="793"/>
        <w:gridCol w:w="202"/>
        <w:gridCol w:w="202"/>
        <w:gridCol w:w="293"/>
        <w:gridCol w:w="480"/>
        <w:gridCol w:w="146"/>
        <w:gridCol w:w="146"/>
        <w:gridCol w:w="298"/>
        <w:gridCol w:w="812"/>
        <w:gridCol w:w="146"/>
        <w:gridCol w:w="146"/>
        <w:gridCol w:w="285"/>
        <w:gridCol w:w="825"/>
        <w:gridCol w:w="3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vAlign w:val="center"/>
          </w:tcPr>
          <w:p>
            <w:pPr>
              <w:pStyle w:val="TableContents"/>
              <w:bidi w:val="0"/>
              <w:spacing w:before="0" w:after="283"/>
              <w:jc w:val="center"/>
              <w:rPr/>
            </w:pPr>
            <w:r>
              <w:rPr/>
              <w:t> </w:t>
            </w:r>
          </w:p>
        </w:tc>
      </w:tr>
      <w:tr>
        <w:trPr/>
        <w:tc>
          <w:tcPr>
            <w:tcW w:w="19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w:t>
            </w:r>
          </w:p>
        </w:tc>
        <w:tc>
          <w:tcPr>
            <w:tcW w:w="202" w:type="dxa"/>
            <w:tcBorders/>
            <w:shd w:fill="CCECFF" w:val="clear"/>
            <w:vAlign w:val="center"/>
          </w:tcPr>
          <w:p>
            <w:pPr>
              <w:pStyle w:val="TableContents"/>
              <w:bidi w:val="0"/>
              <w:spacing w:before="0" w:after="283"/>
              <w:jc w:val="left"/>
              <w:rPr/>
            </w:pPr>
            <w:r>
              <w:rPr/>
              <w:t> </w:t>
            </w:r>
          </w:p>
        </w:tc>
        <w:tc>
          <w:tcPr>
            <w:tcW w:w="202" w:type="dxa"/>
            <w:tcBorders/>
            <w:shd w:fill="CCECFF" w:val="clear"/>
            <w:vAlign w:val="center"/>
          </w:tcPr>
          <w:p>
            <w:pPr>
              <w:pStyle w:val="TableContents"/>
              <w:bidi w:val="0"/>
              <w:spacing w:before="0" w:after="283"/>
              <w:jc w:val="left"/>
              <w:rPr/>
            </w:pPr>
            <w:r>
              <w:rPr/>
              <w:t> </w:t>
            </w:r>
          </w:p>
        </w:tc>
        <w:tc>
          <w:tcPr>
            <w:tcW w:w="293"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0"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8"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85"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 xml:space="preserve">Collaboration revenue for the three months ended June 30, 2024 includes the recognition of $8.5 million under the Gilead Collaboration Agreement entered into in October 2023. There was no revenue for the three months ended June 30, 2023.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 xml:space="preserve">Research and development expenses consist primarily of employee-related expenses, fees paid to contract research organizations and contract manufacturing organizations, lab supplies and other third-party expenses that support our research and discovery, nonclinical and clinical activities. External costs represent a significant portion of our research and development expenses, which we track on a program-by-program basis following the nomination of a development candidate. We use our employee and infrastructure resources, as well as certain third-party costs, across multiple research and development programs, and we do not specifically allocate these costs to our programs.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 xml:space="preserve">The following table summarizes the period-over-period changes in our research and development expenses (in thousands, except for percentages): </w:t>
      </w:r>
    </w:p>
    <w:tbl>
      <w:tblPr>
        <w:tblW w:w="9366" w:type="dxa"/>
        <w:jc w:val="left"/>
        <w:tblInd w:w="0" w:type="dxa"/>
        <w:tblLayout w:type="fixed"/>
        <w:tblCellMar>
          <w:top w:w="28" w:type="dxa"/>
          <w:left w:w="28" w:type="dxa"/>
          <w:bottom w:w="28" w:type="dxa"/>
          <w:right w:w="28" w:type="dxa"/>
        </w:tblCellMar>
      </w:tblPr>
      <w:tblGrid>
        <w:gridCol w:w="3556"/>
        <w:gridCol w:w="146"/>
        <w:gridCol w:w="231"/>
        <w:gridCol w:w="741"/>
        <w:gridCol w:w="160"/>
        <w:gridCol w:w="160"/>
        <w:gridCol w:w="231"/>
        <w:gridCol w:w="741"/>
        <w:gridCol w:w="146"/>
        <w:gridCol w:w="146"/>
        <w:gridCol w:w="298"/>
        <w:gridCol w:w="812"/>
        <w:gridCol w:w="166"/>
        <w:gridCol w:w="146"/>
        <w:gridCol w:w="257"/>
        <w:gridCol w:w="853"/>
        <w:gridCol w:w="576"/>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shd w:fill="FFFFFF" w:val="cle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CECFF" w:val="clear"/>
            <w:vAlign w:val="center"/>
          </w:tcPr>
          <w:p>
            <w:pPr>
              <w:pStyle w:val="TableContents"/>
              <w:bidi w:val="0"/>
              <w:spacing w:before="0" w:after="283"/>
              <w:jc w:val="left"/>
              <w:rPr/>
            </w:pPr>
            <w:r>
              <w:rPr/>
              <w:t> </w:t>
            </w:r>
          </w:p>
        </w:tc>
        <w:tc>
          <w:tcPr>
            <w:tcW w:w="972" w:type="dxa"/>
            <w:gridSpan w:val="2"/>
            <w:tcBorders/>
            <w:shd w:fill="CCECFF" w:val="clear"/>
            <w:vAlign w:val="center"/>
          </w:tcPr>
          <w:p>
            <w:pPr>
              <w:pStyle w:val="TableContents"/>
              <w:bidi w:val="0"/>
              <w:spacing w:before="0" w:after="283"/>
              <w:jc w:val="right"/>
              <w:rPr/>
            </w:pPr>
            <w:r>
              <w:rPr/>
              <w:t> </w:t>
            </w:r>
          </w:p>
        </w:tc>
        <w:tc>
          <w:tcPr>
            <w:tcW w:w="160" w:type="dxa"/>
            <w:tcBorders/>
            <w:shd w:fill="CCECFF" w:val="clear"/>
            <w:vAlign w:val="center"/>
          </w:tcPr>
          <w:p>
            <w:pPr>
              <w:pStyle w:val="TableContents"/>
              <w:bidi w:val="0"/>
              <w:spacing w:before="0" w:after="283"/>
              <w:jc w:val="right"/>
              <w:rPr/>
            </w:pPr>
            <w:r>
              <w:rPr/>
              <w:t> </w:t>
            </w:r>
          </w:p>
        </w:tc>
        <w:tc>
          <w:tcPr>
            <w:tcW w:w="160" w:type="dxa"/>
            <w:tcBorders/>
            <w:shd w:fill="CCECFF" w:val="clear"/>
            <w:vAlign w:val="center"/>
          </w:tcPr>
          <w:p>
            <w:pPr>
              <w:pStyle w:val="TableContents"/>
              <w:bidi w:val="0"/>
              <w:spacing w:before="0" w:after="283"/>
              <w:jc w:val="left"/>
              <w:rPr/>
            </w:pPr>
            <w:r>
              <w:rPr/>
              <w:t> </w:t>
            </w:r>
          </w:p>
        </w:tc>
        <w:tc>
          <w:tcPr>
            <w:tcW w:w="972"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110"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110" w:type="dxa"/>
            <w:gridSpan w:val="2"/>
            <w:tcBorders/>
            <w:shd w:fill="CCECFF" w:val="clear"/>
            <w:vAlign w:val="center"/>
          </w:tcPr>
          <w:p>
            <w:pPr>
              <w:pStyle w:val="TableContents"/>
              <w:bidi w:val="0"/>
              <w:spacing w:before="0" w:after="283"/>
              <w:jc w:val="right"/>
              <w:rPr/>
            </w:pPr>
            <w:r>
              <w:rPr/>
              <w:t> </w:t>
            </w:r>
          </w:p>
        </w:tc>
        <w:tc>
          <w:tcPr>
            <w:tcW w:w="576" w:type="dxa"/>
            <w:tcBorders/>
            <w:shd w:fill="CCECFF" w:val="clear"/>
            <w:vAlign w:val="center"/>
          </w:tcPr>
          <w:p>
            <w:pPr>
              <w:pStyle w:val="TableContents"/>
              <w:bidi w:val="0"/>
              <w:spacing w:before="0" w:after="283"/>
              <w:ind w:left="0" w:right="0" w:firstLine="200"/>
              <w:jc w:val="right"/>
              <w:rPr/>
            </w:pPr>
            <w:r>
              <w:rPr/>
              <w:t> </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6250</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discovery</w:t>
            </w:r>
          </w:p>
        </w:tc>
        <w:tc>
          <w:tcPr>
            <w:tcW w:w="146" w:type="dxa"/>
            <w:tcBorders/>
            <w:shd w:fill="CCECFF" w:val="clear"/>
            <w:vAlign w:val="center"/>
          </w:tcPr>
          <w:p>
            <w:pPr>
              <w:pStyle w:val="TableContents"/>
              <w:bidi w:val="0"/>
              <w:spacing w:before="0" w:after="283"/>
              <w:jc w:val="left"/>
              <w:rPr/>
            </w:pPr>
            <w:r>
              <w:rPr/>
              <w:t> </w:t>
            </w:r>
          </w:p>
        </w:tc>
        <w:tc>
          <w:tcPr>
            <w:tcW w:w="231" w:type="dxa"/>
            <w:tcBorders/>
            <w:shd w:fill="CCECFF" w:val="clear"/>
            <w:vAlign w:val="center"/>
          </w:tcPr>
          <w:p>
            <w:pPr>
              <w:pStyle w:val="TableContents"/>
              <w:bidi w:val="0"/>
              <w:spacing w:before="0" w:after="283"/>
              <w:jc w:val="left"/>
              <w:rPr/>
            </w:pPr>
            <w:r>
              <w:rPr/>
              <w:t> </w:t>
            </w:r>
          </w:p>
        </w:tc>
        <w:tc>
          <w:tcPr>
            <w:tcW w:w="7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2,123</w:t>
            </w:r>
          </w:p>
        </w:tc>
        <w:tc>
          <w:tcPr>
            <w:tcW w:w="160"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231" w:type="dxa"/>
            <w:tcBorders/>
            <w:shd w:fill="CCECFF" w:val="clear"/>
            <w:vAlign w:val="center"/>
          </w:tcPr>
          <w:p>
            <w:pPr>
              <w:pStyle w:val="TableContents"/>
              <w:bidi w:val="0"/>
              <w:spacing w:before="0" w:after="283"/>
              <w:jc w:val="left"/>
              <w:rPr/>
            </w:pPr>
            <w:r>
              <w:rPr/>
              <w:t> </w:t>
            </w:r>
          </w:p>
        </w:tc>
        <w:tc>
          <w:tcPr>
            <w:tcW w:w="7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8" w:type="dxa"/>
            <w:tcBorders/>
            <w:shd w:fill="CCECFF" w:val="clear"/>
            <w:vAlign w:val="center"/>
          </w:tcPr>
          <w:p>
            <w:pPr>
              <w:pStyle w:val="TableContents"/>
              <w:bidi w:val="0"/>
              <w:spacing w:before="0" w:after="283"/>
              <w:jc w:val="left"/>
              <w:rPr/>
            </w:pPr>
            <w:r>
              <w:rPr/>
              <w:t> </w:t>
            </w:r>
          </w:p>
        </w:tc>
        <w:tc>
          <w:tcPr>
            <w:tcW w:w="81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right"/>
              <w:rPr/>
            </w:pPr>
            <w:r>
              <w:rPr/>
              <w:t> </w:t>
            </w:r>
          </w:p>
        </w:tc>
        <w:tc>
          <w:tcPr>
            <w:tcW w:w="257" w:type="dxa"/>
            <w:tcBorders/>
            <w:shd w:fill="CCECFF" w:val="clear"/>
            <w:vAlign w:val="center"/>
          </w:tcPr>
          <w:p>
            <w:pPr>
              <w:pStyle w:val="TableContents"/>
              <w:bidi w:val="0"/>
              <w:spacing w:before="0" w:after="283"/>
              <w:jc w:val="left"/>
              <w:rPr/>
            </w:pPr>
            <w:r>
              <w:rPr/>
              <w:t> </w:t>
            </w:r>
          </w:p>
        </w:tc>
        <w:tc>
          <w:tcPr>
            <w:tcW w:w="85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576"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1179</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5366</w:t>
            </w:r>
          </w:p>
        </w:tc>
        <w:tc>
          <w:tcPr>
            <w:tcW w:w="146" w:type="dxa"/>
            <w:tcBorders/>
            <w:shd w:fill="CCECFF" w:val="clear"/>
            <w:vAlign w:val="center"/>
          </w:tcPr>
          <w:p>
            <w:pPr>
              <w:pStyle w:val="TableContents"/>
              <w:bidi w:val="0"/>
              <w:spacing w:before="0" w:after="283"/>
              <w:jc w:val="left"/>
              <w:rPr/>
            </w:pPr>
            <w:r>
              <w:rPr/>
              <w:t> </w:t>
            </w:r>
          </w:p>
        </w:tc>
        <w:tc>
          <w:tcPr>
            <w:tcW w:w="231" w:type="dxa"/>
            <w:tcBorders/>
            <w:shd w:fill="CCECFF" w:val="clear"/>
            <w:vAlign w:val="center"/>
          </w:tcPr>
          <w:p>
            <w:pPr>
              <w:pStyle w:val="TableContents"/>
              <w:bidi w:val="0"/>
              <w:spacing w:before="0" w:after="283"/>
              <w:jc w:val="left"/>
              <w:rPr/>
            </w:pPr>
            <w:r>
              <w:rPr/>
              <w:t> </w:t>
            </w:r>
          </w:p>
        </w:tc>
        <w:tc>
          <w:tcPr>
            <w:tcW w:w="7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160"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231" w:type="dxa"/>
            <w:tcBorders/>
            <w:shd w:fill="CCECFF" w:val="clear"/>
            <w:vAlign w:val="center"/>
          </w:tcPr>
          <w:p>
            <w:pPr>
              <w:pStyle w:val="TableContents"/>
              <w:bidi w:val="0"/>
              <w:spacing w:before="0" w:after="283"/>
              <w:jc w:val="left"/>
              <w:rPr/>
            </w:pPr>
            <w:r>
              <w:rPr/>
              <w:t> </w:t>
            </w:r>
          </w:p>
        </w:tc>
        <w:tc>
          <w:tcPr>
            <w:tcW w:w="7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8" w:type="dxa"/>
            <w:tcBorders/>
            <w:shd w:fill="CCECFF" w:val="clear"/>
            <w:vAlign w:val="center"/>
          </w:tcPr>
          <w:p>
            <w:pPr>
              <w:pStyle w:val="TableContents"/>
              <w:bidi w:val="0"/>
              <w:spacing w:before="0" w:after="283"/>
              <w:jc w:val="left"/>
              <w:rPr/>
            </w:pPr>
            <w:r>
              <w:rPr/>
              <w:t> </w:t>
            </w:r>
          </w:p>
        </w:tc>
        <w:tc>
          <w:tcPr>
            <w:tcW w:w="81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57" w:type="dxa"/>
            <w:tcBorders/>
            <w:shd w:fill="CCECFF" w:val="clear"/>
            <w:vAlign w:val="center"/>
          </w:tcPr>
          <w:p>
            <w:pPr>
              <w:pStyle w:val="TableContents"/>
              <w:bidi w:val="0"/>
              <w:spacing w:before="0" w:after="283"/>
              <w:jc w:val="left"/>
              <w:rPr/>
            </w:pPr>
            <w:r>
              <w:rPr/>
              <w:t> </w:t>
            </w:r>
          </w:p>
        </w:tc>
        <w:tc>
          <w:tcPr>
            <w:tcW w:w="85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576"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4334</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ABI-H3733 (3733)</w:t>
            </w:r>
          </w:p>
        </w:tc>
        <w:tc>
          <w:tcPr>
            <w:tcW w:w="146" w:type="dxa"/>
            <w:tcBorders/>
            <w:shd w:fill="CCECFF" w:val="clear"/>
            <w:vAlign w:val="center"/>
          </w:tcPr>
          <w:p>
            <w:pPr>
              <w:pStyle w:val="TableContents"/>
              <w:bidi w:val="0"/>
              <w:spacing w:before="0" w:after="283"/>
              <w:jc w:val="left"/>
              <w:rPr/>
            </w:pPr>
            <w:r>
              <w:rPr/>
              <w:t> </w:t>
            </w:r>
          </w:p>
        </w:tc>
        <w:tc>
          <w:tcPr>
            <w:tcW w:w="231" w:type="dxa"/>
            <w:tcBorders/>
            <w:shd w:fill="CCECFF" w:val="clear"/>
            <w:vAlign w:val="center"/>
          </w:tcPr>
          <w:p>
            <w:pPr>
              <w:pStyle w:val="TableContents"/>
              <w:bidi w:val="0"/>
              <w:spacing w:before="0" w:after="283"/>
              <w:jc w:val="left"/>
              <w:rPr/>
            </w:pPr>
            <w:r>
              <w:rPr/>
              <w:t> </w:t>
            </w:r>
          </w:p>
        </w:tc>
        <w:tc>
          <w:tcPr>
            <w:tcW w:w="741" w:type="dxa"/>
            <w:tcBorders/>
            <w:shd w:fill="CCECFF" w:val="clear"/>
            <w:vAlign w:val="center"/>
          </w:tcPr>
          <w:p>
            <w:pPr>
              <w:pStyle w:val="TableContents"/>
              <w:bidi w:val="0"/>
              <w:spacing w:before="0" w:after="283"/>
              <w:jc w:val="right"/>
              <w:rPr>
                <w:color w:val="000000"/>
              </w:rPr>
            </w:pPr>
            <w:r>
              <w:rPr>
                <w:color w:val="000000"/>
              </w:rPr>
              <w:t>—</w:t>
            </w:r>
          </w:p>
        </w:tc>
        <w:tc>
          <w:tcPr>
            <w:tcW w:w="160"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231" w:type="dxa"/>
            <w:tcBorders/>
            <w:shd w:fill="CCECFF" w:val="clear"/>
            <w:vAlign w:val="center"/>
          </w:tcPr>
          <w:p>
            <w:pPr>
              <w:pStyle w:val="TableContents"/>
              <w:bidi w:val="0"/>
              <w:spacing w:before="0" w:after="283"/>
              <w:jc w:val="left"/>
              <w:rPr/>
            </w:pPr>
            <w:r>
              <w:rPr/>
              <w:t> </w:t>
            </w:r>
          </w:p>
        </w:tc>
        <w:tc>
          <w:tcPr>
            <w:tcW w:w="7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8" w:type="dxa"/>
            <w:tcBorders/>
            <w:shd w:fill="CCECFF" w:val="clear"/>
            <w:vAlign w:val="center"/>
          </w:tcPr>
          <w:p>
            <w:pPr>
              <w:pStyle w:val="TableContents"/>
              <w:bidi w:val="0"/>
              <w:spacing w:before="0" w:after="283"/>
              <w:jc w:val="left"/>
              <w:rPr/>
            </w:pPr>
            <w:r>
              <w:rPr/>
              <w:t> </w:t>
            </w:r>
          </w:p>
        </w:tc>
        <w:tc>
          <w:tcPr>
            <w:tcW w:w="81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right"/>
              <w:rPr/>
            </w:pPr>
            <w:r>
              <w:rPr/>
              <w:t> </w:t>
            </w:r>
          </w:p>
        </w:tc>
        <w:tc>
          <w:tcPr>
            <w:tcW w:w="257" w:type="dxa"/>
            <w:tcBorders/>
            <w:shd w:fill="CCECFF" w:val="clear"/>
            <w:vAlign w:val="center"/>
          </w:tcPr>
          <w:p>
            <w:pPr>
              <w:pStyle w:val="TableContents"/>
              <w:bidi w:val="0"/>
              <w:spacing w:before="0" w:after="283"/>
              <w:jc w:val="left"/>
              <w:rPr/>
            </w:pPr>
            <w:r>
              <w:rPr/>
              <w:t> </w:t>
            </w:r>
          </w:p>
        </w:tc>
        <w:tc>
          <w:tcPr>
            <w:tcW w:w="85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Vebicorvir (VBR)</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expenses</w:t>
            </w:r>
          </w:p>
        </w:tc>
        <w:tc>
          <w:tcPr>
            <w:tcW w:w="146" w:type="dxa"/>
            <w:tcBorders/>
            <w:shd w:fill="CCECFF" w:val="clear"/>
            <w:vAlign w:val="center"/>
          </w:tcPr>
          <w:p>
            <w:pPr>
              <w:pStyle w:val="TableContents"/>
              <w:bidi w:val="0"/>
              <w:spacing w:before="0" w:after="283"/>
              <w:jc w:val="left"/>
              <w:rPr/>
            </w:pPr>
            <w:r>
              <w:rPr/>
              <w:t> </w:t>
            </w:r>
          </w:p>
        </w:tc>
        <w:tc>
          <w:tcPr>
            <w:tcW w:w="231" w:type="dxa"/>
            <w:tcBorders/>
            <w:shd w:fill="CCECFF" w:val="clear"/>
            <w:vAlign w:val="center"/>
          </w:tcPr>
          <w:p>
            <w:pPr>
              <w:pStyle w:val="TableContents"/>
              <w:bidi w:val="0"/>
              <w:spacing w:before="0" w:after="283"/>
              <w:jc w:val="left"/>
              <w:rPr/>
            </w:pPr>
            <w:r>
              <w:rPr/>
              <w:t> </w:t>
            </w:r>
          </w:p>
        </w:tc>
        <w:tc>
          <w:tcPr>
            <w:tcW w:w="7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9,299</w:t>
            </w:r>
          </w:p>
        </w:tc>
        <w:tc>
          <w:tcPr>
            <w:tcW w:w="160" w:type="dxa"/>
            <w:tcBorders/>
            <w:shd w:fill="CCECFF" w:val="clear"/>
            <w:vAlign w:val="center"/>
          </w:tcPr>
          <w:p>
            <w:pPr>
              <w:pStyle w:val="TableContents"/>
              <w:bidi w:val="0"/>
              <w:spacing w:before="0" w:after="283"/>
              <w:jc w:val="left"/>
              <w:rPr/>
            </w:pPr>
            <w:r>
              <w:rPr/>
              <w:t> </w:t>
            </w:r>
          </w:p>
        </w:tc>
        <w:tc>
          <w:tcPr>
            <w:tcW w:w="160" w:type="dxa"/>
            <w:tcBorders/>
            <w:shd w:fill="CCECFF" w:val="clear"/>
            <w:vAlign w:val="center"/>
          </w:tcPr>
          <w:p>
            <w:pPr>
              <w:pStyle w:val="TableContents"/>
              <w:bidi w:val="0"/>
              <w:spacing w:before="0" w:after="283"/>
              <w:jc w:val="left"/>
              <w:rPr/>
            </w:pPr>
            <w:r>
              <w:rPr/>
              <w:t> </w:t>
            </w:r>
          </w:p>
        </w:tc>
        <w:tc>
          <w:tcPr>
            <w:tcW w:w="231" w:type="dxa"/>
            <w:tcBorders/>
            <w:shd w:fill="CCECFF" w:val="clear"/>
            <w:vAlign w:val="center"/>
          </w:tcPr>
          <w:p>
            <w:pPr>
              <w:pStyle w:val="TableContents"/>
              <w:bidi w:val="0"/>
              <w:spacing w:before="0" w:after="283"/>
              <w:jc w:val="left"/>
              <w:rPr/>
            </w:pPr>
            <w:r>
              <w:rPr/>
              <w:t> </w:t>
            </w:r>
          </w:p>
        </w:tc>
        <w:tc>
          <w:tcPr>
            <w:tcW w:w="7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8" w:type="dxa"/>
            <w:tcBorders/>
            <w:shd w:fill="CCECFF" w:val="clear"/>
            <w:vAlign w:val="center"/>
          </w:tcPr>
          <w:p>
            <w:pPr>
              <w:pStyle w:val="TableContents"/>
              <w:bidi w:val="0"/>
              <w:spacing w:before="0" w:after="283"/>
              <w:jc w:val="left"/>
              <w:rPr/>
            </w:pPr>
            <w:r>
              <w:rPr/>
              <w:t> </w:t>
            </w:r>
          </w:p>
        </w:tc>
        <w:tc>
          <w:tcPr>
            <w:tcW w:w="81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57" w:type="dxa"/>
            <w:tcBorders/>
            <w:shd w:fill="CCECFF" w:val="clear"/>
            <w:vAlign w:val="center"/>
          </w:tcPr>
          <w:p>
            <w:pPr>
              <w:pStyle w:val="TableContents"/>
              <w:bidi w:val="0"/>
              <w:spacing w:before="0" w:after="283"/>
              <w:jc w:val="left"/>
              <w:rPr/>
            </w:pPr>
            <w:r>
              <w:rPr/>
              <w:t> </w:t>
            </w:r>
          </w:p>
        </w:tc>
        <w:tc>
          <w:tcPr>
            <w:tcW w:w="85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7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and contractor-related expenses</w:t>
            </w:r>
          </w:p>
        </w:tc>
        <w:tc>
          <w:tcPr>
            <w:tcW w:w="146"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6,234</w:t>
            </w:r>
          </w:p>
        </w:tc>
        <w:tc>
          <w:tcPr>
            <w:tcW w:w="1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8"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other expenses</w:t>
            </w:r>
          </w:p>
        </w:tc>
        <w:tc>
          <w:tcPr>
            <w:tcW w:w="146" w:type="dxa"/>
            <w:tcBorders/>
            <w:shd w:fill="CCECFF" w:val="clear"/>
            <w:vAlign w:val="center"/>
          </w:tcPr>
          <w:p>
            <w:pPr>
              <w:pStyle w:val="TableContents"/>
              <w:bidi w:val="0"/>
              <w:spacing w:before="0" w:after="283"/>
              <w:jc w:val="left"/>
              <w:rPr/>
            </w:pPr>
            <w:r>
              <w:rPr/>
              <w:t> </w:t>
            </w:r>
          </w:p>
        </w:tc>
        <w:tc>
          <w:tcPr>
            <w:tcW w:w="2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16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1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16,259</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color w:val="000000"/>
          <w:sz w:val="20"/>
        </w:rPr>
        <w:t>Research and development expenses were $16.3 million for the three months ended June 30, 2024 compared to $12.5 million for the same period in 2023. The $3.7 million increase in research and development expenses was primarily driven by the advancement of our HBV/</w:t>
      </w:r>
      <w:r>
        <w:rPr>
          <w:rFonts w:ascii="Times New Roman" w:hAnsi="Times New Roman"/>
          <w:color w:val="242424"/>
          <w:sz w:val="20"/>
        </w:rPr>
        <w:t xml:space="preserve">HDV entry inhibitor, 6250, as well as our HSV-1 and HSV-2 programs, 1179 and 5366. The overall increase in external expenses was partially offset by decreases in expenses related to our HBV programs from the discontinuation of the 3733 and VBR programs, as well as lower costs incurred for 4334, for which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242424"/>
          <w:sz w:val="20"/>
        </w:rPr>
        <w:t xml:space="preserve">the Phase 1b study was initiated near the end of the second quarter of 2024. </w:t>
      </w:r>
      <w:r>
        <w:rPr>
          <w:rFonts w:ascii="Times New Roman" w:hAnsi="Times New Roman"/>
          <w:color w:val="000000"/>
          <w:sz w:val="20"/>
        </w:rPr>
        <w:t xml:space="preserve">We also experienced a decrease of </w:t>
      </w:r>
      <w:r>
        <w:rPr>
          <w:rFonts w:ascii="Times New Roman" w:hAnsi="Times New Roman"/>
          <w:color w:val="242424"/>
          <w:sz w:val="20"/>
        </w:rPr>
        <w:t>$0.5 million in facility and other expenses due to cost savings in rent and related expenses attributable to our corporate headquarters sublease, which commenced in November 2023.</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General and administrative expenses consist primarily of salaries, consulting fees and other related costs, professional fees for legal services, accounting and tax services, insurance and travel expenses, as well as stock-based compensation expense associated with equity awards to our employees and directors.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general and administrative expenses (in thousands, except for percentages):</w:t>
      </w:r>
    </w:p>
    <w:tbl>
      <w:tblPr>
        <w:tblW w:w="8701" w:type="dxa"/>
        <w:jc w:val="left"/>
        <w:tblInd w:w="0" w:type="dxa"/>
        <w:tblLayout w:type="fixed"/>
        <w:tblCellMar>
          <w:top w:w="28" w:type="dxa"/>
          <w:left w:w="28" w:type="dxa"/>
          <w:bottom w:w="28" w:type="dxa"/>
          <w:right w:w="28" w:type="dxa"/>
        </w:tblCellMar>
      </w:tblPr>
      <w:tblGrid>
        <w:gridCol w:w="3091"/>
        <w:gridCol w:w="146"/>
        <w:gridCol w:w="257"/>
        <w:gridCol w:w="697"/>
        <w:gridCol w:w="178"/>
        <w:gridCol w:w="178"/>
        <w:gridCol w:w="257"/>
        <w:gridCol w:w="697"/>
        <w:gridCol w:w="146"/>
        <w:gridCol w:w="146"/>
        <w:gridCol w:w="337"/>
        <w:gridCol w:w="773"/>
        <w:gridCol w:w="166"/>
        <w:gridCol w:w="146"/>
        <w:gridCol w:w="309"/>
        <w:gridCol w:w="801"/>
        <w:gridCol w:w="37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shd w:fill="FFFFFF" w:val="cle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CECFF" w:val="clear"/>
            <w:vAlign w:val="center"/>
          </w:tcPr>
          <w:p>
            <w:pPr>
              <w:pStyle w:val="TableContents"/>
              <w:bidi w:val="0"/>
              <w:spacing w:before="0" w:after="283"/>
              <w:jc w:val="left"/>
              <w:rPr/>
            </w:pPr>
            <w:r>
              <w:rPr/>
              <w:t> </w:t>
            </w:r>
          </w:p>
        </w:tc>
        <w:tc>
          <w:tcPr>
            <w:tcW w:w="257"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178" w:type="dxa"/>
            <w:tcBorders/>
            <w:shd w:fill="CCECFF" w:val="clear"/>
            <w:vAlign w:val="center"/>
          </w:tcPr>
          <w:p>
            <w:pPr>
              <w:pStyle w:val="TableContents"/>
              <w:bidi w:val="0"/>
              <w:spacing w:before="0" w:after="283"/>
              <w:jc w:val="left"/>
              <w:rPr/>
            </w:pPr>
            <w:r>
              <w:rPr/>
              <w:t> </w:t>
            </w:r>
          </w:p>
        </w:tc>
        <w:tc>
          <w:tcPr>
            <w:tcW w:w="178" w:type="dxa"/>
            <w:tcBorders/>
            <w:shd w:fill="CCECFF" w:val="clear"/>
            <w:vAlign w:val="center"/>
          </w:tcPr>
          <w:p>
            <w:pPr>
              <w:pStyle w:val="TableContents"/>
              <w:bidi w:val="0"/>
              <w:spacing w:before="0" w:after="283"/>
              <w:jc w:val="left"/>
              <w:rPr/>
            </w:pPr>
            <w:r>
              <w:rPr/>
              <w:t> </w:t>
            </w:r>
          </w:p>
        </w:tc>
        <w:tc>
          <w:tcPr>
            <w:tcW w:w="257"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37"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right"/>
              <w:rPr/>
            </w:pPr>
            <w:r>
              <w:rPr/>
              <w:t> </w:t>
            </w:r>
          </w:p>
        </w:tc>
        <w:tc>
          <w:tcPr>
            <w:tcW w:w="309" w:type="dxa"/>
            <w:tcBorders/>
            <w:shd w:fill="CCECFF" w:val="clear"/>
            <w:vAlign w:val="center"/>
          </w:tcPr>
          <w:p>
            <w:pPr>
              <w:pStyle w:val="TableContents"/>
              <w:bidi w:val="0"/>
              <w:spacing w:before="0" w:after="283"/>
              <w:jc w:val="left"/>
              <w:rPr/>
            </w:pPr>
            <w:r>
              <w:rPr/>
              <w:t> </w:t>
            </w:r>
          </w:p>
        </w:tc>
        <w:tc>
          <w:tcPr>
            <w:tcW w:w="80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7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General and administrative expenses were $4.5 million for the three months ended June 30, 2024 compared to $5.0 million for the same period in 2023. The decrease of $0.5 million in general and administrative expenses was primarily due to a decrease in stock-based compensation expense because of the lower grant date fair value of our awards vesting during the period.</w:t>
      </w:r>
    </w:p>
    <w:p>
      <w:pPr>
        <w:pStyle w:val="TextBody"/>
        <w:bidi w:val="0"/>
        <w:spacing w:before="200" w:after="120"/>
        <w:jc w:val="both"/>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Interest income consists of interest earned on our cash and cash equivalents and available-for-sale securities. The following table summarizes the period-over-period changes in our interest and other income, net (in thousands, except for percentages):</w:t>
      </w:r>
    </w:p>
    <w:tbl>
      <w:tblPr>
        <w:tblW w:w="8050" w:type="dxa"/>
        <w:jc w:val="left"/>
        <w:tblInd w:w="0" w:type="dxa"/>
        <w:tblLayout w:type="fixed"/>
        <w:tblCellMar>
          <w:top w:w="28" w:type="dxa"/>
          <w:left w:w="28" w:type="dxa"/>
          <w:bottom w:w="28" w:type="dxa"/>
          <w:right w:w="28" w:type="dxa"/>
        </w:tblCellMar>
      </w:tblPr>
      <w:tblGrid>
        <w:gridCol w:w="2521"/>
        <w:gridCol w:w="146"/>
        <w:gridCol w:w="280"/>
        <w:gridCol w:w="758"/>
        <w:gridCol w:w="193"/>
        <w:gridCol w:w="193"/>
        <w:gridCol w:w="280"/>
        <w:gridCol w:w="559"/>
        <w:gridCol w:w="146"/>
        <w:gridCol w:w="146"/>
        <w:gridCol w:w="369"/>
        <w:gridCol w:w="741"/>
        <w:gridCol w:w="146"/>
        <w:gridCol w:w="146"/>
        <w:gridCol w:w="285"/>
        <w:gridCol w:w="825"/>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CECFF" w:val="clear"/>
            <w:vAlign w:val="center"/>
          </w:tcPr>
          <w:p>
            <w:pPr>
              <w:pStyle w:val="TableContents"/>
              <w:bidi w:val="0"/>
              <w:spacing w:before="0" w:after="283"/>
              <w:jc w:val="left"/>
              <w:rPr/>
            </w:pPr>
            <w:r>
              <w:rPr/>
              <w:t> </w:t>
            </w:r>
          </w:p>
        </w:tc>
        <w:tc>
          <w:tcPr>
            <w:tcW w:w="280"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w:t>
            </w:r>
          </w:p>
        </w:tc>
        <w:tc>
          <w:tcPr>
            <w:tcW w:w="193" w:type="dxa"/>
            <w:tcBorders/>
            <w:shd w:fill="CCECFF" w:val="clear"/>
            <w:vAlign w:val="center"/>
          </w:tcPr>
          <w:p>
            <w:pPr>
              <w:pStyle w:val="TableContents"/>
              <w:bidi w:val="0"/>
              <w:spacing w:before="0" w:after="283"/>
              <w:jc w:val="left"/>
              <w:rPr/>
            </w:pPr>
            <w:r>
              <w:rPr/>
              <w:t> </w:t>
            </w:r>
          </w:p>
        </w:tc>
        <w:tc>
          <w:tcPr>
            <w:tcW w:w="193" w:type="dxa"/>
            <w:tcBorders/>
            <w:shd w:fill="CCECFF" w:val="clear"/>
            <w:vAlign w:val="center"/>
          </w:tcPr>
          <w:p>
            <w:pPr>
              <w:pStyle w:val="TableContents"/>
              <w:bidi w:val="0"/>
              <w:spacing w:before="0" w:after="283"/>
              <w:jc w:val="left"/>
              <w:rPr/>
            </w:pPr>
            <w:r>
              <w:rPr/>
              <w:t> </w:t>
            </w:r>
          </w:p>
        </w:tc>
        <w:tc>
          <w:tcPr>
            <w:tcW w:w="280"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69"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85"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31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Interest and other income, net was $1.5 million for the three months ended June 30, 2024, compared to $0.6 million for the same period in 2023. The increase of $0.9 million was primarily due to more interest income earned on marketable securities caused by a larger portfolio balance after the receipt of $100.0 million upon entering into the Gilead Collaboration in October 2023.</w:t>
      </w:r>
    </w:p>
    <w:p>
      <w:pPr>
        <w:pStyle w:val="TextBody"/>
        <w:bidi w:val="0"/>
        <w:spacing w:before="200" w:after="120"/>
        <w:jc w:val="both"/>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income tax expense (in thousands, except for percentages):</w:t>
      </w:r>
    </w:p>
    <w:tbl>
      <w:tblPr>
        <w:tblW w:w="7255" w:type="dxa"/>
        <w:jc w:val="left"/>
        <w:tblInd w:w="0" w:type="dxa"/>
        <w:tblLayout w:type="fixed"/>
        <w:tblCellMar>
          <w:top w:w="28" w:type="dxa"/>
          <w:left w:w="28" w:type="dxa"/>
          <w:bottom w:w="28" w:type="dxa"/>
          <w:right w:w="28" w:type="dxa"/>
        </w:tblCellMar>
      </w:tblPr>
      <w:tblGrid>
        <w:gridCol w:w="1726"/>
        <w:gridCol w:w="146"/>
        <w:gridCol w:w="322"/>
        <w:gridCol w:w="644"/>
        <w:gridCol w:w="223"/>
        <w:gridCol w:w="223"/>
        <w:gridCol w:w="322"/>
        <w:gridCol w:w="529"/>
        <w:gridCol w:w="146"/>
        <w:gridCol w:w="146"/>
        <w:gridCol w:w="369"/>
        <w:gridCol w:w="741"/>
        <w:gridCol w:w="146"/>
        <w:gridCol w:w="146"/>
        <w:gridCol w:w="285"/>
        <w:gridCol w:w="825"/>
        <w:gridCol w:w="31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vAlign w:val="center"/>
          </w:tcPr>
          <w:p>
            <w:pPr>
              <w:pStyle w:val="TableContents"/>
              <w:bidi w:val="0"/>
              <w:spacing w:before="0" w:after="283"/>
              <w:jc w:val="center"/>
              <w:rPr/>
            </w:pPr>
            <w:r>
              <w:rPr/>
              <w:t> </w:t>
            </w:r>
          </w:p>
        </w:tc>
      </w:tr>
      <w:tr>
        <w:trPr/>
        <w:tc>
          <w:tcPr>
            <w:tcW w:w="17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CECFF" w:val="clear"/>
            <w:vAlign w:val="center"/>
          </w:tcPr>
          <w:p>
            <w:pPr>
              <w:pStyle w:val="TableContents"/>
              <w:bidi w:val="0"/>
              <w:spacing w:before="0" w:after="283"/>
              <w:jc w:val="left"/>
              <w:rPr/>
            </w:pPr>
            <w:r>
              <w:rPr/>
              <w:t> </w:t>
            </w:r>
          </w:p>
        </w:tc>
        <w:tc>
          <w:tcPr>
            <w:tcW w:w="322"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4"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23" w:type="dxa"/>
            <w:tcBorders/>
            <w:shd w:fill="CCECFF" w:val="clear"/>
            <w:vAlign w:val="center"/>
          </w:tcPr>
          <w:p>
            <w:pPr>
              <w:pStyle w:val="TableContents"/>
              <w:bidi w:val="0"/>
              <w:spacing w:before="0" w:after="283"/>
              <w:jc w:val="left"/>
              <w:rPr/>
            </w:pPr>
            <w:r>
              <w:rPr/>
              <w:t> </w:t>
            </w:r>
          </w:p>
        </w:tc>
        <w:tc>
          <w:tcPr>
            <w:tcW w:w="223" w:type="dxa"/>
            <w:tcBorders/>
            <w:shd w:fill="CCECFF" w:val="clear"/>
            <w:vAlign w:val="center"/>
          </w:tcPr>
          <w:p>
            <w:pPr>
              <w:pStyle w:val="TableContents"/>
              <w:bidi w:val="0"/>
              <w:spacing w:before="0" w:after="283"/>
              <w:jc w:val="left"/>
              <w:rPr/>
            </w:pPr>
            <w:r>
              <w:rPr/>
              <w:t> </w:t>
            </w:r>
          </w:p>
        </w:tc>
        <w:tc>
          <w:tcPr>
            <w:tcW w:w="322"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9"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69"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85"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Income tax expense was $0.4 million for the three months ended June 30, 2024 due to the estimated taxable income from the upfront payments received under the Gilead Collaboration in 2023. There was no income tax expense recognized during the three months ended June 30, 2023.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Comparison of the Six Months Ended June 30, 2024 and 2023</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collaboration revenue (in thousands, except for percentages):</w:t>
      </w:r>
    </w:p>
    <w:tbl>
      <w:tblPr>
        <w:tblW w:w="7560" w:type="dxa"/>
        <w:jc w:val="left"/>
        <w:tblInd w:w="0" w:type="dxa"/>
        <w:tblLayout w:type="fixed"/>
        <w:tblCellMar>
          <w:top w:w="28" w:type="dxa"/>
          <w:left w:w="28" w:type="dxa"/>
          <w:bottom w:w="28" w:type="dxa"/>
          <w:right w:w="28" w:type="dxa"/>
        </w:tblCellMar>
      </w:tblPr>
      <w:tblGrid>
        <w:gridCol w:w="2151"/>
        <w:gridCol w:w="146"/>
        <w:gridCol w:w="251"/>
        <w:gridCol w:w="806"/>
        <w:gridCol w:w="174"/>
        <w:gridCol w:w="174"/>
        <w:gridCol w:w="251"/>
        <w:gridCol w:w="412"/>
        <w:gridCol w:w="146"/>
        <w:gridCol w:w="146"/>
        <w:gridCol w:w="264"/>
        <w:gridCol w:w="846"/>
        <w:gridCol w:w="146"/>
        <w:gridCol w:w="146"/>
        <w:gridCol w:w="285"/>
        <w:gridCol w:w="825"/>
        <w:gridCol w:w="391"/>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91" w:type="dxa"/>
            <w:tcBorders/>
            <w:shd w:fill="FFFFFF" w:val="clear"/>
            <w:vAlign w:val="center"/>
          </w:tcPr>
          <w:p>
            <w:pPr>
              <w:pStyle w:val="TableContents"/>
              <w:bidi w:val="0"/>
              <w:spacing w:before="0" w:after="283"/>
              <w:jc w:val="center"/>
              <w:rPr/>
            </w:pPr>
            <w:r>
              <w:rPr/>
              <w:t> </w:t>
            </w:r>
          </w:p>
        </w:tc>
      </w:tr>
      <w:tr>
        <w:trPr/>
        <w:tc>
          <w:tcPr>
            <w:tcW w:w="215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151"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CECFF" w:val="clear"/>
            <w:vAlign w:val="center"/>
          </w:tcPr>
          <w:p>
            <w:pPr>
              <w:pStyle w:val="TableContents"/>
              <w:bidi w:val="0"/>
              <w:spacing w:before="0" w:after="283"/>
              <w:jc w:val="left"/>
              <w:rPr/>
            </w:pPr>
            <w:r>
              <w:rPr/>
              <w:t> </w:t>
            </w:r>
          </w:p>
        </w:tc>
        <w:tc>
          <w:tcPr>
            <w:tcW w:w="25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w:t>
            </w:r>
          </w:p>
        </w:tc>
        <w:tc>
          <w:tcPr>
            <w:tcW w:w="174" w:type="dxa"/>
            <w:tcBorders/>
            <w:shd w:fill="CCECFF" w:val="clear"/>
            <w:vAlign w:val="center"/>
          </w:tcPr>
          <w:p>
            <w:pPr>
              <w:pStyle w:val="TableContents"/>
              <w:bidi w:val="0"/>
              <w:spacing w:before="0" w:after="283"/>
              <w:jc w:val="left"/>
              <w:rPr/>
            </w:pPr>
            <w:r>
              <w:rPr/>
              <w:t> </w:t>
            </w:r>
          </w:p>
        </w:tc>
        <w:tc>
          <w:tcPr>
            <w:tcW w:w="174" w:type="dxa"/>
            <w:tcBorders/>
            <w:shd w:fill="CCECFF" w:val="clear"/>
            <w:vAlign w:val="center"/>
          </w:tcPr>
          <w:p>
            <w:pPr>
              <w:pStyle w:val="TableContents"/>
              <w:bidi w:val="0"/>
              <w:spacing w:before="0" w:after="283"/>
              <w:jc w:val="left"/>
              <w:rPr/>
            </w:pPr>
            <w:r>
              <w:rPr/>
              <w:t> </w:t>
            </w:r>
          </w:p>
        </w:tc>
        <w:tc>
          <w:tcPr>
            <w:tcW w:w="25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2"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64"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85"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Collaboration revenue for the six months ended June 30, 2024 includes the recognition of $14.3 million under the Gilead Collaboration Agreement entered into in October 2023. There was no revenue for the six months ended June 30, 2023.</w:t>
      </w:r>
    </w:p>
    <w:p>
      <w:pPr>
        <w:pStyle w:val="TextBody"/>
        <w:bidi w:val="0"/>
        <w:spacing w:before="200" w:after="120"/>
        <w:jc w:val="both"/>
        <w:rPr>
          <w:rFonts w:ascii="Times New Roman" w:hAnsi="Times New Roman"/>
          <w:i/>
          <w:color w:val="000000"/>
          <w:sz w:val="20"/>
        </w:rPr>
      </w:pPr>
      <w:r>
        <w:rPr>
          <w:rFonts w:ascii="Times New Roman" w:hAnsi="Times New Roman"/>
          <w:i/>
          <w:color w:val="000000"/>
          <w:sz w:val="20"/>
        </w:rPr>
        <w:t>Research and Development Expenses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 xml:space="preserve">The following table summarizes the period-over-period changes in our research and development expenses (in thousands, except for percentages): </w:t>
      </w:r>
    </w:p>
    <w:tbl>
      <w:tblPr>
        <w:tblW w:w="9170" w:type="dxa"/>
        <w:jc w:val="left"/>
        <w:tblInd w:w="0" w:type="dxa"/>
        <w:tblLayout w:type="fixed"/>
        <w:tblCellMar>
          <w:top w:w="28" w:type="dxa"/>
          <w:left w:w="28" w:type="dxa"/>
          <w:bottom w:w="28" w:type="dxa"/>
          <w:right w:w="28" w:type="dxa"/>
        </w:tblCellMar>
      </w:tblPr>
      <w:tblGrid>
        <w:gridCol w:w="3556"/>
        <w:gridCol w:w="146"/>
        <w:gridCol w:w="211"/>
        <w:gridCol w:w="677"/>
        <w:gridCol w:w="146"/>
        <w:gridCol w:w="146"/>
        <w:gridCol w:w="211"/>
        <w:gridCol w:w="677"/>
        <w:gridCol w:w="146"/>
        <w:gridCol w:w="146"/>
        <w:gridCol w:w="278"/>
        <w:gridCol w:w="832"/>
        <w:gridCol w:w="166"/>
        <w:gridCol w:w="146"/>
        <w:gridCol w:w="257"/>
        <w:gridCol w:w="853"/>
        <w:gridCol w:w="576"/>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shd w:fill="FFFFFF" w:val="cle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expenses:</w:t>
            </w:r>
          </w:p>
        </w:tc>
        <w:tc>
          <w:tcPr>
            <w:tcW w:w="146" w:type="dxa"/>
            <w:tcBorders/>
            <w:shd w:fill="CCECFF" w:val="clear"/>
            <w:vAlign w:val="center"/>
          </w:tcPr>
          <w:p>
            <w:pPr>
              <w:pStyle w:val="TableContents"/>
              <w:bidi w:val="0"/>
              <w:spacing w:before="0" w:after="283"/>
              <w:jc w:val="left"/>
              <w:rPr/>
            </w:pPr>
            <w:r>
              <w:rPr/>
              <w:t> </w:t>
            </w:r>
          </w:p>
        </w:tc>
        <w:tc>
          <w:tcPr>
            <w:tcW w:w="88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888" w:type="dxa"/>
            <w:gridSpan w:val="2"/>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left"/>
              <w:rPr/>
            </w:pPr>
            <w:r>
              <w:rPr/>
              <w:t> </w:t>
            </w:r>
          </w:p>
        </w:tc>
        <w:tc>
          <w:tcPr>
            <w:tcW w:w="1110" w:type="dxa"/>
            <w:gridSpan w:val="2"/>
            <w:tcBorders/>
            <w:shd w:fill="CCECFF" w:val="clear"/>
            <w:vAlign w:val="center"/>
          </w:tcPr>
          <w:p>
            <w:pPr>
              <w:pStyle w:val="TableContents"/>
              <w:bidi w:val="0"/>
              <w:spacing w:before="0" w:after="283"/>
              <w:jc w:val="right"/>
              <w:rPr/>
            </w:pPr>
            <w:r>
              <w:rPr/>
              <w:t> </w:t>
            </w:r>
          </w:p>
        </w:tc>
        <w:tc>
          <w:tcPr>
            <w:tcW w:w="166" w:type="dxa"/>
            <w:tcBorders/>
            <w:shd w:fill="CCECFF" w:val="clear"/>
            <w:vAlign w:val="center"/>
          </w:tcPr>
          <w:p>
            <w:pPr>
              <w:pStyle w:val="TableContents"/>
              <w:bidi w:val="0"/>
              <w:spacing w:before="0" w:after="283"/>
              <w:jc w:val="right"/>
              <w:rPr/>
            </w:pPr>
            <w:r>
              <w:rPr/>
              <w:t> </w:t>
            </w:r>
          </w:p>
        </w:tc>
        <w:tc>
          <w:tcPr>
            <w:tcW w:w="146" w:type="dxa"/>
            <w:tcBorders/>
            <w:shd w:fill="CCECFF" w:val="clear"/>
            <w:vAlign w:val="center"/>
          </w:tcPr>
          <w:p>
            <w:pPr>
              <w:pStyle w:val="TableContents"/>
              <w:bidi w:val="0"/>
              <w:spacing w:before="0" w:after="283"/>
              <w:jc w:val="right"/>
              <w:rPr/>
            </w:pPr>
            <w:r>
              <w:rPr/>
              <w:t> </w:t>
            </w:r>
          </w:p>
        </w:tc>
        <w:tc>
          <w:tcPr>
            <w:tcW w:w="1110" w:type="dxa"/>
            <w:gridSpan w:val="2"/>
            <w:tcBorders/>
            <w:shd w:fill="CCECFF" w:val="clear"/>
            <w:vAlign w:val="center"/>
          </w:tcPr>
          <w:p>
            <w:pPr>
              <w:pStyle w:val="TableContents"/>
              <w:bidi w:val="0"/>
              <w:spacing w:before="0" w:after="283"/>
              <w:jc w:val="right"/>
              <w:rPr/>
            </w:pPr>
            <w:r>
              <w:rPr/>
              <w:t> </w:t>
            </w:r>
          </w:p>
        </w:tc>
        <w:tc>
          <w:tcPr>
            <w:tcW w:w="576" w:type="dxa"/>
            <w:tcBorders/>
            <w:shd w:fill="CCECFF" w:val="clear"/>
            <w:vAlign w:val="center"/>
          </w:tcPr>
          <w:p>
            <w:pPr>
              <w:pStyle w:val="TableContents"/>
              <w:bidi w:val="0"/>
              <w:spacing w:before="0" w:after="283"/>
              <w:ind w:left="0" w:right="0" w:firstLine="200"/>
              <w:jc w:val="right"/>
              <w:rPr/>
            </w:pPr>
            <w:r>
              <w:rPr/>
              <w:t> </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discovery</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6250</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8" w:type="dxa"/>
            <w:tcBorders/>
            <w:shd w:fill="CCECFF" w:val="clear"/>
            <w:vAlign w:val="center"/>
          </w:tcPr>
          <w:p>
            <w:pPr>
              <w:pStyle w:val="TableContents"/>
              <w:bidi w:val="0"/>
              <w:spacing w:before="0" w:after="283"/>
              <w:jc w:val="left"/>
              <w:rPr/>
            </w:pPr>
            <w:r>
              <w:rPr/>
              <w:t> </w:t>
            </w:r>
          </w:p>
        </w:tc>
        <w:tc>
          <w:tcPr>
            <w:tcW w:w="83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57" w:type="dxa"/>
            <w:tcBorders/>
            <w:shd w:fill="CCECFF" w:val="clear"/>
            <w:vAlign w:val="center"/>
          </w:tcPr>
          <w:p>
            <w:pPr>
              <w:pStyle w:val="TableContents"/>
              <w:bidi w:val="0"/>
              <w:spacing w:before="0" w:after="283"/>
              <w:jc w:val="left"/>
              <w:rPr/>
            </w:pPr>
            <w:r>
              <w:rPr/>
              <w:t> </w:t>
            </w:r>
          </w:p>
        </w:tc>
        <w:tc>
          <w:tcPr>
            <w:tcW w:w="85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1179</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5366</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8" w:type="dxa"/>
            <w:tcBorders/>
            <w:shd w:fill="CCECFF" w:val="clear"/>
            <w:vAlign w:val="center"/>
          </w:tcPr>
          <w:p>
            <w:pPr>
              <w:pStyle w:val="TableContents"/>
              <w:bidi w:val="0"/>
              <w:spacing w:before="0" w:after="283"/>
              <w:jc w:val="left"/>
              <w:rPr/>
            </w:pPr>
            <w:r>
              <w:rPr/>
              <w:t> </w:t>
            </w:r>
          </w:p>
        </w:tc>
        <w:tc>
          <w:tcPr>
            <w:tcW w:w="83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w:t>
            </w:r>
          </w:p>
        </w:tc>
        <w:tc>
          <w:tcPr>
            <w:tcW w:w="16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57" w:type="dxa"/>
            <w:tcBorders/>
            <w:shd w:fill="CCECFF" w:val="clear"/>
            <w:vAlign w:val="center"/>
          </w:tcPr>
          <w:p>
            <w:pPr>
              <w:pStyle w:val="TableContents"/>
              <w:bidi w:val="0"/>
              <w:spacing w:before="0" w:after="283"/>
              <w:jc w:val="left"/>
              <w:rPr/>
            </w:pPr>
            <w:r>
              <w:rPr/>
              <w:t> </w:t>
            </w:r>
          </w:p>
        </w:tc>
        <w:tc>
          <w:tcPr>
            <w:tcW w:w="85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576"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4334</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3733</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8" w:type="dxa"/>
            <w:tcBorders/>
            <w:shd w:fill="CCECFF" w:val="clear"/>
            <w:vAlign w:val="center"/>
          </w:tcPr>
          <w:p>
            <w:pPr>
              <w:pStyle w:val="TableContents"/>
              <w:bidi w:val="0"/>
              <w:spacing w:before="0" w:after="283"/>
              <w:jc w:val="left"/>
              <w:rPr/>
            </w:pPr>
            <w:r>
              <w:rPr/>
              <w:t> </w:t>
            </w:r>
          </w:p>
        </w:tc>
        <w:tc>
          <w:tcPr>
            <w:tcW w:w="83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(2,508</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right"/>
              <w:rPr/>
            </w:pPr>
            <w:r>
              <w:rPr/>
              <w:t> </w:t>
            </w:r>
          </w:p>
        </w:tc>
        <w:tc>
          <w:tcPr>
            <w:tcW w:w="257" w:type="dxa"/>
            <w:tcBorders/>
            <w:shd w:fill="CCECFF" w:val="clear"/>
            <w:vAlign w:val="center"/>
          </w:tcPr>
          <w:p>
            <w:pPr>
              <w:pStyle w:val="TableContents"/>
              <w:bidi w:val="0"/>
              <w:spacing w:before="0" w:after="283"/>
              <w:jc w:val="left"/>
              <w:rPr/>
            </w:pPr>
            <w:r>
              <w:rPr/>
              <w:t> </w:t>
            </w:r>
          </w:p>
        </w:tc>
        <w:tc>
          <w:tcPr>
            <w:tcW w:w="85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CEC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VBR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ABI-H2158</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jc w:val="left"/>
              <w:rPr/>
            </w:pPr>
            <w:r>
              <w:rPr/>
              <w:t> </w:t>
            </w:r>
          </w:p>
        </w:tc>
        <w:tc>
          <w:tcPr>
            <w:tcW w:w="83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85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and contractor-related expenses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12,009</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pPr>
            <w:r>
              <w:rPr/>
              <w:t> </w:t>
            </w:r>
          </w:p>
        </w:tc>
        <w:tc>
          <w:tcPr>
            <w:tcW w:w="67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13,005</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78" w:type="dxa"/>
            <w:tcBorders/>
            <w:shd w:fill="CCECFF" w:val="clear"/>
            <w:vAlign w:val="center"/>
          </w:tcPr>
          <w:p>
            <w:pPr>
              <w:pStyle w:val="TableContents"/>
              <w:bidi w:val="0"/>
              <w:spacing w:before="0" w:after="283"/>
              <w:jc w:val="left"/>
              <w:rPr/>
            </w:pPr>
            <w:r>
              <w:rPr/>
              <w:t> </w:t>
            </w:r>
          </w:p>
        </w:tc>
        <w:tc>
          <w:tcPr>
            <w:tcW w:w="83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right"/>
              <w:rPr/>
            </w:pPr>
            <w:r>
              <w:rPr/>
              <w:t> </w:t>
            </w:r>
          </w:p>
        </w:tc>
        <w:tc>
          <w:tcPr>
            <w:tcW w:w="257" w:type="dxa"/>
            <w:tcBorders/>
            <w:shd w:fill="CCECFF" w:val="clear"/>
            <w:vAlign w:val="center"/>
          </w:tcPr>
          <w:p>
            <w:pPr>
              <w:pStyle w:val="TableContents"/>
              <w:bidi w:val="0"/>
              <w:spacing w:before="0" w:after="283"/>
              <w:jc w:val="left"/>
              <w:rPr/>
            </w:pPr>
            <w:r>
              <w:rPr/>
              <w:t> </w:t>
            </w:r>
          </w:p>
        </w:tc>
        <w:tc>
          <w:tcPr>
            <w:tcW w:w="85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7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other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28,138</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27,070</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sz w:val="20"/>
        </w:rPr>
      </w:pPr>
      <w:r>
        <w:rPr>
          <w:rFonts w:ascii="Times New Roman" w:hAnsi="Times New Roman"/>
          <w:color w:val="000000"/>
          <w:sz w:val="20"/>
        </w:rPr>
        <w:t>Research and development expenses were $28.1 million for the six months ended June 30, 2024 compared to $27.1 million for the same period in 2023. The $1.1 million increase in research and development expenses was driven by the advancement of our HBV/</w:t>
      </w:r>
      <w:r>
        <w:rPr>
          <w:rFonts w:ascii="Times New Roman" w:hAnsi="Times New Roman"/>
          <w:color w:val="242424"/>
          <w:sz w:val="20"/>
        </w:rPr>
        <w:t>HDV entry inhibitor, 6250, as well as our HSV-1 and HSV-2 programs, 1179 and 5366. The overall increase in external expenses was partially offset by decreases in expenses related to our HBV programs from our discontinuation of the 3733 and VBR programs, as well as lower costs incurred for 4334, for which the Phase 1b study was initiated near the end of the second quarter of 2024</w:t>
      </w:r>
      <w:r>
        <w:rPr>
          <w:rFonts w:ascii="Times New Roman" w:hAnsi="Times New Roman"/>
          <w:color w:val="000000"/>
          <w:sz w:val="20"/>
        </w:rPr>
        <w:t xml:space="preserve">. We also experienced a decrease of $1.0 million in employee and contractor-related expenses primarily due to reductions in the number of third-party contractors used, as well as a decrease in stock-based compensation expense because of the lower grant date fair value of our awards vesting during the period. </w:t>
      </w:r>
      <w:r>
        <w:rPr>
          <w:rFonts w:ascii="Times New Roman" w:hAnsi="Times New Roman"/>
          <w:color w:val="242424"/>
          <w:sz w:val="20"/>
        </w:rPr>
        <w:t>Facility and other expenses decreased by $0.9 million primarily due to cost savings in rent and related expenses attributable to our corporate headquarters sublease, which commenced in November 2023.</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general and administrative expenses (in thousands, except for percentages):</w:t>
      </w:r>
    </w:p>
    <w:tbl>
      <w:tblPr>
        <w:tblW w:w="8505" w:type="dxa"/>
        <w:jc w:val="left"/>
        <w:tblInd w:w="0" w:type="dxa"/>
        <w:tblLayout w:type="fixed"/>
        <w:tblCellMar>
          <w:top w:w="28" w:type="dxa"/>
          <w:left w:w="28" w:type="dxa"/>
          <w:bottom w:w="28" w:type="dxa"/>
          <w:right w:w="28" w:type="dxa"/>
        </w:tblCellMar>
      </w:tblPr>
      <w:tblGrid>
        <w:gridCol w:w="3091"/>
        <w:gridCol w:w="146"/>
        <w:gridCol w:w="235"/>
        <w:gridCol w:w="637"/>
        <w:gridCol w:w="162"/>
        <w:gridCol w:w="162"/>
        <w:gridCol w:w="235"/>
        <w:gridCol w:w="637"/>
        <w:gridCol w:w="146"/>
        <w:gridCol w:w="146"/>
        <w:gridCol w:w="337"/>
        <w:gridCol w:w="773"/>
        <w:gridCol w:w="166"/>
        <w:gridCol w:w="146"/>
        <w:gridCol w:w="387"/>
        <w:gridCol w:w="723"/>
        <w:gridCol w:w="37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shd w:fill="FFFFFF" w:val="clear"/>
            <w:vAlign w:val="center"/>
          </w:tcPr>
          <w:p>
            <w:pPr>
              <w:pStyle w:val="TableContents"/>
              <w:bidi w:val="0"/>
              <w:spacing w:before="0" w:after="283"/>
              <w:jc w:val="center"/>
              <w:rPr/>
            </w:pPr>
            <w:r>
              <w:rPr/>
              <w:t> </w:t>
            </w:r>
          </w:p>
        </w:tc>
      </w:tr>
      <w:tr>
        <w:trPr/>
        <w:tc>
          <w:tcPr>
            <w:tcW w:w="309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CECFF" w:val="clear"/>
            <w:vAlign w:val="center"/>
          </w:tcPr>
          <w:p>
            <w:pPr>
              <w:pStyle w:val="TableContents"/>
              <w:bidi w:val="0"/>
              <w:spacing w:before="0" w:after="283"/>
              <w:jc w:val="left"/>
              <w:rPr/>
            </w:pPr>
            <w:r>
              <w:rPr/>
              <w:t> </w:t>
            </w:r>
          </w:p>
        </w:tc>
        <w:tc>
          <w:tcPr>
            <w:tcW w:w="235"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9,112</w:t>
            </w:r>
          </w:p>
        </w:tc>
        <w:tc>
          <w:tcPr>
            <w:tcW w:w="162" w:type="dxa"/>
            <w:tcBorders/>
            <w:shd w:fill="CCECFF" w:val="clear"/>
            <w:vAlign w:val="center"/>
          </w:tcPr>
          <w:p>
            <w:pPr>
              <w:pStyle w:val="TableContents"/>
              <w:bidi w:val="0"/>
              <w:spacing w:before="0" w:after="283"/>
              <w:jc w:val="left"/>
              <w:rPr/>
            </w:pPr>
            <w:r>
              <w:rPr/>
              <w:t> </w:t>
            </w:r>
          </w:p>
        </w:tc>
        <w:tc>
          <w:tcPr>
            <w:tcW w:w="162" w:type="dxa"/>
            <w:tcBorders/>
            <w:shd w:fill="CCECFF" w:val="clear"/>
            <w:vAlign w:val="center"/>
          </w:tcPr>
          <w:p>
            <w:pPr>
              <w:pStyle w:val="TableContents"/>
              <w:bidi w:val="0"/>
              <w:spacing w:before="0" w:after="283"/>
              <w:jc w:val="left"/>
              <w:rPr/>
            </w:pPr>
            <w:r>
              <w:rPr/>
              <w:t> </w:t>
            </w:r>
          </w:p>
        </w:tc>
        <w:tc>
          <w:tcPr>
            <w:tcW w:w="235"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9,977</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37"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right"/>
              <w:rPr/>
            </w:pPr>
            <w:r>
              <w:rPr/>
              <w:t> </w:t>
            </w:r>
          </w:p>
        </w:tc>
        <w:tc>
          <w:tcPr>
            <w:tcW w:w="387" w:type="dxa"/>
            <w:tcBorders/>
            <w:shd w:fill="CCECFF" w:val="clear"/>
            <w:vAlign w:val="center"/>
          </w:tcPr>
          <w:p>
            <w:pPr>
              <w:pStyle w:val="TableContents"/>
              <w:bidi w:val="0"/>
              <w:spacing w:before="0" w:after="283"/>
              <w:jc w:val="left"/>
              <w:rPr/>
            </w:pPr>
            <w:r>
              <w:rPr/>
              <w:t> </w:t>
            </w:r>
          </w:p>
        </w:tc>
        <w:tc>
          <w:tcPr>
            <w:tcW w:w="723"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7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 xml:space="preserve">General and administrative expenses were $9.1 million for the six months ended June 30, 2024 compared to $10.0 million for the same period in 2023. The decrease of $0.9 million in general and administrative expenses was primarily due to a decrease in stock-based compensation expense because of the lower grant date fair value of our awards vesting during the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both"/>
        <w:rPr>
          <w:rFonts w:ascii="Times New Roman" w:hAnsi="Times New Roman"/>
          <w:sz w:val="20"/>
        </w:rPr>
      </w:pPr>
      <w:r>
        <w:rPr>
          <w:rFonts w:ascii="Times New Roman" w:hAnsi="Times New Roman"/>
          <w:i/>
          <w:color w:val="000000"/>
          <w:sz w:val="20"/>
        </w:rPr>
        <w:t>Interest and Other Income, Net</w:t>
      </w:r>
      <w:r>
        <w:rPr>
          <w:rFonts w:ascii="Times New Roman" w:hAnsi="Times New Roman"/>
          <w:color w:val="000000"/>
          <w:sz w:val="20"/>
        </w:rPr>
        <w:t xml:space="preserve"> </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Interest income consists of interest earned on our cash and cash equivalents and available-for-sale securities. The following table summarizes the period-over-period changes in our interest and other income, net (in thousands, except for percentages):</w:t>
      </w:r>
    </w:p>
    <w:tbl>
      <w:tblPr>
        <w:tblW w:w="7855" w:type="dxa"/>
        <w:jc w:val="left"/>
        <w:tblInd w:w="0" w:type="dxa"/>
        <w:tblLayout w:type="fixed"/>
        <w:tblCellMar>
          <w:top w:w="28" w:type="dxa"/>
          <w:left w:w="28" w:type="dxa"/>
          <w:bottom w:w="28" w:type="dxa"/>
          <w:right w:w="28" w:type="dxa"/>
        </w:tblCellMar>
      </w:tblPr>
      <w:tblGrid>
        <w:gridCol w:w="2521"/>
        <w:gridCol w:w="146"/>
        <w:gridCol w:w="235"/>
        <w:gridCol w:w="637"/>
        <w:gridCol w:w="162"/>
        <w:gridCol w:w="162"/>
        <w:gridCol w:w="235"/>
        <w:gridCol w:w="637"/>
        <w:gridCol w:w="146"/>
        <w:gridCol w:w="146"/>
        <w:gridCol w:w="298"/>
        <w:gridCol w:w="812"/>
        <w:gridCol w:w="146"/>
        <w:gridCol w:w="146"/>
        <w:gridCol w:w="285"/>
        <w:gridCol w:w="825"/>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vAlign w:val="center"/>
          </w:tcPr>
          <w:p>
            <w:pPr>
              <w:pStyle w:val="TableContents"/>
              <w:bidi w:val="0"/>
              <w:spacing w:before="0" w:after="283"/>
              <w:jc w:val="center"/>
              <w:rPr/>
            </w:pPr>
            <w:r>
              <w:rPr/>
              <w:t> </w:t>
            </w:r>
          </w:p>
        </w:tc>
      </w:tr>
      <w:tr>
        <w:trPr/>
        <w:tc>
          <w:tcPr>
            <w:tcW w:w="252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CECFF" w:val="clear"/>
            <w:vAlign w:val="center"/>
          </w:tcPr>
          <w:p>
            <w:pPr>
              <w:pStyle w:val="TableContents"/>
              <w:bidi w:val="0"/>
              <w:spacing w:before="0" w:after="283"/>
              <w:jc w:val="left"/>
              <w:rPr/>
            </w:pPr>
            <w:r>
              <w:rPr/>
              <w:t> </w:t>
            </w:r>
          </w:p>
        </w:tc>
        <w:tc>
          <w:tcPr>
            <w:tcW w:w="235"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3,109</w:t>
            </w:r>
          </w:p>
        </w:tc>
        <w:tc>
          <w:tcPr>
            <w:tcW w:w="162" w:type="dxa"/>
            <w:tcBorders/>
            <w:shd w:fill="CCECFF" w:val="clear"/>
            <w:vAlign w:val="center"/>
          </w:tcPr>
          <w:p>
            <w:pPr>
              <w:pStyle w:val="TableContents"/>
              <w:bidi w:val="0"/>
              <w:spacing w:before="0" w:after="283"/>
              <w:jc w:val="left"/>
              <w:rPr/>
            </w:pPr>
            <w:r>
              <w:rPr/>
              <w:t> </w:t>
            </w:r>
          </w:p>
        </w:tc>
        <w:tc>
          <w:tcPr>
            <w:tcW w:w="162" w:type="dxa"/>
            <w:tcBorders/>
            <w:shd w:fill="CCECFF" w:val="clear"/>
            <w:vAlign w:val="center"/>
          </w:tcPr>
          <w:p>
            <w:pPr>
              <w:pStyle w:val="TableContents"/>
              <w:bidi w:val="0"/>
              <w:spacing w:before="0" w:after="283"/>
              <w:jc w:val="left"/>
              <w:rPr/>
            </w:pPr>
            <w:r>
              <w:rPr/>
              <w:t> </w:t>
            </w:r>
          </w:p>
        </w:tc>
        <w:tc>
          <w:tcPr>
            <w:tcW w:w="235"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7"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298"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1,908</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85"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31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left"/>
        <w:rPr>
          <w:rFonts w:ascii="Times New Roman" w:hAnsi="Times New Roman"/>
          <w:color w:val="000000"/>
          <w:sz w:val="20"/>
        </w:rPr>
      </w:pPr>
      <w:r>
        <w:rPr>
          <w:rFonts w:ascii="Times New Roman" w:hAnsi="Times New Roman"/>
          <w:color w:val="000000"/>
          <w:sz w:val="20"/>
        </w:rPr>
        <w:t>Interest and other income, net was $3.1 million for the six months ended June 30, 2024, compared to $1.2 million for the same period in 2023. The increase of $1.9 million was primarily due to more interest income earned on marketable securities caused by a larger portfolio balance after the receipt of $100.0 million upon entering into the Gilead Collaboration in October 2023.</w:t>
      </w:r>
    </w:p>
    <w:p>
      <w:pPr>
        <w:pStyle w:val="TextBody"/>
        <w:bidi w:val="0"/>
        <w:spacing w:before="200" w:after="120"/>
        <w:jc w:val="both"/>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period-over-period changes in our income tax expense (in thousands, except for percentages):</w:t>
      </w:r>
    </w:p>
    <w:tbl>
      <w:tblPr>
        <w:tblW w:w="7061" w:type="dxa"/>
        <w:jc w:val="left"/>
        <w:tblInd w:w="0" w:type="dxa"/>
        <w:tblLayout w:type="fixed"/>
        <w:tblCellMar>
          <w:top w:w="28" w:type="dxa"/>
          <w:left w:w="28" w:type="dxa"/>
          <w:bottom w:w="28" w:type="dxa"/>
          <w:right w:w="28" w:type="dxa"/>
        </w:tblCellMar>
      </w:tblPr>
      <w:tblGrid>
        <w:gridCol w:w="1726"/>
        <w:gridCol w:w="146"/>
        <w:gridCol w:w="295"/>
        <w:gridCol w:w="588"/>
        <w:gridCol w:w="204"/>
        <w:gridCol w:w="204"/>
        <w:gridCol w:w="295"/>
        <w:gridCol w:w="483"/>
        <w:gridCol w:w="146"/>
        <w:gridCol w:w="146"/>
        <w:gridCol w:w="369"/>
        <w:gridCol w:w="741"/>
        <w:gridCol w:w="146"/>
        <w:gridCol w:w="146"/>
        <w:gridCol w:w="285"/>
        <w:gridCol w:w="825"/>
        <w:gridCol w:w="31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06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1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vAlign w:val="center"/>
          </w:tcPr>
          <w:p>
            <w:pPr>
              <w:pStyle w:val="TableContents"/>
              <w:bidi w:val="0"/>
              <w:spacing w:before="0" w:after="283"/>
              <w:jc w:val="center"/>
              <w:rPr/>
            </w:pPr>
            <w:r>
              <w:rPr/>
              <w:t> </w:t>
            </w:r>
          </w:p>
        </w:tc>
      </w:tr>
      <w:tr>
        <w:trPr/>
        <w:tc>
          <w:tcPr>
            <w:tcW w:w="17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CECFF" w:val="clear"/>
            <w:vAlign w:val="center"/>
          </w:tcPr>
          <w:p>
            <w:pPr>
              <w:pStyle w:val="TableContents"/>
              <w:bidi w:val="0"/>
              <w:spacing w:before="0" w:after="283"/>
              <w:jc w:val="left"/>
              <w:rPr/>
            </w:pPr>
            <w:r>
              <w:rPr/>
              <w:t> </w:t>
            </w:r>
          </w:p>
        </w:tc>
        <w:tc>
          <w:tcPr>
            <w:tcW w:w="295"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8"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204" w:type="dxa"/>
            <w:tcBorders/>
            <w:shd w:fill="CCECFF" w:val="clear"/>
            <w:vAlign w:val="center"/>
          </w:tcPr>
          <w:p>
            <w:pPr>
              <w:pStyle w:val="TableContents"/>
              <w:bidi w:val="0"/>
              <w:spacing w:before="0" w:after="283"/>
              <w:jc w:val="left"/>
              <w:rPr/>
            </w:pPr>
            <w:r>
              <w:rPr/>
              <w:t> </w:t>
            </w:r>
          </w:p>
        </w:tc>
        <w:tc>
          <w:tcPr>
            <w:tcW w:w="204" w:type="dxa"/>
            <w:tcBorders/>
            <w:shd w:fill="CCECFF" w:val="clear"/>
            <w:vAlign w:val="center"/>
          </w:tcPr>
          <w:p>
            <w:pPr>
              <w:pStyle w:val="TableContents"/>
              <w:bidi w:val="0"/>
              <w:spacing w:before="0" w:after="283"/>
              <w:jc w:val="left"/>
              <w:rPr/>
            </w:pPr>
            <w:r>
              <w:rPr/>
              <w:t> </w:t>
            </w:r>
          </w:p>
        </w:tc>
        <w:tc>
          <w:tcPr>
            <w:tcW w:w="295"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3" w:type="dxa"/>
            <w:tcBorders/>
            <w:shd w:fill="CCECFF" w:val="clear"/>
            <w:vAlign w:val="center"/>
          </w:tcPr>
          <w:p>
            <w:pPr>
              <w:pStyle w:val="TableContents"/>
              <w:bidi w:val="0"/>
              <w:spacing w:before="0" w:after="283"/>
              <w:jc w:val="right"/>
              <w:rPr>
                <w:color w:val="000000"/>
              </w:rPr>
            </w:pPr>
            <w:r>
              <w:rPr>
                <w:color w:val="000000"/>
              </w:rPr>
              <w:t>—</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left"/>
              <w:rPr/>
            </w:pPr>
            <w:r>
              <w:rPr/>
              <w:t> </w:t>
            </w:r>
          </w:p>
        </w:tc>
        <w:tc>
          <w:tcPr>
            <w:tcW w:w="369"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46" w:type="dxa"/>
            <w:tcBorders/>
            <w:shd w:fill="CCECFF" w:val="clear"/>
            <w:vAlign w:val="center"/>
          </w:tcPr>
          <w:p>
            <w:pPr>
              <w:pStyle w:val="TableContents"/>
              <w:bidi w:val="0"/>
              <w:spacing w:before="0" w:after="283"/>
              <w:jc w:val="left"/>
              <w:rPr/>
            </w:pPr>
            <w:r>
              <w:rPr/>
              <w:t> </w:t>
            </w:r>
          </w:p>
        </w:tc>
        <w:tc>
          <w:tcPr>
            <w:tcW w:w="146" w:type="dxa"/>
            <w:tcBorders/>
            <w:shd w:fill="CCECFF" w:val="clear"/>
            <w:vAlign w:val="center"/>
          </w:tcPr>
          <w:p>
            <w:pPr>
              <w:pStyle w:val="TableContents"/>
              <w:bidi w:val="0"/>
              <w:spacing w:before="0" w:after="283"/>
              <w:jc w:val="right"/>
              <w:rPr/>
            </w:pPr>
            <w:r>
              <w:rPr/>
              <w:t> </w:t>
            </w:r>
          </w:p>
        </w:tc>
        <w:tc>
          <w:tcPr>
            <w:tcW w:w="285" w:type="dxa"/>
            <w:tcBorders/>
            <w:shd w:fill="CCECFF" w:val="clear"/>
            <w:vAlign w:val="center"/>
          </w:tcPr>
          <w:p>
            <w:pPr>
              <w:pStyle w:val="TableContents"/>
              <w:bidi w:val="0"/>
              <w:spacing w:before="0" w:after="283"/>
              <w:jc w:val="left"/>
              <w:rPr/>
            </w:pPr>
            <w:r>
              <w:rPr/>
              <w:t> </w:t>
            </w:r>
          </w:p>
        </w:tc>
        <w:tc>
          <w:tcPr>
            <w:tcW w:w="825"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Income tax expense was $0.4 million for the six months ended June 30, 2024 due to the estimated taxable income from the upfront payments received under the Gilead Collaboration in 2023. There was no income tax expense recognized during the six months ended June 30, 2023. </w:t>
      </w:r>
    </w:p>
    <w:p>
      <w:pPr>
        <w:pStyle w:val="TextBody"/>
        <w:bidi w:val="0"/>
        <w:spacing w:before="200" w:after="12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June 30, 2024 principally through equity financings, raising an aggregate of $631.2 million in net proceeds, and strategic collaborations, raising an aggregate of $185.7 million through upfront payments.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Cash Flows for the Six Months Ended June 30, 2024 and 2023</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our cash flow activities (in thousands):</w:t>
      </w:r>
    </w:p>
    <w:tbl>
      <w:tblPr>
        <w:tblW w:w="6439" w:type="dxa"/>
        <w:jc w:val="left"/>
        <w:tblInd w:w="0" w:type="dxa"/>
        <w:tblLayout w:type="fixed"/>
        <w:tblCellMar>
          <w:top w:w="28" w:type="dxa"/>
          <w:left w:w="28" w:type="dxa"/>
          <w:bottom w:w="28" w:type="dxa"/>
          <w:right w:w="28" w:type="dxa"/>
        </w:tblCellMar>
      </w:tblPr>
      <w:tblGrid>
        <w:gridCol w:w="3696"/>
        <w:gridCol w:w="146"/>
        <w:gridCol w:w="211"/>
        <w:gridCol w:w="736"/>
        <w:gridCol w:w="166"/>
        <w:gridCol w:w="146"/>
        <w:gridCol w:w="211"/>
        <w:gridCol w:w="736"/>
        <w:gridCol w:w="391"/>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(35,466</w:t>
            </w:r>
          </w:p>
        </w:tc>
        <w:tc>
          <w:tcPr>
            <w:tcW w:w="16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vAlign w:val="center"/>
          </w:tcPr>
          <w:p>
            <w:pPr>
              <w:pStyle w:val="TableContents"/>
              <w:bidi w:val="0"/>
              <w:spacing w:before="0" w:after="283"/>
              <w:jc w:val="left"/>
              <w:rPr/>
            </w:pPr>
            <w:r>
              <w:rPr/>
              <w:t> </w:t>
            </w:r>
          </w:p>
        </w:tc>
        <w:tc>
          <w:tcPr>
            <w:tcW w:w="21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C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(37,056</w:t>
            </w:r>
          </w:p>
        </w:tc>
        <w:tc>
          <w:tcPr>
            <w:tcW w:w="391"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391" w:type="dxa"/>
            <w:tcBorders/>
            <w:shd w:fill="FFFFFF" w:val="clear"/>
            <w:vAlign w:val="center"/>
          </w:tcPr>
          <w:p>
            <w:pPr>
              <w:pStyle w:val="TableContents"/>
              <w:bidi w:val="0"/>
              <w:spacing w:before="0" w:after="283"/>
              <w:jc w:val="left"/>
              <w:rPr/>
            </w:pPr>
            <w:r>
              <w:rPr/>
              <w:t> </w:t>
            </w:r>
          </w:p>
        </w:tc>
      </w:tr>
      <w:tr>
        <w:trPr/>
        <w:tc>
          <w:tcPr>
            <w:tcW w:w="3696" w:type="dxa"/>
            <w:tcBorders/>
            <w:shd w:fill="CCEC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CCECFF" w:val="cle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operating activities for the six months ended June 30, 2024 was $35.5 million, compared to $37.1 million for the same period in 2023. The change was primarily attributable to the timing of vendor invoicing and payments.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investing activities for the six months ended June 30, 2024 was $22.4 million compared to $1.6 million for the same period in 2023. The change was due to an increase in net proceeds from maturities of our marketable securities.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financing activities for the six months ended June 30, 2024 was $12.5 million compared to $4.6 million for the same period in 2023. The change was due to the increase in proceeds from the registered direct offering and private placement in June 2024 compared to the shares sold of our common stock under the 2020 ATM in the six months ended June 30, 2023.</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expect our future operating expenses to increase substantially over the coming years as we continue to advance our candidates into the clinic. We expect our existing cash, cash equivalents and marketable securities will enable us to fund our operating expenses and capital expenditure requirements into 2026.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monitor our cash needs and the status of the capital markets on a continuous basis. From time to time, we opportunistically raise capital and have done so numerous times since our initial public offering by issuing equity securities, most recently in June 2024. We expect to continue to raise capital when and as needed and at the time and in the manner most advantageous to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capital requirements will depend on many factors, including: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scope, progress, results and costs of our ongoing drug discovery, nonclinical development, laboratory testing and clinical studies of our product candidates and any additional clinical studies we may conduct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raise capital despite macroeconomic and geopolitical events impacting financial markets, such as rising inflation, market volatility and risk of recession;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realize future potential benefits pursuant to the Gilead Collaboration and maintain the collaboration;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manufacture, and to contract with third parties to manufacture, adequate supplies of our product candidates for our clinical studies and any eventual commercialization;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preparing, filing and prosecuting patent applications in the United States and abroad, maintaining and enforcing our intellectual property rights and defending intellectual property-related claims.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likely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 To the extent that we raise additional capital through the sale of equity,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are unable to raise additional funds when needed, we may be required to reduce staff, delay, scale back or discontinue our product development and clinical studies or grant rights to develop and market product candidates that we would otherwise prefer to develop and market ourselves.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00" w:after="283"/>
        <w:jc w:val="both"/>
        <w:rPr>
          <w:rFonts w:ascii="Times New Roman" w:hAnsi="Times New Roman"/>
          <w:sz w:val="20"/>
        </w:rPr>
      </w:pPr>
      <w:bookmarkStart w:id="11" w:name="item_4_controls_procedures"/>
      <w:bookmarkEnd w:id="11"/>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Chief Executive Officer and President, who serves as our principal executive officer and principal financial officer, of the effectiveness of the design and operation of our disclosure controls and procedures pursuant to Exchange Act Rules 13a-15(b) and 15d-15(b) as of the end of the period covered by this report. Based upon that evaluation, our Chief Executive Officer and President concluded that our disclosure controls and procedures as of the end of the period covered by this report were effective at the reasonable assurance level.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in the quarter ended June 30, 2024 that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2" w:name="part_ii_or_information"/>
      <w:bookmarkEnd w:id="12"/>
      <w:r>
        <w:rPr>
          <w:rFonts w:ascii="Times New Roman" w:hAnsi="Times New Roman"/>
          <w:b/>
          <w:color w:val="000000"/>
          <w:sz w:val="20"/>
        </w:rPr>
        <w:t>PART II – OTHER INFORMATION</w:t>
      </w:r>
    </w:p>
    <w:p>
      <w:pPr>
        <w:pStyle w:val="TextBody"/>
        <w:bidi w:val="0"/>
        <w:spacing w:before="200" w:after="283"/>
        <w:jc w:val="both"/>
        <w:rPr>
          <w:rFonts w:ascii="Times New Roman" w:hAnsi="Times New Roman"/>
          <w:sz w:val="20"/>
        </w:rPr>
      </w:pPr>
      <w:bookmarkStart w:id="13" w:name="item_1_legal_proceedings"/>
      <w:bookmarkEnd w:id="13"/>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not a party to any material legal proceedings. In the future, we may from time to time become involved in litigation relating to claims arising from our ordinary course of business.</w:t>
      </w:r>
    </w:p>
    <w:p>
      <w:pPr>
        <w:pStyle w:val="TextBody"/>
        <w:bidi w:val="0"/>
        <w:spacing w:before="200" w:after="283"/>
        <w:jc w:val="both"/>
        <w:rPr>
          <w:rFonts w:ascii="Times New Roman" w:hAnsi="Times New Roman"/>
          <w:b/>
          <w:color w:val="000000"/>
          <w:sz w:val="20"/>
        </w:rPr>
      </w:pPr>
      <w:bookmarkStart w:id="14" w:name="item_1a_risk_factors"/>
      <w:bookmarkEnd w:id="14"/>
      <w:r>
        <w:rPr>
          <w:rFonts w:ascii="Times New Roman" w:hAnsi="Times New Roman"/>
          <w:b/>
          <w:color w:val="000000"/>
          <w:sz w:val="20"/>
        </w:rPr>
        <w:t>Item 1A. Risk Factors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You should carefully consider the following risk factors, together with all other information in this report, including our condensed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our product candidates are in clinical development or in varying stages of nonclinical development. Data supporting our clinical development programs are derived from nonclinical data that support our early stage clinical programs, which will determine whether pivotal studies are appropriate. These pivotal studies are necessary to support regulatory approval, and it may be years before these larger, pivotal studies are completed, if ever.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 </w:t>
      </w:r>
    </w:p>
    <w:p>
      <w:pPr>
        <w:pStyle w:val="TextBody"/>
        <w:bidi w:val="0"/>
        <w:spacing w:before="200" w:after="283"/>
        <w:jc w:val="both"/>
        <w:rPr>
          <w:rFonts w:ascii="Times New Roman" w:hAnsi="Times New Roman"/>
          <w:sz w:val="20"/>
        </w:rPr>
      </w:pPr>
      <w:r>
        <w:rPr>
          <w:rFonts w:ascii="Times New Roman" w:hAnsi="Times New Roman"/>
          <w:b/>
          <w:i/>
          <w:color w:val="000000"/>
          <w:sz w:val="20"/>
        </w:rPr>
        <w:t>We are not currently profitable and might never become profitable, and we will need additional financing to complete the development of any product candidates and fund our activities into the future.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debt financings and payments we may receive from out-licenses, collaborations or other strategic arrangements. Adverse geopolitical and macroeconomic developments, such as the recent and potential future disruptions in access to bank deposits and lending commitments due to bank failures, ongoing military conflicts, related sanctions, actual and anticipated changes in interest rates, economic inflation and the responses by central banking authorities to control such inflation, could affect our ability to access capital as and when needed.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is no assurance that we will be successful in raising any necessary additional capital on terms that are acceptable to us, or at all. If we are unable to develop and commercialize any product candidates and generate sufficient revenue or raise capital, we could be forced to reduce staff, delay, scale back or discontinue product development and clinical studies, sacrifice attractive business opportunities, cease operations entirely and sell, or otherwise transfer, all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substantially all of our remaining assets, which would likely have a material adverse impact on our business, results of operations, financial condition and share price. </w:t>
      </w:r>
    </w:p>
    <w:p>
      <w:pPr>
        <w:pStyle w:val="TextBody"/>
        <w:bidi w:val="0"/>
        <w:spacing w:before="200" w:after="283"/>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expect our collaboration with Gilead to be a critical part of the development, manufacture and commercialization of our product candidates. If this collaboration is unsuccessful, our business could be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October 2023, we entered into the Gilead Collaboration Agreement with Gilead, whereby Gilead exclusively licensed to us its HPI program and NNPI program, while retaining opt-in rights to these programs, and will have an option to take an exclusive license, on a program-by-program basis, to all of our other current and future pipeline programs during the collaboration term. In connection with the entry into the Gilead Collaboration Agreement, we and Gilead also entered into a common stock purchase agreement and an investor rights agreement, which were both amended in June 2024. Also in June 2024, we and Gilead subsequently entered into a securities purchase agreement and warrant agreement. Our agreements and relationship with Gilead pose a number of risks, including, but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Conflicts may arise between us and Gilead, such as conflicts regarding the indications to pursue or concerning the clinical data supporting an opt-in decision, the commercial potential of any optioned investigational products, the interpretation of financial provisions or the ownership of intellectual property developed during the collaboration. Any such conflicts could slow or prevent the development or commercialization of our investigational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collaboration with Gilead does not result in the successful development and commercialization of products or if Gilead terminates the Gilead Collaboration Agreement with us, we may not receive any future research funding or milestone or royalty payments under the collaboration. If we do not receive the funding we expect under these agreements, our development of our investigational products could be delayed and we may need additional resources to develop our investigational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be heavily dependent on Gilead for further development and commercialization of the investigational products from the programs that it opts into.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successful in this collaboration due to various other factors, including our ability to demonstrate proof of concept in one or more clinical studies so that Gilead will exercise its option to these programs. In addition, even if we demonstrate clinical proof of concept of a candidate, Gilead may choose not to exercise its option.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Gilead has the right to designate (and has designated) two directors for appointment to our board of directors pursuant to the terms of the investor rights agreement and owns approximately 19.9% of our outstanding common stock. Gilead also has the right to acquire additional shares from us, and in the open market, up to an amount resulting in Gilead owning a total of 35% of our outstanding common stock. As a result, Gilead may be able to exert significant influence over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Gilead could independently develop, or develop with third parties, products that compete directly or indirectly with our investigational products if Gilead believes that competitive products are more likely to be successfully developed or can be commercialized under terms that are more economically attractive than ours.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Gilead has an option to all our current, and future, pipeline programs during the collaboration term, it may be difficult for us to enter into new collaborations.</w:t>
      </w:r>
    </w:p>
    <w:p>
      <w:pPr>
        <w:pStyle w:val="TextBody"/>
        <w:bidi w:val="0"/>
        <w:spacing w:before="200" w:after="283"/>
        <w:jc w:val="both"/>
        <w:rPr>
          <w:rFonts w:ascii="Times New Roman" w:hAnsi="Times New Roman"/>
          <w:sz w:val="20"/>
        </w:rPr>
      </w:pPr>
      <w:r>
        <w:rPr>
          <w:rFonts w:ascii="Times New Roman" w:hAnsi="Times New Roman"/>
          <w:b/>
          <w:i/>
          <w:color w:val="000000"/>
          <w:sz w:val="20"/>
        </w:rPr>
        <w:t>Nonclinical and clinical studies required for our product candidates are expensive and time-consuming and may fail to demonstrate the level of safety and efficacy necessary for product approval.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commencement and rate of completion of clinical studies might be delayed by many factors, including,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agreement with regulatory authorities on study design;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agreement on acceptable terms with prospective contract research organizations (CROs) and clinical study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demonstrate efficacy or the emergence of unforeseen safety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insufficient quantities of qualified materials under current good manufacturing practice (cGMP) for use in clinical studies due to manufacturing challenges, delays or interruptions in the supply chain;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slower than expected rates of participant recruitment or failure to recruit a sufficient number of eligible participants, which may be due to a number of reasons, including the size of the participant population, the proximity of participants to clinical sites, the eligibility criteria for the study, the design of the clinical study, and other potential drug candidates being studied;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participants completing participation in a study or return for post-treatment follow-up for any reason, including, product side effects or disease progression;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modification of clinical study protocols;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suspension, or termination of clinical studies by the institutional review board or ethics committee responsible for overseeing the study at a particular study site;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 or other regulatory agency delays or clinical holds requiring suspension or termination of our clinical studies due to safety, tolerability or other issues related to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CROs to conduct some of our nonclinical and clinical studies due to our lack of suitable facilities and resources. In addition, parts of our business are reliant on CROs, vendors, suppliers and other service providers in locations outside of the United States, including China.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do not have sufficient facilities or resources to conduct all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we are exposed to a number of risks related to our CROs, vendors, suppliers and other service providers that are located outside of the United States, many of which may be beyond our control. These risks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actions such as the war between Russia and Ukraine, the Israel-Hamas war, as well as tariffs, other wars, acts of terrorism, natural disasters or outbreaks of disease;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regulatory requirements for drug approvals or increased scrutiny on CROs located in foreign countries, including China;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standards of care in various countries that could complicate the evaluation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U.S. and foreign drug import and export rules;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reimbursement systems and different competitive drugs indicated to treat the indication for which our product candidates are being developed;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protection for intellectual property rights in certain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unexpected changes in tariffs, trade barriers and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the United States Foreign Corrupt Practices Act (the FCPA) and other anti-corruption and anti-bribery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taxes, including withholding of payroll taxes;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and compliance with foreign currency exchange rules, which could result in increased operating expenses and reduced revenues, and other obligations incident to doing business in another country.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Top-line, preliminary or interim data may not accurately reflect the final results of a particular study.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publicly disclose top-line, preliminary or interim data based on analysis of then-available efficacy, tolerability, PK and safety data, and the results and related findings and conclusions are subject to change following a more comprehensive data review related to the particular study. We also make assumptions, estimates, calculations and conclusions as part of our data analyses, and we may not have received or had the opportunity to fully and carefully evaluate all data prior to release. As a result, the top-line, preliminary or interim results that we report may differ from final results of the same studies or different conclusions or considerations may qualify such results once additional data have been received and fully evaluated. Top-line, preliminary or interim data also remain subject to audit and verification procedures that may result in the final data differing materially from previously published top-line, preliminary or interim data. As a result, top-line, preliminary or interim data should be viewed with caution until the final data are available.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top-line, preliminary or interim results, the information that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preliminary or interim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on third-party manufacturers to supply the quantities of our investigational product candidates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the following risks with respect to the manufacture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need to identify manufacturers for commercial supply on acceptable terms, which we may be unable to do because the number of potential manufacturers is limited, and the FDA must evaluate and approve any new or replacement contractor.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third-party manufacturers with whom we contract might be unable to formulate and manufacture our product candidates in the volume and quality required to meet our nonclinical, clinical and, if approved, commercial needs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third-party manufacturers with whom we contract might not perform as agreed or might not remain in the contract manufacturing business for the time required to supply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One or more of any third-party manufacturers with whom we contract could be foreign, which increases the risk of shipping delays and adds the risk of import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complete control over, and cannot ensure, any third-party manufacturers’ compliance with cGMP and other government regulations and corresponding foreign requirements, including periodic FDA and state regulatory inspections.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share our trade secrets and know-how with third parties, increasing risk of misappropriation or disclosure of our intellectual property by or to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When contracting with third-party manufacturers, we might compete with other companies for access to these manufacturers’ facilities and might be subject to manufacturing delays if the manufacturers give other clients higher priority than we are given.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these risks could delay our development efforts, nonclinical studies and clinical studies or the approval, if any, of our product candidates by the FDA or applicable non-U.S. regulatory authorities and the commercialization of our product candidates. This could result in higher costs or deprive us of potential product revenues and materially harm our business,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lose key management personnel and cannot recruit and retain similarly qualified replacements, our business may materially suffer.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unanticipated loss of any of these key employees could have a material adverse impact on our business, financial condition and results of operations.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collaboration partners might delay, prevent or undermine the success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activities of any collaborator, including Gilead,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including the Gilead Collaboration, is unsuccessful, we might require substantially greater capital to undertake development and marketing of our proposed products and might not be able to develop and market these products effectively, if at all. In addition, if Gilead does not opt-in to a program, it might lead to significant delays in introducing proposed products into certain markets and/or reduced sales of proposed products in such markets.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not be successful in establishing and maintaining collaborations, which could adversely affect our ability to develop certain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Developing pharmaceutical products, conducting clinical studies, obtaining regulatory approval and commercializing those products are expensive and lengthy undertakings that require significant resources and expertise. We may seek to enter into collaborations, including licensing or partnering arrangements, with other companies to support the development and commercialization of any or multiple of our programs that Gilead declines to opt into or to obtain financing or share costs on these programs. If we are unable to enter into such collaborations on acceptable terms, if at all, we may be unable to advance certain of our product candidates through further nonclinical or clinical development. We expect to face competition in seeking appropriate partners. Moreover, collaboration arrangements are complex and time consuming to negotiate, document and implement and they may require substantial resources to maintain. We may not be successful in our efforts to establish and implement collaborations or other alternative arrangements for the development of our product candidates that Gilead declines to opt into.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we are unable to reach agreement on favorable terms with a suitable collaboration partner for any of our product candidates that Gilead declines to opt into, we may need to limit the number of our product candidates to advance through further nonclinical or clinical development. Failure to achieve such successful collaborations would limit our options for support of the development and commercialization of our programs and for financing and would likely have a material adverse impact on our business, results of operations, financial condition and share price.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data provided by third parties that has not been independently verified and could prove to be false, misleading, or incomplete.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and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Significant disruptions of information technology systems or breaches of data security, including cybersecurity incidents, could materially and adversely affect our business, results of operations and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system outages, terrorism, war, telecommunication and electrical failures, cyberattacks, cybersecurity incidents or cyber intrusions over the Internet, attachments to emails, persons inside our organization, or persons with access to systems inside our organization.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risk of a cybersecurity incident or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system outages and security vulnerabilities or incidents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European Union (EU) General Data Protection Regulation (EU GDPR). We would also be exposed to a risk of loss or litigation and potential liability, which could materially adversely affect our business, results of operations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development and commercialization goals may not be achieved in the timeframes that we publicly estimate, which could have an adverse impact on our business and could cause our stock price to decline.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set goals and make public statements regarding our expectations on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or Gilead does not opt-in to any of our programs, our business could be materially and adversely affected, and the price of our common stock could decline.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Developments by competitors might render our product candidates or technologies obsolete or non-competitive.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pharmaceutical and biotechnology industries are intensely competitive. In addition, the clinical and commercial landscapes for recurrent genital herpes, HDV, HBV and transplant-related herpesviruses are rapidly changing; we expect new data from commercial and clinical-stage products to continue to emerge. We compete with organizations, some with significantly more resources, who are developing competitive product candidates. If our competitors develop effective treatments for recurrent genital herpes, HDV, HBV and transplant-related herpesviruses or any other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indication or field we might pursue, and successfully commercialize those treatments, our business and prospects could be materially harmed.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Negative data from clinical studies using a competitor’s product candidates with the same or similar mechanisms of action (MOA) as ours could adversely impact the perception of the therapeutic use of our product candidates and our ability to enroll individuals in clinical studies.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clinical and commercial success of our potential products will depend in part on the public and clinical communities’ acceptance of novel classes of product candidates. Moreover, our success depends upon physicians prescribing, and their patients being willing to receive, treatments that involve the use of our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the same MOA as our product candidates, even if not ultimately attributable to our product candidates, and any resulting publicity could result in increased governmental regulation, unfavorable public perception, potential regulatory delays in the testing or approval of our product candidates, stricter labeling requirements for our product candidates that are approved, if any, and a decrease in demand for any such products.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ability to use our net operating loss and credit carryforwards and certain other tax attributes may be limited.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net operating loss carryforwards due to prior period losses generated before January 1, 2024, which if not utilized, will begin to expire in 2027 for net operating loss carryforwards prior to 2018. If we are unable to generate sufficient taxable income to utilize our net operating loss carryforwards, pre-2018 carryforwards could expire unused and be unavailable to offset future income tax liabilities.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Sections 382 and 383 of the Internal Revenue Code of 1986, as amended (the Code), a corporation that undergoes an “ownership change” (generally defined as a greater than 50% change (by value) in its equity ownership over a three-year period) is subject to annual limitations on its ability to use its pre-change net operating loss carryforwards and other pre-change tax attributes (such as research tax credits) to offset its post-change income or taxes. We have experienced ownership changes in the past, and recent and future equity issuances may result in additional ownership change. Accordingly, some of our net operating losses or credits could expire unutilized, and our ability to utilize our net operating losses or credits to offset U.S. federal taxable income could be limited, which would result in increased future tax liability to us. We may also be subject to similar limitations at the state level.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Regulatory and Legal Environment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are and will be subject to extensive and costly government regulation, and the failure to comply with these regulations may have a material adverse effect on our operations and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product candidates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we or our collaborators obtain regulatory approval for a particular product, the approval might limit the intended medical uses for the product, limit our ability to promote, sell, and distribute the product, require that we conduct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 If we, our collaborators, our contractors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 approval applications or supplements to approved applications, untitled letters or warning letters, fines, import and export restrictions, product recalls or seizures, injunctions, total or partial suspension of production, civil penalties, withdrawals of previously approved marketing applications, recommendations by the FDA or other regulatory authorities against governmental contracts, and/or criminal prosecutions.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approval process might also be delayed by changes in government regulation, future legislation or administrative action or changes in FDA policy that occur prior to or during our regulatory review. Delays in obtaining regulatory approvals might: delay commercialization of, and our ability to derive product revenues from, our product candidates; impose costly procedures on us; and diminish any competitive advantages that we might otherwise enjoy.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contractual damages, reputational harm and diminished profits and future earnings.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Regulators globally are imposing greater monetary fines for privacy violations. The EU GDPR applies to any company established in the EU as well as to those outside the EU if they collect and use personal data in connection with the offering of goods or services to individuals in the EU or the monitoring of their behavior. The EU GDPR enhances data protection obligations for processors and controllers of personal data, including, for example, expanded disclosures about how personal information is to be used, limitations on retention of information, mandatory data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breach notification requirements and onerous new obligations on services providers. Noncompliance with the EU GDPR may result in monetary penalties of up to €20 million or 4% of worldwide revenue, whichever is higher. The EU GDPR may increase our responsibility and liability in relation to personal data that we process and we may be required to put in place additional mechanisms to ensure compliance with the EU GDPR, including as implemented by individual countries. Compliance with the EU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California Consumer Privacy Act (CCPA) also created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safe harbors available, it is possible that some of our business activities could be subject to challenge under one or more of such laws.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face the risk of product liability claims and might not be able to obtain insurance.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might be exposed to liability claims associated with the use of hazardous materials and chemicals.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the risk of fraud or other misconduct, including failure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with applicable regulations of, and provide accurate information to, the FDA or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with federal and state healthcare fraud and abuse laws and regulations and similar laws and regulations established and enforced by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with the FCPA, the U.K. Bribery Act 2010, the PRC Criminal Law, the PRC Anti-unfair Competition Law and other anti-bribery and trade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report financial information and data accurately;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 unauthorized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business depends on protecting our intellectual property.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our licensors and our collaborators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positions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Formulation patents protect the formulation of a product and do not prevent a competitor from making and marketing a product that has an identical active pharmaceutical ingredient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 if the product is formulated differently than the patented formulation. We rely on a combination of these and other types of patents to protect our product candidates, and there can be no assurance that our intellectual property will create and sustain the competitive position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patents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incur substantial costs as a result of litigation or other proceedings relating to our patents and other intellectual property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infringe the intellectual property rights of others, which may prevent or delay our product development efforts and stop us from commercializing or increase the costs of commercializing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cost of maintaining our patent protection globally is high and requires continuous review and compliance. We may not be able to effectively maintain our intellectual property position throughout the major markets of the world.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Intellectual property rights do not address all potential threats to any competitive advantage we may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compounds that are the same as, or similar to, our current or future product candidates but that are not covered by the claims of the patents that we own or have exclusively licensed.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any of our licensors or strategic partners might not have been the first to make the inventions covered by the issued patents or pending patent applications that we own or have exclusively licensed.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any of our licensors or strategic partners might not have been the first to file patent applications covering certain of our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prosecution of our pending patent applications may not result in granted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Granted patents that we own or have exclusively licensed may not provide us with any competitive advantages, or may be held invalid or unenforceable, because of legal challenges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protection on our product candidates may expire before we are able to develop and commercialize the product, or before we are able to recover our investment in the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price of our common stock might fluctuate significantly, and you could lose all or part of your investment.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15" w:name="item_2_unregistered_sales_equity_securit"/>
      <w:bookmarkEnd w:id="15"/>
      <w:r>
        <w:rPr>
          <w:rFonts w:ascii="Times New Roman" w:hAnsi="Times New Roman"/>
          <w:b/>
          <w:color w:val="000000"/>
          <w:sz w:val="20"/>
        </w:rPr>
        <w:t>Item 2. Unregistered Sales of Equity Securities and Use of Proceeds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16" w:name="item_3_defaults_upon_senior_securities"/>
      <w:bookmarkEnd w:id="16"/>
      <w:r>
        <w:rPr>
          <w:rFonts w:ascii="Times New Roman" w:hAnsi="Times New Roman"/>
          <w:b/>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17" w:name="item_4_mine_safety_disclosures"/>
      <w:bookmarkEnd w:id="17"/>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sz w:val="20"/>
        </w:rPr>
      </w:pPr>
      <w:bookmarkStart w:id="18" w:name="item_5_or_information"/>
      <w:bookmarkEnd w:id="18"/>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9" w:name="item_6_exhibits"/>
      <w:bookmarkEnd w:id="19"/>
      <w:r>
        <w:rPr>
          <w:rFonts w:ascii="Times New Roman" w:hAnsi="Times New Roman"/>
          <w:b/>
          <w:color w:val="000000"/>
          <w:sz w:val="20"/>
        </w:rPr>
        <w:t>Item 6. Exhibits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 xml:space="preserve">Exhibits. </w:t>
      </w:r>
      <w:r>
        <w:rPr>
          <w:rFonts w:ascii="Times New Roman" w:hAnsi="Times New Roman"/>
          <w:color w:val="000000"/>
          <w:sz w:val="20"/>
        </w:rPr>
        <w:t>The following exhibits are filed or furnished, as applicable, as part of this quarterly report on Form 10-Q:</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73"/>
        <w:gridCol w:w="146"/>
        <w:gridCol w:w="5373"/>
        <w:gridCol w:w="146"/>
        <w:gridCol w:w="781"/>
        <w:gridCol w:w="146"/>
        <w:gridCol w:w="1066"/>
        <w:gridCol w:w="146"/>
        <w:gridCol w:w="745"/>
        <w:gridCol w:w="146"/>
        <w:gridCol w:w="737"/>
      </w:tblGrid>
      <w:tr>
        <w:trPr/>
        <w:tc>
          <w:tcPr>
            <w:tcW w:w="7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77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7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w:t>
            </w:r>
          </w:p>
          <w:p>
            <w:pPr>
              <w:pStyle w:val="TableContents"/>
              <w:bidi w:val="0"/>
              <w:jc w:val="center"/>
              <w:rPr>
                <w:rFonts w:ascii="Times New Roman" w:hAnsi="Times New Roman"/>
                <w:b/>
                <w:color w:val="000000"/>
                <w:sz w:val="16"/>
              </w:rPr>
            </w:pPr>
            <w:r>
              <w:rPr>
                <w:rFonts w:ascii="Times New Roman" w:hAnsi="Times New Roman"/>
                <w:b/>
                <w:color w:val="000000"/>
                <w:sz w:val="16"/>
              </w:rPr>
              <w:t>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from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7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pPr>
            <w:r>
              <w:rPr/>
              <w:t> </w:t>
            </w:r>
          </w:p>
        </w:tc>
      </w:tr>
      <w:tr>
        <w:trPr/>
        <w:tc>
          <w:tcPr>
            <w:tcW w:w="77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hyperlink r:id="rId2">
              <w:r>
                <w:rPr>
                  <w:rStyle w:val="InternetLink"/>
                  <w:rFonts w:ascii="Times New Roman" w:hAnsi="Times New Roman"/>
                  <w:color w:val="0000FF"/>
                  <w:sz w:val="20"/>
                  <w:u w:val="single"/>
                </w:rPr>
                <w:t>Warrant to Purchase Shares of Common Stock.</w:t>
              </w:r>
            </w:hyperlink>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06/18/2024</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r>
      <w:tr>
        <w:trPr/>
        <w:tc>
          <w:tcPr>
            <w:tcW w:w="7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pPr>
            <w:r>
              <w:rPr/>
              <w:t> </w:t>
            </w:r>
          </w:p>
        </w:tc>
      </w:tr>
      <w:tr>
        <w:trPr/>
        <w:tc>
          <w:tcPr>
            <w:tcW w:w="77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Warrant to Purchase Shares of Common Stock.</w:t>
              </w:r>
            </w:hyperlink>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06/18/2024</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r>
      <w:tr>
        <w:trPr/>
        <w:tc>
          <w:tcPr>
            <w:tcW w:w="7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3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pPr>
            <w:r>
              <w:rPr/>
              <w:t> </w:t>
            </w:r>
          </w:p>
        </w:tc>
      </w:tr>
      <w:tr>
        <w:trPr/>
        <w:tc>
          <w:tcPr>
            <w:tcW w:w="77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hyperlink r:id="rId4">
              <w:r>
                <w:rPr>
                  <w:rStyle w:val="InternetLink"/>
                  <w:rFonts w:ascii="Times New Roman" w:hAnsi="Times New Roman"/>
                  <w:color w:val="0000FF"/>
                  <w:sz w:val="20"/>
                  <w:u w:val="single"/>
                </w:rPr>
                <w:t>Assembly Biosciences, Inc. Amended and Restated 2018 Stock Incentive Plan.</w:t>
              </w:r>
            </w:hyperlink>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06/03/2024</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7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3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pPr>
            <w:r>
              <w:rPr/>
              <w:t> </w:t>
            </w:r>
          </w:p>
        </w:tc>
      </w:tr>
      <w:tr>
        <w:trPr/>
        <w:tc>
          <w:tcPr>
            <w:tcW w:w="77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Assembly Biosciences, Inc. Second Amended and Restated 2018 Employee Stock Purchase Plan.</w:t>
              </w:r>
            </w:hyperlink>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06/03/2024</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r>
      <w:tr>
        <w:trPr/>
        <w:tc>
          <w:tcPr>
            <w:tcW w:w="7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3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pPr>
            <w:r>
              <w:rPr/>
              <w:t> </w:t>
            </w:r>
          </w:p>
        </w:tc>
      </w:tr>
      <w:tr>
        <w:trPr/>
        <w:tc>
          <w:tcPr>
            <w:tcW w:w="77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hyperlink r:id="rId6">
              <w:r>
                <w:rPr>
                  <w:rStyle w:val="InternetLink"/>
                  <w:rFonts w:ascii="Times New Roman" w:hAnsi="Times New Roman"/>
                  <w:color w:val="0000FF"/>
                  <w:sz w:val="20"/>
                  <w:u w:val="single"/>
                </w:rPr>
                <w:t>Securities Purchase Agreement, dated June 16, 2024, by and between Assembly Biosciences, Inc. and the Purchaser.</w:t>
              </w:r>
            </w:hyperlink>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06/18/2024</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r>
      <w:tr>
        <w:trPr/>
        <w:tc>
          <w:tcPr>
            <w:tcW w:w="7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3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pPr>
            <w:r>
              <w:rPr/>
              <w:t> </w:t>
            </w:r>
          </w:p>
        </w:tc>
      </w:tr>
      <w:tr>
        <w:trPr/>
        <w:tc>
          <w:tcPr>
            <w:tcW w:w="77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Securities Purchase Agreement, dated June 17, 2024, by and between Assembly Biosciences, Inc. and Gilead Sciences, Inc.</w:t>
              </w:r>
            </w:hyperlink>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06/18/2024</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r>
      <w:tr>
        <w:trPr/>
        <w:tc>
          <w:tcPr>
            <w:tcW w:w="7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3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pPr>
            <w:r>
              <w:rPr/>
              <w:t> </w:t>
            </w:r>
          </w:p>
        </w:tc>
      </w:tr>
      <w:tr>
        <w:trPr/>
        <w:tc>
          <w:tcPr>
            <w:tcW w:w="77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hyperlink r:id="rId8">
              <w:r>
                <w:rPr>
                  <w:rStyle w:val="InternetLink"/>
                  <w:rFonts w:ascii="Times New Roman" w:hAnsi="Times New Roman"/>
                  <w:color w:val="0000FF"/>
                  <w:sz w:val="20"/>
                  <w:u w:val="single"/>
                </w:rPr>
                <w:t>Amendment No. 1 to Common Stock Purchase Agreement by and between Assembly Biosciences, Inc. and Gilead Sciences, Inc.</w:t>
              </w:r>
            </w:hyperlink>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06/18/2024</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r>
      <w:tr>
        <w:trPr/>
        <w:tc>
          <w:tcPr>
            <w:tcW w:w="7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53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pPr>
            <w:r>
              <w:rPr/>
              <w:t> </w:t>
            </w:r>
          </w:p>
        </w:tc>
      </w:tr>
      <w:tr>
        <w:trPr/>
        <w:tc>
          <w:tcPr>
            <w:tcW w:w="77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10.6</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Amendment No. 1 to Investor Rights Agreement by and between Assembly Biosciences, Inc. and Gilead Sciences, Inc.</w:t>
              </w:r>
            </w:hyperlink>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06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vAlign w:val="center"/>
          </w:tcPr>
          <w:p>
            <w:pPr>
              <w:pStyle w:val="TableContents"/>
              <w:bidi w:val="0"/>
              <w:spacing w:before="0" w:after="283"/>
              <w:jc w:val="center"/>
              <w:rPr/>
            </w:pPr>
            <w:r>
              <w:rPr/>
              <w:t> </w:t>
            </w:r>
          </w:p>
        </w:tc>
        <w:tc>
          <w:tcPr>
            <w:tcW w:w="745"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06/18/2024</w:t>
            </w:r>
          </w:p>
        </w:tc>
        <w:tc>
          <w:tcPr>
            <w:tcW w:w="146" w:type="dxa"/>
            <w:tcBorders/>
            <w:vAlign w:val="center"/>
          </w:tcPr>
          <w:p>
            <w:pPr>
              <w:pStyle w:val="TableContents"/>
              <w:bidi w:val="0"/>
              <w:spacing w:before="0" w:after="283"/>
              <w:jc w:val="center"/>
              <w:rPr/>
            </w:pPr>
            <w:r>
              <w:rPr/>
              <w:t> </w:t>
            </w:r>
          </w:p>
        </w:tc>
        <w:tc>
          <w:tcPr>
            <w:tcW w:w="737"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r>
      <w:tr>
        <w:trPr/>
        <w:tc>
          <w:tcPr>
            <w:tcW w:w="7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hyperlink w:anchor="asmb-ex31_1.htm">
              <w:r>
                <w:rPr>
                  <w:rStyle w:val="InternetLink"/>
                  <w:rFonts w:ascii="Times New Roman" w:hAnsi="Times New Roman"/>
                  <w:color w:val="0000FF"/>
                  <w:sz w:val="20"/>
                  <w:u w:val="single"/>
                </w:rPr>
                <w:t>Certification of Chief Executive Officer Pursuant to Section 302 of the Sarbanes-Oxley Act of 2002.</w:t>
              </w:r>
            </w:hyperlink>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7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center"/>
              <w:rPr/>
            </w:pPr>
            <w:r>
              <w:rPr/>
              <w:t> </w:t>
            </w:r>
          </w:p>
        </w:tc>
      </w:tr>
      <w:tr>
        <w:trPr/>
        <w:tc>
          <w:tcPr>
            <w:tcW w:w="77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32.1*</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hyperlink w:anchor="asmb-ex32_1.htm">
              <w:r>
                <w:rPr>
                  <w:rStyle w:val="InternetLink"/>
                  <w:rFonts w:ascii="Times New Roman" w:hAnsi="Times New Roman"/>
                  <w:color w:val="0000FF"/>
                  <w:sz w:val="20"/>
                  <w:u w:val="single"/>
                </w:rPr>
                <w:t>Certification of Chief Executive Officer Pursuant to Section 906 of the Sarbanes-Oxley Act of 2002.</w:t>
              </w:r>
            </w:hyperlink>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7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101.CAL</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101.LAB</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101.PRE</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101.DEF</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r>
        <w:trPr/>
        <w:tc>
          <w:tcPr>
            <w:tcW w:w="773"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pPr>
            <w:r>
              <w:rPr/>
              <w:t> </w:t>
            </w:r>
          </w:p>
        </w:tc>
        <w:tc>
          <w:tcPr>
            <w:tcW w:w="537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c>
          <w:tcPr>
            <w:tcW w:w="146" w:type="dxa"/>
            <w:tcBorders/>
            <w:vAlign w:val="center"/>
          </w:tcPr>
          <w:p>
            <w:pPr>
              <w:pStyle w:val="TableContents"/>
              <w:bidi w:val="0"/>
              <w:spacing w:before="0" w:after="283"/>
              <w:jc w:val="left"/>
              <w:rPr/>
            </w:pPr>
            <w:r>
              <w:rPr/>
              <w:t> </w:t>
            </w:r>
          </w:p>
        </w:tc>
        <w:tc>
          <w:tcPr>
            <w:tcW w:w="78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vAlign w:val="center"/>
          </w:tcPr>
          <w:p>
            <w:pPr>
              <w:pStyle w:val="TableContents"/>
              <w:bidi w:val="0"/>
              <w:spacing w:before="0" w:after="283"/>
              <w:jc w:val="left"/>
              <w:rPr/>
            </w:pPr>
            <w:r>
              <w:rPr/>
              <w:t> </w:t>
            </w:r>
          </w:p>
        </w:tc>
        <w:tc>
          <w:tcPr>
            <w:tcW w:w="106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45"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737" w:type="dxa"/>
            <w:tcBorders/>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Represents management contracts or compensatory plans or arrangements.</w:t>
      </w:r>
    </w:p>
    <w:p>
      <w:pPr>
        <w:pStyle w:val="TextBody"/>
        <w:bidi w:val="0"/>
        <w:jc w:val="both"/>
        <w:rPr>
          <w:rFonts w:ascii="Times New Roman" w:hAnsi="Times New Roman"/>
          <w:color w:val="000000"/>
          <w:sz w:val="20"/>
        </w:rPr>
      </w:pPr>
      <w:r>
        <w:rPr>
          <w:rFonts w:ascii="Times New Roman" w:hAnsi="Times New Roman"/>
          <w:color w:val="000000"/>
          <w:sz w:val="20"/>
        </w:rPr>
        <w:t>* The certification attached as Exhibit 32.1 that accompanies this Quarterly Report on Form 10-Q is to be deemed furnished and shall not be deemed “filed” with the SEC and is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bookmarkStart w:id="20" w:name="signathure"/>
      <w:bookmarkEnd w:id="20"/>
      <w:r>
        <w:rPr/>
        <w:t> </w:t>
      </w:r>
    </w:p>
    <w:p>
      <w:pPr>
        <w:pStyle w:val="TextBody"/>
        <w:bidi w:val="0"/>
        <w:jc w:val="both"/>
        <w:rPr>
          <w:rFonts w:ascii="Times New Roman" w:hAnsi="Times New Roman"/>
          <w:color w:val="000000"/>
          <w:sz w:val="20"/>
        </w:rPr>
      </w:pPr>
      <w:r>
        <w:rPr>
          <w:rFonts w:ascii="Times New Roman" w:hAnsi="Times New Roman"/>
          <w:color w:val="000000"/>
          <w:sz w:val="20"/>
        </w:rPr>
        <w:t>In accordance with the requirements of the Securities Exchange Act of 1934, the registrant caused this report to be signed on its behalf by the undersigned, thereunto duly authorized.</w:t>
      </w:r>
    </w:p>
    <w:p>
      <w:pPr>
        <w:pStyle w:val="TextBody"/>
        <w:bidi w:val="0"/>
        <w:jc w:val="both"/>
        <w:rPr/>
      </w:pPr>
      <w:r>
        <w:rPr/>
        <w:t> </w:t>
      </w:r>
    </w:p>
    <w:tbl>
      <w:tblPr>
        <w:tblW w:w="7263" w:type="dxa"/>
        <w:jc w:val="left"/>
        <w:tblInd w:w="0" w:type="dxa"/>
        <w:tblLayout w:type="fixed"/>
        <w:tblCellMar>
          <w:top w:w="28" w:type="dxa"/>
          <w:left w:w="28" w:type="dxa"/>
          <w:bottom w:w="28" w:type="dxa"/>
          <w:right w:w="28" w:type="dxa"/>
        </w:tblCellMar>
      </w:tblPr>
      <w:tblGrid>
        <w:gridCol w:w="1846"/>
        <w:gridCol w:w="406"/>
        <w:gridCol w:w="501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sz w:val="4"/>
                <w:szCs w:val="4"/>
              </w:rPr>
            </w:pPr>
            <w:r>
              <w:rPr>
                <w:sz w:val="4"/>
                <w:szCs w:val="4"/>
              </w:rPr>
            </w:r>
          </w:p>
        </w:tc>
        <w:tc>
          <w:tcPr>
            <w:tcW w:w="5417" w:type="dxa"/>
            <w:gridSpan w:val="2"/>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Assembly Biosciences, Inc.</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A. Okazaki</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 Principal Financial Officer)</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bookmarkStart w:id="21" w:name="asmb-ex31_1.htm"/>
      <w:bookmarkStart w:id="22" w:name="ksasmbex31_1"/>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Jason A. Okazaki,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 have reviewed this Quarterly Report on Form 10</w:t>
        <w:noBreakHyphen/>
        <w:t xml:space="preserve">Q of Assembly Biosciences, Inc.;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w:t>
        <w:noBreakHyphen/>
        <w:t>15(e) and 15d</w:t>
        <w:noBreakHyphen/>
        <w:t>15(e)) and internal control over financial reporting (as defined in Exchange Act Rules 13a</w:t>
        <w:noBreakHyphen/>
        <w:t>15(f) and 15d</w:t>
        <w:noBreakHyphen/>
        <w:t xml:space="preserve">15(f)) for the registrant and have: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jc w:val="both"/>
        <w:rPr/>
      </w:pPr>
      <w:r>
        <w:rPr/>
        <w:t> </w:t>
      </w:r>
    </w:p>
    <w:tbl>
      <w:tblPr>
        <w:tblW w:w="7263" w:type="dxa"/>
        <w:jc w:val="left"/>
        <w:tblInd w:w="0" w:type="dxa"/>
        <w:tblLayout w:type="fixed"/>
        <w:tblCellMar>
          <w:top w:w="28" w:type="dxa"/>
          <w:left w:w="28" w:type="dxa"/>
          <w:bottom w:w="28" w:type="dxa"/>
          <w:right w:w="28" w:type="dxa"/>
        </w:tblCellMar>
      </w:tblPr>
      <w:tblGrid>
        <w:gridCol w:w="1846"/>
        <w:gridCol w:w="406"/>
        <w:gridCol w:w="501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8, 2024</w:t>
            </w:r>
          </w:p>
        </w:tc>
        <w:tc>
          <w:tcPr>
            <w:tcW w:w="406" w:type="dxa"/>
            <w:tcBorders/>
            <w:vAlign w:val="center"/>
          </w:tcPr>
          <w:p>
            <w:pPr>
              <w:pStyle w:val="TableContents"/>
              <w:bidi w:val="0"/>
              <w:spacing w:before="0" w:after="283"/>
              <w:jc w:val="left"/>
              <w:rPr/>
            </w:pPr>
            <w:r>
              <w:rPr/>
              <w:t> </w:t>
            </w:r>
          </w:p>
        </w:tc>
        <w:tc>
          <w:tcPr>
            <w:tcW w:w="5011" w:type="dxa"/>
            <w:tcBorders/>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011" w:type="dxa"/>
            <w:tcBorders/>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A. Okazaki</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5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 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3" w:name="asmb-ex32_1.htm"/>
      <w:bookmarkStart w:id="24" w:name="ksasmbex32_1"/>
      <w:bookmarkEnd w:id="23"/>
      <w:bookmarkEnd w:id="24"/>
      <w:r>
        <w:rPr>
          <w:rFonts w:ascii="Times New Roman" w:hAnsi="Times New Roman"/>
          <w:b/>
          <w:color w:val="000000"/>
          <w:sz w:val="20"/>
        </w:rPr>
        <w:t>EXHIBIT 32.1</w:t>
      </w:r>
      <w:r>
        <w:rPr>
          <w:rFonts w:ascii="Times New Roman" w:hAnsi="Times New Roman"/>
          <w:color w:val="000000"/>
          <w:sz w:val="20"/>
        </w:rPr>
        <w:t xml:space="preserve"> </w:t>
      </w:r>
      <w:r>
        <w:br w:type="page"/>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CERTIFICATION PURSUANT TO 18 U.S.C. SECTION 1350, AS ADOPTED PURSUANT TO </w:t>
      </w:r>
    </w:p>
    <w:p>
      <w:pPr>
        <w:pStyle w:val="TextBody"/>
        <w:bidi w:val="0"/>
        <w:jc w:val="center"/>
        <w:rPr>
          <w:rFonts w:ascii="Times New Roman" w:hAnsi="Times New Roman"/>
          <w:color w:val="000000"/>
          <w:sz w:val="20"/>
        </w:rPr>
      </w:pPr>
      <w:r>
        <w:rPr>
          <w:rFonts w:ascii="Times New Roman" w:hAnsi="Times New Roman"/>
          <w:color w:val="000000"/>
          <w:sz w:val="20"/>
        </w:rPr>
        <w:t xml:space="preserve">SECTION 906 OF THE SARBANES-OXLEY ACT OF 2002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Quarterly Report on Form 10</w:t>
        <w:noBreakHyphen/>
        <w:t xml:space="preserve">Q of Assembly Biosciences, Inc. (the Company) for the period ended June 30, 2024 as filed with the Securities and Exchange Commission on or about the date hereof (the Report), I, Jason A. Okazaki, Chief Executive Officer and President, hereby certify, pursuant to 18 U.S.C. Section 1350, as adopted pursuant to Section 906 of the Sarbanes-Oxley Act of 2002, that, to my knowledge: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 as of, and for, the periods presented in the Report.</w:t>
      </w:r>
    </w:p>
    <w:p>
      <w:pPr>
        <w:pStyle w:val="TextBody"/>
        <w:bidi w:val="0"/>
        <w:jc w:val="left"/>
        <w:rPr/>
      </w:pPr>
      <w:r>
        <w:rPr/>
        <w:t> </w:t>
      </w:r>
    </w:p>
    <w:tbl>
      <w:tblPr>
        <w:tblW w:w="5172" w:type="dxa"/>
        <w:jc w:val="left"/>
        <w:tblInd w:w="0" w:type="dxa"/>
        <w:tblLayout w:type="fixed"/>
        <w:tblCellMar>
          <w:top w:w="28" w:type="dxa"/>
          <w:left w:w="28" w:type="dxa"/>
          <w:bottom w:w="28" w:type="dxa"/>
          <w:right w:w="28" w:type="dxa"/>
        </w:tblCellMar>
      </w:tblPr>
      <w:tblGrid>
        <w:gridCol w:w="161"/>
        <w:gridCol w:w="5011"/>
      </w:tblGrid>
      <w:tr>
        <w:trPr/>
        <w:tc>
          <w:tcPr>
            <w:tcW w:w="161"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5011" w:type="dxa"/>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sz w:val="4"/>
                <w:szCs w:val="4"/>
              </w:rPr>
            </w:pPr>
            <w:r>
              <w:rPr>
                <w:sz w:val="4"/>
                <w:szCs w:val="4"/>
              </w:rPr>
            </w:r>
          </w:p>
        </w:tc>
        <w:tc>
          <w:tcPr>
            <w:tcW w:w="501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A. Okazaki</w:t>
            </w:r>
          </w:p>
        </w:tc>
      </w:tr>
      <w:tr>
        <w:trPr/>
        <w:tc>
          <w:tcPr>
            <w:tcW w:w="161"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r>
      <w:tr>
        <w:trPr/>
        <w:tc>
          <w:tcPr>
            <w:tcW w:w="161"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r>
          </w:p>
        </w:tc>
      </w:tr>
      <w:tr>
        <w:trPr/>
        <w:tc>
          <w:tcPr>
            <w:tcW w:w="161"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 Principal Financial Officer)</w:t>
            </w:r>
          </w:p>
        </w:tc>
      </w:tr>
      <w:tr>
        <w:trPr/>
        <w:tc>
          <w:tcPr>
            <w:tcW w:w="161"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sz w:val="4"/>
                <w:szCs w:val="4"/>
              </w:rPr>
            </w:pPr>
            <w:r>
              <w:rPr>
                <w:sz w:val="4"/>
                <w:szCs w:val="4"/>
              </w:rPr>
            </w:r>
          </w:p>
        </w:tc>
        <w:tc>
          <w:tcPr>
            <w:tcW w:w="5011" w:type="dxa"/>
            <w:tcBorders/>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August 8, 2024</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6800/000119312524163398/d852840dex41.htm" TargetMode="External"/><Relationship Id="rId3" Type="http://schemas.openxmlformats.org/officeDocument/2006/relationships/hyperlink" Target="https://www.sec.gov/Archives/edgar/data/1426800/000119312524163398/d852840dex42.htm" TargetMode="External"/><Relationship Id="rId4" Type="http://schemas.openxmlformats.org/officeDocument/2006/relationships/hyperlink" Target="https://www.sec.gov/Archives/edgar/data/1426800/000095017024067951/asmb-ex10_1.htm" TargetMode="External"/><Relationship Id="rId5" Type="http://schemas.openxmlformats.org/officeDocument/2006/relationships/hyperlink" Target="https://www.sec.gov/Archives/edgar/data/1426800/000095017024067951/asmb-ex10_2.htm" TargetMode="External"/><Relationship Id="rId6" Type="http://schemas.openxmlformats.org/officeDocument/2006/relationships/hyperlink" Target="https://www.sec.gov/Archives/edgar/data/1426800/000119312524163398/d852840dex101.htm" TargetMode="External"/><Relationship Id="rId7" Type="http://schemas.openxmlformats.org/officeDocument/2006/relationships/hyperlink" Target="https://www.sec.gov/Archives/edgar/data/1426800/000119312524163398/d852840dex102.htm" TargetMode="External"/><Relationship Id="rId8" Type="http://schemas.openxmlformats.org/officeDocument/2006/relationships/hyperlink" Target="https://www.sec.gov/Archives/edgar/data/1426800/000119312524163398/d852840dex103.htm" TargetMode="External"/><Relationship Id="rId9" Type="http://schemas.openxmlformats.org/officeDocument/2006/relationships/hyperlink" Target="https://www.sec.gov/Archives/edgar/data/1426800/000119312524163398/d852840dex104.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24669</Words>
  <Characters>136233</Characters>
  <CharactersWithSpaces>162051</CharactersWithSpaces>
  <Paragraphs>5105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