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60630.htm"/>
      <w:bookmarkStart w:id="1" w:name="ksasmb202606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10-Q</w:t>
      </w:r>
    </w:p>
    <w:p>
      <w:pPr>
        <w:pStyle w:val="TextBody"/>
        <w:pBdr>
          <w:bottom w:val="single" w:sz="4" w:space="1" w:color="000000"/>
        </w:pBdr>
        <w:bidi w:val="0"/>
        <w:jc w:val="center"/>
        <w:rPr/>
      </w:pPr>
      <w:r>
        <w:rPr/>
        <w:t> </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___________to___________.</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001-35005</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ASSEMBLY BIOSCIENCES,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both"/>
        <w:rPr/>
      </w:pPr>
      <w:r>
        <w:rPr/>
        <w:t> </w:t>
      </w:r>
    </w:p>
    <w:tbl>
      <w:tblPr>
        <w:tblW w:w="4952" w:type="dxa"/>
        <w:jc w:val="left"/>
        <w:tblInd w:w="0" w:type="dxa"/>
        <w:tblLayout w:type="fixed"/>
        <w:tblCellMar>
          <w:top w:w="28" w:type="dxa"/>
          <w:left w:w="28" w:type="dxa"/>
          <w:bottom w:w="28" w:type="dxa"/>
          <w:right w:w="28" w:type="dxa"/>
        </w:tblCellMar>
      </w:tblPr>
      <w:tblGrid>
        <w:gridCol w:w="2236"/>
        <w:gridCol w:w="2716"/>
      </w:tblGrid>
      <w:tr>
        <w:trPr/>
        <w:tc>
          <w:tcPr>
            <w:tcW w:w="223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20-8729264</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3782" w:type="dxa"/>
        <w:jc w:val="left"/>
        <w:tblInd w:w="0" w:type="dxa"/>
        <w:tblLayout w:type="fixed"/>
        <w:tblCellMar>
          <w:top w:w="28" w:type="dxa"/>
          <w:left w:w="28" w:type="dxa"/>
          <w:bottom w:w="28" w:type="dxa"/>
          <w:right w:w="28" w:type="dxa"/>
        </w:tblCellMar>
      </w:tblPr>
      <w:tblGrid>
        <w:gridCol w:w="2926"/>
        <w:gridCol w:w="856"/>
      </w:tblGrid>
      <w:tr>
        <w:trPr/>
        <w:tc>
          <w:tcPr>
            <w:tcW w:w="29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Two Tower Place, 7th Floor</w:t>
            </w:r>
          </w:p>
        </w:tc>
        <w:tc>
          <w:tcPr>
            <w:tcW w:w="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South San Francisco, California</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94080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(833) 509-4583</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pBdr>
          <w:bottom w:val="single" w:sz="4" w:space="1" w:color="000000"/>
        </w:pBdr>
        <w:bidi w:val="0"/>
        <w:spacing w:before="0" w:after="12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both"/>
        <w:rPr/>
      </w:pPr>
      <w:r>
        <w:rPr/>
        <w:t> </w:t>
      </w:r>
    </w:p>
    <w:tbl>
      <w:tblPr>
        <w:tblW w:w="7158" w:type="dxa"/>
        <w:jc w:val="left"/>
        <w:tblInd w:w="0" w:type="dxa"/>
        <w:tblLayout w:type="fixed"/>
        <w:tblCellMar>
          <w:top w:w="28" w:type="dxa"/>
          <w:left w:w="28" w:type="dxa"/>
          <w:bottom w:w="28" w:type="dxa"/>
          <w:right w:w="28" w:type="dxa"/>
        </w:tblCellMar>
      </w:tblPr>
      <w:tblGrid>
        <w:gridCol w:w="2506"/>
        <w:gridCol w:w="1426"/>
        <w:gridCol w:w="3226"/>
      </w:tblGrid>
      <w:tr>
        <w:trPr/>
        <w:tc>
          <w:tcPr>
            <w:tcW w:w="250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5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Common Stock, par value $0.001</w:t>
            </w:r>
          </w:p>
        </w:tc>
        <w:tc>
          <w:tcPr>
            <w:tcW w:w="1426" w:type="dxa"/>
            <w:tcBorders>
              <w:bottom w:val="single" w:sz="8" w:space="0" w:color="000000"/>
              <w:right w:val="single" w:sz="8"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ASMB</w:t>
            </w:r>
          </w:p>
        </w:tc>
        <w:tc>
          <w:tcPr>
            <w:tcW w:w="3226" w:type="dxa"/>
            <w:tcBorders>
              <w:bottom w:val="single" w:sz="8" w:space="0" w:color="000000"/>
              <w:right w:val="single" w:sz="8"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As of August 7, 2026, there were 20,360,596</w:t>
      </w:r>
      <w:r>
        <w:rPr>
          <w:rFonts w:ascii="Times New Roman" w:hAnsi="Times New Roman"/>
          <w:color w:val="000000"/>
          <w:sz w:val="20"/>
        </w:rPr>
        <w:t xml:space="preserve"> </w:t>
      </w:r>
      <w:r>
        <w:rPr>
          <w:rFonts w:ascii="Times New Roman" w:hAnsi="Times New Roman"/>
          <w:color w:val="000000"/>
          <w:sz w:val="18"/>
        </w:rPr>
        <w:t>shares of the registrant’s common stock outstanding.</w:t>
      </w:r>
    </w:p>
    <w:p>
      <w:pPr>
        <w:pStyle w:val="TextBody"/>
        <w:pBdr>
          <w:bottom w:val="double" w:sz="4" w:space="1" w:color="000000"/>
        </w:pBdr>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8348"/>
        <w:gridCol w:w="976"/>
      </w:tblGrid>
      <w:tr>
        <w:trPr/>
        <w:tc>
          <w:tcPr>
            <w:tcW w:w="881" w:type="dxa"/>
            <w:tcBorders/>
            <w:vAlign w:val="center"/>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80"/>
              <w:jc w:val="left"/>
              <w:rPr/>
            </w:pPr>
            <w:r>
              <w:rPr/>
              <w:t> </w:t>
            </w:r>
          </w:p>
        </w:tc>
        <w:tc>
          <w:tcPr>
            <w:tcW w:w="8348" w:type="dxa"/>
            <w:tcBorders/>
            <w:tcMar>
              <w:top w:w="0" w:type="dxa"/>
              <w:left w:w="0" w:type="dxa"/>
              <w:bottom w:w="0" w:type="dxa"/>
              <w:right w:w="0" w:type="dxa"/>
            </w:tcMar>
            <w:vAlign w:val="center"/>
          </w:tcPr>
          <w:p>
            <w:pPr>
              <w:pStyle w:val="TableContents"/>
              <w:bidi w:val="0"/>
              <w:spacing w:before="0" w:after="80"/>
              <w:jc w:val="left"/>
              <w:rPr/>
            </w:pPr>
            <w:r>
              <w:rPr/>
              <w:t> </w:t>
            </w:r>
          </w:p>
        </w:tc>
        <w:tc>
          <w:tcPr>
            <w:tcW w:w="976"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29" w:type="dxa"/>
            <w:gridSpan w:val="2"/>
            <w:tcBorders/>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229" w:type="dxa"/>
            <w:gridSpan w:val="2"/>
            <w:tcBorders/>
            <w:tcMar>
              <w:top w:w="0" w:type="dxa"/>
              <w:left w:w="0" w:type="dxa"/>
              <w:bottom w:w="0" w:type="dxa"/>
              <w:right w:w="0" w:type="dxa"/>
            </w:tcMar>
            <w:vAlign w:val="center"/>
          </w:tcPr>
          <w:p>
            <w:pPr>
              <w:pStyle w:val="TableContents"/>
              <w:bidi w:val="0"/>
              <w:spacing w:before="0" w:after="283"/>
              <w:jc w:val="left"/>
              <w:rPr/>
            </w:pPr>
            <w:hyperlink w:anchor="risk_factors_summary">
              <w:r>
                <w:rPr>
                  <w:rStyle w:val="InternetLink"/>
                  <w:rFonts w:ascii="Times New Roman" w:hAnsi="Times New Roman"/>
                  <w:color w:val="0000FF"/>
                  <w:sz w:val="20"/>
                  <w:u w:val="single"/>
                </w:rPr>
                <w:t>Risk Factors Summary</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at June 30, 2026 (unaudited) and December 31, 2025</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for the Three and Six Months Ended June 30, 2026 and 2025 (unaudited)</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for the Three and Six Months Ended June 30, 2026 and 2025 (unaudited)</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2026 and 2025 (unaudited)</w:t>
              </w:r>
            </w:hyperlink>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8</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the Condensed Consolidated Financial Statements (unaudited)</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34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2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29" w:type="dxa"/>
            <w:gridSpan w:val="2"/>
            <w:tcBorders/>
            <w:tcMar>
              <w:top w:w="0" w:type="dxa"/>
              <w:left w:w="0" w:type="dxa"/>
              <w:bottom w:w="0" w:type="dxa"/>
              <w:right w:w="0" w:type="dxa"/>
            </w:tcMar>
            <w:vAlign w:val="center"/>
          </w:tcPr>
          <w:p>
            <w:pPr>
              <w:pStyle w:val="TableContents"/>
              <w:bidi w:val="0"/>
              <w:spacing w:before="0" w:after="283"/>
              <w:jc w:val="left"/>
              <w:rPr/>
            </w:pPr>
            <w:hyperlink w:anchor="signathure">
              <w:r>
                <w:rPr>
                  <w:rStyle w:val="InternetLink"/>
                  <w:rFonts w:ascii="Times New Roman" w:hAnsi="Times New Roman"/>
                  <w:color w:val="0000FF"/>
                  <w:sz w:val="20"/>
                  <w:u w:val="single"/>
                </w:rPr>
                <w:t>SIGNATURES</w:t>
              </w:r>
            </w:hyperlink>
          </w:p>
        </w:tc>
        <w:tc>
          <w:tcPr>
            <w:tcW w:w="9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References to Assembly Biosciences,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Throughout this Quarterly Report on Form 10-Q, the “Company,” “Assembly,” “we,” “us,” and “our,” except where the context requires otherwise, refer to Assembly Biosciences, Inc. and its consolidated subsidiaries, and “board of directors” refers to the board of directors of Assembly Biosciences, Inc.</w:t>
      </w:r>
    </w:p>
    <w:p>
      <w:pPr>
        <w:pStyle w:val="TextBody"/>
        <w:bidi w:val="0"/>
        <w:spacing w:before="200" w:after="283"/>
        <w:jc w:val="both"/>
        <w:rPr>
          <w:rFonts w:ascii="Times New Roman" w:hAnsi="Times New Roman"/>
          <w:b/>
          <w:color w:val="000000"/>
          <w:sz w:val="20"/>
        </w:rPr>
      </w:pPr>
      <w:bookmarkStart w:id="2" w:name="forward_looking_statements"/>
      <w:bookmarkEnd w:id="2"/>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that are subject to certain risks and uncertainties, including, without limitation, those set forth in Part I, Item 1A of our Annual Report on Form 10-K filed with the U.S. Securities and Exchange Commission (SEC) on March 19, 2026 (2025 Annual Report) and Part II, Item 1A of this Quarterly Report on Form 10-Q under the heading “Risk Factors,” that could cause actual results to materially differ. Such risks and uncertainties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realize the potential benefits of our collaboration with Gilead Sciences, Inc. (Gilead), including all financial aspects of the collaboration and equity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initiate and complete clinical studies involving our therapeutic product candidates, including studies contemplated by our collaboration with Gilead, in the currently anticipated timeframes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safety and efficacy data from clinical or nonclinical studies may not warrant further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nonclinical data may not differentiate our product candidates from other companies’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financial resources and secure additional funding necessary to continue our research activities, clinical studies and other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effects of changes in government regulation;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nonclinical studies may not be representative of disease behavior in a clinical setting and may not be predictive of the outcomes of 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are urged to consider statements that include the words may, will, would, could, should, might, believes, hopes, estimates, projects, potential, enable,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or therapeutic product candidates that Gilead has licensed from us;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pStyle w:val="TextBody"/>
        <w:bidi w:val="0"/>
        <w:spacing w:before="200" w:after="283"/>
        <w:jc w:val="left"/>
        <w:rPr>
          <w:rFonts w:ascii="Times New Roman" w:hAnsi="Times New Roman"/>
          <w:b/>
          <w:color w:val="000000"/>
          <w:sz w:val="20"/>
        </w:rPr>
      </w:pPr>
      <w:bookmarkStart w:id="3" w:name="risk_factors_summary"/>
      <w:bookmarkEnd w:id="3"/>
      <w:r>
        <w:rPr>
          <w:rFonts w:ascii="Times New Roman" w:hAnsi="Times New Roman"/>
          <w:b/>
          <w:color w:val="000000"/>
          <w:sz w:val="20"/>
        </w:rPr>
        <w:t>Risk Factors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summary of the principal risks that could adversely affect our business, operations and financial results. For more information, see Part II, Item 1A in this Quarterly Report on Form 10-Q for the period ended June 30,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 approved products and depend on the future success of the product candidates in our research and development pipeline.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not currently profitable and might never become profitable, and we will need additional financing to complete the development of any product candidates and fund our activities into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our collaboration with Gilead to be a critical part of the development, manufacture and commercialization of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Nonclinical and clinical studies required for our product candidates are expensive and time-consuming and may fail to demonstrate the level of safety and efficacy necessary for product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contract research organizations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Top-line, preliminary or interim data may not accurately reflect the final results of a particular study.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lose key management personnel and cannot recruit and retain similarly qualified replacements, our business may materially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collaboration partners might delay, prevent or undermine the success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establishing and maintaining collaborations, which could adversely affect our ability to develop certain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data provided by third parties that has not been independently verified.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development and commercialization goals, including data releases, may not be achieved in the timeframes that we publicly estimate, which could have an adverse impact on our business and could cause our stock price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developments may render our product candidates or technologies obsolete or non-competitive.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disruptions of information technology systems or breaches of data security, including cybersecurity incidents, could materially and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use our net operating loss and credit carryforwards and certain other tax attributes may be limited.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Regulatory and Legal Environment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and will be subject to extensive and costly government regulation, and the failure to comply with these regulations may have a material adverse effect on our operations and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regulatory approval processes of the FDA and comparable foreign authorities are lengthy, time consuming and inherently unpredictable.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third-party partners and service providers are subject to stringent privacy laws, information security laws, regulations, policies and contractual obligations related to data privacy and security, and compliance with such laws, regulations, policies and contractual obligations could result in additional costs and liabilities to us and failure to comply could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and our collaborators may be subject, directly or indirectly, to applicable U.S. federal and state anti-kickback, false claims laws, physician payment transparency laws, other fraud and abuse laws or similar healthcare and security laws and regulations, and health information privacy and security laws, which could expose us or them to criminal sanctions, civil penalties, exclusion or suspension from federal and state healthcare programs, contractual damages, reputational harm and diminished profits and future earnings.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the risk of product liability claims and might not be able to obtain insurance.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might be exposed to liability claims associated with the use of hazardous materials and chemicals.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employees, independent contractors, consultants, collaborators and CROs may engage in misconduct or other improper activities, including noncompliance with regulatory standards and requirements for which we may be held responsible and which could result in significant liability for us and harm our reputation.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depends on protecting our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incur substantial costs as a result of litigation or other proceedings relating to our patents and other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infringe the intellectual property rights of others, which may prevent or delay our product development efforts and stop us from commercializing or increase the costs of commercializing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of maintaining our patent protection globally is high and requires continuous review and compliance.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Intellectual property rights do not address all potential threats to any competitive advantage we may have.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price of our common stock has in the past and may continue to fluctuate significantly.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4" w:name="part_i_financial_information"/>
      <w:bookmarkEnd w:id="4"/>
      <w:r>
        <w:rPr>
          <w:rFonts w:ascii="Times New Roman" w:hAnsi="Times New Roman"/>
          <w:b/>
          <w:color w:val="000000"/>
          <w:sz w:val="20"/>
        </w:rPr>
        <w:t>PART I - FINANCIAL INFORMATION</w:t>
      </w:r>
    </w:p>
    <w:p>
      <w:pPr>
        <w:pStyle w:val="TextBody"/>
        <w:bidi w:val="0"/>
        <w:jc w:val="both"/>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 and par value)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211"/>
        <w:gridCol w:w="931"/>
        <w:gridCol w:w="166"/>
        <w:gridCol w:w="146"/>
        <w:gridCol w:w="211"/>
        <w:gridCol w:w="931"/>
        <w:gridCol w:w="41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from collaboration with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257,590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50,839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no shares issued or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150,000,000 shares authorized as of June 30, 2026 and December 31, 2025; 19,850,342 and 15,855,329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(832,047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330,832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257,590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7" w:name="condensed_consolidated_statements_operat"/>
      <w:bookmarkEnd w:id="7"/>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and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54"/>
        <w:gridCol w:w="146"/>
        <w:gridCol w:w="211"/>
        <w:gridCol w:w="1036"/>
        <w:gridCol w:w="166"/>
        <w:gridCol w:w="146"/>
        <w:gridCol w:w="211"/>
        <w:gridCol w:w="931"/>
        <w:gridCol w:w="166"/>
        <w:gridCol w:w="146"/>
        <w:gridCol w:w="211"/>
        <w:gridCol w:w="1036"/>
        <w:gridCol w:w="166"/>
        <w:gridCol w:w="146"/>
        <w:gridCol w:w="211"/>
        <w:gridCol w:w="931"/>
        <w:gridCol w:w="391"/>
      </w:tblGrid>
      <w:tr>
        <w:trPr/>
        <w:tc>
          <w:tcPr>
            <w:tcW w:w="3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18,853,646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7,655,854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17,882,335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7,581,501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8" w:name="condensed_consolidated_statements_change"/>
      <w:bookmarkEnd w:id="8"/>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25"/>
        <w:gridCol w:w="146"/>
        <w:gridCol w:w="146"/>
        <w:gridCol w:w="916"/>
        <w:gridCol w:w="146"/>
        <w:gridCol w:w="146"/>
        <w:gridCol w:w="249"/>
        <w:gridCol w:w="442"/>
        <w:gridCol w:w="146"/>
        <w:gridCol w:w="146"/>
        <w:gridCol w:w="196"/>
        <w:gridCol w:w="826"/>
        <w:gridCol w:w="146"/>
        <w:gridCol w:w="146"/>
        <w:gridCol w:w="376"/>
        <w:gridCol w:w="840"/>
        <w:gridCol w:w="166"/>
        <w:gridCol w:w="146"/>
        <w:gridCol w:w="217"/>
        <w:gridCol w:w="834"/>
        <w:gridCol w:w="166"/>
        <w:gridCol w:w="146"/>
        <w:gridCol w:w="238"/>
        <w:gridCol w:w="843"/>
        <w:gridCol w:w="211"/>
      </w:tblGrid>
      <w:tr>
        <w:trPr/>
        <w:tc>
          <w:tcPr>
            <w:tcW w:w="2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15,892,353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1,040,088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(841,126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198,610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common stock and pre-funded warrants in an underwritten offering, net of issuance costs (including related party purchase of 471,698</w:t>
            </w:r>
            <w:r>
              <w:rPr>
                <w:rFonts w:ascii="Times New Roman" w:hAnsi="Times New Roman"/>
                <w:color w:val="000000"/>
                <w:sz w:val="20"/>
              </w:rPr>
              <w:t> </w:t>
            </w:r>
            <w:r>
              <w:rPr>
                <w:rFonts w:ascii="Times New Roman" w:hAnsi="Times New Roman"/>
                <w:color w:val="000000"/>
                <w:sz w:val="16"/>
              </w:rPr>
              <w:t>shares of common stock for $12,500)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Employee Stock Purchase Plan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settlement of restricted stock units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19,850,342</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1,151,235</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(844,983</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305,649</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50"/>
        <w:gridCol w:w="146"/>
        <w:gridCol w:w="146"/>
        <w:gridCol w:w="826"/>
        <w:gridCol w:w="146"/>
        <w:gridCol w:w="146"/>
        <w:gridCol w:w="249"/>
        <w:gridCol w:w="442"/>
        <w:gridCol w:w="146"/>
        <w:gridCol w:w="146"/>
        <w:gridCol w:w="196"/>
        <w:gridCol w:w="691"/>
        <w:gridCol w:w="146"/>
        <w:gridCol w:w="146"/>
        <w:gridCol w:w="376"/>
        <w:gridCol w:w="840"/>
        <w:gridCol w:w="166"/>
        <w:gridCol w:w="146"/>
        <w:gridCol w:w="217"/>
        <w:gridCol w:w="834"/>
        <w:gridCol w:w="166"/>
        <w:gridCol w:w="146"/>
        <w:gridCol w:w="247"/>
        <w:gridCol w:w="834"/>
        <w:gridCol w:w="211"/>
      </w:tblGrid>
      <w:tr>
        <w:trPr/>
        <w:tc>
          <w:tcPr>
            <w:tcW w:w="2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7,618,885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862,121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(834,743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settlement of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7,672,249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863,312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(844,941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18,100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5"/>
        <w:gridCol w:w="146"/>
        <w:gridCol w:w="146"/>
        <w:gridCol w:w="916"/>
        <w:gridCol w:w="146"/>
        <w:gridCol w:w="146"/>
        <w:gridCol w:w="249"/>
        <w:gridCol w:w="442"/>
        <w:gridCol w:w="146"/>
        <w:gridCol w:w="146"/>
        <w:gridCol w:w="196"/>
        <w:gridCol w:w="826"/>
        <w:gridCol w:w="146"/>
        <w:gridCol w:w="146"/>
        <w:gridCol w:w="376"/>
        <w:gridCol w:w="840"/>
        <w:gridCol w:w="166"/>
        <w:gridCol w:w="146"/>
        <w:gridCol w:w="217"/>
        <w:gridCol w:w="834"/>
        <w:gridCol w:w="166"/>
        <w:gridCol w:w="146"/>
        <w:gridCol w:w="238"/>
        <w:gridCol w:w="843"/>
        <w:gridCol w:w="211"/>
      </w:tblGrid>
      <w:tr>
        <w:trPr/>
        <w:tc>
          <w:tcPr>
            <w:tcW w:w="2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15,855,329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1,038,823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(832,047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206,751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Issuance of common stock and pre-funded warrants in an underwritten offering, net of issuance costs (including related party purchase of 471,698</w:t>
            </w:r>
            <w:r>
              <w:rPr>
                <w:rFonts w:ascii="Times New Roman" w:hAnsi="Times New Roman"/>
                <w:color w:val="000000"/>
                <w:sz w:val="20"/>
              </w:rPr>
              <w:t> </w:t>
            </w:r>
            <w:r>
              <w:rPr>
                <w:rFonts w:ascii="Times New Roman" w:hAnsi="Times New Roman"/>
                <w:color w:val="000000"/>
                <w:sz w:val="16"/>
              </w:rPr>
              <w:t>shares of common stock for $12,500)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settlement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19,850,342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1,151,235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(844,983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305,649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50"/>
        <w:gridCol w:w="146"/>
        <w:gridCol w:w="146"/>
        <w:gridCol w:w="826"/>
        <w:gridCol w:w="146"/>
        <w:gridCol w:w="146"/>
        <w:gridCol w:w="249"/>
        <w:gridCol w:w="442"/>
        <w:gridCol w:w="146"/>
        <w:gridCol w:w="146"/>
        <w:gridCol w:w="196"/>
        <w:gridCol w:w="691"/>
        <w:gridCol w:w="146"/>
        <w:gridCol w:w="146"/>
        <w:gridCol w:w="376"/>
        <w:gridCol w:w="840"/>
        <w:gridCol w:w="166"/>
        <w:gridCol w:w="146"/>
        <w:gridCol w:w="217"/>
        <w:gridCol w:w="834"/>
        <w:gridCol w:w="166"/>
        <w:gridCol w:w="146"/>
        <w:gridCol w:w="247"/>
        <w:gridCol w:w="834"/>
        <w:gridCol w:w="211"/>
      </w:tblGrid>
      <w:tr>
        <w:trPr/>
        <w:tc>
          <w:tcPr>
            <w:tcW w:w="2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7,457,240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859,488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(825,925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33,359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at-the-market (ATM) equity offering program,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settlement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7,672,249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863,312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(844,941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18,100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7"/>
        <w:gridCol w:w="246"/>
        <w:gridCol w:w="211"/>
        <w:gridCol w:w="841"/>
        <w:gridCol w:w="166"/>
        <w:gridCol w:w="146"/>
        <w:gridCol w:w="211"/>
        <w:gridCol w:w="736"/>
        <w:gridCol w:w="611"/>
      </w:tblGrid>
      <w:tr>
        <w:trPr/>
        <w:tc>
          <w:tcPr>
            <w:tcW w:w="70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accretion of investments in marketable debt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rent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from collaboration with a related party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research and development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from a related party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23,580</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the issuance of common stock and pre-funded warrants in an underwritten offering, net of issuance costs ($12,500 from a related party)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under ATM equity offering program, net of issuance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under ESPP</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108,884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24,006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 included in 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Nature of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Assembly Biosciences, Inc. (together with its subsidiaries, Assembly or the Company), incorporated in Delaware in October 2005, is a biotechnology company developing innovative therapeutics targeting serious viral and liver diseases with the potential to improve the lives of patients worldwide. The Company's pipeline includes multiple clinical-stage investigational therapies, including: (1) two long-acting helicase-primase inhibitors (HPI) for the treatment of recurrent genital herpes, GS-5366 (5366) and GS-1179 (1179), which have been exclusively licensed to Gilead Sciences, Inc. (Gilead); (2) an orally bioavailable sodium taurocholate co-transporting peptide inhibitor, ABI-6250 (6250), for the treatment of (a) chronic hepatitis delta virus (HDV) infection and (b) primary biliary cholangitis and primary sclerosing cholangitis, both cholestatic liver diseases (CLD); and (3) a highly potent next-generation capsid assembly modulator designed to disrupt the replication cycle of hepatitis B virus (HBV) at several key points, ABI-4334 (4334). The Company's pipeline also includes a novel, oral broad-spectrum non-nucleoside polymerase inhibitor (NNPI) for the treatment of transplant-related herpesviruses, ABI-7272 (7272), which is currently undergoing studies to enable a regulatory filing, and the Company has additional research programs against multiple viral and liver disease targets. In December 2025, pursuant to the collaboration with Gilead, Gilead exercised its option to license the Company's HPI program, including its long-acting investigational candidates 1179 and 5366. For additional information, see Note 8 - Collaboration Agreements. The Company operates in one segment and is headquartered in South San Francisco, California (see Note 9 - Segment Reporting).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not derived any revenue from product sales to date and currently has no approved products. Once a product has been developed, it will need to be approved for sale by the U.S. Food and Drug Administration or an applicable foreign regulatory agency. Since the Company’s initial public offering, its operations have been financed through the sale of equity securities and payments related to collaboration agreements. The Company has incurred losses from operations since inception and expects to continue to incur substantial losses for the next several years as it continues its product development efforts. The Company intends to obtain any additional funding it requires through strategic relationships, public or private equity or debt financings, grants or other arrangements. The Company cannot assure such funding will be available on reasonable terms, if at all. As of June 30, 2026, the Company held cash, cash equivalents and marketable securities of $320.4 million. Management believes the Company currently has sufficient funds to meet its operating requirements beyond one year from the date these unaudited condensed consolidated financial statements are issued.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the Company and its subsidiaries. All intercompany balances and transactions have been eliminated in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2025, which are contained in the 2025 Annual Report. The results for the three and six months ended June 30, 2026 are not necessarily indicative of results to be expected for the entire year ending December 31, 2026 or future operating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Significant estimates inherent in the preparation of the accompanying unaudited condensed consolidated financial statements include estimates for revenue recognition, including the standalone selling price for the allocation of the transaction price to performance obligations and cost-based inputs, and costs incurred but not yet invoiced for research and development accruals.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Other Risks and Uncertainties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 and global financial markets have experienced and may continue to experience volatility and disruption due to macroeconomic and geopolitical events such as rising inflation, changes in interest rates to combat inflation, the war between Russia and Ukraine, the conflicts in the Middle East, including the hostilities involving Iran, and in Venezuela, tensions between China and Taiwan, as well as tariffs or the imposition and enforceability of tariffs, trade wars, barriers or restrictions, or threats of such actions and the related uncertainty thereof, including uncertainties regarding the ability to obtain refunds for previously paid tariffs that have subsequently been invalidated. The Company cannot predict at this time to what extent, if at all, it and its employees, contract research organizations, vendors and/or collaborators could potentially be negatively impacted by these events.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Diluted net loss per share is the same as basic net loss per share, since the effects of potentially dilutive securities are antidilutive given the net loss for each period presented.</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A reconciliation of the numerators and the denominators of the basic and diluted net loss per common share computations is as follows (in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3954"/>
        <w:gridCol w:w="146"/>
        <w:gridCol w:w="211"/>
        <w:gridCol w:w="1036"/>
        <w:gridCol w:w="166"/>
        <w:gridCol w:w="146"/>
        <w:gridCol w:w="211"/>
        <w:gridCol w:w="931"/>
        <w:gridCol w:w="166"/>
        <w:gridCol w:w="146"/>
        <w:gridCol w:w="211"/>
        <w:gridCol w:w="1036"/>
        <w:gridCol w:w="166"/>
        <w:gridCol w:w="146"/>
        <w:gridCol w:w="211"/>
        <w:gridCol w:w="931"/>
        <w:gridCol w:w="391"/>
      </w:tblGrid>
      <w:tr>
        <w:trPr/>
        <w:tc>
          <w:tcPr>
            <w:tcW w:w="3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18,853,646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7,655,854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17,882,335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7,581,501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Securities excluded from the computation of diluted net loss per share because including them would have been antidilutive are as follows:</w:t>
      </w:r>
    </w:p>
    <w:tbl>
      <w:tblPr>
        <w:tblW w:w="6834" w:type="dxa"/>
        <w:jc w:val="left"/>
        <w:tblInd w:w="0" w:type="dxa"/>
        <w:tblLayout w:type="fixed"/>
        <w:tblCellMar>
          <w:top w:w="28" w:type="dxa"/>
          <w:left w:w="28" w:type="dxa"/>
          <w:bottom w:w="28" w:type="dxa"/>
          <w:right w:w="28" w:type="dxa"/>
        </w:tblCellMar>
      </w:tblPr>
      <w:tblGrid>
        <w:gridCol w:w="3946"/>
        <w:gridCol w:w="146"/>
        <w:gridCol w:w="146"/>
        <w:gridCol w:w="1036"/>
        <w:gridCol w:w="146"/>
        <w:gridCol w:w="146"/>
        <w:gridCol w:w="146"/>
        <w:gridCol w:w="93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9,487,477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1,204,723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subject to purchase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stock units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11,561,764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2,358,808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2025 and May 2026, the Company sold pre-funded warrants to purchase up to 1,040,820 shares and 415,000 shares of common stock, respectively (see Note 6 - Stockholders' Equity). The pre-funded warrants are exercisable at $0.001 per share. The shares of common stock issuable upon exercise of the pre-funded warrants are considered outstanding for purposes of calculating basic and diluted net loss per share because the shares may be issued for little or no consideration and are exercisable immediately upon issuance.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3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2023, the Company entered into the Option, License and Collaboration Agreement, as amended (the Gilead Collaboration Agreement), and a Common Stock Purchase Agreement and an Investor Rights Agreement (collectively, the Gilead Equity Agreements) with Gilead. Following the Company entering into the Gilead Equity Agreements, and as of June 30, 2026, Gilead is considered a related party based on its ownership of the Company's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2026, Gilead purchased 471,698 shares of the Company's common stock in the underwritten offering at a purchase price of $26.50 per share, resulting in aggregate gross proceeds to the Company of approximately $12.5 million (see Note 6 - Stockholders'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the Company recorded $0.8 million in accounts receivable from collaboration on the condensed consolidated balance sheet for reimbursable costs incurred under the Gilead Collaboration Agreement. The Company recognized $13.4 million and $9.6 million of collaboration revenue under the Gilead Collaboration Agreement during the three months ended June 30, 2026 and 2025, respectively. The Company recognized $21.6 million and $19.0 million of collaboration revenue under the Gilead Collaboration Agreement during the six months ended June 30, 2026 and 2025, respectively. See Note 8 - Collaboration Agreement for additional details.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 Fair Value Measurements and Investments in Marketable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uses the following three-level hierarchy that maximizes the use of observable inputs and minimizes the use of unobservable inputs to value its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Observable inputs such as unadjusted quoted prices in active markets for identical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Quoted prices for similar instruments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Investments in marketable securities consisted of the following (in thousands):</w:t>
      </w:r>
    </w:p>
    <w:tbl>
      <w:tblPr>
        <w:tblW w:w="92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335"/>
        <w:gridCol w:w="551"/>
        <w:gridCol w:w="146"/>
        <w:gridCol w:w="146"/>
        <w:gridCol w:w="270"/>
        <w:gridCol w:w="616"/>
        <w:gridCol w:w="166"/>
        <w:gridCol w:w="146"/>
        <w:gridCol w:w="211"/>
        <w:gridCol w:w="78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22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295"/>
        <w:gridCol w:w="591"/>
        <w:gridCol w:w="146"/>
        <w:gridCol w:w="146"/>
        <w:gridCol w:w="335"/>
        <w:gridCol w:w="551"/>
        <w:gridCol w:w="146"/>
        <w:gridCol w:w="146"/>
        <w:gridCol w:w="211"/>
        <w:gridCol w:w="78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57,994</w:t>
            </w:r>
          </w:p>
        </w:tc>
        <w:tc>
          <w:tcPr>
            <w:tcW w:w="3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realized gains and losses for the three and six months ended June 30, 2026 and 2025. As of June 30, 2026, investments which were in an unrealized loss position were not material and generally due to interest rate fluctuations, as opposed to declines in credit quality. There were no investments in an unrealized loss position as of December 31, 2025.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marketable securities are recorded in accumulated other comprehensive loss on the condensed consolidated balance sheets as of June 30, 2026 and December 31,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interest receivable was $2.1 million and $1.5 million as of June 30, 2026 and December 31, 2025, respectively, and was recorded in prepaid expenses and other current assets on the condensed consolidated balance sheets. The Company did not write off any accrued interest receivable during the three and six months ended June 30, 2026 and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the fair value of the Company’s financial assets measured at fair value on a recurring basis (in thousands):</w:t>
      </w:r>
    </w:p>
    <w:tbl>
      <w:tblPr>
        <w:tblW w:w="8095"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11"/>
        <w:gridCol w:w="781"/>
        <w:gridCol w:w="146"/>
        <w:gridCol w:w="146"/>
        <w:gridCol w:w="239"/>
        <w:gridCol w:w="391"/>
        <w:gridCol w:w="146"/>
        <w:gridCol w:w="146"/>
        <w:gridCol w:w="211"/>
        <w:gridCol w:w="78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95"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11"/>
        <w:gridCol w:w="781"/>
        <w:gridCol w:w="146"/>
        <w:gridCol w:w="146"/>
        <w:gridCol w:w="239"/>
        <w:gridCol w:w="391"/>
        <w:gridCol w:w="146"/>
        <w:gridCol w:w="146"/>
        <w:gridCol w:w="211"/>
        <w:gridCol w:w="781"/>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57,994</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57,994</w:t>
            </w:r>
          </w:p>
        </w:tc>
        <w:tc>
          <w:tcPr>
            <w:tcW w:w="3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transfers between Level 1, Level 2 or Level 3 investments during the periods presented.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5 – Other Accrued Expenses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Other accrued expenses consist of the following (in thousands):</w:t>
      </w:r>
    </w:p>
    <w:tbl>
      <w:tblPr>
        <w:tblW w:w="5907" w:type="dxa"/>
        <w:jc w:val="left"/>
        <w:tblInd w:w="0" w:type="dxa"/>
        <w:tblLayout w:type="fixed"/>
        <w:tblCellMar>
          <w:top w:w="28" w:type="dxa"/>
          <w:left w:w="28" w:type="dxa"/>
          <w:bottom w:w="28" w:type="dxa"/>
          <w:right w:w="28" w:type="dxa"/>
        </w:tblCellMar>
      </w:tblPr>
      <w:tblGrid>
        <w:gridCol w:w="3201"/>
        <w:gridCol w:w="146"/>
        <w:gridCol w:w="211"/>
        <w:gridCol w:w="571"/>
        <w:gridCol w:w="146"/>
        <w:gridCol w:w="146"/>
        <w:gridCol w:w="294"/>
        <w:gridCol w:w="801"/>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professional fees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 Stockholders’ Equity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At-The-Market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November 2024, the Company entered into a sales agreement under which the Company may offer and sell shares of its common stock having an aggregate offering price of up to $75.0 million through "at-the-market" offerings (the ATM), pursuant to its shelf registration statement on Form S-3 (File No. 333-270760), which became effective in April 2023. The Company did not sell any shares of common stock under the ATM during the three and six months ended June 30, 2026 or during the three months ended June 30, 2025. During the six months ended June 30, 2025, the Company sold 161,645 shares of common stock under the ATM, for which the Company received net proceeds of approximately $1.9 million, after deducting commissions, fees and expenses.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Underwritten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2026, the Company issued and sold 3,358,602 shares of common stock and pre-funded warrants to purchase up to 415,000 shares of common stock in an underwritten offering. The offering price per share of common stock was $26.50, while the purchase price per pre-funded warrant was $26.499. In addition, the Company granted the underwriters a 30-day option to purchase up to 566,040 shares of common stock on the same terms, which was exercised in full in May 2026. The Company received aggregate gross proceeds of $115.0 million and net proceeds of approximately $108.1 million, after deducting underwriting discounts, commissions and estimated offering expenses payable by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warrants and pre-funded warrants to purchase shares of the Company's common stock were issued and outstanding:</w:t>
      </w:r>
    </w:p>
    <w:tbl>
      <w:tblPr>
        <w:tblW w:w="9025" w:type="dxa"/>
        <w:jc w:val="left"/>
        <w:tblInd w:w="0" w:type="dxa"/>
        <w:tblLayout w:type="fixed"/>
        <w:tblCellMar>
          <w:top w:w="28" w:type="dxa"/>
          <w:left w:w="28" w:type="dxa"/>
          <w:bottom w:w="28" w:type="dxa"/>
          <w:right w:w="28" w:type="dxa"/>
        </w:tblCellMar>
      </w:tblPr>
      <w:tblGrid>
        <w:gridCol w:w="976"/>
        <w:gridCol w:w="146"/>
        <w:gridCol w:w="1321"/>
        <w:gridCol w:w="146"/>
        <w:gridCol w:w="1276"/>
        <w:gridCol w:w="146"/>
        <w:gridCol w:w="506"/>
        <w:gridCol w:w="1369"/>
        <w:gridCol w:w="146"/>
        <w:gridCol w:w="146"/>
        <w:gridCol w:w="146"/>
        <w:gridCol w:w="1036"/>
        <w:gridCol w:w="146"/>
        <w:gridCol w:w="146"/>
        <w:gridCol w:w="146"/>
        <w:gridCol w:w="1036"/>
        <w:gridCol w:w="1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Exercisable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 expiration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8/11/2030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4,209,187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11/15/2026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12/31/2026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4,464,290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 expiration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10,943,297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10,528,297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Class A warrants will expire 30 days following the public announcement that the Company completed enrollment (of at least 200 patients total) in the Phase 2 clinical study evaluating 5366 versus valacyclovir if prior to August 11, 2030.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Class B warrants will be cancelled if the Company publicly announces the receipt of at least $75.0 million in the aggregate of non-dilutive capital in connection with a collaboration agreement prior to November 15,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warrants and pre-funded warrants are equity classified because they are freestanding financial instruments that are legally detachable and separately exercisable from the equity instruments, do not embody an obligation for the Company to repurchase its shares, permit the holders to receive a fixed number of common shares upon exercise, are indexed to the Company’s common stock and meet the equity classification criteria. In addition, such warrants and pre-funded warrants do not provide any guarantee of value or return.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Holders of all warrants and pre-funded warrants cannot exercise any portion of the warrants to the extent they would beneficially own more than the limits defined in the warrant agreements. The exercise price and number of shares of the Company's common stock issuable upon the exercise of the warrants are subject to adjustment in the event of any stock dividends and distributions, stock splits, stock combinations or stock reclassifications, as described in the </w:t>
        <w:br/>
        <w:t>respective warrant agreements. Under certain circumstances, the warrants may be exercised on a “cashless” basis. No warrants were exercised during the three and six months ended June 30, 2026 and 2025. In July 2026, holders exercised 510,205 Class A warrants, generating proceeds to the Company of approximately $11.0 million.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 Stock-Based Compensation</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tables summarize the components of total stock-based compensation expense included in the condensed consolidated statements of operations and comprehensive loss (in thousands), classified by expense type and award type:</w:t>
      </w:r>
    </w:p>
    <w:tbl>
      <w:tblPr>
        <w:tblW w:w="8411" w:type="dxa"/>
        <w:jc w:val="left"/>
        <w:tblInd w:w="0" w:type="dxa"/>
        <w:tblLayout w:type="fixed"/>
        <w:tblCellMar>
          <w:top w:w="28" w:type="dxa"/>
          <w:left w:w="28" w:type="dxa"/>
          <w:bottom w:w="28" w:type="dxa"/>
          <w:right w:w="28" w:type="dxa"/>
        </w:tblCellMar>
      </w:tblPr>
      <w:tblGrid>
        <w:gridCol w:w="3451"/>
        <w:gridCol w:w="146"/>
        <w:gridCol w:w="280"/>
        <w:gridCol w:w="758"/>
        <w:gridCol w:w="193"/>
        <w:gridCol w:w="193"/>
        <w:gridCol w:w="280"/>
        <w:gridCol w:w="559"/>
        <w:gridCol w:w="146"/>
        <w:gridCol w:w="146"/>
        <w:gridCol w:w="235"/>
        <w:gridCol w:w="637"/>
        <w:gridCol w:w="162"/>
        <w:gridCol w:w="162"/>
        <w:gridCol w:w="235"/>
        <w:gridCol w:w="63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tbl>
      <w:tblPr>
        <w:tblW w:w="8411" w:type="dxa"/>
        <w:jc w:val="left"/>
        <w:tblInd w:w="0" w:type="dxa"/>
        <w:tblLayout w:type="fixed"/>
        <w:tblCellMar>
          <w:top w:w="28" w:type="dxa"/>
          <w:left w:w="28" w:type="dxa"/>
          <w:bottom w:w="28" w:type="dxa"/>
          <w:right w:w="28" w:type="dxa"/>
        </w:tblCellMar>
      </w:tblPr>
      <w:tblGrid>
        <w:gridCol w:w="3451"/>
        <w:gridCol w:w="146"/>
        <w:gridCol w:w="280"/>
        <w:gridCol w:w="758"/>
        <w:gridCol w:w="193"/>
        <w:gridCol w:w="193"/>
        <w:gridCol w:w="280"/>
        <w:gridCol w:w="559"/>
        <w:gridCol w:w="146"/>
        <w:gridCol w:w="146"/>
        <w:gridCol w:w="235"/>
        <w:gridCol w:w="637"/>
        <w:gridCol w:w="162"/>
        <w:gridCol w:w="162"/>
        <w:gridCol w:w="235"/>
        <w:gridCol w:w="63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there was $18.1 million of total unrecognized stock-based compensation related to all outstanding equity awards, which is expected to be recognized over a weighted average remaining amortization period of 2.2 years.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fair value of stock options granted during the periods indicated was estimated using the Black-Scholes option pricing model, based on the following assumptions:</w:t>
      </w:r>
    </w:p>
    <w:tbl>
      <w:tblPr>
        <w:tblW w:w="8344" w:type="dxa"/>
        <w:jc w:val="left"/>
        <w:tblInd w:w="0" w:type="dxa"/>
        <w:tblLayout w:type="fixed"/>
        <w:tblCellMar>
          <w:top w:w="28" w:type="dxa"/>
          <w:left w:w="28" w:type="dxa"/>
          <w:bottom w:w="28" w:type="dxa"/>
          <w:right w:w="28" w:type="dxa"/>
        </w:tblCellMar>
      </w:tblPr>
      <w:tblGrid>
        <w:gridCol w:w="2131"/>
        <w:gridCol w:w="146"/>
        <w:gridCol w:w="1396"/>
        <w:gridCol w:w="146"/>
        <w:gridCol w:w="1396"/>
        <w:gridCol w:w="146"/>
        <w:gridCol w:w="1396"/>
        <w:gridCol w:w="146"/>
        <w:gridCol w:w="144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$24.11 - $29.43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$15.81 - $17.24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$24.11 - $33.74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$10.62 - $17.24</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79.1% - 83.0%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82.6% - 85.9%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79.1% - 83.5%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 - 86.4%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3.96% - 4.30%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 - 4.19%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 - 4.30%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3.97% - 4.42%</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5.5 - 7.0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8 - Collaboration Agreement</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collaboration revenue recognized from a related party as a result of changes in the deferred revenue balance (in thousands):</w:t>
      </w:r>
    </w:p>
    <w:p>
      <w:pPr>
        <w:pStyle w:val="TextBody"/>
        <w:bidi w:val="0"/>
        <w:spacing w:before="80" w:after="283"/>
        <w:jc w:val="both"/>
        <w:rPr/>
      </w:pPr>
      <w:r>
        <w:rPr/>
        <w:t> </w:t>
      </w:r>
    </w:p>
    <w:tbl>
      <w:tblPr>
        <w:tblW w:w="10205" w:type="dxa"/>
        <w:jc w:val="left"/>
        <w:tblInd w:w="0" w:type="dxa"/>
        <w:tblLayout w:type="fixed"/>
        <w:tblCellMar>
          <w:top w:w="28" w:type="dxa"/>
          <w:left w:w="28" w:type="dxa"/>
          <w:bottom w:w="28" w:type="dxa"/>
          <w:right w:w="28" w:type="dxa"/>
        </w:tblCellMar>
      </w:tblPr>
      <w:tblGrid>
        <w:gridCol w:w="5339"/>
        <w:gridCol w:w="146"/>
        <w:gridCol w:w="233"/>
        <w:gridCol w:w="748"/>
        <w:gridCol w:w="161"/>
        <w:gridCol w:w="161"/>
        <w:gridCol w:w="233"/>
        <w:gridCol w:w="631"/>
        <w:gridCol w:w="146"/>
        <w:gridCol w:w="146"/>
        <w:gridCol w:w="211"/>
        <w:gridCol w:w="676"/>
        <w:gridCol w:w="146"/>
        <w:gridCol w:w="146"/>
        <w:gridCol w:w="211"/>
        <w:gridCol w:w="676"/>
        <w:gridCol w:w="195"/>
      </w:tblGrid>
      <w:tr>
        <w:trPr/>
        <w:tc>
          <w:tcPr>
            <w:tcW w:w="5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deferred revenue from a related party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12,772</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Background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the Company entered into the Gilead Collaboration Agreement and the Gilead Equity Agreements under which it received total proceeds of $100.0 million. Under the Gilead Collaboration Agreement, Gilead exclusively licensed to the Company its HPI program and NNPI program, while retaining opt-in rights to these programs and has an option to take an exclusive license, on a program-by-program basis, to all of the Company’s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December 2024, the Company and Gilead entered into the First Amendment to the Gilead Collaboration Agreement, which restructured the timing of specific options exercisable in the agreement and the fees payable to the Company to support an accelerated development plan for 6250. To facilitate this development plan, the Company received a non-refundable payment of $10.0 million from Gilead and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 This credit was applied toward Gilead's opt-in fee paid for the HPI program in December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2025, the Company entered into a letter agreement with Gilead under which Gilead has agreed to reimburse the Company up to $1.5 million for certain nonclinical study activities, subject to the terms and conditions set forth in the agreement. The letter agreement does not amend any terms of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Gilead exercises its opt-in right to any current or future program under the collaboration, the Company is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the Company may opt in to cover 40% of the research and development costs in the United States and share 40% of the profits and operating loss in the United 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its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anniversaries of the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Gilead Collaboration Agreement is subject to termination by either party for the other party’s uncured, material breach or insolvency. Subject to certain limitations, the Company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R&amp;D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commencement of the arrangement and after subsequent amendments, the Company concluded Gilead was a customer and accordingly, the Gilead Collaboration Agreement was within the scope of the revenue from contracts with customers guidance. The Company identified a single combined performance obligation for the discovery, research and development services (the R&amp;D Services) consisting of a series of distinct services that are substantially the same and have the same pattern of transfer. The Company concluded the R&amp;D Services were distinct from Gilead's right to obtain an exclusive license to any of the Company's programs as Gilead benefits from the knowledge and expertise gained from the R&amp;D Services and the Company's know-how is not highly specialized in nature. Gilead could perform the R&amp;D Services themselves, particularly considering Gilead contributed its HPI and NNPI programs and Gilead may continue to conduct development activities on programs being developed under the Gilead Collaboration Agreement. None of the options in the contract were deemed to be separate performance obligations as the options did not provide any discounts or other rights which would be considered a material right in the arrangement.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transaction price as of June 30, 2026 was determined to be $54.4 million. The transaction price is reflected as collaboration revenue when realized in the Company’s condensed consolidated statements of operations.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variable consideration related to the regulatory milestones has not been included in the transaction price as of June 30, 2026, as these amounts remain highly susceptible to factors outside the Company's influence. Any variable consideration related to commercial milestones and royalties will be recognized when the related sales occur pursuant to the Gilead Collaboration Agreement. The Company will reevaluate the transaction price in each reporting period as uncertain events are resolved or other changes in circumstances occur.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Company recorded $0.8 million in accounts receivable from collaboration on the condensed consolidated balance sheet for reimbursable costs incurred under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$13.4 million and $9.6 million of collaboration revenue under the Gilead Collaboration Agreement during the three months ended June 30, 2026 and 2025, respectively. The Company recognized $21.6 million and $19.0 million of collaboration revenue under the Gilead Collaboration Agreement during the six months ended June 30, 2026 and 2025, respectively. The amount of collaboration revenue recognized during the three and six months ended June 30, 2026 included a cumulative catch-up adjustment of $5.1 million resulting from revisions made during the three months ended June 30, 2026 to estimated costs to complete the remaining performance obligation under the Gilead Collaboration Agreement. The adjustments resulted in a decrease in the Company's net loss of $5.1 million, decreasing basic and diluted net loss per share by $0.27 and $0.29 for the three and six months ended June 30, 2026,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reimbursable expenses due to Gilead were not material during the three and six months ended June 30, 2026 and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HPI Program License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2025, Gilead exercised its option to exclusively license the Company's HPI program for the treatment of recurrent genital herpes, including 5366 and 1179. Under the terms of the Gilead Collaboration Agreement, the Company received a $35.0 million payment in connection with Gilead’s exercise of its HPI program. The $35.0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million payment reflects a $45.0 million option fee, net of $10.0 million in accelerated funding the Company received under the First Amendment to the Gilead Collaboration Agreement, which was creditable against future payments. Gilead received an exclusive license to 5366 and 1179 and will have the sole right and responsibility for further clinical development and commercialization of the HPI program. The Company recognized $35.0 million of collaboration revenue related to the exclusive license granted for the HPI program at a point in time upon transfer of the license, when Gilead obtained the ability to use and benefit from the license, in December 2025.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remains eligible to receive up to $330.0 million in regulatory and commercial milestones, as well as tiered royalties on net sales ranging from the high single-digits to low teens. The Company also has the right to opt in to share 40% of all costs and profits in the United States in lieu of receiving milestones and royalties for that program in the United States after receipt of a complete development plan and budget from Gilead. Variable consideration related to regulatory and commercial milestone payments and royalties has not been included in the transaction price as of June 30, 2026 because such amounts are highly susceptible to factors outside the Company's influence. Variable consideration related to cost reimbursements was not material during the three and six months ended June 30, 2026.</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9 - Segment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operates as a single operating segment focusing on developing innovative therapeutics targeting serious viral diseases. The Company's chief operating decision maker (CODM) is its Chief Executive Officer and President, who reviews financial information presented on a consolidated basis for purposes of making operating decisions, assessing financial performance, and allocating resources. The measure of segment profit or loss used by the CODM to evaluate performance and allocate resources is consolidated net loss as reported in the Company's condensed consolidated statements of operations. This measure is used by the CODM to assess the Company's cash runway and make strategic decisions about resource allocation. The CODM does not use asset measures to evaluate segment performance or make resource allocation decisions.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presents the significant segment expenses and other segment items regularly reviewed by the Company's CODM: </w:t>
      </w:r>
    </w:p>
    <w:tbl>
      <w:tblPr>
        <w:tblW w:w="9038" w:type="dxa"/>
        <w:jc w:val="left"/>
        <w:tblInd w:w="0" w:type="dxa"/>
        <w:tblLayout w:type="fixed"/>
        <w:tblCellMar>
          <w:top w:w="28" w:type="dxa"/>
          <w:left w:w="28" w:type="dxa"/>
          <w:bottom w:w="28" w:type="dxa"/>
          <w:right w:w="28" w:type="dxa"/>
        </w:tblCellMar>
      </w:tblPr>
      <w:tblGrid>
        <w:gridCol w:w="3866"/>
        <w:gridCol w:w="222"/>
        <w:gridCol w:w="713"/>
        <w:gridCol w:w="175"/>
        <w:gridCol w:w="154"/>
        <w:gridCol w:w="222"/>
        <w:gridCol w:w="777"/>
        <w:gridCol w:w="166"/>
        <w:gridCol w:w="146"/>
        <w:gridCol w:w="211"/>
        <w:gridCol w:w="736"/>
        <w:gridCol w:w="166"/>
        <w:gridCol w:w="146"/>
        <w:gridCol w:w="211"/>
        <w:gridCol w:w="736"/>
        <w:gridCol w:w="391"/>
      </w:tblGrid>
      <w:tr>
        <w:trPr/>
        <w:tc>
          <w:tcPr>
            <w:tcW w:w="38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from a related party</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External program expenses:</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5366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1179</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6250 </w:t>
            </w:r>
            <w:r>
              <w:rPr>
                <w:rFonts w:ascii="Times New Roman" w:hAnsi="Times New Roman"/>
                <w:color w:val="000000"/>
                <w:sz w:val="13"/>
              </w:rPr>
              <w:t>(1)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HDV</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CLD</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4334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7272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external program expenses</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6,288</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Employee and contractor-related expenses </w:t>
            </w:r>
            <w:r>
              <w:rPr>
                <w:rFonts w:ascii="Times New Roman" w:hAnsi="Times New Roman"/>
                <w:color w:val="000000"/>
                <w:sz w:val="13"/>
              </w:rPr>
              <w:t>(2)</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and other expenses</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(3,857</w:t>
            </w:r>
          </w:p>
        </w:tc>
        <w:tc>
          <w:tcPr>
            <w:tcW w:w="1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(10,198</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(12,936</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(19,016</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for 6250 include shared external program expenses supporting both the HDV and CLD indications. External program expenses directly attributable to a specific indication are reflected separately within the applicable HDV and CLD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stock-based compensation expense, see Note 7 - Stock-Based Compensation for further details.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condensed consolidated financial statements and this Management’s Discussion and Analysis of Financial Condition and Results of Operations should be read in conjunction with the consolidated financial statements and notes thereto for the year ended December 31, 2025 and the related Management’s Discussion and Analysis of Financial Condition and Results of Operations, both of which are contained in our Annual Report on Form 10-K for the fiscal year ended December 31, 2025 filed with the U.S. Securities and Exchange Commission on March 19, 2026 (2025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2025 Annual Report and “Part II. Item 1A. Risk Factors” in this report.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a biotechnology company developing innovative therapeutics targeting serious viral and liver diseases with the potential to improve the lives of patients worldwide. Our pipeline includes multiple clinical-stage investigational therapies, including: (1) two long-acting helicase-primase inhibitors (HPI) for the treatment of recurrent genital herpes, GS-5366 (5366) and GS-1179 (1179), which have been exclusively licensed to Gilead Sciences, Inc. (Gilead); (2) an orally bioavailable sodium taurocholate co-transporting peptide (NTCP) inhibitor, ABI-6250 (6250), for the treatment of (a) chronic hepatitis delta virus (HDV) infection and (b) primary biliary cholangitis (PBC) and primary sclerosing cholangitis (PSC), both cholestatic liver diseases (CLD); and (3) a highly potent next-generation capsid assembly modulator (CAM) designed to disrupt the replication cycle of hepatitis B virus (HBV) at several key points, ABI-4334 (4334). Our pipeline also includes a novel, oral broad-spectrum non-nucleoside polymerase inhibitor (NNPI) for the treatment of transplant-related herpesviruses, ABI-7272 (7272), which is currently undergoing studies to enable a regulatory filing, and we have additional research programs against multiple viral and liver disease targets. In December 2025, pursuant to our collaboration with Gilead (the Gilead Collaboration), Gilead exercised its option to license our HPI program for the treatment of recurrent genital herpes, including our long-acting investigational candidates 1179 and 5366. For additional information regarding Gilead’s exercise of its option, see “Collaboration and License Agreement—Gilead Sciences, Inc.—Option Exercise.”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Clinical Programs and Regulatory Filing-Enabling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second quarter of 2026, we continued to progress each of our investigational product candidates, 5366, 1179, 6250 and 4334.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5366 and 1179 – The transition of the HPI program to Gilead is on-going. Gilead controls the clinical development of 5366 and 1179, and initiation of a Phase 2 study of 1179 is expected by the end of 2026. Gilead does not intend to develop 5366 further at this time.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received Gilead’s clinical development plan and budget for the HPI program in June 2026. Gilead is also considering the possible evaluation of 1179 as part of a combination strategy with HIV pre-exposure prophylaxis (PrEP). Our decision regarding the Profit-Share (as defined below) will be made after receipt and review of Gilead's commercial costs estimates, which will complete the opt-in package.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6250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HDV – Preparation for a Phase 2 study is on-going, with initiation expected in the fourth quarter of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CLD – Announced expansion of 6250 into PBC and PSC. Preparation for a Phase 2 study is on-going, with initiation expected in the first quarter of 2027. We conducted a pre-IND meeting with the U.S. Food and Drug Administration (the FDA) to discuss our planned development of 6250 in CLD. The official minutes from that meeting support advancement of the CLD program.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7272 – Undergoing regulatory filing-enabling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4334 – Continuing process to identify potential partners that was initiated in the first quarter; we do not plan to advance 4334 further without a partner.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completed a $115.0 million gross financing transaction that we expect to extend funding beyond our planned Phase 2 studies of 6250 in both HDV and CLD.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Recurrent Genital Herpes/HSV-1 and HSV-2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individual’s life and periodically reactivate, with the virus spreading, replicating and causing disease in epithelial tissues. Initial infection can be asymptomatic or can be marked by serious symptoms, including painful skin lesions, swelling of lymph nodes and urinary problems that can persist for two to three weeks. While genital herpes can be caused by either HSV-1 or HSV-2, recurrences are more likely to be experienced by individuals infected by HSV-2. Genital herpes recurrence can cause painful genital lesions that can lead to increased transmission and debilitate individuals, and symptoms may become more serious with additional episodes. Additional complications include increased risk of HIV infection, as 30% of HIV infections acquired through sexual transmission are attributable to HSV-2 infection. In addition, people with recurrent genital herpes often experience associated psychosocial impacts, including anxiety, concerns about transmission, depression and social stigma. Immunocompromised individuals may experience more severe and prolonged symptoms due to increased recurrence rates.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HPIs are antiviral agents in development for the treatment of recurrent genital herpes, with a clinically-validated mechanism of action. HPIs inhibit the HSV helicase-primase complex, which is a unique viral enzyme complex without a human homolog, consisting of helicase, primase and cofactor subunits.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HPIs are active against TK-deficient HSV-1 and HSV-2, which is a major mechanism of resistance to nucleoside analogs.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Most people with initial symptomatic genital herpes who are infected with HSV-2 have frequent recurrences, generally between three and 15 per year, impacting over four million people in the United States and France, Germany, Italy and Spain (collectively, the EU4) and the United Kingdom (UK). Currently, there are three antiviral drugs (all nucleoside analogs) that have been approved in the United States and the EU4/UK for the treatment of genital herpes. However, no new drugs have been approved in these regions to treat genital herpes for more than 25 years. In addition to the approved nucleoside analogs, agents such as local anesthetics or analgesics may be used to alleviate local symptoms of minor pain and discomfort. </w:t>
      </w:r>
    </w:p>
    <w:p>
      <w:pPr>
        <w:pStyle w:val="TextBody"/>
        <w:bidi w:val="0"/>
        <w:spacing w:before="200" w:after="283"/>
        <w:jc w:val="both"/>
        <w:rPr>
          <w:rFonts w:ascii="Times New Roman" w:hAnsi="Times New Roman"/>
          <w:sz w:val="20"/>
        </w:rPr>
      </w:pPr>
      <w:r>
        <w:rPr>
          <w:rFonts w:ascii="Times New Roman" w:hAnsi="Times New Roman"/>
          <w:color w:val="000000"/>
          <w:sz w:val="20"/>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people with recurrent genital herpes with six or more recurrences per year are able to make it through a year of treatment without a recurrence. There are still high titer (greater than 10</w:t>
      </w:r>
      <w:r>
        <w:rPr>
          <w:rFonts w:ascii="Times New Roman" w:hAnsi="Times New Roman"/>
          <w:color w:val="000000"/>
          <w:sz w:val="13"/>
        </w:rPr>
        <w:t>4</w:t>
      </w:r>
      <w:r>
        <w:rPr>
          <w:rFonts w:ascii="Times New Roman" w:hAnsi="Times New Roman"/>
          <w:color w:val="000000"/>
          <w:sz w:val="20"/>
        </w:rPr>
        <w:t xml:space="preserve"> HSV-2 DNA copies/mL) shedding episodes under this current standard of care for recurrent genital herpes, which can lead to recurrent episodes and transmission of genital herpes. In addition, nucleoside analogs also carry a high pill burden as a lifelong daily treatment, with doses ranging from one to three times daily. There is also high treatment variability among those taking nucleoside analogs, as many seeking care may not consistently receive suppressive therapy.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 limitations of current therapies, we see a path to advancing the treatment paradigm for people suffering from recurrent genital herpes. To reach that goal, we discovered and began the clinical development of a novel, potent, long-acting HPI for recurrent genital herpes, 5366, which demonstrated low nanomolar potency in vitro against both HSV-1 and HSV-2 clinical isolates and a favorable nonclinical safety profile in the FDA's Good Laboratory Practice (GLP) toxicology studies. In addition, we began development of a second novel, potent, long-acting HPI for genital herpes, 1179, which was in-licensed to us as part of our collaboration with Gilead. As Gilead has exercised its option to exclusively license our HPI program, including 5366 and 1179, development is now in Gilead’s sole control following completion of the Phase 1a/b studies of 5366 and 1179. For additional information regarding the option exercise, see “Collaboration and License Agreements—Gilead Sciences, Inc.—Option Exercise.”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reported interim data from the Phase 1b portion of the 5366 study in August 2025, focused on two different oral doses of 5366 administered on a once-weekly basis. For the powered antiviral endpoint, HSV-2 shedding rate, highly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potent antiviral activity was observed with a 94% reduction compared to placebo (p&lt;0.01) over the 29-day evaluation period in the cohort evaluating a 350 mg weekly dose. This reduction exceeded our target for the study of an 80-85% reduction in the rate of HSV-2 shedding. For a secondary clinical endpoint of virologically confirmed genital lesion rate, a 97% reduction compared to placebo (p&lt;0.05) was observed with the 350 mg weekly dose. The rate of genital swabs with high viral load (i.e., &gt;10</w:t>
      </w:r>
      <w:r>
        <w:rPr>
          <w:rFonts w:ascii="Times New Roman" w:hAnsi="Times New Roman"/>
          <w:color w:val="000000"/>
          <w:sz w:val="13"/>
        </w:rPr>
        <w:t xml:space="preserve">4 </w:t>
      </w:r>
      <w:r>
        <w:rPr>
          <w:rFonts w:ascii="Times New Roman" w:hAnsi="Times New Roman"/>
          <w:color w:val="000000"/>
          <w:sz w:val="20"/>
        </w:rPr>
        <w:t xml:space="preserve">copies/mL HSV DNA), a potential surrogate for HSV-2 transmission and a secondary endpoint, was reduced by 98% compared to placebo (p&lt;0.05) in this cohort.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reported additional interim data from the Phase 1b portion of the 5366 study in December 2025, which included data from a monthly oral dosing regimen. In the 5366 monthly dose cohort, potent antiviral activity was observed, with a 76% reduction in HSV-2 shedding rate compared to placebo (p&lt;0.01) over the 29-day evaluation period. The majority of positive swabs (89%) were collected in the last two weeks of the evaluation period when drug levels were declining. We observed an 88% reduction in virologically confirmed genital lesion rate (p=0.01), along with an 81% reduction in the number of samples with high viral load (p&lt;0.01) compared to placebo in the monthly dose cohort.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Across the two weekly oral dose cohorts and the monthly oral dose cohort of the Phase 1b study, 5366 demonstrated a pharmacokinetic (PK) profile that continues to support once-weekly and potentially once-monthly dosing.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5366 was observed to be well-tolerated at all dose levels tested in the Phase 1b portion of the study. The two weekly oral cohorts as well as the monthly oral cohort are complete and unblinded safety data has been reported. Across all cohorts, the proportion of participants reporting treatment-emergent adverse events (AEs) was similar between 5366 and placebo recipients, and all were Grade 1 or Grade 2. One Grade 3 AE was reported, hypertriglyceridemia, in a participant with relevant medical history who had Grade 4 elevated triglycerides pre-dose on Day 1. This AE resulted in study discontinuation but was not considered treatment related. The proportion of participants reporting treatment-emergent lab abnormalities was similar in 5366 and placebo recipients with the majority being Grade 1 or Grade 2. There were three participants with treatment-emergent Grade 3 lab abnormalities across all cohorts, all of which are considered unrelated to assigned treatment; one participant with exercise-associated elevation in creatine kinase (150/30 mg QW); one participant with an elevation of cholesterol in the follow up period, which participant had a Grade 2 elevation at baseline (350 mg QW); and one participant, who was dosed with placebo, with decreased neutrophils. There did not appear to be a dose-response relationship in either the frequency or severity of the treatment-emergent AEs or lab abnormalities. No serious AEs have been reported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participants in the Phase 1b portion of the 5366 study have completed dosing and follow up. The observed PK profile continues to support once-weekly dosing and the potential for once-monthly oral dosing regimens. Additionally, all chronic toxicology studies have been completed. With these data, 5366 is ready to move into a Phase 2 clinical study; however, 5366 development is in Gilead's sole control and Gilead does not intend to develop 5366 further at this time.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5366 data reported in August and December 2025 were presented in an oral presentation and two poster presentations at the Congress of the European Society of Clinical Microbiology and Infectious Diseases (ESCMID) in Munich, Germany in April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also conducted a Phase 1a/b clinical study of 1179, a structurally-differentiated HPI, which has single digit nanomolar potency against HSV-1 and HSV-2 and a nonclinical PK and safety profile that is supportive of a potential long-acting treatment by once-weekly oral administration. We reported interim data from two oral weekly dose cohorts in the Phase 1b portion of the 1179 study in December 2025. For the powered antiviral endpoint, HSV-2 shedding rate, highly potent antiviral activity was observed with a 98% reduction in HSV-2 shedding rate compared to placebo (p&lt;0.01) over the 29-day evaluation period in the 50 mg weekly dose cohort. This reduction exceeded our target for the study of an 80-85% reduction in HSV-2 shedding rate. Further, data revealed a 91% reduction in virologically confirmed lesion rate compared to placebo (p&lt;0.01) with the 50 mg weekly dose. There was also a &gt;99% reduction in the number of samples with high viral load, a potential surrogate for HSV-2 transmission and a secondary endpoint.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Across both oral weekly dose cohorts, 1179 demonstrated a PK profile that continues to support once-weekly dosing. 1179 was observed to be well-tolerated at both doses. Overall, the proportion of participants reporting treatment-emergent AEs was similar between 1179 and placebo recipients. Of the treatment-emergent AEs reported, the majority were Grade 1 or Grade 2. The most common AEs were upper respiratory tract infection and headache. There have been no serious AEs reported to date. One Grade 3 AE of migraine was reported in a participant enrolled in the 50 mg/placebo cohort.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participants in the Phase 1b portion of the 1179 study have completed dosing and follow up. With these data, 1179 can move directly into a Phase 2 study for a once-weekly treatment regimen, subject to the completion of chronic toxicology studies, which are underway. The 1179 data reported in December 2025 was presented in a poster presentation at ESCMID in April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2025, Gilead exercised its option early to license our HPI program for the treatment of recurrent genital herpes, including 5366 and 1179. We received Gilead’s clinical development plan and budget for the HPI program in June 2026. The plan indicates that 1179 has been selected to advance, with a Phase 2 clinical study in participants with recurrent genital herpes expected to initiate by the end of 2026. Gilead is also considering the possible evaluation of 1179 as part of a combination strategy with HIV PrEP. Our decision regarding the Profit-Share (as defined below) will be made after receipt and review of Gilead's commercial cost estimates, which will complete the opt-in package. For more information regarding Gilead’s exercise of its option, see “Collaboration and License Agreement—Gilead Sciences, Inc.—Option Exercise.”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Liver Disease Programs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HDV and HBV</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World Health Organization (WHO) estimates that 240 million people worldwide were chronically infected with HBV as of 2024, and 0.9 million new infections occur each year. HBV is a leading global cause of chronic liver disease and liver transplants, and the WHO estimates that 1.1 million people died in 2024 from HBV, mostly due to cirrhosis and hepatocellular carcinoma (primary liver cancer). Of the 240 million people living with chronic HBV infection, only approximately 65 million, or 27%, were aware of their infection, and only approximately 10 million, or 4%, of those diagnosed received treatment. HBV is a highly prevalent disease that infects almost three times the number of people infected with hepatitis C virus and HIV infections combined, according to the WHO.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“satellite virus” of HBV because it can only infect people (1) who are already infected with HBV or (2) at the same time as a person is infected with HBV. HDV affects a subset of approximately 12 million HBV infected people. These individuals infected with HDV, which comprise an estimated nearly 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HDV-targeted therapy is only approved in the European Economic Area (EEA), the UK, Switzerland, Australia, Canada and the United States. HDV is known to accelerate disease progression and increase the incidence of liver cirrhosis and liver cancer, which results in higher morbidity and mortality rates than HBV alone. </w:t>
      </w:r>
    </w:p>
    <w:p>
      <w:pPr>
        <w:pStyle w:val="TextBody"/>
        <w:bidi w:val="0"/>
        <w:jc w:val="left"/>
        <w:rPr>
          <w:rFonts w:ascii="Times New Roman" w:hAnsi="Times New Roman"/>
          <w:color w:val="000000"/>
          <w:sz w:val="20"/>
        </w:rPr>
      </w:pPr>
      <w:r>
        <w:rPr>
          <w:rFonts w:ascii="Times New Roman" w:hAnsi="Times New Roman"/>
          <w:color w:val="000000"/>
          <w:sz w:val="20"/>
        </w:rPr>
        <w:t xml:space="preserve">The current standard of care treatment for HDV is off-label pegylated interferon-α (IFN-α) injected weekly or, in the EEA, the UK, Switzerland, Australia, Canada and the United States, a large, complex peptide inhibitor that requires daily injections, bulevirtide. We believe a safe and effective oral small molecule entry inhibitor would be a significant innovation for people living with HDV, who face a significant and immediate disease burden.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current standard of care for chronic HBV infection, nucleos(t)ide analog reverse transcriptase inhibitors (NrtIs), are taken life-long and reduce, but do not eliminate, the virus and result in very low cure rates. No new mechanisms of action (MOA) have been approved for the treatment of chronic HBV infection in over 25 years. The focus of our HBV program is to improve outcomes and increase the number of patients diagnosed and treated through the development of finite and curative therapies targeting an orthogonal MOA.</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HDV Entry Inhibitor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NTCP. NTCP is highly expressed on human hepatocytes, where it serves as one of several proteins involved in the transport of bile acids. The binding of specific small or large molecules to NTCP has been shown to effectively inhibit the interaction of HBsAg with NTCP,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prevents HBV and HDV from infecting hepatocytes.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inhibition of HBV and HDV infection by molecules that bind NTCP has been demonstrated in vitro, in animal models and clinically. Notably, bulevirtide, a peptide inhibitor of NTCP, is the only approved therapy for HDV. 6250 has the same clinically-validated MOA as bulevirtide. The binding of HBV/HDV entry inhibitors to NTCP has also been shown to inhibit the transport of certain bile acids into cells, which results in plasma elevations of bile acids; this effect has been well-tolerated clinically and may serve as a biomarker of pharmacologically active concentrations of drug in the plasma.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a safe and effective oral small molecule entry inhibitor would be a significant innovation for people living with HDV and could significantly improve treatment uptake and diagnosis rates, especially when compared with currently available injectable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Top-line clinical data, including PK, biomarker and safety data for the Phase 1a study of 6250 was presented at the European Association for the Study of the Liver Congress that took place in Barcelona, Spain in May 2026. Across all cohorts , a mean half-life of approximately four days was observed for 6250 when dosed orally, supporting the once-daily oral dosing profile target. Given this half-life, accumulation was observed in the multiple-dose cohorts with exposures on the last day of dosing generally reaching six- to eight-fold higher than the exposure seen after the first dose.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Dose-dependent elevations of total serum bile acids (TBAs) were observed for both the 5 mg and 25 mg single-dose cohorts, indicative of NTCP target engagement. In the highest single-dose cohort of 25 mg, coproporphyrin I (CP-1), a biomarker for off-target engagement of the organic anion transporters, OATP1B1 and/or OATP1B3, was also elevated. CP-1 elevation was not noted at the other doses.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Given the predicted 6250 accumulation driven by the long half-life and the observed elevations of TBAs for the single-dose cohorts, doses at and below 1 mg daily were selected for the multiple-dose cohorts to characterize the lower end of the dose-response curve. Elevation of TBAs was observed for both the 0.2 mg and 1 mg daily multiple-dose cohorts at levels similar to or greater than those seen with steady-state dosing of bulevirtide, consistent with the respective 6250 exposures. Minimal TBA elevation was observed in the 0.05 mg daily multiple-dose cohort.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Treatment-emergent AEs and laboratory abnormalities were all Grade 1 or 2 in severity with the majority being Grade 1. There were no serious AEs in any dose cohort. No protocol defined stopping criteria were met. There were no clinically significant electrocardiogram abnormalities or patterns of AEs noted.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One Grade 2 alanine transminase (ALT) elevation was observed in the cohort evaluating the highest single-dose level of 25 mg. In this cohort, off-target engagement of other liver transporters was also seen as indicated by elevated CP-1 levels. Grade 1 ALT elevations were observed at a low frequency across the other cohorts, including placebo. All ALT elevations were self-limited, and none were accompanied with elevations in bilirubin or other markers of liver injury. The elevations resolved in the study period with ongoing drug exposure due to 6250's four-day half-life.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participants in the Phase 1a study have completed dosing and follow up. The chronic toxicology studies to enable longer term dosing are complete, and we are preparing for Phase 2 clinical studies, with Phase 2 initiation expected in the fourth quarter of 2026. In addition, we expect to initiate additional Phase 1 pharmacology studies to support labeling anticipated to start in the fourth quarter of 2026.</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Capsid Assembly Modulator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As a result, we have worked to discover and develop compounds targeting the core protein, a viral protein involved in numerous aspects of the HBV replication cycle, including the generation of HBV cccDNA.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variety of cell culture models, 4334 has demonstrated the ability to reduce production of HBV DNA levels as well as the surrogate markers for cccDNA establishment: HBV e antigen (HBeAg), HBV core-related antigen (HBcrAg) and HBV pre-genomic RNA (pgRNA).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next-generation CAM, 4334 was optimized to potently disrupt viral replication (MOA #1) and prevent the establishment and replenishment of new cccDNA (MOA #2). In contrast, while active against MOA #1, first-generation CAMs have not demonstrated adequate potency to sufficiently block MOA #2. Further, the current standard of care, NrtIs, impacts the viral life cycle after establishment of cccDNA and can only inhibit production of new viral particles, and it does so incompletely. The chemical scaffold of 4334 is novel and distinct from all our prior CAM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Phase 1a study demonstrated that 4334 was well-tolerated when administered orally as single or multiple doses. During the second quarter of 2024, we dosed our first participant in a Phase 1b clinical study of 4334. We reported interim clinical results from the initial 150 mg cohort in December 2024, and topline clinical results, including a subsequent 400 mg cohort in June 2025. In both the 150 mg and 400 mg cohorts, 4334 continued to show a half-life supportive of once-daily oral dosing. In addition, results for both cohorts indicated that 4334 maintained clinical exposures multiple folds above those anticipated to be required for potent viral activity and inhibition of cccDNA formation. Mean declines in HBV DNA of 2.9 log10 IU/mL and 3.2 log10 IU/mL were observed over 28 days in a population of predominately HBeAg negative participants receiving 150 mg and 400 mg, respectively. Among the subset of participants with detectable HBV RNA at baseline, mean declines of 2.5 log10 U/mL and 2.3 log10 U/mL were observed over 28 days in the participants receiving 150 mg and 400 mg, respectively. As anticipated, limited changes in viral antigens were observed for the study population over the 28-day treatment period. These antiviral data are consistent with the high potency seen preclinically for 4334. The safety data also demonstrated that 4334 was well-tolerated with a favorable safety profile observed. The 400 mg cohort was the final cohort for this Phase 1b study and final data was presented at the American Association for the Study of Liver Disease, The Liver Meeting® in November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March 2026, Gilead declined to either exercise its option to license 4334 or defer its option until completion of Phase 2 studies. As a result, we retain full control of 4334, including the right to evaluate partnering opportunities for 4334 outside of the Gilead Collaboration. We are actively evaluating partnering opportunities for 4334 and do not plan to advance 4334 further without a partner.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PBC and PSC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PBC and PSC are chronic, autoimmune CLDs characterized by impaired bile flow, accumulation of bile acids in the liver and progressive liver damage. Clinical symptoms for both PBC and PSC include itch and fatigue, with development of fibrosis and cirrhosis as the diseases progress.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PBC affects intrahepatic bile ducts, with complications including cirrhosis and hepatocellular carcinoma. PBC is also associated with Sjogren’s Syndrome. There are approximately 150,000 adults diagnosed with PBC in the United States, and approximately 40% of patients fail first line therapy. There are multiple therapies available for the treatment of PBC; however, a significant percentage of individuals have an inadequate response to these treatments, and there remains an unmet medical need for improved treatment of PBC.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PSC affects intrahepatic and extrahepatic bile ducts, and has complications including cirrhosis, cholangiocarcinoma and cholangitis. PSC is also associated with inflammatory bowel disease. There are approximately 30,000 adults diagnosed with PSC in the United States. The ten-year overall mortality rate for PSC patients is approximately 35%. We believe there is a significant unmet medical need for the management of PSC as there are currently no approved therapies.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Nonclinical data with 6250 demonstrate potent inhibition of bile acid uptake in liver cells, a mechanism directly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relevant to CLD, where bile acid accumulation drives liver inflammation and liver injury. In addition, animal studies as well as the Phase 1a study with 6250 demonstrated elevations in serum bile acids, which we believe to be a biomarker for NTCP engagement that reflects reductions of bile acids in the liver.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2026, we announced that we expanded 6250 clinical development beyond HDV into CLD, targeting PBC and PSC. Further, we conducted a pre-IND meeting with the FDA to discuss our planned development of 6250 in CLD. Official meeting minutes support advancement of the CLD program. We are preparing for Phase 2 clinical studies, with Phase 2 initiation expected in the first quarter of 2027.</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Transplant-Associated Herpesviruses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 transplant setting, when patients are experiencing immunosuppression, they are at high risk of uncontrolled viral replication and severe disease brought on by one or more herpesviruses, including cytomegalovirus (CMV), HSV-1, HSV-2, varicella zoster virus (VZV) and Epstein-Barr virus (EBV). Each of these herpesviruses are highly prevalent, as approximately (1) 60% of transplant patients are CMV-positive; (2) 60% of transplant patients are HSV-positive; (3) 80% of transplant patients are VZV-positive and (4) 45% of transplant patients are EBV-positive. These viruses establish lifelong latent infections and frequently reactivate in transplant patients due to the use of immunosuppressive drugs following transplantation. These uncontrolled herpesvirus infections increase the risk of severe disease and serious complications, including organ rejection, graft loss and death, and impacted approximately 95,000 people receiving transplants in 2021 in the United States and Europe.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there are approved antivirals that are administered in a transplant setting, currently approved antivirals are not active against a broad spectrum of transplant-associated herpesviruses and pose the risk of potentially serious side effects and drug-drug interactions. As a result of these limitations, we identified an opportunity to develop an oral, broad-spectrum NNPI for transplant-associated herpesvirus infections, which could greatly advance treatment.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7272, our development candidate in our NNPI program, is currently in regulatory filing-enabling nonclinical studies.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our investigational therapy programs that have nominated development candidates and have advanced into clinical studies or regulatory-filing enabling studies, our research team continues to actively focus on proprietary research to discover and nominate novel molecules to treat serious viral and liver diseases.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Collaboration and License Agreement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Gilead 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upon payment of a deferral fee and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In December 2024, we and Gilead entered into the First Amendment to the Gilead Collaboration Agreement, which restructured the timing of specific options exercisable and the fees payable to us under the terms of the Gilead Collaboration Agreement due to an agreed upon development plan for 6250. To facilitate this development plan, (1) we received a payment of $10.0 million from Gilead and (2) the opt-in fee payable by Gilead in connection with 6250 was restructured, though it remains in the range of opt-in fees detailed above. The $10.0 million payment received in connection with the First Amendment to the Gilead Collaboration Agreement was creditable towards future collaboration-related payments payable by Gilead and was applied toward Gilead’s opt-in fee paid for the HPI program in December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we may opt-in to cover 40% of the research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are primarily responsible for all discovery, research and development on both our programs and the two Gilead-contributed programs. Following Gilead’s opt-in, Gilead will control the further discovery, research, development and commercialization on any optioned programs, and is responsible for all related costs unless we opt in to share 40% of all costs and profits in the United States. During the term, Gilead will continue to support the collaboration through extension fees of $75.0 million in each of the third, fifth and seventh anniversaries of the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in October 2023, we and Gilead entered into a Common Stock Purchase Agreement and an Investor Rights Agreement (together, the Gilead Equity Agreements), which were both amended in June 2024. The Gilead Equity Agreements include a three-year standstill provision and a two-year lockup provision (which has expired),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Gilead held (1) approximately 25.1% of our outstanding common stock, (2) a warrant to purchase up to 179,500 shares of our common stock at a price of $17.00 per share, which was acquired in a financing transaction in 2024 (the 2024 Warrant), (3) a Class A warrant to purchase up to 1,147,960 shares of our common stock at a price of $21.60 per share (Class A Warrant), which was acquired in a financing transaction in 2025 (the 2025 Financing) and (4) a Class B Warrant to purchase up to 1,147,960 shares of our common stock at a price of $21.60 per share (Class B Warrant), which was also acquired in the 2025 Financing. The 2024 Warrant is exercisable and expires on June 18, 2029. The Class A Warrant is also exercisable and expires on or prior to the earlier of (a) August 11, 2030 (five years from the date of issuance) and (b) the date that is 30 days after the public announcement that we have completed enrollment of at least 200 patients for our Phase 2 clinical study evaluating 5366 versus valacyclovir. The Class B Warrant is exercisable between November 15, 2026 and December 31, 2026, provided that if, prior to November 15, 2026, we publicly announce that we have received at least $75.0 million in the aggregate of non-dilutive capital in connection with a collaboration agreement, then the Class B Warrant automatically terminates in full.</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Option Exercise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2025, Gilead exercised its option to exclusively license our HPI program for the treatment of recurrent genital herpes, including 5366 and 1179. This is the first program that Gilead will advance under the Gilead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terms of the Gilead Collaboration Agreement, we received a net $35 million payment in connection with Gilead’s exercise of our HPI program. The net $35 million payment reflects a $45 million option fee, net of $10 million in accelerated funding that we received under the First Amendment to the Gilead Collaboration Agreement, which was creditable against future payments. Gilead received an exclusive license to 5366 and 1179 and will have the sole right and responsibility for further clinical development and commercialization of the HPI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received Gilead's clinical development plan and budget for the HPI program in June 2026. The plan indicates that 1179 has been selected to advance, with a Phase 2 clinical study in participants with recurrent genital herpes expected to initiate by the end of 2026. Gilead is also considering the possible evaluation of 1179 as part of a combination strategy with HIV PrEP. Our decision regarding whether to exercise our right to opt in to share 40% of all costs and profits in the United States (the Profit-Share) in lieu of receiving milestones and royalties for that program in the United States will be made after receipt and review of Gilead's commercial cost estimates, which will complete the opt-in package. If we opt in to the Profit-Share, we remain eligible to receive up to $280 million in regulatory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commercial milestones, as well as tiered royalties on net sales ranging from the high single-digits to low teens.</w:t>
      </w:r>
    </w:p>
    <w:p>
      <w:pPr>
        <w:pStyle w:val="TextBody"/>
        <w:bidi w:val="0"/>
        <w:spacing w:before="20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collaboration revenue (in thousands, except for percentages):</w:t>
      </w:r>
    </w:p>
    <w:tbl>
      <w:tblPr>
        <w:tblW w:w="9099" w:type="dxa"/>
        <w:jc w:val="left"/>
        <w:tblInd w:w="0" w:type="dxa"/>
        <w:tblLayout w:type="fixed"/>
        <w:tblCellMar>
          <w:top w:w="28" w:type="dxa"/>
          <w:left w:w="28" w:type="dxa"/>
          <w:bottom w:w="28" w:type="dxa"/>
          <w:right w:w="28" w:type="dxa"/>
        </w:tblCellMar>
      </w:tblPr>
      <w:tblGrid>
        <w:gridCol w:w="3571"/>
        <w:gridCol w:w="146"/>
        <w:gridCol w:w="243"/>
        <w:gridCol w:w="781"/>
        <w:gridCol w:w="168"/>
        <w:gridCol w:w="168"/>
        <w:gridCol w:w="243"/>
        <w:gridCol w:w="659"/>
        <w:gridCol w:w="146"/>
        <w:gridCol w:w="146"/>
        <w:gridCol w:w="298"/>
        <w:gridCol w:w="812"/>
        <w:gridCol w:w="146"/>
        <w:gridCol w:w="146"/>
        <w:gridCol w:w="350"/>
        <w:gridCol w:w="760"/>
        <w:gridCol w:w="31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from a related party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13,374</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Collaboration revenue was $13.4 million for the three months ended June 30, 2026 compared to $9.6 million for the same period in 2025. The $3.7 million increase reflects the timing of activities performed and progress toward completion of services under the Gilead Collaboration Agreement, and includes a $5.1 million cumulative catch-up adjustment recognized during the three months ended June 30, 2026 related to updated estimates of future activities under the collaboration.</w:t>
      </w:r>
    </w:p>
    <w:p>
      <w:pPr>
        <w:pStyle w:val="TextBody"/>
        <w:bidi w:val="0"/>
        <w:spacing w:before="80" w:after="12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Research and development expenses consist primarily of employee-related expenses, fees paid to contract research organizations and contract manufacturing organizations, lab supplies and other third-party expenses that support our research and discovery, nonclinical and clinical activities. External program costs represent a significant portion of our research and development expenses, which we track by product candidate once it has been nominated. We use our employee and infrastructure resources, as well as certain third-party costs, across multiple research and development programs, and we do not specifically allocate these costs to our programs.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The following table summarizes the period-over-period changes in our research and development expenses (in thousands, except for percentages): </w:t>
      </w:r>
    </w:p>
    <w:tbl>
      <w:tblPr>
        <w:tblW w:w="9466" w:type="dxa"/>
        <w:jc w:val="left"/>
        <w:tblInd w:w="0" w:type="dxa"/>
        <w:tblLayout w:type="fixed"/>
        <w:tblCellMar>
          <w:top w:w="28" w:type="dxa"/>
          <w:left w:w="28" w:type="dxa"/>
          <w:bottom w:w="28" w:type="dxa"/>
          <w:right w:w="28" w:type="dxa"/>
        </w:tblCellMar>
      </w:tblPr>
      <w:tblGrid>
        <w:gridCol w:w="3556"/>
        <w:gridCol w:w="146"/>
        <w:gridCol w:w="231"/>
        <w:gridCol w:w="741"/>
        <w:gridCol w:w="160"/>
        <w:gridCol w:w="160"/>
        <w:gridCol w:w="231"/>
        <w:gridCol w:w="741"/>
        <w:gridCol w:w="146"/>
        <w:gridCol w:w="146"/>
        <w:gridCol w:w="278"/>
        <w:gridCol w:w="832"/>
        <w:gridCol w:w="166"/>
        <w:gridCol w:w="146"/>
        <w:gridCol w:w="257"/>
        <w:gridCol w:w="853"/>
        <w:gridCol w:w="67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program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1179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6250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HDV</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7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4334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7272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3,027</w:t>
            </w:r>
          </w:p>
        </w:tc>
        <w:tc>
          <w:tcPr>
            <w:tcW w:w="16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and contractor-related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14,917</w:t>
            </w:r>
          </w:p>
        </w:tc>
        <w:tc>
          <w:tcPr>
            <w:tcW w:w="16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Amounts for 6250 include shared external program expenses supporting both the HDV and CLD indications. External program expenses directly attributable to a specific indication are reflected separately within the applicable HDV and CLD amounts.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Research and development expenses were $14.9 million for the three months ended June 30, 2026 compared to $16.1 million for the same period in 2025. The $1.2 million decrease was primarily driven by lower external program expenses, particularly for 5366, reflecting the completion of clinical trials and lower manufacturing and toxicology study costs, partially offset by increases in our research and discovery efforts and higher employee-related expenses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due to increased headcount, annual salary adjustments and stock-based compensation expense related to performance-based restricted stock units granted in mid-2025.</w:t>
      </w:r>
    </w:p>
    <w:p>
      <w:pPr>
        <w:pStyle w:val="TextBody"/>
        <w:bidi w:val="0"/>
        <w:spacing w:before="8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for personnel in executive, finance, accounting, business development, information technology, legal and human resources functions. Other significant costs include facility costs not otherwise included in research and development expenses, insurance costs, legal fees relating to patents and corporate matters and fees for accounting and consulting services.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general and administrative expenses (in thousands, except for percentages):</w:t>
      </w:r>
    </w:p>
    <w:tbl>
      <w:tblPr>
        <w:tblW w:w="8621" w:type="dxa"/>
        <w:jc w:val="left"/>
        <w:tblInd w:w="0" w:type="dxa"/>
        <w:tblLayout w:type="fixed"/>
        <w:tblCellMar>
          <w:top w:w="28" w:type="dxa"/>
          <w:left w:w="28" w:type="dxa"/>
          <w:bottom w:w="28" w:type="dxa"/>
          <w:right w:w="28" w:type="dxa"/>
        </w:tblCellMar>
      </w:tblPr>
      <w:tblGrid>
        <w:gridCol w:w="3091"/>
        <w:gridCol w:w="146"/>
        <w:gridCol w:w="257"/>
        <w:gridCol w:w="697"/>
        <w:gridCol w:w="178"/>
        <w:gridCol w:w="178"/>
        <w:gridCol w:w="257"/>
        <w:gridCol w:w="697"/>
        <w:gridCol w:w="146"/>
        <w:gridCol w:w="146"/>
        <w:gridCol w:w="369"/>
        <w:gridCol w:w="741"/>
        <w:gridCol w:w="146"/>
        <w:gridCol w:w="146"/>
        <w:gridCol w:w="454"/>
        <w:gridCol w:w="65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4,801</w:t>
            </w:r>
          </w:p>
        </w:tc>
        <w:tc>
          <w:tcPr>
            <w:tcW w:w="1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General and administrative expenses were $4.8 million for the three months ended June 30, 2026 compared to $4.6 million for the same period in 2025. The $0.2 million increase was primarily driven by higher stock-based compensation expense associated with performance-based restricted stock units granted in mid-2025, partially offset by lower professional fees related to patent filings. </w:t>
      </w:r>
    </w:p>
    <w:p>
      <w:pPr>
        <w:pStyle w:val="TextBody"/>
        <w:bidi w:val="0"/>
        <w:spacing w:before="80" w:after="120"/>
        <w:jc w:val="both"/>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Interest income consists of interest earned on our cash and cash equivalents and available-for-sale marketable securities.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interest and other income, net (in thousands, except for percentages):</w:t>
      </w:r>
    </w:p>
    <w:tbl>
      <w:tblPr>
        <w:tblW w:w="8050" w:type="dxa"/>
        <w:jc w:val="left"/>
        <w:tblInd w:w="0" w:type="dxa"/>
        <w:tblLayout w:type="fixed"/>
        <w:tblCellMar>
          <w:top w:w="28" w:type="dxa"/>
          <w:left w:w="28" w:type="dxa"/>
          <w:bottom w:w="28" w:type="dxa"/>
          <w:right w:w="28" w:type="dxa"/>
        </w:tblCellMar>
      </w:tblPr>
      <w:tblGrid>
        <w:gridCol w:w="2521"/>
        <w:gridCol w:w="146"/>
        <w:gridCol w:w="280"/>
        <w:gridCol w:w="758"/>
        <w:gridCol w:w="193"/>
        <w:gridCol w:w="193"/>
        <w:gridCol w:w="280"/>
        <w:gridCol w:w="559"/>
        <w:gridCol w:w="146"/>
        <w:gridCol w:w="146"/>
        <w:gridCol w:w="298"/>
        <w:gridCol w:w="812"/>
        <w:gridCol w:w="146"/>
        <w:gridCol w:w="146"/>
        <w:gridCol w:w="285"/>
        <w:gridCol w:w="825"/>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and other income, net was $2.5 million for the three months ended June 30, 2026, compared to $0.9 million for the same period in 2025. The $1.6 million increase was primarily due to a larger portfolio balance resulting from the investment of cash proceeds from financing transactions completed in August 2025 and May 2026 and the collaboration transaction completed in December 2025.</w:t>
      </w:r>
    </w:p>
    <w:p>
      <w:pPr>
        <w:pStyle w:val="TextBody"/>
        <w:bidi w:val="0"/>
        <w:spacing w:before="200" w:after="283"/>
        <w:jc w:val="both"/>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collaboration revenue (in thousands, except for percentages):</w:t>
      </w:r>
    </w:p>
    <w:tbl>
      <w:tblPr>
        <w:tblW w:w="8905" w:type="dxa"/>
        <w:jc w:val="left"/>
        <w:tblInd w:w="0" w:type="dxa"/>
        <w:tblLayout w:type="fixed"/>
        <w:tblCellMar>
          <w:top w:w="28" w:type="dxa"/>
          <w:left w:w="28" w:type="dxa"/>
          <w:bottom w:w="28" w:type="dxa"/>
          <w:right w:w="28" w:type="dxa"/>
        </w:tblCellMar>
      </w:tblPr>
      <w:tblGrid>
        <w:gridCol w:w="3571"/>
        <w:gridCol w:w="146"/>
        <w:gridCol w:w="211"/>
        <w:gridCol w:w="677"/>
        <w:gridCol w:w="146"/>
        <w:gridCol w:w="146"/>
        <w:gridCol w:w="211"/>
        <w:gridCol w:w="677"/>
        <w:gridCol w:w="146"/>
        <w:gridCol w:w="146"/>
        <w:gridCol w:w="298"/>
        <w:gridCol w:w="812"/>
        <w:gridCol w:w="146"/>
        <w:gridCol w:w="146"/>
        <w:gridCol w:w="350"/>
        <w:gridCol w:w="760"/>
        <w:gridCol w:w="31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from a related party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Collaboration revenue was $21.6 million for the six months ended June 30, 2026 compared to $19.0 million for the same period in 2025. The $2.5 million increase reflects the timing of activities performed and progress toward completion of services under the Gilead Collaboration Agreement, and includes a $5.1 million cumulative catch-up adjustment recognized during the six months ended June 30, 2026 related to updated estimates of future activities under the collaboration.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The following table summarizes the period-over-period changes in our research and development expenses (in thousands, except for percentages): </w:t>
      </w:r>
    </w:p>
    <w:tbl>
      <w:tblPr>
        <w:tblW w:w="9270" w:type="dxa"/>
        <w:jc w:val="left"/>
        <w:tblInd w:w="0" w:type="dxa"/>
        <w:tblLayout w:type="fixed"/>
        <w:tblCellMar>
          <w:top w:w="28" w:type="dxa"/>
          <w:left w:w="28" w:type="dxa"/>
          <w:bottom w:w="28" w:type="dxa"/>
          <w:right w:w="28" w:type="dxa"/>
        </w:tblCellMar>
      </w:tblPr>
      <w:tblGrid>
        <w:gridCol w:w="3556"/>
        <w:gridCol w:w="146"/>
        <w:gridCol w:w="211"/>
        <w:gridCol w:w="677"/>
        <w:gridCol w:w="146"/>
        <w:gridCol w:w="146"/>
        <w:gridCol w:w="211"/>
        <w:gridCol w:w="677"/>
        <w:gridCol w:w="146"/>
        <w:gridCol w:w="146"/>
        <w:gridCol w:w="278"/>
        <w:gridCol w:w="832"/>
        <w:gridCol w:w="166"/>
        <w:gridCol w:w="146"/>
        <w:gridCol w:w="257"/>
        <w:gridCol w:w="853"/>
        <w:gridCol w:w="67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program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1179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6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6250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HDV</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7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4334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7272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and contractor-related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19"/>
        </w:rPr>
      </w:pPr>
      <w:r>
        <w:rPr>
          <w:rFonts w:ascii="Times New Roman" w:hAnsi="Times New Roman"/>
          <w:color w:val="000000"/>
          <w:sz w:val="19"/>
        </w:rPr>
        <w:t>(1)</w:t>
      </w:r>
    </w:p>
    <w:p>
      <w:pPr>
        <w:pStyle w:val="TextBody"/>
        <w:bidi w:val="0"/>
        <w:spacing w:before="120" w:after="283"/>
        <w:jc w:val="both"/>
        <w:rPr>
          <w:rFonts w:ascii="Times New Roman" w:hAnsi="Times New Roman"/>
          <w:color w:val="000000"/>
          <w:sz w:val="19"/>
        </w:rPr>
      </w:pPr>
      <w:r>
        <w:rPr>
          <w:rFonts w:ascii="Times New Roman" w:hAnsi="Times New Roman"/>
          <w:color w:val="000000"/>
          <w:sz w:val="19"/>
        </w:rPr>
        <w:t>Amounts for 6250 include shared external program expenses supporting both the HDV and CLD indications. External program expenses directly attributable to a specific indication are reflected separately within the applicable HDV and CLD amounts.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Research and development expenses were $29.8 million for the six months ended June 30, 2026 compared to $31.0 million for the same period in 2025. The $1.2 million decrease was primarily driven by lower external program expenses, particularly for 5366, reflecting the completion of clinical trials and lower manufacturing and toxicology study costs, partially offset by increases in our research and discovery efforts and higher employee-related expenses due to increased headcount, annual salary adjustments and stock-based compensation expense related to performance-based restricted stock units granted in mid-2025.</w:t>
      </w:r>
    </w:p>
    <w:p>
      <w:pPr>
        <w:pStyle w:val="TextBody"/>
        <w:bidi w:val="0"/>
        <w:spacing w:before="8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general and administrative expenses (in thousands, except for percentages):</w:t>
      </w:r>
    </w:p>
    <w:tbl>
      <w:tblPr>
        <w:tblW w:w="8425" w:type="dxa"/>
        <w:jc w:val="left"/>
        <w:tblInd w:w="0" w:type="dxa"/>
        <w:tblLayout w:type="fixed"/>
        <w:tblCellMar>
          <w:top w:w="28" w:type="dxa"/>
          <w:left w:w="28" w:type="dxa"/>
          <w:bottom w:w="28" w:type="dxa"/>
          <w:right w:w="28" w:type="dxa"/>
        </w:tblCellMar>
      </w:tblPr>
      <w:tblGrid>
        <w:gridCol w:w="3091"/>
        <w:gridCol w:w="146"/>
        <w:gridCol w:w="235"/>
        <w:gridCol w:w="637"/>
        <w:gridCol w:w="162"/>
        <w:gridCol w:w="162"/>
        <w:gridCol w:w="235"/>
        <w:gridCol w:w="637"/>
        <w:gridCol w:w="146"/>
        <w:gridCol w:w="146"/>
        <w:gridCol w:w="369"/>
        <w:gridCol w:w="741"/>
        <w:gridCol w:w="146"/>
        <w:gridCol w:w="146"/>
        <w:gridCol w:w="454"/>
        <w:gridCol w:w="656"/>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General and administrative expenses were $9.5 million for the six months ended June 30, 2026 compared to $9.1 million for the same period in 2025. The $0.4 million increase was primarily driven by higher stock-based compensation expense associated with performance-based restricted stock units granted in mid-2025, partially offset by lower professional fees related to patent filings. </w:t>
      </w:r>
    </w:p>
    <w:p>
      <w:pPr>
        <w:pStyle w:val="TextBody"/>
        <w:bidi w:val="0"/>
        <w:spacing w:before="80" w:after="120"/>
        <w:jc w:val="both"/>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interest and other income, net (in thousands, except for percentages):</w:t>
      </w:r>
    </w:p>
    <w:tbl>
      <w:tblPr>
        <w:tblW w:w="7855" w:type="dxa"/>
        <w:jc w:val="left"/>
        <w:tblInd w:w="0" w:type="dxa"/>
        <w:tblLayout w:type="fixed"/>
        <w:tblCellMar>
          <w:top w:w="28" w:type="dxa"/>
          <w:left w:w="28" w:type="dxa"/>
          <w:bottom w:w="28" w:type="dxa"/>
          <w:right w:w="28" w:type="dxa"/>
        </w:tblCellMar>
      </w:tblPr>
      <w:tblGrid>
        <w:gridCol w:w="2521"/>
        <w:gridCol w:w="146"/>
        <w:gridCol w:w="235"/>
        <w:gridCol w:w="637"/>
        <w:gridCol w:w="162"/>
        <w:gridCol w:w="162"/>
        <w:gridCol w:w="235"/>
        <w:gridCol w:w="637"/>
        <w:gridCol w:w="146"/>
        <w:gridCol w:w="146"/>
        <w:gridCol w:w="298"/>
        <w:gridCol w:w="812"/>
        <w:gridCol w:w="146"/>
        <w:gridCol w:w="146"/>
        <w:gridCol w:w="285"/>
        <w:gridCol w:w="825"/>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vs.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and other income, net was $4.8 million for the six months ended June 30, 2026, compared to $2.0 million for the same period in 2025. The $2.8 million increase was primarily due to a larger portfolio balance resulting from the investment of cash proceeds from financing transactions completed in August 2025 and May 2026 and the collaboration transaction completed in December 2025.</w:t>
      </w:r>
    </w:p>
    <w:p>
      <w:pPr>
        <w:pStyle w:val="TextBody"/>
        <w:bidi w:val="0"/>
        <w:spacing w:before="200" w:after="12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June 30, 2026 principally through equity financings, raising an aggregate of $929.8 million in net proceeds, and strategic collaborations, raising an aggregate of $236.2 million.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for the Six Months Ended June 30, 2026 and 2025</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our cash flow activities (in thousands):</w:t>
      </w:r>
    </w:p>
    <w:tbl>
      <w:tblPr>
        <w:tblW w:w="6989" w:type="dxa"/>
        <w:jc w:val="left"/>
        <w:tblInd w:w="0" w:type="dxa"/>
        <w:tblLayout w:type="fixed"/>
        <w:tblCellMar>
          <w:top w:w="28" w:type="dxa"/>
          <w:left w:w="28" w:type="dxa"/>
          <w:bottom w:w="28" w:type="dxa"/>
          <w:right w:w="28" w:type="dxa"/>
        </w:tblCellMar>
      </w:tblPr>
      <w:tblGrid>
        <w:gridCol w:w="4201"/>
        <w:gridCol w:w="146"/>
        <w:gridCol w:w="211"/>
        <w:gridCol w:w="781"/>
        <w:gridCol w:w="166"/>
        <w:gridCol w:w="146"/>
        <w:gridCol w:w="211"/>
        <w:gridCol w:w="736"/>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(40,197</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108,884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was $37.6 million for the six months ended June 30, 2026, compared to $40.2 million for the same period in 2025. The decrease was primarily attributable to lower clinical development expenditures resulting from the completion of multiple clinical trials, as well as approximately $1.5 million received under the letter agreement we entered into with Gilead in July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cash used in investing activities was $97.5 million for the six months ended June 30, 2026, compared to net cash provided by investing activities of $23.6 million for the same period in 2025. The change was primarily due to our purchases of marketable securities following the underwritten offering in May 2026, as we invested the $108.1 million net proceeds received from the offering.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was $108.9 million for the six months ended June 30, 2026, compared to $2.3 million for the same period in 2025. The increase was primarily attributable to the net proceeds received from the underwritten offering in May 2026, which exceeded the proceeds received from sales of common stock under the Company's "at-the-market" offering program during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our future operating expenses to increase over the coming years as we continue to expand our pipeline and advance our candidates. We monitor our cash needs and the status of the capital markets on a continuous basis. From time to time, we opportunistically raise capital and have done so numerous times since our initial public offering by issuing equity securities. We expect to continue to raise capital when and as needed and at the time and in the manner most advantageous to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we held cash, cash equivalents and marketable securities of $320.4 million, which based on our current operating plan, we believe will be sufficient to fund our operating requirements into late 2028. We believe our cash runway will extend into 2029 with the receipt of the $75.0 million extension fee due from Gilead in the fourth quarter of 2026, following the third anniversary of the Gilead Collaboration Agreement. We have based our estimate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assumptions that may prove to be wrong, and we may utilize our available capital resources sooner than we currently expect.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realize future potential benefits pursuant to the Gilead Collaboration and maintain the collaboration;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future development costs we would incur if we elect to participate in the Profit-Share for programs advanced by Gilead under the Gilead Collaboration;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scope, progress, results and costs of our ongoing drug discovery, nonclinical development, laboratory testing and clinical studies of our product candidates and any additional clinical studies we may conduct in the future;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manufacture, and to contract with third parties to manufacture, adequate supplies of our product candidates for our clinical studies and any eventual commercialization;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in the United States and abroad, maintaining and enforcing our intellectual property rights and defending intellectual property-related claims.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critical accounting policies and significant estimates are detailed in our 2025 Annual Report. There have been no material changes to our significant estimates from those previously disclosed in our 2025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both"/>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President, who serves as our principal executive officer, and our VP, Finance, who serves as our principal financial officer, of the effectiveness of the design and operation of our disclosure controls and procedures pursuant to Exchange Act Rules 13a-15(b) and 15d-15(b) as of the end of the period covered by this report. Based upon that evaluation, our principal executive officer and principal financial officer concluded that our disclosure controls and procedures as of the end of the period covered by this report were effective at the reasonable assurance level.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in the quarter ended June 30, 2026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4" w:name="part_ii_or_information"/>
      <w:bookmarkEnd w:id="14"/>
      <w:r>
        <w:rPr>
          <w:rFonts w:ascii="Times New Roman" w:hAnsi="Times New Roman"/>
          <w:b/>
          <w:color w:val="000000"/>
          <w:sz w:val="20"/>
        </w:rPr>
        <w:t>PART II – OTHER INFORMATION</w:t>
      </w:r>
    </w:p>
    <w:p>
      <w:pPr>
        <w:pStyle w:val="TextBody"/>
        <w:bidi w:val="0"/>
        <w:spacing w:before="200" w:after="283"/>
        <w:jc w:val="both"/>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not a party to any material legal proceedings. In the future, we may from time to time become involved in litigation relating to claims arising from our ordinary course of business.</w:t>
      </w:r>
    </w:p>
    <w:p>
      <w:pPr>
        <w:pStyle w:val="TextBody"/>
        <w:bidi w:val="0"/>
        <w:spacing w:before="200" w:after="283"/>
        <w:jc w:val="both"/>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You should carefully consider the following risk factors, together with all other information in this report, including our condensed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an NDA to the FDA or comparable applications to other regulatory authorities and do not expect to be in a position to do so in the near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our product candidates are in clinical development or in varying stages of nonclinical development. Data supporting our clinical development programs are derived from nonclinical data that support our early stage clinical programs, which will determine whether larger, pivotal studies are appropriate. These pivotal studies are necessary to support regulatory approval, and it may be years before these studies are completed, if ever.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 </w:t>
      </w:r>
    </w:p>
    <w:p>
      <w:pPr>
        <w:pStyle w:val="TextBody"/>
        <w:bidi w:val="0"/>
        <w:spacing w:before="200" w:after="283"/>
        <w:jc w:val="both"/>
        <w:rPr>
          <w:rFonts w:ascii="Times New Roman" w:hAnsi="Times New Roman"/>
          <w:sz w:val="20"/>
        </w:rPr>
      </w:pPr>
      <w:r>
        <w:rPr>
          <w:rFonts w:ascii="Times New Roman" w:hAnsi="Times New Roman"/>
          <w:b/>
          <w:i/>
          <w:color w:val="000000"/>
          <w:sz w:val="20"/>
        </w:rPr>
        <w:t>We are not currently profitable and might never become profitable, and we will need additional financing to complete the development of any product candidates and fund our activities into the future.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Adverse geopolitical and macroeconomic developments, such as potential worsening global economic conditions or economic downturn, ongoing military conflicts, related sanctions, actual and anticipated changes in interest rates, economic inflation and the responses by central banking authorities to control such inflation, and tariffs or the imposition and enforceability of tariffs, trade wars, barriers or restrictions, or threats of such actions and the related uncertainty thereof including uncertainties regarding the ability to obtain refunds for previously paid tariffs that have subsequently been invalidated, could affect our ability to access capital as and when needed.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is no assurance that we will be successful in raising any necessary additional capital on terms that are acceptable to us, or at all. If we are unable to develop and commercialize any product candidates and generate sufficient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or raise capital, we could be forced to reduce staff, delay, scale back or discontinue product development and clinical studies, forego business opportunities, cease operations entirely and sell, or otherwise transfer, all or substantially all of our remaining assets, which would likely have a material adverse impact on our business, results of operations, financial condition and share price.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expect our collaboration with Gilead to be a critical part of the development, manufacture and commercialization of our product candidates. If this collaboration is unsuccessful, our business could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2023, we entered into the Gilead Collaboration Agreement with Gilead, whereby Gilead exclusively licensed to us its HPI program and NNPI program, while retaining opt-in rights to these programs, and has an option to take an exclusive license, on a program-by-program basis, to all of our other current and future pipeline programs during the collaboration term. In connection with the entry into the Gilead Collaboration Agreement, we and Gilead also entered into a common stock purchase agreement and an investor rights agreement, which were both amended in June 2024. Also in June 2024, we and Gilead subsequently entered into a securities purchase agreement and warrant agreement. In December 2024, Gilead purchased additional shares of our common stock at a premium pursuant to the terms of the common stock purchase agreement, and we amended the Gilead Collaboration Agreement in connection with an updated development plan for 6250. In August 2025, Gilead purchased additional shares of our common stock and warrants to purchase additional shares of our common stock, and in May 2026, Gilead purchased additional shares of our common stock. In December 2025, Gilead exercised its option and took an exclusive license to our HPI program, and in March 2026, Gilead declined to exercise its option to license 4334 or defer its option until completion of Phase 2 studies. Our agreements and relationship with Gilead pose a number of risks, including, but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development of our investigational products could be delayed and we may need additional resources to develop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heavily dependent on Gilead for further development and commercialization of the investigational products from the programs that it opts into, including our HPI program, and transition of these programs to Gilead could delay these programs' clinical and approval timelines.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this collaboration due to various other factors, including our ability to demonstrate proof of concept in one or more clinical studies so that Gilead will exercise its option to these programs. In addition, even if we demonstrate clinical proof of concept of a candidate, Gilead may choose not to exercise its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Gilead has the right to designate (and has designated) two directors for appointment to our board of directors pursuant to the terms of the investor rights agreement and owned approximately 25.1% of our outstanding common stock as of June 30, 2026. Gilead also has the right to acquire additional shares in the open market, up to an amount resulting in Gilead owning a total of 35% of our outstanding common stock. As a result, Gilead may be able to exert significant influence over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Gilead has an option to all our current, and future, pipeline programs during the collaboration term, it may be difficult for us to enter into new collaborations.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Nonclinical and clinical studies required for our product candidates are expensive and time-consuming and may fail to demonstrate the level of safety and efficacy necessary for product approval.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nonclinical studies may not be representative of the product candidates' behavior in a clinical setting and may not be predictive of the outcomes of our clinical studies. In addition, the results of early clinical studies of product candidates may not be predictive of the results of later-stage 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commencement and rate of completion of clinical studies might be delayed by many factors, including,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with regulatory authorities on study design;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on acceptable terms with prospective contract research organizations (CROs) and clinical study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efficacy or the emergence of unforeseen safety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insufficient quantities of qualified materials made using current good manufacturing practice (cGMP) for use in clinical studies due to manufacturing challenges, delays or interruptions in the supply chain;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slower than expected rates of participant recruitment or failure to recruit a sufficient number of eligible participants, which may be due to a number of reasons, including the size of the participant population, the proximity of participants to clinical sites, the eligibility criteria for the study, the design of the clinical study, and other potential drug candidates being studied;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fewer available study sites and academic lab facilities due to changes in government funding of clinical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participants completing participation in a study or return for post-treatment follow-up for any reason, including, product side effects or disease progression;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modification of clinical study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problems with the integrity of data collected in the study;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suspension, or termination of clinical studies by the institutional review board or ethics committee responsible for overseeing the study at a particular study site;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or other regulatory agency delays or clinical holds requiring suspension or termination of our clinical studies due to safety, tolerability or other issues related to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do not have sufficient facilities or resources to conduct all our anticipated nonclinical and clinical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(GCPs),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including GCPs,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we are exposed to a number of risks related to our CROs, vendors, suppliers and other service providers that are located outside of the United States, many of which may be beyond our control. These risks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such as the war between Russia and Ukraine, the conflicts in the Middle East, including the hostilities involving Iran, and in Venezuela, tensions between China and Taiwan, as well as trade tension and/or the imposition and enforceability of tariffs (including tariffs that have been or may be in the future imposed by the United States and other countries and uncertainties regarding the ability to obtain refunds for previously paid tariffs that have subsequently been invalidated), other wars, acts of terrorism, natural disasters or outbreaks of disease;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scrutiny or prohibitions on CROs located in foreign countries, including China;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drug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standards of care in various countries that could complicate the evaluation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U.S. and foreign drug import and export rules;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reimbursement systems and different competitive drugs indicated to treat the indication for which our product candidates are being developed;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 in certain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trade, economic or other policies by the U.S. or foreign governments, which may result in new or unexpected changes in tariffs, trade wars, barriers or restrictions, or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the United States Foreign Corrupt Practices Act (the FCPA) and other anti-corruption and anti-bribery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taxes, including withholding of payroll taxes;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and compliance with foreign currency exchange rules, which could result in increased operating expenses and reduced revenues, and other obligations incident to doing business in another country.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Top-line, preliminary or interim data may not accurately reflect the final results of a particular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publicly disclose top-line, preliminary or interim data based on analysis of then-available efficacy, tolerability, PK and safety data, and the results and related findings and conclusions are subject to change following a more comprehensive data review related to the particular study. We also may make assumptions, estimates,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calculations and conclusions as part of our data analyses, and we may not have received or had the opportunity to fully and carefully evaluate all data prior to release. As a result, the top-line, preliminary or interim results that we report may differ from final results of the same studies or different conclusions or considerations may qualify such results once additional data have been received and fully evaluated. Top-line, preliminary or interim data also remain subject to audit and verification procedures that may result in the final data differing materially from previously published top-line, preliminary or interim data. As a result, top-line, preliminary or interim data should be viewed with caution until the final data are available.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top-line, preliminary or interim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preliminary or interim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following risks with respect to the manufacture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identify manufacturers for commercial supply on acceptable terms, which we may be unable to do because the number of potential manufacturers is limited, and the FDA must evaluate and approve any new or replacement contractor.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third-party manufacturers with whom we contract might be unable to formulate and manufacture our product candidates in the volume and quality required to meet our nonclinical, clinical and, if approved, commercial needs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third-party manufacturers with whom we contract might be unable to manufacture or obtain from other third parties the active pharmaceutical ingredient needed to manufacture the finished dosage form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third-party manufacturers with whom we contract might not perform as agreed or might not remain in the contract manufacturing business for the time required to supply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 or more of any third-party manufacturers with whom we contract could be foreign, which increases the risk of shipping delays and adds the risk of import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complete control over, and cannot ensure, any third-party manufacturers’ compliance with cGMP and other government regulations and corresponding foreign requirements, including periodic FDA and state regulatory inspections.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share our trade secrets and know-how with third parties, increasing risk of misappropriation or disclosure of our intellectual property by or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contracting with third-party manufacturers, we might compete with other companies for access to these manufacturers’ facilities and might be subject to manufacturing delays if the manufacturers give other clients higher priority than we are given.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these risks could delay our development efforts, nonclinical studies and clinical studies or the approval, if any, of our product candidates by the FDA or applicable non-U.S. regulatory authorities and the commercialization of our product candidates. Furthermore, workforce reductions at the FDA, and any future reductions of staffing or other resources at the FDA, may lead to delays in inspecting facilities and, in turn, delayed FDA approvals for manufacturing changes. This could result in higher costs or deprive us of potential product revenues and materially harm our business, financial condition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lose key management personnel and cannot recruit and retain similarly qualified replacements, our business may materially suffer.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collaboration partners might delay, prevent or undermine the success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 to a program, it might lead to significant delays in introducing proposed products into certain markets and/or reduced sales of proposed products in such markets.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successful in establishing and maintaining collaborations, which could adversely affect our ability to develop certain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at all, we may be unable to advance certain of our product candidates through further nonclinical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are unable to reach agreement on favorable terms with a suitable collaboration partner for any of our product candidates that Gilead declines to opt into, we may need to limit the number of our product candidates to advance through further nonclinical or clinical development. Failure to achieve such successful collaborations would limit our options for support of the development and commercialization of our programs and for financing and would likely have a material adverse impact on our business, results of operations, financial condition and share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data provided by third parties that has not been independently verified and could prove to be false, misleading or incomplete.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development and commercialization goals, including data releases, may not be achieved in the timeframes that we publicly estimate, which could have an adverse impact on our business and could cause our stock price to decline.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Developments by competitors might render our product candidates or technologies obsolete or non-competitive.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pharmaceutical and biotechnology industries are intensely competitive. In addition, the clinical and commercial landscapes for recurrent genital herpes, HDV, CLD, HBV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recurrent genital herpes, HDV, CLD, HBV and transplant-related herpesviruses or any other indication or field we might pursue, and successfully commercialize those treatments, our business and prospects could be materially harmed.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Negative data from clinical studies using a competitor’s product candidates with the same or similar mechanisms of action (MOA) as ours could adversely impact the perception of the therapeutic use of our product candidates and our ability to enroll individuals in clinical studies.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(AEs) in our nonclinical or clinical studies or those of our competitors or of academic researchers utilizing the same MOA as our product candidates, even if not ultimately attributable to our product candidates, and any resulting publicity could result in increased governmental regulation, larger, more complex, or an increased number of clinical trial requirements, unfavorable public perception, potential regulatory delays in the testing or approval of our product candidates, stricter labeling requirements for our product candidates that are approved, if any, and a decrease in demand for any such products.</w:t>
      </w:r>
    </w:p>
    <w:p>
      <w:pPr>
        <w:pStyle w:val="TextBody"/>
        <w:bidi w:val="0"/>
        <w:jc w:val="left"/>
        <w:rPr>
          <w:rFonts w:ascii="Times New Roman" w:hAnsi="Times New Roman"/>
          <w:b/>
          <w:i/>
          <w:color w:val="000000"/>
          <w:sz w:val="20"/>
        </w:rPr>
      </w:pPr>
      <w:r>
        <w:rPr>
          <w:rFonts w:ascii="Times New Roman" w:hAnsi="Times New Roman"/>
          <w:b/>
          <w:i/>
          <w:color w:val="000000"/>
          <w:sz w:val="20"/>
        </w:rPr>
        <w:t>Significant disruptions of information technology systems or breaches of data security, including cybersecurity incidents, could materially and adversely affect our business, results of operations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trade secrets, other proprietary business information and confidential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personal data. We rely on information technology systems that we or our third-party providers operate to process, transmit and store electronic information and otherwise to conduct our day-to-day operations (including confidential business, personal and patient health information in connection with our preclinical and clinical studies and our employees), which information technology systems may become subject to cyberattacks and other security breaches, and system outages. The information technology systems and infrastructure of our current and any future collaborators, contractors and consultants and other third parties on which we rely, are also vulnerable to such incidents.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risk of a cybersecurity incident or security breach or disruption, particularly through cyberattacks or cyber intrusion, has escalated as the frequency, intensity and sophistication of attempted attacks and intrusions from around the world have increased, become increasingly difficult to detect and could be enhanced or facilitated by artificial intelligence. In addition, the prevalent use of mobile devices that access confidential information increases the risk of data security breaches. A successful cyberattack could cause serious negative consequences for us, including, without limitation, the disruption of operations, the theft, misappropriation, destruction or other compromises of confidential or proprietary information (including financial information, corporate strategic plans, trade secrets and other intellectual property and data), improper access to, use or disclosure of personal and patient health information, other misappropriation of assets, and financial loss. Although we devote resources to protect our information systems, we realize that cyberattacks remain a threat, and there can be no assurance that our efforts (or those of our employees, contractors, consultants and the third-party providers on which we rely) will prevent security breaches that would result in business, legal, financial or reputational harm to us, or would have a material adverse effect on our results of operations and financial condition. In addition, although we carry cyber insurance, in the event of a material security incident, such coverage may not be sufficient to cover all losses. Any failure to prevent or mitigate security breaches or improper access to, use of, or disclosure of our clinical data or patients’ personal data could result in significant liability under various U.S. state and federal laws and regulations and laws of foreign jurisdictions regarding data privacy and security (or require notification to governmental agencies, the media or individuals pursuant to such laws) and may cause a material adverse impact to our reputation, affect our ability to use collected data, conduct new studies and potentially disrupt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internal computer systems, or those of our third-party CROs or other contractors or consultants, may fail or suffer other disruptions, which could result in a material disruption of our current or future product candidates’ development programs. Despite the implementation of security, business continuity and back-up measures, in addition to cyberattacks and security incidents described above, our internal computer systems and those of our third-party CROs and other contractors and consultants are vulnerable to damage from natural disasters, terrorism, war and telecommunication and electrical failures. While we have not experienced any such system failure, or accident to date, if such an event were to occur and cause interruptions in our operations (or those of our business partners or other third parties on which we rely), it could result in a material disruption of our programs. For example, any loss of clinical study data from completed or ongoing or planned clinical studies could result in delays in our regulatory approval efforts and significantly increase our costs to recover or reproduce the data. To the extent that any such disruption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ability to use our net operating loss and credit carryforwards and certain other tax attributes may be limited.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net operating loss carryforwards due to losses generated before January 1, 2018, which if not utilized, will begin to expire in 2029. If we are unable to generate sufficient taxable income to utilize our net operating loss carryforwards, pre-2018 carryforwards could expire unused and be unavailable to offset future income tax liabilities.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Under Sections 382 and 383 of the Internal Revenue Code of 1986, as amended (the Code), a corporation that undergoes an “ownership change” (generally defined as a greater than 50% change (by value) in its equity ownership over a three-year period) is subject to annual limitations on its ability to use its pre-change net operating loss carryforwards and other pre-change tax attributes (such as research tax credits) to offset its post-change income or taxes. We have experienced ownership changes in the past, most recently in August 2025,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Regulatory and Legal Environment</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We are and will be subject to extensive and costly government regulation, and the failure to comply with these regulations may have a material adverse effect on our operations and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product candidates are subject to extensive and rigorous domestic government regulation, including regulation by the FDA, the Centers for Medicare and Medicaid Services, other divisions of the U.S. Department of Health and Human Services (HHS),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marketing authorization applications or supplements to approved applications, untitled letters or warning letters, fines, import and export restrictions, product recalls or seizures, injunctions, total or partial suspension of production, civil penalties, withdrawals of previously approved marketing authorizations, recommendations by the FDA or other regulatory authorities against governmental contracts, and/or criminal prosecutions.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ability of the FDA to review and approve new products has been in the past and may in the future be affected by a variety of factors, including government budget and funding levels, authorization and payment of user fees, the ability to hire and retain key personnel, as well as other statutory, regulatory and policy changes. In addition, funding of other government agencies that support research and development activities that pertain to FDA review, such as research to understand new technologies or establish new standards, can shift in response to changing administrative policies and priorities. Such policy shifts, including, for example, the recent efforts to downsize the federal workforce by restructuring the HHS and eliminating positions at the FDA, including teams critical to the FDA's ability to conduct regular inspections, reviews and other regulatory activities, such as issuing guidance for industry and regulations,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federal agencies, may affect the timelines, completeness or duration of the FDA review process. In addition, the HHS may change the user fee reauthorization process or fail to reauthorize user fee programs. As a result, average review times at the FDA may fluctuate, and the outcome of any such review process may be impacted. A prolonged government shutdown or a widespread freeze on federal funding could also significantly impact the ability of the FDA to timely review and process our regulatory submissions and the National Institutes of Health to conduct research or provide grants, or cause other agencies that support the FDA to slow their work. In addition, if future legislation or administrative action or changes in FDA policy prevent the FDA or other regulatory authorities from conducting routine inspections, reviews, or other regulatory activities, it could significantly impact the ability of the FDA to timely review and process our regulatory submissions, which could have a material adverse effect on our business. Delays in obtaining regulatory approvals might: delay commercialization of, and our ability to derive product revenues from, our product candidates; impose costly procedures on us; and diminish any competitive advantages that we might otherwise enjoy.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if we comply with all FDA requirements, the FDA might ultimately refuse to approve one or more of our NDAs. We cannot be sure that we will ever obtain regulatory approval to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and our third-party partners and service providers are subject to stringent privacy laws, information security laws, regulations, policies and contractual obligations related to data privacy and security, and compliance with such laws, regulations, policies and contractual obligations could result in additional costs and liabilities to us and failure to comply could adversely affect our business, financial condition, results of operations and prospects.</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We maintain and process certain confidential, sensitive, or personal information in the operation of our business, and rely on certain third-party vendors to process confidential, sensitive or personal information on our behalf, including in the conduct of our clinical trials. We and our third party partners and service providers, including our CROs and other vendors and contractors, are subject to data privacy and security laws and regulations that govern the collection, transmission, storage, use, processing, destruction, retention and security of personal information, including additional laws or regulations relating to health information. The legislative and regulatory landscape for privacy and data protection continues to evolve in jurisdictions worldwide, and these laws may at times be conflicting. It is possible that these laws may be interpreted or applied in a manner that is inconsistent with the practices we or our third party partners maintain, and any of our efforts to comply with the evolving data protection rules may be unsuccessful. Neither we nor our third party partners can guarantee that we or they are and have been in compliance with all applicable data privacy and protection laws, rules regulations, policies and standards. We may need to devote significant resources to seek to understand and comply with this changing landscape, and it is possible that these ongoing compliance efforts may be costly and require modifications to our policies, procedures and systems over time. Failure, or perceived failure, by us or our third-party partners and service providers to comply with laws and regulations regarding privacy and security of personal information could result in penalties under such laws, such as orders requiring a change in business practices, claims for damages or other liabilities, government investigations and enforcement actions, litigation and significant costs for remediation, any of which could adversely affect our business. Even if it is determined that there was no violation of these laws, government investigations into these issues typically require the expenditure of significant resources and generate negative publicity. Any resulting enforcement actions against us or our third party partners could lead to the imposition of fines, criminal prosecution of employees, claims for damages by affected individuals and reputational damage and loss of goodwill. Additionally, if we and any CROs or third parties we use to conduct clinical trials, are unable to properly protect the privacy and security of personal information, including protected health information, we and they could be found to have breached our and their contracts with certain third parties.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are numerous U.S. federal and state laws and regulations related to the privacy and security of personal information. In particular, the Health Insurance Portability and Accountability Act (HIPAA), as amended by HITECH and their respective implementing regulations, establish privacy and security standards for Covered Entities and Business Associates (as defined by HIPAA)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We do not believe that we are currently acting as a covered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Determining whether protected health information has been handled in compliance with applicable privacy standards and contractual obligations can be complex and may be subject to changing interpretation. If we or our third party partners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the HHS also has discretion to impose penalties without attempting to first resolve violations. In addition, state attorneys general are authorized pursuant to certain federal and state laws to bring civil actions seeking either injunctions or damages in response to violations that threaten the privacy of state residents. We cannot be sure how these laws and regulations will be interpreted, enforced or applied to our operations or the operations of our third party partners.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U.S. state laws may be more stringent or broader in scope, or offer greater individual rights, with respect to sensitive and personal information than international, federal, or other state laws, and such laws may differ from each other, which may complicate compliance efforts. For example, in June 2018, California enacted the California Consumer Privacy Act (CCPA), which broadly defines personal information, gives California residents expanded privacy rights and protections, including the right to access and delete certain personal information, as well as the right to opt-out of certain sales of personal information, and provides for civil penalties for violations and a private right of action for data breaches. Additional states have passed privacy laws, such as the Virginia Consumer Data Protection Act and the Colorado Privacy Act, which are similar to the CCPA. Such new privacy laws add further complexity in interpreting and implementing data privacy requirements and restrictions and thus create additional potential legal risk, require additional investment in resources for compliance programs, and could impact business strategies and the availability of previously useful data. This complexity applies to data security as well. Certain other states, including California, Massachusetts and Nevada have adopted laws requiring the implementation of certain security measures to protect personal information, and all 50 states and the District of Columbia, Puerto Rico, the U.S. Virgin Islands and Guam have adopted laws including obligations to provide notification of security breaches of computer databases that contain personal information to affected individuals, state officers and others. We may also be subject to U.S. federal rules, regulations and guidance with respect to data privacy and security practices. According to the Federal Trade Commission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These federal and state laws regarding data privacy and security may differ from one another, and the interplay between them may be subject to varying interpretations by courts and government agencies, increasing our costs of compliance and exposing us to potential legal risk.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European Union (EU), the processing of personal data, including personal health data, is governed by the provisions of the EU General Data Protection Regulation (EU GDPR), in addition to other applicable laws and regulations. The EU GDPR, together with national legislation, regulations and guidelines of the EU Member States governing the processing of personal data, impose strict obligations with respect to, and restrictions on, the collection, use, retention, protection, disclosure, transfer and processing of personal data. The EU GDPR also imposes strict rules on the transfer of personal data to countries outside the EU that are not deemed to have adequate protections for personal information, including the United States. The EU GDPR authorizes fines for certain violations that are in addition to any civil litigation claims by data subjects. Separately, Brexit has led and could lead to further legislative and regulatory changes and may increase our compliance costs. Data processing in the United Kingdom (UK) is governed by the UK General Data Protection Regulation (UK GDPR), creating two parallel regimes, each of which authorizes similar fines and other potentially divergent enforcement actions for certain violations. Failure to comply with the EU GDPR or the UK GDPR can result in significant fines and other liability, including, under the EU GDPR, fines of up to €20 million (or £17.5 million under the UK GDPR) or four percent (4%) of global revenue, whichever is greater.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Other jurisdictions worldwide are similarly introducing or enhancing privacy and data security laws, rules and regulations, which could increase our compliance costs and the risks associated with noncompliance. Compliance with data protection laws and regulations in the U.S. and internationally could require us to take on more onerous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obligations in our contracts, restrict our ability to collect, use and disclose data, or in some cases, impact our ability to operate in certain jurisdictions.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development partners or other third party partners and service providers to comply with such requirements or adequately address privacy and security concerns, even if unfounded, could have a material adverse effect on our business, financial condition, results of operations and prospects. We cannot guarantee that we and our employees, representatives, contractors, consultants, CROs, collaborators, development partners and other third parties on whom we rely are, and will be, in compliance with all applicable international laws and regulations as they are enforced now or as such laws and regulations evolve or are interpreted.</w:t>
      </w:r>
    </w:p>
    <w:p>
      <w:pPr>
        <w:pStyle w:val="TextBody"/>
        <w:bidi w:val="0"/>
        <w:jc w:val="both"/>
        <w:rPr>
          <w:rFonts w:ascii="Times New Roman" w:hAnsi="Times New Roman"/>
          <w:b/>
          <w:i/>
          <w:color w:val="000000"/>
          <w:sz w:val="20"/>
        </w:rPr>
      </w:pPr>
      <w:r>
        <w:rPr>
          <w:rFonts w:ascii="Times New Roman" w:hAnsi="Times New Roman"/>
          <w:b/>
          <w:i/>
          <w:color w:val="000000"/>
          <w:sz w:val="20"/>
        </w:rPr>
        <w:t>We and our collaborators may be subject, directly or indirectly, to applicable U.S. federal and state anti-kickback, false claims laws, physician payment transparency laws, other fraud and abuse laws or similar healthcare and security laws and regulations, and health information privacy and security laws, which could expose us or them to criminal sanctions, civil penalties, exclusion or suspension from federal and state healthcare programs, contractual damages, reputational harm and diminished profits and future earnings.</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For example, there are federal and state healthcare laws and regulations that govern prescription drug marketing practices, including off-label promotion, and increased scrutiny of direct-to-consumer advertisements. In addition, we may be subject to patient privacy regulation by both the federal government and the states and foreign jurisdictions in which we conduct our business. Additionally, clinical trial activities can present enforcement risk where data integrity issues arise or there are concerns regarding the financial arrangements between clinical trial sponsors and physician employees or consultants, investigators or sites when federal healthcare programs reimburse trial-related costs. If we fail to comply with any applicable federal, state or foreign legal requirement, we could be subject to penalties.</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be subject to challenge under one or more of such laws.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or any of the physicians or other providers or entities with whom we do business with are found to be not in compliance with applicable laws, such noncompliance may be subject to criminal, civil or administrative sanctions, including exclusions from government funded healthcare programs, which may also adversely affect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face the risk of product liability claims and might not be able to obtain insurance.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could exceed our total assets and our ability to pay. Any successful product liability claims brought against us would decrease our cash and may adversely affect our business, stock price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might be exposed to liability claims associated with the use of hazardous materials and chemicals.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collaborators and CROs may engage in misconduct or other improper activities, including noncompliance with regulatory standards and requirements for which we may be held responsible and which could result in significant liability for us and harm our reputation.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risk of fraud or other misconduct, including failure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applicable regulations of, and provide accurate information to, the FDA or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federal and state healthcare fraud and abuse laws and regulations and similar laws and regulations established and enforced by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the FCPA, the U.K. Bribery Act 2010, the PRC Criminal Law, the PRC Anti-unfair Competition Law and other anti-bribery and trade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 financial information and data accurately;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 unauthorized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Our business depends on protecting our 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 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incur substantial costs as a result of litigation or other proceedings relating to our patents and other intellectual property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infringe the intellectual property rights of others, which may prevent or delay our product development efforts and stop us from commercializing or increase the costs of commercializing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cost of maintaining our patent protection globally is high and requires continuous review and compliance. We may not be able to effectively maintain our intellectual property position throughout the major markets of the world.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compounds that are the same as, or similar to, our current or future product candidates but that are not covered by the claims of the patents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make the inventions covered by the issued patents or pending patent applications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prosecution of our pending patent applications may not result in granted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Granted patents that we own or have exclusively licensed may not provide us with any competitive advantages, or may be held invalid or unenforceable, because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The price of our common stock has in the past and may continue to fluctuate significantly, and you could lose all or part of your investment.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price of our common stock fluctuates widely. Continued volatility in the market price of our common stock might prevent a stockholder from being able to sell shares of our common stock at or above the price paid for such shares. The trading price of our common stock has in the past and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 xml:space="preserve">Exhibits. </w:t>
      </w:r>
      <w:r>
        <w:rPr>
          <w:rFonts w:ascii="Times New Roman" w:hAnsi="Times New Roman"/>
          <w:color w:val="000000"/>
          <w:sz w:val="20"/>
        </w:rPr>
        <w:t>The following exhibits are filed or furnished, as applicable, as part of this quarterly report on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1"/>
        <w:gridCol w:w="146"/>
        <w:gridCol w:w="5312"/>
        <w:gridCol w:w="146"/>
        <w:gridCol w:w="781"/>
        <w:gridCol w:w="146"/>
        <w:gridCol w:w="1066"/>
        <w:gridCol w:w="146"/>
        <w:gridCol w:w="797"/>
        <w:gridCol w:w="146"/>
        <w:gridCol w:w="738"/>
      </w:tblGrid>
      <w:tr>
        <w:trPr/>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7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1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05/26/2026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Amendment No. 3 to Assembly Biosciences, Inc. Amended and Restated 2018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06/05/2026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 No. 2 to Assembly Biosciences, Inc. Second Amended and Restated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 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06/05/2026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hyperlink w:anchor="asmb-ex31_1.htm">
              <w:r>
                <w:rPr>
                  <w:rStyle w:val="InternetLink"/>
                  <w:rFonts w:ascii="Times New Roman" w:hAnsi="Times New Roman"/>
                  <w:color w:val="0000FF"/>
                  <w:sz w:val="20"/>
                  <w:u w:val="single"/>
                </w:rPr>
                <w:t>Certification of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hyperlink w:anchor="asmb-ex31_2.htm">
              <w:r>
                <w:rPr>
                  <w:rStyle w:val="InternetLink"/>
                  <w:rFonts w:ascii="Times New Roman" w:hAnsi="Times New Roman"/>
                  <w:color w:val="0000FF"/>
                  <w:sz w:val="20"/>
                  <w:u w:val="single"/>
                </w:rPr>
                <w:t>Certification of Principal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hyperlink w:anchor="asmb-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1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hyperlink w:anchor="asmb-ex32_2.htm">
              <w:r>
                <w:rPr>
                  <w:rStyle w:val="InternetLink"/>
                  <w:rFonts w:ascii="Times New Roman" w:hAnsi="Times New Roman"/>
                  <w:color w:val="0000FF"/>
                  <w:sz w:val="20"/>
                  <w:u w:val="single"/>
                </w:rPr>
                <w:t>Certification of Principal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Exhibits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Represents management contracts or compensatory plans or arrangements.</w:t>
      </w:r>
    </w:p>
    <w:p>
      <w:pPr>
        <w:pStyle w:val="TextBody"/>
        <w:bidi w:val="0"/>
        <w:jc w:val="both"/>
        <w:rPr>
          <w:rFonts w:ascii="Times New Roman" w:hAnsi="Times New Roman"/>
          <w:color w:val="000000"/>
          <w:sz w:val="20"/>
        </w:rPr>
      </w:pPr>
      <w:r>
        <w:rPr>
          <w:rFonts w:ascii="Times New Roman" w:hAnsi="Times New Roman"/>
          <w:color w:val="000000"/>
          <w:sz w:val="20"/>
        </w:rPr>
        <w:t>* The certification attached as Exhibit 32.1 that accompanies this Quarterly Report on Form 10-Q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bookmarkStart w:id="22" w:name="signathure"/>
      <w:bookmarkEnd w:id="22"/>
      <w:r>
        <w:rPr/>
        <w:t> </w:t>
      </w:r>
    </w:p>
    <w:p>
      <w:pPr>
        <w:pStyle w:val="TextBody"/>
        <w:bidi w:val="0"/>
        <w:jc w:val="both"/>
        <w:rPr>
          <w:rFonts w:ascii="Times New Roman" w:hAnsi="Times New Roman"/>
          <w:color w:val="000000"/>
          <w:sz w:val="20"/>
        </w:rPr>
      </w:pPr>
      <w:r>
        <w:rPr>
          <w:rFonts w:ascii="Times New Roman" w:hAnsi="Times New Roman"/>
          <w:color w:val="000000"/>
          <w:sz w:val="20"/>
        </w:rPr>
        <w:t>In accordance with the requirements of the Securities Exchange Act of 1934, the registrant caused this report to be signed on its behalf by the undersigned, thereunto duly authorized.</w:t>
      </w:r>
    </w:p>
    <w:p>
      <w:pPr>
        <w:pStyle w:val="TextBody"/>
        <w:bidi w:val="0"/>
        <w:jc w:val="both"/>
        <w:rPr/>
      </w:pPr>
      <w:r>
        <w:rPr/>
        <w:t> </w:t>
      </w:r>
    </w:p>
    <w:tbl>
      <w:tblPr>
        <w:tblW w:w="7503" w:type="dxa"/>
        <w:jc w:val="left"/>
        <w:tblInd w:w="0" w:type="dxa"/>
        <w:tblLayout w:type="fixed"/>
        <w:tblCellMar>
          <w:top w:w="28" w:type="dxa"/>
          <w:left w:w="28" w:type="dxa"/>
          <w:bottom w:w="28" w:type="dxa"/>
          <w:right w:w="28" w:type="dxa"/>
        </w:tblCellMar>
      </w:tblPr>
      <w:tblGrid>
        <w:gridCol w:w="1951"/>
        <w:gridCol w:w="406"/>
        <w:gridCol w:w="514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Assembly Biosciences,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Jeanette M. Bjorkquist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Jeanette M. Bjorkquist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Finance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(Principal Financial Officer and Principal Accounting Officer)</w:t>
            </w:r>
          </w:p>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bookmarkStart w:id="23" w:name="asmb-ex31_1.htm"/>
      <w:bookmarkStart w:id="24" w:name="ksasmb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Jason A. Okazaki,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w:t>
        <w:noBreakHyphen/>
        <w:t xml:space="preserve">Q of Assembly Biosciences,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 xml:space="preserve">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5568" w:type="dxa"/>
        <w:jc w:val="left"/>
        <w:tblInd w:w="0" w:type="dxa"/>
        <w:tblLayout w:type="fixed"/>
        <w:tblCellMar>
          <w:top w:w="28" w:type="dxa"/>
          <w:left w:w="28" w:type="dxa"/>
          <w:bottom w:w="28" w:type="dxa"/>
          <w:right w:w="28" w:type="dxa"/>
        </w:tblCellMar>
      </w:tblPr>
      <w:tblGrid>
        <w:gridCol w:w="1951"/>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smb-ex31_2.htm"/>
      <w:bookmarkStart w:id="26" w:name="ksasmb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Jeanette M. Bjorkquist,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w:t>
        <w:noBreakHyphen/>
        <w:t xml:space="preserve">Q of Assembly Biosciences,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 xml:space="preserve">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4773" w:type="dxa"/>
        <w:jc w:val="left"/>
        <w:tblInd w:w="0" w:type="dxa"/>
        <w:tblLayout w:type="fixed"/>
        <w:tblCellMar>
          <w:top w:w="28" w:type="dxa"/>
          <w:left w:w="28" w:type="dxa"/>
          <w:bottom w:w="28" w:type="dxa"/>
          <w:right w:w="28" w:type="dxa"/>
        </w:tblCellMar>
      </w:tblPr>
      <w:tblGrid>
        <w:gridCol w:w="1951"/>
        <w:gridCol w:w="406"/>
        <w:gridCol w:w="241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Jeanette M. Bjorkquist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Jeanette M. Bjorkquist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 Finance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asmb-ex32_1.htm"/>
      <w:bookmarkStart w:id="28" w:name="ksasmbex32_1"/>
      <w:bookmarkEnd w:id="27"/>
      <w:bookmarkEnd w:id="28"/>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CERTIFICATION PURSUANT TO 18 U.S.C. SECTION 1350, AS ADOPTED 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SECTION 906 OF THE SARBANES-OXLEY ACT OF 2002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on Form 10</w:t>
        <w:noBreakHyphen/>
        <w:t xml:space="preserve">Q of Assembly Biosciences, Inc. (the Company) for the period ended June 30, 2026 as filed with the Securities and Exchange Commission on or about the date hereof (the Report), I, Jason A. Okazaki, Chief Executive Officer and President, hereby certify, pursuant to 18 U.S.C. Section 1350, as adopted pursuant to Section 906 of the Sarbanes-Oxley Act of 2002, that, to my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 as of, and for, the periods presented in the Report.</w:t>
      </w:r>
    </w:p>
    <w:p>
      <w:pPr>
        <w:pStyle w:val="TextBody"/>
        <w:bidi w:val="0"/>
        <w:jc w:val="left"/>
        <w:rPr/>
      </w:pPr>
      <w:r>
        <w:rPr/>
        <w:t> </w:t>
      </w:r>
    </w:p>
    <w:tbl>
      <w:tblPr>
        <w:tblW w:w="3372" w:type="dxa"/>
        <w:jc w:val="left"/>
        <w:tblInd w:w="0" w:type="dxa"/>
        <w:tblLayout w:type="fixed"/>
        <w:tblCellMar>
          <w:top w:w="28" w:type="dxa"/>
          <w:left w:w="28" w:type="dxa"/>
          <w:bottom w:w="28" w:type="dxa"/>
          <w:right w:w="28" w:type="dxa"/>
        </w:tblCellMar>
      </w:tblPr>
      <w:tblGrid>
        <w:gridCol w:w="161"/>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smb-ex32_2.htm"/>
      <w:bookmarkStart w:id="30" w:name="ksasmbex32_2"/>
      <w:bookmarkEnd w:id="29"/>
      <w:bookmarkEnd w:id="30"/>
      <w:r>
        <w:rPr>
          <w:rFonts w:ascii="Times New Roman" w:hAnsi="Times New Roman"/>
          <w:b/>
          <w:color w:val="000000"/>
          <w:sz w:val="20"/>
        </w:rPr>
        <w:t>EXHIBIT 32.2</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CERTIFICATION PURSUANT TO 18 U.S.C. SECTION 1350, AS ADOPTED 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SECTION 906 OF THE SARBANES-OXLEY ACT OF 2002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on Form 10</w:t>
        <w:noBreakHyphen/>
        <w:t xml:space="preserve">Q of Assembly Biosciences, Inc. (the Company) for the period ended June 30, 2026 as filed with the Securities and Exchange Commission on or about the date hereof (the Report), I, Jeanette M. Bjorkquist, VP, Finance, hereby certify, pursuant to 18 U.S.C. Section 1350, as adopted pursuant to Section 906 of the Sarbanes-Oxley Act of 2002, that, to my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 as of, and for, the periods presented in the Report.</w:t>
      </w:r>
    </w:p>
    <w:p>
      <w:pPr>
        <w:pStyle w:val="TextBody"/>
        <w:bidi w:val="0"/>
        <w:jc w:val="left"/>
        <w:rPr/>
      </w:pPr>
      <w:r>
        <w:rPr/>
        <w:t> </w:t>
      </w:r>
    </w:p>
    <w:tbl>
      <w:tblPr>
        <w:tblW w:w="2577" w:type="dxa"/>
        <w:jc w:val="left"/>
        <w:tblInd w:w="0" w:type="dxa"/>
        <w:tblLayout w:type="fixed"/>
        <w:tblCellMar>
          <w:top w:w="28" w:type="dxa"/>
          <w:left w:w="28" w:type="dxa"/>
          <w:bottom w:w="28" w:type="dxa"/>
          <w:right w:w="28" w:type="dxa"/>
        </w:tblCellMar>
      </w:tblPr>
      <w:tblGrid>
        <w:gridCol w:w="161"/>
        <w:gridCol w:w="2416"/>
      </w:tblGrid>
      <w:tr>
        <w:trPr/>
        <w:tc>
          <w:tcPr>
            <w:tcW w:w="16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Jeanette M. Bjorkquist</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Jeanette M. Bjorkquist</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 Finance</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6800/000119312526239277/asmb-ex4_1.htm" TargetMode="External"/><Relationship Id="rId3" Type="http://schemas.openxmlformats.org/officeDocument/2006/relationships/hyperlink" Target="https://www.sec.gov/Archives/edgar/data/1426800/000119312526259481/asmb-ex10_1.htm" TargetMode="External"/><Relationship Id="rId4" Type="http://schemas.openxmlformats.org/officeDocument/2006/relationships/hyperlink" Target="https://www.sec.gov/Archives/edgar/data/1426800/000119312526259481/asmb-ex10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30720</Words>
  <Characters>170860</Characters>
  <CharactersWithSpaces>202614</CharactersWithSpaces>
  <Paragraphs>5599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