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1039495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94615</wp:posOffset>
            </wp:positionV>
            <wp:extent cx="21151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99060</wp:posOffset>
            </wp:positionV>
            <wp:extent cx="2115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269" w:lineRule="exact"/>
        <w:rPr>
          <w:sz w:val="24"/>
          <w:szCs w:val="24"/>
          <w:color w:val="auto"/>
        </w:rPr>
      </w:pPr>
    </w:p>
    <w:p>
      <w:pPr>
        <w:ind w:left="3860" w:right="2540" w:hanging="3839"/>
        <w:spacing w:after="0" w:line="476" w:lineRule="auto"/>
        <w:tabs>
          <w:tab w:leader="none" w:pos="48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268" w:lineRule="exact"/>
        <w:rPr>
          <w:sz w:val="24"/>
          <w:szCs w:val="24"/>
          <w:color w:val="auto"/>
        </w:rPr>
      </w:pPr>
    </w:p>
    <w:p>
      <w:pPr>
        <w:ind w:left="3580" w:right="2520" w:hanging="3559"/>
        <w:spacing w:after="0" w:line="430" w:lineRule="auto"/>
        <w:tabs>
          <w:tab w:leader="none" w:pos="479"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___________to___________.</w:t>
      </w:r>
    </w:p>
    <w:p>
      <w:pPr>
        <w:spacing w:after="0" w:line="1" w:lineRule="exact"/>
        <w:rPr>
          <w:rFonts w:ascii="MS PGothic" w:cs="MS PGothic" w:eastAsia="MS PGothic" w:hAnsi="MS PGothic"/>
          <w:sz w:val="16"/>
          <w:szCs w:val="16"/>
          <w:color w:val="auto"/>
          <w:highlight w:val="black"/>
        </w:rPr>
      </w:pP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115570</wp:posOffset>
            </wp:positionV>
            <wp:extent cx="21151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60"/>
        </w:trPr>
        <w:tc>
          <w:tcPr>
            <w:tcW w:w="3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ASSEMBLY BIOSCIENCES, INC.</w:t>
            </w: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7380" w:type="dxa"/>
            <w:vAlign w:val="bottom"/>
            <w:gridSpan w:val="6"/>
          </w:tcPr>
          <w:p>
            <w:pPr>
              <w:jc w:val="center"/>
              <w:ind w:right="378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0" w:type="dxa"/>
            <w:vAlign w:val="bottom"/>
          </w:tcPr>
          <w:p>
            <w:pPr>
              <w:spacing w:after="0"/>
              <w:rPr>
                <w:sz w:val="1"/>
                <w:szCs w:val="1"/>
                <w:color w:val="auto"/>
              </w:rPr>
            </w:pPr>
          </w:p>
        </w:tc>
      </w:tr>
      <w:tr>
        <w:trPr>
          <w:trHeight w:val="297"/>
        </w:trPr>
        <w:tc>
          <w:tcPr>
            <w:tcW w:w="3860" w:type="dxa"/>
            <w:vAlign w:val="bottom"/>
          </w:tcPr>
          <w:p>
            <w:pPr>
              <w:jc w:val="center"/>
              <w:ind w:left="17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gridSpan w:val="2"/>
          </w:tcPr>
          <w:p>
            <w:pPr>
              <w:jc w:val="right"/>
              <w:ind w:right="2342"/>
              <w:spacing w:after="0"/>
              <w:rPr>
                <w:sz w:val="20"/>
                <w:szCs w:val="20"/>
                <w:color w:val="auto"/>
              </w:rPr>
            </w:pPr>
            <w:r>
              <w:rPr>
                <w:rFonts w:ascii="Times New Roman" w:cs="Times New Roman" w:eastAsia="Times New Roman" w:hAnsi="Times New Roman"/>
                <w:sz w:val="16"/>
                <w:szCs w:val="16"/>
                <w:b w:val="1"/>
                <w:bCs w:val="1"/>
                <w:color w:val="auto"/>
              </w:rPr>
              <w:t>20-8729264</w:t>
            </w:r>
          </w:p>
        </w:tc>
        <w:tc>
          <w:tcPr>
            <w:tcW w:w="0" w:type="dxa"/>
            <w:vAlign w:val="bottom"/>
          </w:tcPr>
          <w:p>
            <w:pPr>
              <w:spacing w:after="0"/>
              <w:rPr>
                <w:sz w:val="1"/>
                <w:szCs w:val="1"/>
                <w:color w:val="auto"/>
              </w:rPr>
            </w:pPr>
          </w:p>
        </w:tc>
      </w:tr>
      <w:tr>
        <w:trPr>
          <w:trHeight w:val="229"/>
        </w:trPr>
        <w:tc>
          <w:tcPr>
            <w:tcW w:w="3860" w:type="dxa"/>
            <w:vAlign w:val="bottom"/>
          </w:tcPr>
          <w:p>
            <w:pPr>
              <w:jc w:val="center"/>
              <w:ind w:left="170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80" w:type="dxa"/>
            <w:vAlign w:val="bottom"/>
            <w:gridSpan w:val="2"/>
          </w:tcPr>
          <w:p>
            <w:pPr>
              <w:jc w:val="center"/>
              <w:ind w:right="1542"/>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29"/>
        </w:trPr>
        <w:tc>
          <w:tcPr>
            <w:tcW w:w="3860" w:type="dxa"/>
            <w:vAlign w:val="bottom"/>
          </w:tcPr>
          <w:p>
            <w:pPr>
              <w:jc w:val="center"/>
              <w:ind w:left="170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860" w:type="dxa"/>
            <w:vAlign w:val="bottom"/>
          </w:tcPr>
          <w:p>
            <w:pPr>
              <w:jc w:val="center"/>
              <w:ind w:left="1680"/>
              <w:spacing w:after="0"/>
              <w:rPr>
                <w:sz w:val="20"/>
                <w:szCs w:val="20"/>
                <w:color w:val="auto"/>
              </w:rPr>
            </w:pPr>
            <w:r>
              <w:rPr>
                <w:rFonts w:ascii="Times New Roman" w:cs="Times New Roman" w:eastAsia="Times New Roman" w:hAnsi="Times New Roman"/>
                <w:sz w:val="16"/>
                <w:szCs w:val="16"/>
                <w:b w:val="1"/>
                <w:bCs w:val="1"/>
                <w:color w:val="auto"/>
                <w:w w:val="99"/>
              </w:rPr>
              <w:t>Two Tower Place, 7th Floor</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gridSpan w:val="5"/>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3980" w:type="dxa"/>
            <w:vAlign w:val="bottom"/>
            <w:gridSpan w:val="2"/>
          </w:tcPr>
          <w:p>
            <w:pPr>
              <w:jc w:val="right"/>
              <w:ind w:right="2522"/>
              <w:spacing w:after="0"/>
              <w:rPr>
                <w:sz w:val="20"/>
                <w:szCs w:val="20"/>
                <w:color w:val="auto"/>
              </w:rPr>
            </w:pPr>
            <w:r>
              <w:rPr>
                <w:rFonts w:ascii="Times New Roman" w:cs="Times New Roman" w:eastAsia="Times New Roman" w:hAnsi="Times New Roman"/>
                <w:sz w:val="16"/>
                <w:szCs w:val="16"/>
                <w:b w:val="1"/>
                <w:bCs w:val="1"/>
                <w:color w:val="auto"/>
              </w:rPr>
              <w:t>94080</w:t>
            </w:r>
          </w:p>
        </w:tc>
        <w:tc>
          <w:tcPr>
            <w:tcW w:w="0" w:type="dxa"/>
            <w:vAlign w:val="bottom"/>
          </w:tcPr>
          <w:p>
            <w:pPr>
              <w:spacing w:after="0"/>
              <w:rPr>
                <w:sz w:val="1"/>
                <w:szCs w:val="1"/>
                <w:color w:val="auto"/>
              </w:rPr>
            </w:pPr>
          </w:p>
        </w:tc>
      </w:tr>
      <w:tr>
        <w:trPr>
          <w:trHeight w:val="229"/>
        </w:trPr>
        <w:tc>
          <w:tcPr>
            <w:tcW w:w="7260" w:type="dxa"/>
            <w:vAlign w:val="bottom"/>
            <w:gridSpan w:val="5"/>
          </w:tcPr>
          <w:p>
            <w:pPr>
              <w:jc w:val="center"/>
              <w:ind w:right="16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0" w:type="dxa"/>
            <w:vAlign w:val="bottom"/>
          </w:tcPr>
          <w:p>
            <w:pPr>
              <w:spacing w:after="0"/>
              <w:rPr>
                <w:sz w:val="19"/>
                <w:szCs w:val="19"/>
                <w:color w:val="auto"/>
              </w:rPr>
            </w:pPr>
          </w:p>
        </w:tc>
        <w:tc>
          <w:tcPr>
            <w:tcW w:w="3960" w:type="dxa"/>
            <w:vAlign w:val="bottom"/>
          </w:tcPr>
          <w:p>
            <w:pPr>
              <w:jc w:val="center"/>
              <w:ind w:right="1582"/>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89"/>
        </w:trPr>
        <w:tc>
          <w:tcPr>
            <w:tcW w:w="3860" w:type="dxa"/>
            <w:vAlign w:val="bottom"/>
          </w:tcPr>
          <w:p>
            <w:pPr>
              <w:spacing w:after="0"/>
              <w:rPr>
                <w:sz w:val="24"/>
                <w:szCs w:val="24"/>
                <w:color w:val="auto"/>
              </w:rPr>
            </w:pPr>
          </w:p>
        </w:tc>
        <w:tc>
          <w:tcPr>
            <w:tcW w:w="29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9"/>
              </w:rPr>
              <w:t>(833) 509-4583</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7380" w:type="dxa"/>
            <w:vAlign w:val="bottom"/>
            <w:gridSpan w:val="6"/>
          </w:tcPr>
          <w:p>
            <w:pPr>
              <w:jc w:val="center"/>
              <w:ind w:right="37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141"/>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860" w:type="dxa"/>
            <w:vAlign w:val="bottom"/>
            <w:tcBorders>
              <w:left w:val="single" w:sz="8" w:color="auto"/>
              <w:bottom w:val="single" w:sz="8" w:color="auto"/>
            </w:tcBorders>
          </w:tcPr>
          <w:p>
            <w:pPr>
              <w:jc w:val="center"/>
              <w:ind w:left="580"/>
              <w:spacing w:after="0"/>
              <w:rPr>
                <w:sz w:val="20"/>
                <w:szCs w:val="20"/>
                <w:color w:val="auto"/>
              </w:rPr>
            </w:pPr>
            <w:r>
              <w:rPr>
                <w:rFonts w:ascii="Times New Roman" w:cs="Times New Roman" w:eastAsia="Times New Roman" w:hAnsi="Times New Roman"/>
                <w:sz w:val="14"/>
                <w:szCs w:val="14"/>
                <w:color w:val="auto"/>
              </w:rPr>
              <w:t>Title of each class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jc w:val="center"/>
              <w:ind w:right="462"/>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260"/>
        </w:trPr>
        <w:tc>
          <w:tcPr>
            <w:tcW w:w="3860" w:type="dxa"/>
            <w:vAlign w:val="bottom"/>
            <w:tcBorders>
              <w:left w:val="single" w:sz="8" w:color="auto"/>
              <w:bottom w:val="single" w:sz="8" w:color="auto"/>
            </w:tcBorders>
          </w:tcPr>
          <w:p>
            <w:pPr>
              <w:jc w:val="center"/>
              <w:ind w:left="580"/>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ASMB</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jc w:val="center"/>
              <w:ind w:right="482"/>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840" w:type="dxa"/>
            <w:vAlign w:val="bottom"/>
          </w:tcPr>
          <w:p>
            <w:pPr>
              <w:spacing w:after="0"/>
              <w:rPr>
                <w:sz w:val="23"/>
                <w:szCs w:val="23"/>
                <w:color w:val="auto"/>
              </w:rPr>
            </w:pPr>
          </w:p>
        </w:tc>
      </w:tr>
    </w:tbl>
    <w:p>
      <w:pPr>
        <w:spacing w:after="0" w:line="60"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282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 2024, there were 6,356,286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1096010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2024 (unaudited)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for the Three and Nine Months Ended September 30,</w:t>
            </w:r>
          </w:p>
        </w:tc>
        <w:tc>
          <w:tcPr>
            <w:tcW w:w="7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340" w:type="dxa"/>
            <w:vAlign w:val="bottom"/>
            <w:gridSpan w:val="17"/>
          </w:tcPr>
          <w:p>
            <w:pPr>
              <w:spacing w:after="0" w:line="195" w:lineRule="exact"/>
              <w:rPr>
                <w:sz w:val="20"/>
                <w:szCs w:val="20"/>
                <w:color w:val="auto"/>
              </w:rPr>
            </w:pPr>
            <w:r>
              <w:rPr>
                <w:rFonts w:ascii="Times New Roman" w:cs="Times New Roman" w:eastAsia="Times New Roman" w:hAnsi="Times New Roman"/>
                <w:sz w:val="18"/>
                <w:szCs w:val="18"/>
                <w:color w:val="0000FF"/>
              </w:rPr>
              <w:t>2024 and 2023 (unaudited)</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w:t>
            </w:r>
          </w:p>
        </w:tc>
        <w:tc>
          <w:tcPr>
            <w:tcW w:w="7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340" w:type="dxa"/>
            <w:vAlign w:val="bottom"/>
            <w:gridSpan w:val="17"/>
          </w:tcPr>
          <w:p>
            <w:pPr>
              <w:spacing w:after="0" w:line="195" w:lineRule="exact"/>
              <w:rPr>
                <w:sz w:val="20"/>
                <w:szCs w:val="20"/>
                <w:color w:val="auto"/>
              </w:rPr>
            </w:pPr>
            <w:r>
              <w:rPr>
                <w:rFonts w:ascii="Times New Roman" w:cs="Times New Roman" w:eastAsia="Times New Roman" w:hAnsi="Times New Roman"/>
                <w:sz w:val="18"/>
                <w:szCs w:val="18"/>
                <w:color w:val="0000FF"/>
              </w:rPr>
              <w:t>2024 and 2023 (unaudited)</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tcBorders>
              <w:left w:val="single" w:sz="8" w:color="0000FF"/>
            </w:tcBorders>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71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2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659"/>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References to Assembly Biosciences, Inc.</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 Commission (SEC) on March 28, 2024 (2023 Annual Report) and Part II, Item 1A of this Quarterly Report on Form 10-Q under the heading “Risk Factors,” that could cause actual results to materially differ. Such risks and uncertainties include, among other things:</w:t>
      </w:r>
    </w:p>
    <w:p>
      <w:pPr>
        <w:spacing w:after="0" w:line="74" w:lineRule="exact"/>
        <w:rPr>
          <w:sz w:val="20"/>
          <w:szCs w:val="20"/>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financial resources necessary to continue our research activities, clinical studies and other business operations;</w:t>
      </w:r>
    </w:p>
    <w:p>
      <w:pPr>
        <w:spacing w:after="0" w:line="116" w:lineRule="exact"/>
        <w:rPr>
          <w:rFonts w:ascii="Times New Roman" w:cs="Times New Roman" w:eastAsia="Times New Roman" w:hAnsi="Times New Roman"/>
          <w:sz w:val="18"/>
          <w:szCs w:val="18"/>
          <w:color w:val="auto"/>
        </w:rPr>
      </w:pPr>
    </w:p>
    <w:p>
      <w:pPr>
        <w:ind w:left="640" w:hanging="377"/>
        <w:spacing w:after="0" w:line="28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of our collaboration with Gilead Sciences, Inc. (Gilead), including all financial aspects of the collaboration and equity investments;</w:t>
      </w:r>
    </w:p>
    <w:p>
      <w:pPr>
        <w:spacing w:after="0" w:line="54" w:lineRule="exact"/>
        <w:rPr>
          <w:rFonts w:ascii="Times New Roman" w:cs="Times New Roman" w:eastAsia="Times New Roman" w:hAnsi="Times New Roman"/>
          <w:sz w:val="18"/>
          <w:szCs w:val="18"/>
          <w:color w:val="auto"/>
        </w:rPr>
      </w:pPr>
    </w:p>
    <w:p>
      <w:pPr>
        <w:ind w:left="640" w:hanging="377"/>
        <w:spacing w:after="0" w:line="28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clinical studies involving our therapeutic product candidates, including studies contemplated by our collaboration with Gilead, in the currently anticipated timeframes or at all;</w:t>
      </w:r>
    </w:p>
    <w:p>
      <w:pPr>
        <w:spacing w:after="0" w:line="54"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data from clinical or nonclinical studies may not warrant further development of our product candidates;</w:t>
      </w:r>
    </w:p>
    <w:p>
      <w:pPr>
        <w:spacing w:after="0" w:line="116"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nonclinical data presented at conferences may not differentiate our product candidates from other companies’ candidates; and</w:t>
      </w:r>
    </w:p>
    <w:p>
      <w:pPr>
        <w:spacing w:after="0" w:line="116" w:lineRule="exact"/>
        <w:rPr>
          <w:rFonts w:ascii="Times New Roman" w:cs="Times New Roman" w:eastAsia="Times New Roman" w:hAnsi="Times New Roman"/>
          <w:sz w:val="18"/>
          <w:szCs w:val="18"/>
          <w:color w:val="auto"/>
        </w:rPr>
      </w:pPr>
    </w:p>
    <w:p>
      <w:pPr>
        <w:ind w:left="640" w:hanging="377"/>
        <w:spacing w:after="0" w:line="28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nonclinical studies may not be representative of disease behavior in a clinical setting and may not be predictive of the outcomes of clinical studies.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 and par value)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2"/>
        </w:trPr>
        <w:tc>
          <w:tcPr>
            <w:tcW w:w="7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7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28,452</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19,841</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66,502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110,406</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from collaboration</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3,259</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3,497</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98,213</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133,787</w:t>
            </w:r>
          </w:p>
        </w:tc>
      </w:tr>
      <w:tr>
        <w:trPr>
          <w:trHeight w:val="240"/>
        </w:trPr>
        <w:tc>
          <w:tcPr>
            <w:tcW w:w="7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20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1,421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2,339</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100,262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136,823</w:t>
            </w: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1,335</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4,765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5,744</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from a related party - short-term</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32,620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30,915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short-term</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1,329</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1,220</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41,635</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39,225</w:t>
            </w:r>
          </w:p>
        </w:tc>
      </w:tr>
      <w:tr>
        <w:trPr>
          <w:trHeight w:val="240"/>
        </w:trPr>
        <w:tc>
          <w:tcPr>
            <w:tcW w:w="7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from a related party - long-term</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32,511</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55,379</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1,122</w:t>
            </w:r>
          </w:p>
        </w:tc>
      </w:tr>
      <w:tr>
        <w:trPr>
          <w:trHeight w:val="23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74,259</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95,726</w:t>
            </w:r>
          </w:p>
        </w:tc>
      </w:tr>
      <w:tr>
        <w:trPr>
          <w:trHeight w:val="238"/>
        </w:trPr>
        <w:tc>
          <w:tcPr>
            <w:tcW w:w="7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43"/>
        </w:trPr>
        <w:tc>
          <w:tcPr>
            <w:tcW w:w="7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0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150,000,000 shares authorized as of September 30, 2024 and</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2023; 6,354,414 and 5,482,752 shares issued and outstanding as of September 30, 2024</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841,743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826,921</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(815,590 )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(785,748 )</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26,003</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41,097</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100,262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136,823</w:t>
            </w: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-4862830</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-4237990</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-2653665</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-2019935</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-187960</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0"/>
        </w:trPr>
        <w:tc>
          <w:tcPr>
            <w:tcW w:w="4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8"/>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revenue from a related party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6,845</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21,163</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13,515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37,894</w:t>
            </w:r>
          </w:p>
        </w:tc>
        <w:tc>
          <w:tcPr>
            <w:tcW w:w="0" w:type="dxa"/>
            <w:vAlign w:val="bottom"/>
          </w:tcPr>
          <w:p>
            <w:pPr>
              <w:spacing w:after="0"/>
              <w:rPr>
                <w:sz w:val="1"/>
                <w:szCs w:val="1"/>
                <w:color w:val="auto"/>
              </w:rPr>
            </w:pPr>
          </w:p>
        </w:tc>
      </w:tr>
      <w:tr>
        <w:trPr>
          <w:trHeight w:val="247"/>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4,286</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13,398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14,201</w:t>
            </w: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17,801</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15,048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55,051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52,095</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(10,956 )</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(15,048 )</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(33,888 )</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(52,095 )</w:t>
            </w: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4,452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4,452</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(9,613 )</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(14,420 )</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(29,436 )</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(50,266 )</w:t>
            </w:r>
          </w:p>
        </w:tc>
        <w:tc>
          <w:tcPr>
            <w:tcW w:w="0" w:type="dxa"/>
            <w:vAlign w:val="bottom"/>
          </w:tcPr>
          <w:p>
            <w:pPr>
              <w:spacing w:after="0"/>
              <w:rPr>
                <w:sz w:val="1"/>
                <w:szCs w:val="1"/>
                <w:color w:val="auto"/>
              </w:rPr>
            </w:pPr>
          </w:p>
        </w:tc>
      </w:tr>
      <w:tr>
        <w:trPr>
          <w:trHeight w:val="236"/>
        </w:trPr>
        <w:tc>
          <w:tcPr>
            <w:tcW w:w="4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(9,613 )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(14,420 )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(29,842 )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(50,266 )</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7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(9,476 )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(14,370 )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(29,917 )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(49,738 )</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(11.61 )</w:t>
            </w:r>
          </w:p>
        </w:tc>
        <w:tc>
          <w:tcPr>
            <w:tcW w:w="0" w:type="dxa"/>
            <w:vAlign w:val="bottom"/>
          </w:tcPr>
          <w:p>
            <w:pPr>
              <w:spacing w:after="0"/>
              <w:rPr>
                <w:sz w:val="1"/>
                <w:szCs w:val="1"/>
                <w:color w:val="auto"/>
              </w:rPr>
            </w:pPr>
          </w:p>
        </w:tc>
      </w:tr>
      <w:tr>
        <w:trPr>
          <w:trHeight w:val="191"/>
        </w:trPr>
        <w:tc>
          <w:tcPr>
            <w:tcW w:w="444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6,351,431</w:t>
            </w:r>
          </w:p>
        </w:tc>
        <w:tc>
          <w:tcPr>
            <w:tcW w:w="14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4,380,444</w:t>
            </w: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5,827,750</w:t>
            </w:r>
          </w:p>
        </w:tc>
        <w:tc>
          <w:tcPr>
            <w:tcW w:w="12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4,329,260</w:t>
            </w:r>
          </w:p>
        </w:tc>
        <w:tc>
          <w:tcPr>
            <w:tcW w:w="0" w:type="dxa"/>
            <w:vAlign w:val="bottom"/>
          </w:tcPr>
          <w:p>
            <w:pPr>
              <w:spacing w:after="0"/>
              <w:rPr>
                <w:sz w:val="1"/>
                <w:szCs w:val="1"/>
                <w:color w:val="auto"/>
              </w:rPr>
            </w:pPr>
          </w:p>
        </w:tc>
      </w:tr>
      <w:tr>
        <w:trPr>
          <w:trHeight w:val="20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-2901950</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-2901950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-2901950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-2576830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-2576830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-2576830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-1943100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-1943100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-1943100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-1301115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-1283970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-1301115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-1283970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-1301115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-1283970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-650240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-633095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-650240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-633095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-650240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-633095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-316230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-299085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-316230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-299085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-316230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-299085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Three Month 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92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08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June 30, 2024</w:t>
            </w:r>
          </w:p>
        </w:tc>
        <w:tc>
          <w:tcPr>
            <w:tcW w:w="1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6,345,561</w:t>
            </w:r>
          </w:p>
        </w:tc>
        <w:tc>
          <w:tcPr>
            <w:tcW w:w="8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840,946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(293 )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(805,977 )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34,682</w:t>
            </w:r>
          </w:p>
        </w:tc>
        <w:tc>
          <w:tcPr>
            <w:tcW w:w="0" w:type="dxa"/>
            <w:vAlign w:val="bottom"/>
          </w:tcPr>
          <w:p>
            <w:pPr>
              <w:spacing w:after="0"/>
              <w:rPr>
                <w:sz w:val="1"/>
                <w:szCs w:val="1"/>
                <w:color w:val="auto"/>
              </w:rPr>
            </w:pPr>
          </w:p>
        </w:tc>
      </w:tr>
      <w:tr>
        <w:trPr>
          <w:trHeight w:val="194"/>
        </w:trPr>
        <w:tc>
          <w:tcPr>
            <w:tcW w:w="37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8,853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Unrealized gain on marketable debt securities</w:t>
            </w:r>
          </w:p>
        </w:tc>
        <w:tc>
          <w:tcPr>
            <w:tcW w:w="1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797</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(9,613 )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(9,613 )</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2024</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6,354,414</w:t>
            </w:r>
          </w:p>
        </w:tc>
        <w:tc>
          <w:tcPr>
            <w:tcW w:w="840" w:type="dxa"/>
            <w:vAlign w:val="bottom"/>
            <w:gridSpan w:val="2"/>
          </w:tcPr>
          <w:p>
            <w:pPr>
              <w:jc w:val="right"/>
              <w:ind w:right="548"/>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841,743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(156 )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(815,590 )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26,003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760" w:type="dxa"/>
            <w:vAlign w:val="bottom"/>
          </w:tcPr>
          <w:p>
            <w:pPr>
              <w:spacing w:after="0"/>
              <w:rPr>
                <w:sz w:val="20"/>
                <w:szCs w:val="20"/>
                <w:color w:val="auto"/>
              </w:rPr>
            </w:pPr>
          </w:p>
        </w:tc>
        <w:tc>
          <w:tcPr>
            <w:tcW w:w="192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08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June 30, 2023</w:t>
            </w:r>
          </w:p>
        </w:tc>
        <w:tc>
          <w:tcPr>
            <w:tcW w:w="1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4,370,863</w:t>
            </w:r>
          </w:p>
        </w:tc>
        <w:tc>
          <w:tcPr>
            <w:tcW w:w="8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815,636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(325 )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(760,366 )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54,949</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for settlement of RSUs</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13,622</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Unrealized gain on marketable debt securities</w:t>
            </w:r>
          </w:p>
        </w:tc>
        <w:tc>
          <w:tcPr>
            <w:tcW w:w="1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1,135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1,135</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(14,420 )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(14,420 )</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2023</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4,384,485</w:t>
            </w:r>
          </w:p>
        </w:tc>
        <w:tc>
          <w:tcPr>
            <w:tcW w:w="840" w:type="dxa"/>
            <w:vAlign w:val="bottom"/>
            <w:gridSpan w:val="2"/>
          </w:tcPr>
          <w:p>
            <w:pPr>
              <w:jc w:val="right"/>
              <w:ind w:right="548"/>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816,771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(275 )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(774,786 )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41,714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-1583690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-1583690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-1583690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-1583690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-1583690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-179070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-179070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-179070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-179070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-179070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For the Nine Month 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920" w:type="dxa"/>
            <w:vAlign w:val="bottom"/>
            <w:gridSpan w:val="3"/>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0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5,482,752</w:t>
            </w:r>
          </w:p>
        </w:tc>
        <w:tc>
          <w:tcPr>
            <w:tcW w:w="840" w:type="dxa"/>
            <w:vAlign w:val="bottom"/>
            <w:gridSpan w:val="2"/>
            <w:shd w:val="clear" w:color="auto" w:fill="CFF0FC"/>
          </w:tcPr>
          <w:p>
            <w:pPr>
              <w:jc w:val="right"/>
              <w:ind w:right="544"/>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826,921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(81 )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(785,748 )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41,097</w:t>
            </w:r>
          </w:p>
        </w:tc>
        <w:tc>
          <w:tcPr>
            <w:tcW w:w="0" w:type="dxa"/>
            <w:vAlign w:val="bottom"/>
          </w:tcPr>
          <w:p>
            <w:pPr>
              <w:spacing w:after="0"/>
              <w:rPr>
                <w:sz w:val="1"/>
                <w:szCs w:val="1"/>
                <w:color w:val="auto"/>
              </w:rPr>
            </w:pPr>
          </w:p>
        </w:tc>
      </w:tr>
      <w:tr>
        <w:trPr>
          <w:trHeight w:val="194"/>
        </w:trPr>
        <w:tc>
          <w:tcPr>
            <w:tcW w:w="37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stock and warrants in a</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registered direct offering and a private placement,</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of issuance costs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814,000</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12,394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12,395</w:t>
            </w:r>
          </w:p>
        </w:tc>
        <w:tc>
          <w:tcPr>
            <w:tcW w:w="0" w:type="dxa"/>
            <w:vAlign w:val="bottom"/>
          </w:tcPr>
          <w:p>
            <w:pPr>
              <w:spacing w:after="0"/>
              <w:rPr>
                <w:sz w:val="1"/>
                <w:szCs w:val="1"/>
                <w:color w:val="auto"/>
              </w:rPr>
            </w:pPr>
          </w:p>
        </w:tc>
      </w:tr>
      <w:tr>
        <w:trPr>
          <w:trHeight w:val="202"/>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stock under Employee Stock</w:t>
            </w: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Plan (ESPP)</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7,252</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for settlement of RSUs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49,996</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414</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23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2,369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2,369</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(29,842 )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(29,842 )</w:t>
            </w:r>
          </w:p>
        </w:tc>
        <w:tc>
          <w:tcPr>
            <w:tcW w:w="0" w:type="dxa"/>
            <w:vAlign w:val="bottom"/>
          </w:tcPr>
          <w:p>
            <w:pPr>
              <w:spacing w:after="0"/>
              <w:rPr>
                <w:sz w:val="1"/>
                <w:szCs w:val="1"/>
                <w:color w:val="auto"/>
              </w:rPr>
            </w:pPr>
          </w:p>
        </w:tc>
      </w:tr>
      <w:tr>
        <w:trPr>
          <w:trHeight w:val="265"/>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2024</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6,354,414</w:t>
            </w:r>
          </w:p>
        </w:tc>
        <w:tc>
          <w:tcPr>
            <w:tcW w:w="14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ind w:right="5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841,743</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(156 )</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(815,590 )</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26,003</w:t>
            </w:r>
          </w:p>
        </w:tc>
        <w:tc>
          <w:tcPr>
            <w:tcW w:w="0" w:type="dxa"/>
            <w:vAlign w:val="bottom"/>
          </w:tcPr>
          <w:p>
            <w:pPr>
              <w:spacing w:after="0"/>
              <w:rPr>
                <w:sz w:val="1"/>
                <w:szCs w:val="1"/>
                <w:color w:val="auto"/>
              </w:rPr>
            </w:pPr>
          </w:p>
        </w:tc>
      </w:tr>
      <w:tr>
        <w:trPr>
          <w:trHeight w:val="240"/>
        </w:trPr>
        <w:tc>
          <w:tcPr>
            <w:tcW w:w="3760" w:type="dxa"/>
            <w:vAlign w:val="bottom"/>
          </w:tcPr>
          <w:p>
            <w:pPr>
              <w:spacing w:after="0"/>
              <w:rPr>
                <w:sz w:val="20"/>
                <w:szCs w:val="20"/>
                <w:color w:val="auto"/>
              </w:rPr>
            </w:pPr>
          </w:p>
        </w:tc>
        <w:tc>
          <w:tcPr>
            <w:tcW w:w="1920" w:type="dxa"/>
            <w:vAlign w:val="bottom"/>
            <w:gridSpan w:val="3"/>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0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2022</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4,074,552</w:t>
            </w:r>
          </w:p>
        </w:tc>
        <w:tc>
          <w:tcPr>
            <w:tcW w:w="840" w:type="dxa"/>
            <w:vAlign w:val="bottom"/>
            <w:gridSpan w:val="2"/>
            <w:shd w:val="clear" w:color="auto" w:fill="CFF0FC"/>
          </w:tcPr>
          <w:p>
            <w:pPr>
              <w:jc w:val="right"/>
              <w:ind w:right="544"/>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807,983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(803 )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(724,520 )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82,664</w:t>
            </w:r>
          </w:p>
        </w:tc>
        <w:tc>
          <w:tcPr>
            <w:tcW w:w="0" w:type="dxa"/>
            <w:vAlign w:val="bottom"/>
          </w:tcPr>
          <w:p>
            <w:pPr>
              <w:spacing w:after="0"/>
              <w:rPr>
                <w:sz w:val="1"/>
                <w:szCs w:val="1"/>
                <w:color w:val="auto"/>
              </w:rPr>
            </w:pPr>
          </w:p>
        </w:tc>
      </w:tr>
      <w:tr>
        <w:trPr>
          <w:trHeight w:val="194"/>
        </w:trPr>
        <w:tc>
          <w:tcPr>
            <w:tcW w:w="37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stock under at-the-market</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(ATM) equity offering program, net of issuance</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261,170</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4,546</w:t>
            </w:r>
          </w:p>
        </w:tc>
        <w:tc>
          <w:tcPr>
            <w:tcW w:w="0" w:type="dxa"/>
            <w:vAlign w:val="bottom"/>
          </w:tcPr>
          <w:p>
            <w:pPr>
              <w:spacing w:after="0"/>
              <w:rPr>
                <w:sz w:val="1"/>
                <w:szCs w:val="1"/>
                <w:color w:val="auto"/>
              </w:rPr>
            </w:pPr>
          </w:p>
        </w:tc>
      </w:tr>
      <w:tr>
        <w:trPr>
          <w:trHeight w:val="23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7,533</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for settlement of RSUs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41,230</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Unrealized gain on marketable debt securities</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528</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4,162</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(50,266 )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(50,266 )</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2023</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4,384,485</w:t>
            </w:r>
          </w:p>
        </w:tc>
        <w:tc>
          <w:tcPr>
            <w:tcW w:w="840" w:type="dxa"/>
            <w:vAlign w:val="bottom"/>
            <w:gridSpan w:val="2"/>
          </w:tcPr>
          <w:p>
            <w:pPr>
              <w:jc w:val="right"/>
              <w:ind w:right="544"/>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816,771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(275 )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(774,786 )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41,714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-1977390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-1960245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-1977390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-1960245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-1977390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-1960245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-1977390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-1960245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-1977390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-1960245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-179070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-179070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-179070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-179070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-179070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8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(50,266 )</w:t>
            </w:r>
          </w:p>
        </w:tc>
      </w:tr>
      <w:tr>
        <w:trPr>
          <w:trHeight w:val="247"/>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r>
      <w:tr>
        <w:trPr>
          <w:trHeight w:val="247"/>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2,369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4,160</w:t>
            </w:r>
          </w:p>
        </w:tc>
      </w:tr>
      <w:tr>
        <w:trPr>
          <w:trHeight w:val="238"/>
        </w:trPr>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accretion of investments in marketable debt securities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r>
      <w:tr>
        <w:trPr>
          <w:trHeight w:val="247"/>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rent expense</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2,525</w:t>
            </w:r>
          </w:p>
        </w:tc>
      </w:tr>
      <w:tr>
        <w:trPr>
          <w:trHeight w:val="238"/>
        </w:trPr>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 from collaboration</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944</w:t>
            </w: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w:t>
            </w: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(1,735 )</w:t>
            </w: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(1,503 )</w:t>
            </w: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(3,429 )</w:t>
            </w: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 from a related party</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(21,163 )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(2,720 )</w:t>
            </w:r>
          </w:p>
        </w:tc>
      </w:tr>
      <w:tr>
        <w:trPr>
          <w:trHeight w:val="24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(50,710 )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(50,904 )</w:t>
            </w:r>
          </w:p>
        </w:tc>
      </w:tr>
      <w:tr>
        <w:trPr>
          <w:trHeight w:val="243"/>
        </w:trPr>
        <w:tc>
          <w:tcPr>
            <w:tcW w:w="8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96,500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46,315</w:t>
            </w: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(49,605 )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(25,615 )</w:t>
            </w:r>
          </w:p>
        </w:tc>
      </w:tr>
      <w:tr>
        <w:trPr>
          <w:trHeight w:val="238"/>
        </w:trPr>
        <w:tc>
          <w:tcPr>
            <w:tcW w:w="82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4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46,867</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20,516</w:t>
            </w:r>
          </w:p>
        </w:tc>
      </w:tr>
      <w:tr>
        <w:trPr>
          <w:trHeight w:val="243"/>
        </w:trPr>
        <w:tc>
          <w:tcPr>
            <w:tcW w:w="8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11"/>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 and warrants in a registered direct offering and a private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placement, net of issuance costs</w:t>
            </w:r>
          </w:p>
        </w:tc>
        <w:tc>
          <w:tcPr>
            <w:tcW w:w="1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12,395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 under ATM equity offering program, net of issuance costs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4,546</w:t>
            </w: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1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8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12,454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4,626</w:t>
            </w:r>
          </w:p>
        </w:tc>
      </w:tr>
      <w:tr>
        <w:trPr>
          <w:trHeight w:val="247"/>
        </w:trPr>
        <w:tc>
          <w:tcPr>
            <w:tcW w:w="8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(25,762 )</w:t>
            </w:r>
          </w:p>
        </w:tc>
      </w:tr>
      <w:tr>
        <w:trPr>
          <w:trHeight w:val="243"/>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19,841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52,418</w:t>
            </w: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28,452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26,656</w:t>
            </w:r>
          </w:p>
        </w:tc>
      </w:tr>
      <w:tr>
        <w:trPr>
          <w:trHeight w:val="20"/>
        </w:trPr>
        <w:tc>
          <w:tcPr>
            <w:tcW w:w="8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6152515</wp:posOffset>
            </wp:positionH>
            <wp:positionV relativeFrom="paragraph">
              <wp:posOffset>-2037080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-812800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-187960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Assembly Biosciences, Inc. (together with its subsidiaries, Assembly or the Company), incorporated in Delaware in October 2005, is a biotechnology company developing innovative therapeutics. The Company's pipeline includes two clinical-stage helicase-primase inhibitors (HPI) for the treatment of recurrent genital herpes, an orally bioavailable hepatitis delta virus (HDV) entry inhibitor, a clinical-stage capsid assembly modulator candidate designed to disrupt the replication cycle of hepatitis B virus (HBV) and research programs focused on a non-nucleoside polymerase inhibitor (NNPI) targeting transplant-related herpesviruses and a small molecule interferon-α (IFN-α) receptor (IFNAR) agonist targeting HBV and HDV. The Company operates in one segment and is headquartered in South San Francisco, California.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 The Company intends to obtain any additional funding it requires through strategic relationships, public or private equity or debt financings, grants or other arrangements. The Company cannot assure such funding will be available on reasonable terms, if at all. Market volatility, inflation or other factors could also adversely impact the Company’s ability to access capital when and as needed.</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the Company is unable to secure additional sources of funding or generate enough revenue from its collaborations, it may be necessary to significantly reduce the current rate of spending through reductions in staff and delaying, scaling back, or stopping certain research and development programs, including more costly clinical trials.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2023, which are contained in the 2023 Annual Report. The results for the three and nine months ended September 30, 2024 are not necessarily indicative of results to be expected for the entire year ending December 31, 2024 or future operating periods.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may affect the reported amounts of assets and liabilities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disclosure of contingent assets and liabilities at the date of the financial statements and reported amounts of expenses during the reporting period. Actual results could differ from those estimates.</w:t>
      </w:r>
    </w:p>
    <w:p>
      <w:pPr>
        <w:spacing w:after="0" w:line="1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Significant estimates inherent in the preparation of the accompanying unaudited condensed consolidated financial statements include estimates for revenue recognition and costs incurred but not yet invoiced for research and development accruals.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U.S. and global financial markets have experienced volatility and disruption due to macroeconomic and geopolitical events such as rising inflation, changes in interest rates to combat inflation, the war between Russia and Ukraine, the Israel-Hamas war and the Israel-Hezbollah war in Lebanon. The Company cannot predict at this time to what extent, if at all, it and its employees, contract research organizations, vendors and/or collaborators could potentially be negatively impacted by these events.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2023, the Company received a letter from the Listing Qualifications Department of the Nasdaq Stock Market notifying the Company, as the bid price for its common stock had closed below $1.00 per share for the last 30 consecutive business days, it was not in compliance with Nasdaq Listing Rule 5450(a)(1), which is the minimum bid price requirement for continued listing on the Nasdaq Global Select Market. In accordance with Nasdaq Listing Rule 5810(c)(3)(A), the Company was provided a 180-calendar day period, or until March 25, 2024, to regain compliance with the minimum bid price requirement. The continued listing standard would be met once the closing bid price of the Company’s common stock was at least $1.00 per share for a minimum of ten consecutive business days during the 180-calendar day period. In January 2024, the Company's stockholders approved a reverse stock split of its common stock at a range of ratios between 1-for-7 to 1-for-17, and the Company's board of directors approved the implementation of the reverse stock split at a ratio of 1-for-12 (the Reverse Stock Split). The Reverse Stock Split was effective as of February 9, 2024 and the Company regained compliance with the minimum bid price requirement in February 2024.</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effective time of the Reverse Stock Split, every 12 issued and outstanding shares of the Company’s common stock was automatically reclassified into one issued and outstanding share of the Company’s common stock. This reduced the number of shares outstanding from 65.8 million shares to 5.5 million shares. The Reverse Stock Split did not affect the number of authorized shares of common stock or the par value of the common stock. No fractional shares of common stock were issued in connection with the Reverse Stock Split and all fractional shares were rounded down to the nearest whole share with respect to outstanding shares of common stock. Any holders of common stock who would have otherwise received a fractional share of common stock pursuant to the Reverse Stock Split, received cash in lieu of the fractional share. All prior period share and per share amounts of the Company's common stock presented have been retroactively adjusted to reflect the 1-for-12 Reverse Stock Split, including reclassifying an amount equal to the reduction in par value of common stock to additional paid-in capital.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since the effects of potentially dilutive securities are antidilutive given the net loss for each period presented.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net loss per common share computations is as follows (in thousands, except for share and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5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8"/>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(9,613 )</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(29,842 )</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(50,266 )</w:t>
            </w:r>
          </w:p>
        </w:tc>
      </w:tr>
      <w:tr>
        <w:trPr>
          <w:trHeight w:val="20"/>
        </w:trPr>
        <w:tc>
          <w:tcPr>
            <w:tcW w:w="5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8"/>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6,351,431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4,380,444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5,827,750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4,329,260</w:t>
            </w: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(11.61 )</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excluded from the computation of diluted net loss per share because including them would have been antidilutive are as follows:</w:t>
      </w:r>
    </w:p>
    <w:p>
      <w:pPr>
        <w:spacing w:after="0" w:line="178"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16510</wp:posOffset>
            </wp:positionV>
            <wp:extent cx="25685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814,000</w:t>
            </w: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937,268</w:t>
            </w:r>
          </w:p>
        </w:tc>
        <w:tc>
          <w:tcPr>
            <w:tcW w:w="21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828,789</w:t>
            </w:r>
          </w:p>
        </w:tc>
      </w:tr>
      <w:tr>
        <w:trPr>
          <w:trHeight w:val="247"/>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subject to purchase under ESPP</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7,513</w:t>
            </w:r>
          </w:p>
        </w:tc>
        <w:tc>
          <w:tcPr>
            <w:tcW w:w="21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6,711</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0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69,217</w:t>
            </w:r>
          </w:p>
        </w:tc>
        <w:tc>
          <w:tcPr>
            <w:tcW w:w="260" w:type="dxa"/>
            <w:vAlign w:val="bottom"/>
          </w:tcPr>
          <w:p>
            <w:pPr>
              <w:spacing w:after="0"/>
              <w:rPr>
                <w:sz w:val="21"/>
                <w:szCs w:val="21"/>
                <w:color w:val="auto"/>
              </w:rPr>
            </w:pPr>
          </w:p>
        </w:tc>
        <w:tc>
          <w:tcPr>
            <w:tcW w:w="1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90,740</w:t>
            </w:r>
          </w:p>
        </w:tc>
      </w:tr>
      <w:tr>
        <w:trPr>
          <w:trHeight w:val="276"/>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7"/>
              </w:rPr>
              <w:t>1,827,998</w:t>
            </w:r>
          </w:p>
        </w:tc>
        <w:tc>
          <w:tcPr>
            <w:tcW w:w="260" w:type="dxa"/>
            <w:vAlign w:val="bottom"/>
            <w:tcBorders>
              <w:bottom w:val="single" w:sz="8" w:color="CFF0FC"/>
            </w:tcBorders>
            <w:shd w:val="clear" w:color="auto" w:fill="CFF0FC"/>
          </w:tcPr>
          <w:p>
            <w:pPr>
              <w:spacing w:after="0"/>
              <w:rPr>
                <w:sz w:val="24"/>
                <w:szCs w:val="24"/>
                <w:color w:val="auto"/>
              </w:rPr>
            </w:pPr>
          </w:p>
        </w:tc>
        <w:tc>
          <w:tcPr>
            <w:tcW w:w="1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926,240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-24765</wp:posOffset>
            </wp:positionV>
            <wp:extent cx="154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154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October 2023, the Company entered into an Option, License and Collaboration Agreement (the Gilead Collaboration Agreement), and a Common Stock Purchase Agreement and an Investor Rights Agreement (collectively, the Gilead Equity Agreements) under which it received aggregate gross proceeds of $100.0 million from Gilead Sciences, Inc. (Gilead). During the three and nine months ended September 30, 2024, the Company recognized $6.8 million and $21.2 million of collaboration revenue under the Gilead Collaboration Agreement, respectively (see Note 8).</w:t>
      </w:r>
    </w:p>
    <w:p>
      <w:pPr>
        <w:spacing w:after="0" w:line="1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the Investor Rights Agreement, Gilead designated two directors to the Company’s board of directors, who were appointed in December 2023 and February 2024.</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2024, the Company entered into a Securities Purchase Agreement with Gilead for the issuance and sale of 179,500 shares of the Company’s common stock and a warrant to purchase up to 179,500 shares of the Company’s common stock in a private placement (see Note 6). The common stock and warrant were sold at a combined offering price of $15.46, for aggregate gross proceeds to the Company of approximately $2.8 million. Also in June 2024, the Gilead Equity Agreements were amended to extend deadlines relating to the Company’s efforts to complete an equity financing and its ability to require Gilead to purchase additional shares of the Company’s common stock by three months. The extended deadlines lapsed in October 2024. The amendments also explicitly include the shares of the Company's common stock and warrant sold to Gilead in June 2024 in the definition of registrable securities. The amendments to the Gilead Equity Agreements did not have an impact to the Company's condensed consolidated financial statements.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Gilead held approximately 19.9% of the Company’s outstanding voting common stock. Under the Gilead Equity Agreements, Gilead may elect to purchase additional shares to increase its holdings up to a maximum of 29.9% of the Company’s then-outstanding voting common stock. The purchase price per share for additional shares purchased by Gilead under the Gilead Common Stock Purchase Agreement will be equal to the lesser of (1) a 35% premium to the 30 trading day volume weighted average price immediately prior to the date of purchase or (2) a 35% premium to the 30 trading day volume weighted average price immediately prior to delivery by Gilead of notice of the anticipated closing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and Investments in Marketable Securities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uses the following three-level hierarchy that maximizes the use of observable inputs and minimizes the use of unobservable inputs to value its financial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unadjusted quoted prices in active markets for identical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Quoted prices for similar instruments that are directly or indirectly observable in the marketplace.</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27,840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27,840</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27,840</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27,840</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16,468</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16,510</w:t>
            </w: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47,298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47,362</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66,385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66,502</w:t>
            </w:r>
          </w:p>
        </w:tc>
        <w:tc>
          <w:tcPr>
            <w:tcW w:w="0" w:type="dxa"/>
            <w:vAlign w:val="bottom"/>
          </w:tcPr>
          <w:p>
            <w:pPr>
              <w:spacing w:after="0"/>
              <w:rPr>
                <w:sz w:val="1"/>
                <w:szCs w:val="1"/>
                <w:color w:val="auto"/>
              </w:rPr>
            </w:pPr>
          </w:p>
        </w:tc>
      </w:tr>
      <w:tr>
        <w:trPr>
          <w:trHeight w:val="27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94,225</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94,342</w:t>
            </w:r>
          </w:p>
        </w:tc>
        <w:tc>
          <w:tcPr>
            <w:tcW w:w="0" w:type="dxa"/>
            <w:vAlign w:val="bottom"/>
          </w:tcPr>
          <w:p>
            <w:pPr>
              <w:spacing w:after="0"/>
              <w:rPr>
                <w:sz w:val="1"/>
                <w:szCs w:val="1"/>
                <w:color w:val="auto"/>
              </w:rPr>
            </w:pPr>
          </w:p>
        </w:tc>
      </w:tr>
      <w:tr>
        <w:trPr>
          <w:trHeight w:val="376"/>
        </w:trPr>
        <w:tc>
          <w:tcPr>
            <w:tcW w:w="5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18,982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18,982</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18,982</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17,595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17,633</w:t>
            </w: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76,891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77,018</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15,728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15,755</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110,214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110,406</w:t>
            </w:r>
          </w:p>
        </w:tc>
        <w:tc>
          <w:tcPr>
            <w:tcW w:w="0" w:type="dxa"/>
            <w:vAlign w:val="bottom"/>
          </w:tcPr>
          <w:p>
            <w:pPr>
              <w:spacing w:after="0"/>
              <w:rPr>
                <w:sz w:val="1"/>
                <w:szCs w:val="1"/>
                <w:color w:val="auto"/>
              </w:rPr>
            </w:pPr>
          </w:p>
        </w:tc>
      </w:tr>
      <w:tr>
        <w:trPr>
          <w:trHeight w:val="27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129,196</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-2987675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-2987675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-2987675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-2362835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-2362835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-2362835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-2037080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-2019935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-2037080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-2019935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-2037080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-2019935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-975360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-975360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-350520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-350520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-350520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were no realized gains and losses for the three and nine months ended September 30, 2024 and 2023. As of September 30, 2024, there were no investments in an unrealized loss position. The Company did not recognize any credit losses related to its investments and all unrealized gains and losses on available-for-sale securities are recorded in accumulated other comprehensive loss on the condensed consolidated balance sheets as of September 30, 2024 and December 31, 2023.</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Accrued interest receivable was $0.4 million and $0.3 million as of September 30, 2024 and December 31, 2023, respectively, and was recorded in prepaid expenses and other current assets on the condensed consolidated balance sheets. The Company did not write off any accrued interest receivable during the three and nine months ended September 30, 2024 and 2023.</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measured at fair value on a recurring basis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27,840</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27,840</w:t>
            </w: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27,840</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27,840</w:t>
            </w: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16,510</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16,510</w:t>
            </w: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47,362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47,362</w:t>
            </w: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2,630</w:t>
            </w: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66,502</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66,502</w:t>
            </w:r>
          </w:p>
        </w:tc>
      </w:tr>
      <w:tr>
        <w:trPr>
          <w:trHeight w:val="27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27,840</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66,502</w:t>
            </w:r>
          </w:p>
        </w:tc>
        <w:tc>
          <w:tcPr>
            <w:tcW w:w="1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94,342</w:t>
            </w:r>
          </w:p>
        </w:tc>
      </w:tr>
      <w:tr>
        <w:trPr>
          <w:trHeight w:val="376"/>
        </w:trPr>
        <w:tc>
          <w:tcPr>
            <w:tcW w:w="5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69"/>
        </w:trPr>
        <w:tc>
          <w:tcPr>
            <w:tcW w:w="5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18,982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18,982</w:t>
            </w: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18,982</w:t>
            </w: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17,633</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17,633</w:t>
            </w: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77,018</w:t>
            </w: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15,755</w:t>
            </w: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15,755</w:t>
            </w: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110,406</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110,406</w:t>
            </w:r>
          </w:p>
        </w:tc>
      </w:tr>
      <w:tr>
        <w:trPr>
          <w:trHeight w:val="27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110,406</w:t>
            </w:r>
          </w:p>
        </w:tc>
        <w:tc>
          <w:tcPr>
            <w:tcW w:w="1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-2799080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-2799080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-2799080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-2174240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-2174240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-2174240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-1849120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-1831975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-1849120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-1831975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-1849120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-1831975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-975360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-975360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-975360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-350520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-350520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-350520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investments during the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Accrued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20" w:type="dxa"/>
            <w:vAlign w:val="bottom"/>
          </w:tcPr>
          <w:p>
            <w:pPr>
              <w:spacing w:after="0"/>
              <w:rPr>
                <w:sz w:val="16"/>
                <w:szCs w:val="16"/>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3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360" w:type="dxa"/>
            <w:vAlign w:val="bottom"/>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4,124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5,484</w:t>
            </w: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13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260</w:t>
            </w:r>
          </w:p>
        </w:tc>
      </w:tr>
      <w:tr>
        <w:trPr>
          <w:trHeight w:val="24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360" w:type="dxa"/>
            <w:vAlign w:val="bottom"/>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4,765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5,744</w:t>
            </w:r>
          </w:p>
        </w:tc>
      </w:tr>
      <w:tr>
        <w:trPr>
          <w:trHeight w:val="20"/>
        </w:trPr>
        <w:tc>
          <w:tcPr>
            <w:tcW w:w="7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-187960</wp:posOffset>
            </wp:positionV>
            <wp:extent cx="939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Sale of Common Stock and Warrants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2024, the Company entered into a Securities Purchase Agreement with an investor for the issuance and sale of 634,500 shares of the Company's common stock and a warrant to purchase up to 634,500 shares of the Company's common stock in a registered direct offering, pursuant to its shelf registration statement on Form S-3 on file with the SEC. The common stock and warrant were sold at a combined offering price of $15.46 for aggregate gross proceeds to the Company of approximately $9.8 million. The Company also entered into a Securities Purchase Agreement with Gilead for the issuance and sale of 179,500 shares of the Company's common stock and a warrant to purchase up to 179,500 shares of the Company's common stock in a private placement. The common stock and warrant were sold at a combined offering price of $15.46 for aggregate gross proceeds to the Company of approximately $2.8 million. The sale of common stock to Gilead maintains Gilead's ownership of approximately 19.9% of the Company's outstanding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voting common stock as of the date of closing pursuant to the terms of Gilead's existing Investor Rights Agreement with the Company entered into in October 2023 and amended in June 2024 (see Note 3). The warrants sold to both parties have an exercise price equal to $17.00 per share, became immediately exercisable on the date of issuance and expire on June 18, 2029. Neither party may exercise any portion of the warrants to the extent it would beneficially own more than the limits defined in the warrant agreements. The exercise price and number of shares of common stock issuable upon the exercise of the warrants are subject to adjustment in the event of any stock dividends and distributions, stock splits, stock combinations or stock reclassifications, as described in the respective warrant agreements. Under certain circumstances, the warrants may be exercised on a “cashless” basis.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were classified as a component of permanent stockholders’ equity within additional paid-in-capital and were recorded at the issuance date. The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warrants do not provide any guarantee of value or return. There were no warrants exercised during the three and nine months ended September 30, 2024.</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the Company entered into a sales agreement under which the Company may offer and sell shares of its common stock having an aggregate offering price of up to $100.0 million through “at-the-market” offerings (2020 ATM), pursuant to its shelf registration statement on Form S-3 on file with the SEC. During the three months ended September 30, 2024 and 2023 and during the nine months ended September 30, 2024, the Company did not sell any shares of common stock under the 2020 ATM. During the nine months ended September 30, 2023, the Company sold 261,170 shares of common stock under the 2020 ATM, for which the Company received net proceeds of $4.5 million, after deducting commissions, fees and expenses.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components of total stock-based compensation expense included in the condensed consolidated statements of operations and comprehensive loss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r>
      <w:tr>
        <w:trPr>
          <w:trHeight w:val="169"/>
        </w:trPr>
        <w:tc>
          <w:tcPr>
            <w:tcW w:w="418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4"/>
                <w:szCs w:val="14"/>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4"/>
                <w:szCs w:val="14"/>
                <w:color w:val="auto"/>
              </w:rPr>
            </w:pPr>
          </w:p>
        </w:tc>
      </w:tr>
      <w:tr>
        <w:trPr>
          <w:trHeight w:val="23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1,747</w:t>
            </w:r>
          </w:p>
        </w:tc>
      </w:tr>
      <w:tr>
        <w:trPr>
          <w:trHeight w:val="23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2,413</w:t>
            </w:r>
          </w:p>
        </w:tc>
      </w:tr>
      <w:tr>
        <w:trPr>
          <w:trHeight w:val="276"/>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2,369</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-24765</wp:posOffset>
            </wp:positionV>
            <wp:extent cx="111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1111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-24765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September 30, 2024, there was $2.9 million of total unrecognized stock-based compensation related to outstanding equity awards, which is expected to be recognized over a weighted average remaining amortization period of 1.6 years.</w:t>
      </w:r>
    </w:p>
    <w:p>
      <w:pPr>
        <w:spacing w:after="0" w:line="12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fair value of stock options granted during the periods indicated was estimated using the Black-Scholes option pricing model, based on the following assumptions: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33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34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24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$13.24</w:t>
            </w:r>
          </w:p>
        </w:tc>
        <w:tc>
          <w:tcPr>
            <w:tcW w:w="1760" w:type="dxa"/>
            <w:vAlign w:val="bottom"/>
            <w:gridSpan w:val="3"/>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w w:val="99"/>
              </w:rPr>
              <w:t>$11.76</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$15.06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$18.36</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- 83.1%</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- 4.40%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- 4.24%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- 4.24%</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1760" w:type="dxa"/>
            <w:vAlign w:val="bottom"/>
            <w:gridSpan w:val="3"/>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0%</w:t>
            </w:r>
          </w:p>
        </w:tc>
        <w:tc>
          <w:tcPr>
            <w:tcW w:w="1840" w:type="dxa"/>
            <w:vAlign w:val="bottom"/>
            <w:gridSpan w:val="3"/>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0%</w:t>
            </w:r>
          </w:p>
        </w:tc>
        <w:tc>
          <w:tcPr>
            <w:tcW w:w="1800" w:type="dxa"/>
            <w:vAlign w:val="bottom"/>
            <w:gridSpan w:val="3"/>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Collaboration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Gilead Agreement</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has an option to take an exclusive license, on a program-by-program basis, to all of the Company’s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of the Company’s programs,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concluded Gilead is a customer and accordingly, the Gilead Collaboration Agreement is within the scope of the revenue from contracts with customers guidance. The Company identified a single combined performance obligation for the discovery, research and development services during the collaboration term (the R&amp;D Services). As of September 30, 2024, the total transaction price of the Gilead Collaboration Agreement was determined to be $90.7 million. The Company will reevaluate the transaction price in each reporting period as uncertain events are resolved or other changes in circumstances occur.</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transaction price is reflected as collaboration revenue when realized in the Company’s condensed consolidated statements of operations. The Company will recognize revenue over time using a cost-based input method over the initial non-cancellable term of three years since this method best reflects the transfer of services to Gilead. In applying a cost-based input method of revenue recognition, the Company uses actual costs incurred relative to estimated total costs to fulfill each performance obligation.</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collaboration revenue of $6.8 million and $21.2 million during the three and nine months ended September 30, 2024. The transaction price for future collaborative activities was recorded as deferred revenue on the condensed consolidated balance sheet as of September 30, 2024, of which $32.6 million was short-term and $32.5 million was long-term. The reimbursable expenses incurred by the Company during the three months ended September 30, 2024 were insignificant. During the nine months ended September 30, 2024, the Company incurred $0.3 million in reimbursable expenses due to Gilead.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4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86,294</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(21,163 )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6"/>
        </w:trPr>
        <w:tc>
          <w:tcPr>
            <w:tcW w:w="5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revenue recognized in the period from</w:t>
            </w:r>
          </w:p>
        </w:tc>
        <w:tc>
          <w:tcPr>
            <w:tcW w:w="82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6,845</w:t>
            </w:r>
          </w:p>
        </w:tc>
        <w:tc>
          <w:tcPr>
            <w:tcW w:w="11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21,163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Arbutus Biopharma Agreement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vebicorvir (VBR), AB-729 and a nucleos(t)ide analog reverse transcriptase inhibitor (NrtI) compared to the double combinations of VBR with a NrtI and AB-729 with a NrtI. Under the Arbutus Biopharma Agreement, Assembly and Arbutus Biopharma shared responsibility for the costs of the trial equally, excluding manufacturing supply which were the burden of each company to supply their respective drugs, VBR and AB-729. Assembly was responsible for conducting this clinical trial with Arbutus Biopharma reimbursing Assembly its share of expenses. In February 2023, Assembly and Arbutus Biopharma terminated the Phase 2 clinical trial early, at the end of the 48-week on-treatment period.</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Reimbursements and cost-sharing portions from Arbutus Biopharma are reflected as a reduction of research and development expense when realized in the Company’s condensed consolidated statements of operations. During the three and nine months ended September 30, 2024, the Company recognized research and development expenses of $0.3 million for net amounts refundable to Arbutus Biopharma after the final reconciliation of clinical trial costs. Amounts refundable to Arbutus Biopharma are recorded as accrued research and development expenses on the condensed consolidated balance sheet as of September 30, 2024. During the three and nine months ended September 30, 2023, the Company recognized a reduction of research and development expenses of $0.1 million and $1.2 million, respectively, under the Arbutus Biopharma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Milestones and Research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HBV Research Agreement with Indiana University</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September 2013, the Company was party to an exclusive License Agreement dated September 3, 2013 with Indiana University Research and Technology Corporation (IURTC) from whom it licensed aspects of the Company’s HBV program held by IURTC. The license agreement required the Company to make milestone payments based upon the successful accomplishment of clinical and regulatory milestones. The aggregate amount of all performance milestone payments under the IURTC license agreement, if all milestones through development were met, was $0.8 million, with a portion having been paid. The Company was obligated to pay IURTC royalty payments based on net sales of the licensed technology as well as a portion of any sublicensing revenue Assembly received. The Company was also required to pay diligence maintenance fees each year to the extent that the royalty, sublicensing, and milestone payments to IURTC were less than such fees for that year. Following its decision to discontinue further development or partnering for ABI-H3733, the Company terminated the IURTC license agreement effective April 2024. There were no fees paid to IURTC during the three months ended September 30, 2024 or 2023. The Company paid IURTC $0.1 million in diligence maintenance fees during both the nine months ended September 30, 2024 and 2023.</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condensed consolidated financial statements and this Management’s Discussion and Analysis of Financial Condition and Results of Operations should be read in conjunction with the consolidated financial statements and notes thereto for the year ended December 31, 2023 and the related Management’s Discussion and Analysis of Financial Condition and Results of Operations, both of which are contained in our Annual Report on Form 10-K for the fiscal year ended December 31, 2023 filed with the U.S. Securities and Exchange Commission on March 28, 2024 (2023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2023 Annual Report and “Part II. Item 1A. Risk Factors”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biotechnology company developing innovative therapeutics targeting serious viral diseases with the potential to improve the lives of patients worldwide. Our pipeline includes two clinical-stage helicase-primase inhibitors (HPI) for the treatment of recurrent genital herpes, an orally bioavailable hepatitis delta virus (HDV) entry inhibitor, a clinical-stage capsid assembly modulator (CAM) designed to disrupt the replication cycle of hepatitis B virus (HBV) and research programs focused on a non-nucleoside polymerase inhibitor (NNPI) targeting transplant-related herpesviruses and a small molecule interferon-α (IFN-α) receptor (IFNAR) agonist targeting HBV and HDV.</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Programs and CTA-Enabling Programs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in 2024, we initiated the Phase 1a portion of a Phase 1a/b study of ABI-5366 (5366), a long-acting HPI for recurrent genital herpes and announced interim results from the Phase 1a portion of the study in the third quarter of 2024. In 2024, we also initiated the Phase 1b portion of the Phase 1a/b study of 5366 and initiated a Phase 1b study of ABI-4334 (4334), a highly potent, next-generation CAM for chronic HBV infection. By the end of 2024, we expect to initiate a Phase 1a study of ABI-6250 (6250), an orally bioavailable HDV entry inhibitor; and the Phase 1a portion of a Phase 1a/b study of ABI-1179 (1179), a long-acting HPI for recurrent genital herpes contributed by Gilead Sciences, Inc. (Gilead) through the Gilead Collaboration (as defined below). We also expect to announce interim results from the Phase 1b study of 4334 by the end of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Recurrent Genital Herpes/HSV-1 and HSV-2</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patient’s life and periodically reactivate, with the virus spreading and replicating in epithelial tissues. Initial infection can be asymptomatic or can be marked by symptoms, including painful skin lesions, swelling of lymph nodes and urinary problems that can persist for two to three weeks. Genital herpes recurrence is common and can cause painful genital lesions that can lead to increased transmission and debilitate patients, and symptoms may become more serious with additional episodes. Additional complications include increased risk of HIV infection, as 30% of incident HIV infections acquired through sexual transmission is attributable to HSV-2 infection. In addition, people with recurrent genital herpes often experience associated psychosocial impacts, including anxiety, concerns about transmission, depression and social stigma. Immunocompromised patients may experience more severe and prolonged symptoms due to increased recurrence rates. While genital herpes can be caused by either HSV-1 or HSV-2, recurrences are more likely to be experienced by patients infected by HSV-2.</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HPIs are antiviral agents in development for recurrent genital herpes, with a clinically-validated mechanism of action. HPIs inhibit the HSV helicase-primase complex, which is a unique viral enzyme complex without a human homolog, consisting of helicase, primase and cofactor subunits.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Most people with initial symptomatic genital herpes who are infected with HSV-2 have three or more recurrences per year, including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 w:name="page18"/>
    <w:bookmarkEnd w:id="17"/>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approved in these regions to treat genital herpes for more than 25 years. In addition to the approved nucleoside analogs, agents such as local anesthetics or analgesics may be used to alleviate local symptoms of minor pain and discomfort.</w:t>
      </w:r>
    </w:p>
    <w:p>
      <w:pPr>
        <w:spacing w:after="0" w:line="13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color w:val="auto"/>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recurrent genital herpes patients with six or more recurrences per year are able to make it through a year of treatment without a recurrence. There are still high titer (greater than 10</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HSV-2 DNA copies/mL) shedding episodes under this current standard of care for recurrent genital herpes, which can lead to recurrent episodes and transmission of genital herpes.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on the limitations of current therapies, we see a path to advancing the treatment paradigm for patients suffering from recurrent genital herpes. To reach that goal, we discovered and are developing a novel, potent, long-acting HPI for recurrent genital herpes, 5366, which demonstrated low nanomolar potency in vitro against both HSV-1 and HSV-2 clinical isolates and a favorable nonclinical safety profile in Good Laboratory Practice (GLP) toxicology studies, with high safety margins and minimal potential for off-target effects.</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first quarter of 2024, we filed a Clinical Trial Application (CTA) to support initiation of Phase 1a/b clinical studies, which was approved in April 2024, and we dosed our first participant in the Phase 1a portion of this study during the second quarter of 2024.</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2024, we announced positive interim data for the Phase 1a portion of the 5366 study. Interim results exceeded our objectives for this Phase 1a study and support 5366's progression into Phase 1b. Across the Part A (Phase 1a) cohorts evaluated as of the September 23, 2024 data cutoff date, 5366 had a mean half-life of approximately 20 days when dosed orally, supporting once-weekly oral dosing, the target profile for 5366, as well as showing the potential for once-monthly oral dosing. 5366 doses within the range tested are projected, with weekly or monthly dosing, to maintain the target plasma concentrations for antiviral activity established by pharmacokinetic (PK) modeling. We plan to explore both once-weekly and once-monthly oral dosing regimens in the Part B (Phase 1b) portion of the study.</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these cohorts as of the September 23, 2024 data cutoff date, 5366 has been well-tolerated with a favorable safety profile observed with exposure of up to 70 days. Treatment-emergent adverse events (AEs) were all mild to moderate in intensity and all were considered not related to study treatment by the study investigators; there have been no serious AEs in any dose arm. There were no treatment-related Grade 3 or 4 laboratory abnormalities and no protocol-defined stopping criteria were met. There were no clinically significant electrocardiogram abnormalities or patterns of AEs or laboratory abnormalities noted.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initiated the Phase 1b portion of the 5366 study during the third quarter of 2024, and we expect interim data to be available during the first half of 2025.</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5366, we are also advancing 1179, a structurally-differentiated HPI with single digit nanomolar potency against HSV-1 and HSV-2 and a nonclinical PK and safety profile to date that is supportive of a potential long-acting treatment by once-weekly oral administration. GLP toxicology studies have been completed. We submitted the CTA for a Phase 1a/b study of 1179 in September 2024, which was approved in October 2024, and the Phase 1a portion of the clinical study is expected to begin by the end of 2024. We acquired rights to 1179, Gilead’s HPI program, as part of the Gilead Collaboration in October 2023.</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July 2024, we highlighted nonclinical data for both 5366 and 1179 at the International Herpesvirus Workshop through poster presentations for each, as well as an oral presentation for 1179.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HBV and HDV</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As of 2022, of the 254 million people living with chronic HBV infection, only approximately 33 million, or 13%,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current standard of care for chronic HBV infection, nucleos(t)ide analog reverse transcriptase inhibitors (NrtIs), are taken life-long and reduce, but do not eliminate, the virus and result in very low cure rates. No new mechanisms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HDV is a “satellite virus” of HBV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the European Union (EU). HDV is known to accelerate disease progression and increase the incidence of liver cirrhosis and liver cancer, which results in higher morbidity and mortality rates than HBV alone.</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current standard of care treatment for HDV is off-label pegylated IFN-α injected weekly or, in some regions, a large, complex molecule that requires daily injections. There are no approved HDV treatments in the United States, and there is only one approved HDV treatment in the EU. We believe a safe and effective oral small molecule entry inhibitor would be a significant innovation for patients living with HDV, which face a significant and immediate disease burden.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HDV Entry Inhibitor Program</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inhibition of HBV and HDV infection by molecules that bind NTCP has been demonstrated in vitro, in animal models and clinically. Notably, bulevirtide, a peptide blocker of NTCP, is the only approved therapy for HDV (approved in the EU). 6250 uses the same clinically validated MOA as bulevirtide. The binding of NTCP-targeted HBV/HDV entry inhibitors to NTCP has also been shown to inhibit the transport of certain bile acids into cells, which results in plasma elevations of bile acids; this effect has been well tolerated clinically and may serve as a biomarker of pharmacologically active concentrations of drug in the plasma.</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believe a safe and effective oral small molecule entry inhibitor would be a significant innovation for patients living with HDV and could significantly improve treatment uptake and diagnosis rates, especially when compared with currently available injectable products.</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September 2023, we nominated 6250, a novel, orally bioavailable small molecule designed to inhibit entry of HBV and HDV by targeting NTCP. In nonclinical studies, 6250 demonstrated low nanomolar potency against all tested HBV/HDV genotypes, favorable selectivity for NTCP versus other bile acid transporters, good oral bioavailability and a PK profile in nonclinical species projected to support once-daily oral dosing. In GLP toxicology studies, 6250 demonstrated a favorable nonclinical safety profile with wide safety margins.</w:t>
      </w:r>
    </w:p>
    <w:p>
      <w:pPr>
        <w:spacing w:after="0" w:line="14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At the European Association for the Study of the Liver's International Liver Congress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June 2024 and the International HBV Meeting in September 2024, we presented nonclinical profiling of 6250. In addition, 6250 was featured in an oral presentation at the Science of HBV Cure Meeting 2024. We expect to initiate a Phase 1a clinical study of 6250 by the end of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Capsid Assembly Modulator Program</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which makes molecules that can modulate cccDNA generation or disrupt its function highly sought after in the HBV field. As a result, we have worked to discover and develop compounds targeting the core protein, a viral protein involved in numerous aspects of the HBV replication cycle, including the generation of HBV cccDNA.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next-generation CAM, 4334 has been optimized to potently disrupt viral replication (MOA #1) and prevent the establishment and replenishment of new cccDNA (MOA #2). In contrast, while active against MOA #1, first-generation CAMs have not demonstrated adequate potency to sufficiently block cccDNA formation (MOA #2). Further, the current standard of care, NrtIs, impacts the viral life cycle after establishment of cccDNA and can only inhibit production of new viral particles, and it does so incompletely. The chemical scaffold of 4334 is novel and distinct from all our prior CAM candidates.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 Phase 1a study demonstrated that 4334 was well tolerated when administered orally as single or multiple doses. In addition, the PK data support 4334 as a once daily oral therapy and predicts best in class activity against both MOA #1 and MOA #2. During the second quarter of 2024, we dosed our first participant in a Phase 1b clinical study of 4334. Interim clinical results from this study are expected by the end of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Transplant-Associated Herpesviruses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2022, in connection with our announcement of our HPI program, we also introduced our NNPI research program, targeting transplant-associated herpesviruses. In a transplant setting, when people are experiencing immunosuppression, they are at high risk of uncontrolled viral replication and severe disease brought on by one or more herpesviruses, including cytomegalovirus (CMV), HSV-1, HSV-2 and varicella zoster virus (VZV). Each of these herpesviruses are highly prevalent, as approximately (1) 60% of people receiving transplants are CMV-positive; (2) 60% of people receiving transplants are HSV-positive; and (3) 80% of people receiving transplants are VZV-positive. These viruses establish lifelong latent infections and frequently reactivate in people receiving transplants due to the use of immunosuppressive drugs following the transplant. These uncontrolled viral infections increase the risk of severe disease and serious complications, including organ rejection, graft loss and death, and impacted approximately 95,000 people receiving transplants in 2021 in the United States and Europe.</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While there are approved antivirals that are administered in a transplant setting, currently approved antivirals are not broad spectrum and pose the risk of potentially serious side effects and drug-drug interactions. As a result of these limitations, we identified an opportunity to develop a potent oral pan-herpes NNPI for these transplant-associated herpesvirus infections, which could greatly advance treatment. Our research team has discovered multiple chemical series of potent, broad-spectrum herpesvirus NNPIs. In addition, Gilead exclusively licensed us its NNPI program, and we believe the combined effort will accelerate candidate nomination and enhance our chance of clinical success.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IFNAR Agonist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we introduced our research program advancing a novel, small molecule IFNAR agonist designed to selectively activate the IFN-α pathway within the liver and offer the convenience of oral dosing. IFN-α is a subcutaneous injectable immune modulatory therapy approved for HBV that has demonstrated functional cure in some HBV infected people,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By focusing exposure on the liver, our investigational IFNAR agonist program aims to engage IFN-α’s validated antiviral and immune modulatory mechanisms, retaining the efficacy of IFN-α while reducing systemic exposure to improve tolerability. Lead optimization of multiple IFNAR agonists is in progress.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Gilead Collaboration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15,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of our programs,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will be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Gilead also entered into a Common Stock Purchase Agreement and an Investor Rights Agreement (together, the Gilead Equity Agreements), which were both amended in June 2024 in connection with a financing transaction (the 2024 Financing Transaction). Pursuant to the Gilead Equity Agreements, Gilead made an upfront equity investment of $15.2 million by purchasing from us 1,089,472 shares of our common stock at a purchase price of $13.92 per share. Gilead may elect to purchase additional shares of common stock from us in an amount that results in Gilead owning 29.9% of our then-outstanding voting common stock. The purchase price per share for additional shares purchased by Gilead will be equal to the lesser of (1) a 35% premium to the 30 trading day volume weighted average price immediately prior to the date of purchase or (2) a 35% premium to the 30 trading day volume weighted average price immediately prior to delivery by Gilead of notice of the anticipated closing date. The Gilead Equity Agreements also include a three-year standstill provision and a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part of the 2024 Financing Transaction, we and Gilead entered into a Securities Purchase Agreement for the issuance and sale, in a private placement, of 179,500 shares of our common stock and a warrant to purchase up to 179,500 shares of our common stock. The common stock and warrant were sold to Gilead pursuant to the terms of the Investor Rights Agreement. The warrant sold to Gilead has an exercise price equal to $17.00 per share, became immediately exercisable on the date of issuance and will expire on June 18, 2029. Neither Gilead nor its affiliates may exercise any portion of the warrant to the extent that Gilead would own more than 19.9% of the number of our shares of common stock outstanding immediately after giving effect to such exercise.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corporate and administrative offices and research laboratory space in South San Francisco, California.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1"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55"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We have generated significant losses to date, and we expect to continue to generate losses as we develop our product candidates. As of September 30, 2024, we had an accumulated deficit of $815.6 million. Because we do not generate revenue from any of our product candidates, our losses will continue as we further develop and seek regulatory approval for, and commercialize, our product candidates. Additionally, we expect our research and development expenses to increase over the next few years due to the Gilead Collaboration Agreement.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8"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(U.S. GAAP). The preparation of these financial statements requires us to make estimates and assumptions that affect the reported amounts of assets, liabilities, revenues and expenses.</w:t>
      </w:r>
    </w:p>
    <w:p>
      <w:pPr>
        <w:spacing w:after="0" w:line="150"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7"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2023 Annual Report. Our critical accounting policies and significant estimates have not changed from those previously disclosed in our 2023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collaboration revenue (in thousands, except for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 w:type="dxa"/>
            <w:vAlign w:val="bottom"/>
          </w:tcPr>
          <w:p>
            <w:pPr>
              <w:spacing w:after="0"/>
              <w:rPr>
                <w:sz w:val="14"/>
                <w:szCs w:val="14"/>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 from a related party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6,845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6,845</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Collaboration revenue for the three months ended September 30, 2024 includes the recognition of $6.8 million under the Gilead Collaboration Agreement entered into in October 2023. There was no revenue for the three months ended September 30, 2023.</w:t>
      </w: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2" w:name="page23"/>
    <w:bookmarkEnd w:id="2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fees paid to contract research organizations and contract manufacturing organizations, lab supplies and other third-party expenses that support our research and discovery, nonclinical and clinical activities. External costs represent a significant portion of our research and development expenses, which we track on a program-by-program basis following the nomination of a development candidate. We use our employee and infrastructure resources, as well as certain third-party costs, across multiple research and development programs, and we do not specifically allocate these costs to our programs.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3280" w:type="dxa"/>
            <w:vAlign w:val="bottom"/>
            <w:tcBorders>
              <w:bottom w:val="single" w:sz="8" w:color="auto"/>
            </w:tcBorders>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36"/>
        </w:trPr>
        <w:tc>
          <w:tcPr>
            <w:tcW w:w="3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860" w:type="dxa"/>
            <w:vAlign w:val="bottom"/>
            <w:tcBorders>
              <w:top w:val="single" w:sz="8" w:color="auto"/>
            </w:tcBorders>
            <w:shd w:val="clear" w:color="auto" w:fill="CCECFF"/>
          </w:tcPr>
          <w:p>
            <w:pPr>
              <w:spacing w:after="0"/>
              <w:rPr>
                <w:sz w:val="20"/>
                <w:szCs w:val="20"/>
                <w:color w:val="auto"/>
              </w:rPr>
            </w:pPr>
          </w:p>
        </w:tc>
        <w:tc>
          <w:tcPr>
            <w:tcW w:w="64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320" w:type="dxa"/>
            <w:vAlign w:val="bottom"/>
            <w:tcBorders>
              <w:top w:val="single" w:sz="8" w:color="auto"/>
            </w:tcBorders>
            <w:shd w:val="clear" w:color="auto" w:fill="CCECFF"/>
          </w:tcPr>
          <w:p>
            <w:pPr>
              <w:spacing w:after="0"/>
              <w:rPr>
                <w:sz w:val="20"/>
                <w:szCs w:val="20"/>
                <w:color w:val="auto"/>
              </w:rPr>
            </w:pPr>
          </w:p>
        </w:tc>
        <w:tc>
          <w:tcPr>
            <w:tcW w:w="1180" w:type="dxa"/>
            <w:vAlign w:val="bottom"/>
            <w:tcBorders>
              <w:top w:val="single" w:sz="8" w:color="auto"/>
            </w:tcBorders>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420" w:type="dxa"/>
            <w:vAlign w:val="bottom"/>
            <w:tcBorders>
              <w:top w:val="single" w:sz="8" w:color="auto"/>
            </w:tcBorders>
            <w:shd w:val="clear" w:color="auto" w:fill="CCECFF"/>
          </w:tcPr>
          <w:p>
            <w:pPr>
              <w:spacing w:after="0"/>
              <w:rPr>
                <w:sz w:val="20"/>
                <w:szCs w:val="20"/>
                <w:color w:val="auto"/>
              </w:rPr>
            </w:pPr>
          </w:p>
        </w:tc>
        <w:tc>
          <w:tcPr>
            <w:tcW w:w="1920" w:type="dxa"/>
            <w:vAlign w:val="bottom"/>
            <w:tcBorders>
              <w:top w:val="single" w:sz="8" w:color="auto"/>
            </w:tcBorders>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540" w:type="dxa"/>
            <w:vAlign w:val="bottom"/>
            <w:tcBorders>
              <w:top w:val="single" w:sz="8" w:color="auto"/>
            </w:tcBorders>
            <w:shd w:val="clear" w:color="auto" w:fill="CCEC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discovery</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2,251</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2,404</w:t>
            </w: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5366</w:t>
            </w:r>
          </w:p>
        </w:tc>
        <w:tc>
          <w:tcPr>
            <w:tcW w:w="8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1,116</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681</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6250</w:t>
            </w:r>
          </w:p>
        </w:tc>
        <w:tc>
          <w:tcPr>
            <w:tcW w:w="8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1,298</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4334</w:t>
            </w:r>
          </w:p>
        </w:tc>
        <w:tc>
          <w:tcPr>
            <w:tcW w:w="8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658</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358 %</w:t>
            </w:r>
          </w:p>
        </w:tc>
        <w:tc>
          <w:tcPr>
            <w:tcW w:w="0" w:type="dxa"/>
            <w:vAlign w:val="bottom"/>
          </w:tcPr>
          <w:p>
            <w:pPr>
              <w:spacing w:after="0"/>
              <w:rPr>
                <w:sz w:val="1"/>
                <w:szCs w:val="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1179</w:t>
            </w:r>
          </w:p>
        </w:tc>
        <w:tc>
          <w:tcPr>
            <w:tcW w:w="8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654</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ABI-H3733 (3733)</w:t>
            </w:r>
          </w:p>
        </w:tc>
        <w:tc>
          <w:tcPr>
            <w:tcW w:w="86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Vebicorvir (VBR)</w:t>
            </w:r>
          </w:p>
        </w:tc>
        <w:tc>
          <w:tcPr>
            <w:tcW w:w="860" w:type="dxa"/>
            <w:vAlign w:val="bottom"/>
          </w:tcPr>
          <w:p>
            <w:pPr>
              <w:spacing w:after="0"/>
              <w:rPr>
                <w:sz w:val="22"/>
                <w:szCs w:val="22"/>
                <w:color w:val="auto"/>
              </w:rPr>
            </w:pPr>
          </w:p>
        </w:tc>
        <w:tc>
          <w:tcPr>
            <w:tcW w:w="920" w:type="dxa"/>
            <w:vAlign w:val="bottom"/>
            <w:gridSpan w:val="2"/>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 xml:space="preserve">(67 )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external expenses</w:t>
            </w: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6,775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4,259</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2,516</w:t>
            </w:r>
          </w:p>
        </w:tc>
        <w:tc>
          <w:tcPr>
            <w:tcW w:w="2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8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6,072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4,725</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1,347</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5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860" w:type="dxa"/>
            <w:vAlign w:val="bottom"/>
          </w:tcPr>
          <w:p>
            <w:pPr>
              <w:spacing w:after="0"/>
              <w:rPr>
                <w:sz w:val="22"/>
                <w:szCs w:val="22"/>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1,840</w:t>
            </w: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(1,172 )</w:t>
            </w:r>
          </w:p>
        </w:tc>
        <w:tc>
          <w:tcPr>
            <w:tcW w:w="200" w:type="dxa"/>
            <w:vAlign w:val="bottom"/>
          </w:tcPr>
          <w:p>
            <w:pPr>
              <w:spacing w:after="0"/>
              <w:rPr>
                <w:sz w:val="22"/>
                <w:szCs w:val="22"/>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13,515</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10,824</w:t>
            </w:r>
          </w:p>
        </w:tc>
        <w:tc>
          <w:tcPr>
            <w:tcW w:w="3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2,691</w:t>
            </w:r>
          </w:p>
        </w:tc>
        <w:tc>
          <w:tcPr>
            <w:tcW w:w="20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-1583690</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 w:lineRule="exact"/>
        <w:rPr>
          <w:sz w:val="20"/>
          <w:szCs w:val="20"/>
          <w:color w:val="auto"/>
        </w:rPr>
      </w:pPr>
    </w:p>
    <w:p>
      <w:pPr>
        <w:ind w:right="100" w:firstLine="8"/>
        <w:spacing w:after="0" w:line="199" w:lineRule="auto"/>
        <w:tabs>
          <w:tab w:leader="none" w:pos="184"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Reflects net amounts refundable to us after the final reconciliation of costs of the clinical trial conducted pursuant to the Clinical Trial Collaboration Agreement with Arbutus Biopharma Corporation (the Arbutus Biopharma Agreement), which was terminated in February 2023.</w:t>
      </w:r>
    </w:p>
    <w:p>
      <w:pPr>
        <w:spacing w:after="0" w:line="143"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 xml:space="preserve">Research and development expenses were $13.5 million for the three months ended September 30, 2024 compared to $10.8 million for the same period in 2023. The $2.7 million increase in research and development expenses was primarily driven by increases in external expenses from the advancement and expansion of our pipeline, most notably from the nomination of our HDV entry inhibitor, 6250, partially offset by savings from the discontinuation of 3733 and VBR. </w:t>
      </w:r>
      <w:r>
        <w:rPr>
          <w:rFonts w:ascii="Times New Roman" w:cs="Times New Roman" w:eastAsia="Times New Roman" w:hAnsi="Times New Roman"/>
          <w:sz w:val="18"/>
          <w:szCs w:val="18"/>
          <w:color w:val="242424"/>
        </w:rPr>
        <w:t>We also experienced a $1.3 million increase in employee and contractor-related expenses due to higher headcount and increased travel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This increase </w:t>
      </w:r>
      <w:r>
        <w:rPr>
          <w:rFonts w:ascii="Times New Roman" w:cs="Times New Roman" w:eastAsia="Times New Roman" w:hAnsi="Times New Roman"/>
          <w:sz w:val="18"/>
          <w:szCs w:val="18"/>
          <w:color w:val="000000"/>
        </w:rPr>
        <w:t>was largely offset by a</w:t>
      </w:r>
      <w:r>
        <w:rPr>
          <w:rFonts w:ascii="Times New Roman" w:cs="Times New Roman" w:eastAsia="Times New Roman" w:hAnsi="Times New Roman"/>
          <w:sz w:val="18"/>
          <w:szCs w:val="18"/>
          <w:color w:val="242424"/>
        </w:rPr>
        <w:t xml:space="preserve"> $1.2 million </w:t>
      </w:r>
      <w:r>
        <w:rPr>
          <w:rFonts w:ascii="Times New Roman" w:cs="Times New Roman" w:eastAsia="Times New Roman" w:hAnsi="Times New Roman"/>
          <w:sz w:val="18"/>
          <w:szCs w:val="18"/>
          <w:color w:val="000000"/>
        </w:rPr>
        <w:t>decrease</w:t>
      </w:r>
      <w:r>
        <w:rPr>
          <w:rFonts w:ascii="Times New Roman" w:cs="Times New Roman" w:eastAsia="Times New Roman" w:hAnsi="Times New Roman"/>
          <w:sz w:val="18"/>
          <w:szCs w:val="18"/>
          <w:color w:val="242424"/>
        </w:rPr>
        <w:t xml:space="preserve"> in facility and other expenses, reflecting cost savings in rent and related expenses from our corporate headquarters sublease, which commenced in November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6"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consulting fees and other related costs, professional fees for legal services, accounting and tax services, insurance and travel expenses, as well as stock-based compensation expense associated with equity awards to our employees and directors.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20" w:type="dxa"/>
            <w:vAlign w:val="bottom"/>
          </w:tcPr>
          <w:p>
            <w:pPr>
              <w:spacing w:after="0"/>
              <w:rPr>
                <w:sz w:val="14"/>
                <w:szCs w:val="14"/>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 w:type="dxa"/>
            <w:vAlign w:val="bottom"/>
          </w:tcPr>
          <w:p>
            <w:pPr>
              <w:spacing w:after="0"/>
              <w:rPr>
                <w:sz w:val="14"/>
                <w:szCs w:val="14"/>
                <w:color w:val="auto"/>
              </w:rPr>
            </w:pPr>
          </w:p>
        </w:tc>
      </w:tr>
      <w:tr>
        <w:trPr>
          <w:trHeight w:val="22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4,286</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4,224</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62</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were $4.3 million for the three months ended September 30, 2024 compared to $4.2 million for the same period in 2023. Overall, general and administrative expenses remained consistent as increases in our professional fees for legal and tax services were substantially offset by decreases in stock-based compensation expense due to the lower grant date fair value of our awards vesting during the period.</w:t>
      </w:r>
    </w:p>
    <w:p>
      <w:pPr>
        <w:spacing w:after="0" w:line="200" w:lineRule="exact"/>
        <w:rPr>
          <w:sz w:val="20"/>
          <w:szCs w:val="20"/>
          <w:color w:val="auto"/>
        </w:rPr>
      </w:pP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3" w:name="page24"/>
    <w:bookmarkEnd w:id="2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200"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and available-for-sale securities. The following table summarizes the period-over-period changes in our interest and other income, net (in thousands, except for percentages):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 w:type="dxa"/>
            <w:vAlign w:val="bottom"/>
          </w:tcPr>
          <w:p>
            <w:pPr>
              <w:spacing w:after="0"/>
              <w:rPr>
                <w:sz w:val="14"/>
                <w:szCs w:val="14"/>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1,343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628</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715</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Interest and other income, net was $1.3 million for the three months ended September 30, 2024, compared to $0.6 million for the same period in 2023. The $0.7 million increase was primarily due to more interest income earned on marketable securities resulting from a larger portfolio balance after the receipt of $100.0 million upon entering into the Gilead Collaboration in October 2023 and $12.6 million upon entering into the 2024 Financing Transaction in June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collaboration revenue (in thousands, except for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 w:type="dxa"/>
            <w:vAlign w:val="bottom"/>
          </w:tcPr>
          <w:p>
            <w:pPr>
              <w:spacing w:after="0"/>
              <w:rPr>
                <w:sz w:val="14"/>
                <w:szCs w:val="14"/>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 from a related party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21,163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21,163</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Collaboration revenue for the nine months ended September 30, 2024 includes the recognition of $21.2 million under the Gilead Collaboration Agreement entered into in October 2023. There was no revenue for the nine months ended September 30,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36"/>
        </w:trPr>
        <w:tc>
          <w:tcPr>
            <w:tcW w:w="3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860" w:type="dxa"/>
            <w:vAlign w:val="bottom"/>
            <w:tcBorders>
              <w:top w:val="single" w:sz="8" w:color="auto"/>
            </w:tcBorders>
            <w:shd w:val="clear" w:color="auto" w:fill="CCECFF"/>
          </w:tcPr>
          <w:p>
            <w:pPr>
              <w:spacing w:after="0"/>
              <w:rPr>
                <w:sz w:val="20"/>
                <w:szCs w:val="20"/>
                <w:color w:val="auto"/>
              </w:rPr>
            </w:pPr>
          </w:p>
        </w:tc>
        <w:tc>
          <w:tcPr>
            <w:tcW w:w="64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880" w:type="dxa"/>
            <w:vAlign w:val="bottom"/>
            <w:tcBorders>
              <w:top w:val="single" w:sz="8" w:color="auto"/>
            </w:tcBorders>
            <w:shd w:val="clear" w:color="auto" w:fill="CCECFF"/>
          </w:tcPr>
          <w:p>
            <w:pPr>
              <w:spacing w:after="0"/>
              <w:rPr>
                <w:sz w:val="20"/>
                <w:szCs w:val="20"/>
                <w:color w:val="auto"/>
              </w:rPr>
            </w:pPr>
          </w:p>
        </w:tc>
        <w:tc>
          <w:tcPr>
            <w:tcW w:w="620" w:type="dxa"/>
            <w:vAlign w:val="bottom"/>
            <w:tcBorders>
              <w:top w:val="single" w:sz="8" w:color="auto"/>
            </w:tcBorders>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400" w:type="dxa"/>
            <w:vAlign w:val="bottom"/>
            <w:tcBorders>
              <w:top w:val="single" w:sz="8" w:color="auto"/>
            </w:tcBorders>
            <w:shd w:val="clear" w:color="auto" w:fill="CCECFF"/>
          </w:tcPr>
          <w:p>
            <w:pPr>
              <w:spacing w:after="0"/>
              <w:rPr>
                <w:sz w:val="20"/>
                <w:szCs w:val="20"/>
                <w:color w:val="auto"/>
              </w:rPr>
            </w:pPr>
          </w:p>
        </w:tc>
        <w:tc>
          <w:tcPr>
            <w:tcW w:w="1920" w:type="dxa"/>
            <w:vAlign w:val="bottom"/>
            <w:tcBorders>
              <w:top w:val="single" w:sz="8" w:color="auto"/>
            </w:tcBorders>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540" w:type="dxa"/>
            <w:vAlign w:val="bottom"/>
            <w:tcBorders>
              <w:top w:val="single" w:sz="8" w:color="auto"/>
            </w:tcBorders>
            <w:shd w:val="clear" w:color="auto" w:fill="CCEC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discovery</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6,753</w:t>
            </w:r>
          </w:p>
        </w:tc>
        <w:tc>
          <w:tcPr>
            <w:tcW w:w="280" w:type="dxa"/>
            <w:vAlign w:val="bottom"/>
          </w:tcPr>
          <w:p>
            <w:pPr>
              <w:spacing w:after="0"/>
              <w:rPr>
                <w:sz w:val="20"/>
                <w:szCs w:val="20"/>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7,828</w:t>
            </w: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6250</w:t>
            </w:r>
          </w:p>
        </w:tc>
        <w:tc>
          <w:tcPr>
            <w:tcW w:w="8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5,361</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5,361</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5366</w:t>
            </w:r>
          </w:p>
        </w:tc>
        <w:tc>
          <w:tcPr>
            <w:tcW w:w="8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3,933</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2,279</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1179</w:t>
            </w:r>
          </w:p>
        </w:tc>
        <w:tc>
          <w:tcPr>
            <w:tcW w:w="8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3,531</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3,531</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4334</w:t>
            </w:r>
          </w:p>
        </w:tc>
        <w:tc>
          <w:tcPr>
            <w:tcW w:w="8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1,939</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1,923</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3733</w:t>
            </w:r>
          </w:p>
        </w:tc>
        <w:tc>
          <w:tcPr>
            <w:tcW w:w="86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2,945</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VBR</w:t>
            </w:r>
          </w:p>
        </w:tc>
        <w:tc>
          <w:tcPr>
            <w:tcW w:w="860" w:type="dxa"/>
            <w:vAlign w:val="bottom"/>
          </w:tcPr>
          <w:p>
            <w:pPr>
              <w:spacing w:after="0"/>
              <w:rPr>
                <w:sz w:val="22"/>
                <w:szCs w:val="22"/>
                <w:color w:val="auto"/>
              </w:rPr>
            </w:pPr>
          </w:p>
        </w:tc>
        <w:tc>
          <w:tcPr>
            <w:tcW w:w="920" w:type="dxa"/>
            <w:vAlign w:val="bottom"/>
            <w:gridSpan w:val="2"/>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 xml:space="preserve">(67 ) </w:t>
            </w:r>
            <w:r>
              <w:rPr>
                <w:rFonts w:ascii="Times New Roman" w:cs="Times New Roman" w:eastAsia="Times New Roman" w:hAnsi="Times New Roman"/>
                <w:sz w:val="24"/>
                <w:szCs w:val="24"/>
                <w:color w:val="auto"/>
                <w:vertAlign w:val="superscript"/>
              </w:rPr>
              <w:t>(1)</w:t>
            </w:r>
          </w:p>
        </w:tc>
        <w:tc>
          <w:tcPr>
            <w:tcW w:w="880" w:type="dxa"/>
            <w:vAlign w:val="bottom"/>
          </w:tcPr>
          <w:p>
            <w:pPr>
              <w:spacing w:after="0"/>
              <w:rPr>
                <w:sz w:val="22"/>
                <w:szCs w:val="22"/>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1,463</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3"/>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ABI-H2158</w:t>
            </w:r>
          </w:p>
        </w:tc>
        <w:tc>
          <w:tcPr>
            <w:tcW w:w="8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20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external expenses</w:t>
            </w: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21,450</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2"/>
              </w:rPr>
              <w:t>15,934</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5,516</w:t>
            </w:r>
          </w:p>
        </w:tc>
        <w:tc>
          <w:tcPr>
            <w:tcW w:w="2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8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18,081</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2"/>
              </w:rPr>
              <w:t>17,730</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351</w:t>
            </w: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860" w:type="dxa"/>
            <w:vAlign w:val="bottom"/>
          </w:tcPr>
          <w:p>
            <w:pPr>
              <w:spacing w:after="0"/>
              <w:rPr>
                <w:sz w:val="22"/>
                <w:szCs w:val="22"/>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2,122</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4,230</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(2,108 )</w:t>
            </w:r>
          </w:p>
        </w:tc>
        <w:tc>
          <w:tcPr>
            <w:tcW w:w="200" w:type="dxa"/>
            <w:vAlign w:val="bottom"/>
          </w:tcPr>
          <w:p>
            <w:pPr>
              <w:spacing w:after="0"/>
              <w:rPr>
                <w:sz w:val="22"/>
                <w:szCs w:val="22"/>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41,653</w:t>
            </w:r>
          </w:p>
        </w:tc>
        <w:tc>
          <w:tcPr>
            <w:tcW w:w="280" w:type="dxa"/>
            <w:vAlign w:val="bottom"/>
          </w:tcPr>
          <w:p>
            <w:pPr>
              <w:spacing w:after="0"/>
              <w:rPr>
                <w:sz w:val="20"/>
                <w:szCs w:val="20"/>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2"/>
              </w:rPr>
              <w:t>37,894</w:t>
            </w:r>
          </w:p>
        </w:tc>
        <w:tc>
          <w:tcPr>
            <w:tcW w:w="3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3,759</w:t>
            </w:r>
          </w:p>
        </w:tc>
        <w:tc>
          <w:tcPr>
            <w:tcW w:w="20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-1737360</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ind w:right="100" w:firstLine="8"/>
        <w:spacing w:after="0"/>
        <w:tabs>
          <w:tab w:leader="none" w:pos="17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Reflects net amounts refundable to us after the final reconciliation of costs of the clinical trial conducted pursuant to the Arbutus Biopharma Agreement, which was terminated in February 2023.</w:t>
      </w:r>
    </w:p>
    <w:p>
      <w:pPr>
        <w:spacing w:after="0" w:line="24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 xml:space="preserve">Research and development expenses were $41.7 million for the nine months ended September 30, 2024 compared to $37.9 million for the same period in 2023. The $3.8 million increase in research and development expenses was primarily driven by increases in external expenses from the advancement and expansion of our pipeline, most notably from the nomination of our </w:t>
      </w:r>
      <w:r>
        <w:rPr>
          <w:rFonts w:ascii="Times New Roman" w:cs="Times New Roman" w:eastAsia="Times New Roman" w:hAnsi="Times New Roman"/>
          <w:sz w:val="18"/>
          <w:szCs w:val="18"/>
          <w:color w:val="242424"/>
        </w:rPr>
        <w:t>HDV entry inhibitor, 6250, and acquiring the rights to 1179, Gilead's HPI program, in</w:t>
      </w:r>
    </w:p>
    <w:p>
      <w:pPr>
        <w:spacing w:after="0" w:line="200" w:lineRule="exact"/>
        <w:rPr>
          <w:sz w:val="20"/>
          <w:szCs w:val="20"/>
          <w:color w:val="auto"/>
        </w:rPr>
      </w:pP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4" w:name="page25"/>
    <w:bookmarkEnd w:id="24"/>
    <w:p>
      <w:pPr>
        <w:spacing w:after="0" w:line="15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242424"/>
        </w:rPr>
        <w:t xml:space="preserve">October 2023. The overall increase in external expenses was partially offset by decreases from our discontinuation of 3733 and VBR. </w:t>
      </w:r>
      <w:r>
        <w:rPr>
          <w:rFonts w:ascii="Times New Roman" w:cs="Times New Roman" w:eastAsia="Times New Roman" w:hAnsi="Times New Roman"/>
          <w:sz w:val="18"/>
          <w:szCs w:val="18"/>
          <w:color w:val="000000"/>
        </w:rPr>
        <w:t>We also experienced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a decrease of </w:t>
      </w:r>
      <w:r>
        <w:rPr>
          <w:rFonts w:ascii="Times New Roman" w:cs="Times New Roman" w:eastAsia="Times New Roman" w:hAnsi="Times New Roman"/>
          <w:sz w:val="18"/>
          <w:szCs w:val="18"/>
          <w:color w:val="242424"/>
        </w:rPr>
        <w:t>$2.1 million in facility and other expenses primarily due to cost savings in rent and related expenses attributable to our corporate headquarters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sublease, which commenced in November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0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15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00" w:type="dxa"/>
            <w:vAlign w:val="bottom"/>
          </w:tcPr>
          <w:p>
            <w:pPr>
              <w:spacing w:after="0"/>
              <w:rPr>
                <w:sz w:val="14"/>
                <w:szCs w:val="14"/>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13,398</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2"/>
              </w:rPr>
              <w:t>14,201</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were $13.4 million for the nine months ended September 30, 2024 compared to $14.2 million for the same period in 2023. The $0.8 million decrease in general and administrative expenses was primarily due to a decrease in stock-based compensation expense because of the lower grant date fair value of our awards vesting during the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86"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and available-for-sale securities. The following table summarizes the period-over-period changes in our interest and other income, net (in thousands, except for percentages):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 w:type="dxa"/>
            <w:vAlign w:val="bottom"/>
          </w:tcPr>
          <w:p>
            <w:pPr>
              <w:spacing w:after="0"/>
              <w:rPr>
                <w:sz w:val="14"/>
                <w:szCs w:val="14"/>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4,452</w:t>
            </w:r>
          </w:p>
        </w:tc>
        <w:tc>
          <w:tcPr>
            <w:tcW w:w="11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1,829</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2,623</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Interest and other income, net was $4.5 million for the nine months ended September 30, 2024, compared to $1.8 million for the same period in 2023. The $2.6 million increase was primarily due to more interest income earned on marketable securities resulting from a larger portfolio balance after the receipt of $100.0 million upon entering into the Gilead Collaboration in October 2023 and $12.6 million upon entering into the 2024 Financing Transaction in June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income tax expense (in thousands, except for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 w:type="dxa"/>
            <w:vAlign w:val="bottom"/>
          </w:tcPr>
          <w:p>
            <w:pPr>
              <w:spacing w:after="0"/>
              <w:rPr>
                <w:sz w:val="14"/>
                <w:szCs w:val="14"/>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406</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406</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Income tax expense was $0.4 million for the nine months ended September 30, 2024 due to the estimated taxable income from the upfront payments received under the Gilead Collaboration in 2023. There was no income tax expense recognized during the nine months ended September 30,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8"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September 30, 2024 principally through equity financings, raising an aggregate of $631.2 million in net proceeds, and strategic collaborations, raising an aggregate of $185.7 million through upfront payments.</w:t>
      </w: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5" w:name="page26"/>
    <w:bookmarkEnd w:id="25"/>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40" w:type="dxa"/>
            <w:vAlign w:val="bottom"/>
            <w:tcBorders>
              <w:bottom w:val="single" w:sz="8" w:color="auto"/>
            </w:tcBorders>
          </w:tcPr>
          <w:p>
            <w:pPr>
              <w:spacing w:after="0"/>
              <w:rPr>
                <w:sz w:val="16"/>
                <w:szCs w:val="16"/>
                <w:color w:val="auto"/>
              </w:rPr>
            </w:pPr>
          </w:p>
        </w:tc>
      </w:tr>
      <w:tr>
        <w:trPr>
          <w:trHeight w:val="223"/>
        </w:trPr>
        <w:tc>
          <w:tcPr>
            <w:tcW w:w="5880" w:type="dxa"/>
            <w:vAlign w:val="bottom"/>
          </w:tcPr>
          <w:p>
            <w:pPr>
              <w:spacing w:after="0"/>
              <w:rPr>
                <w:sz w:val="19"/>
                <w:szCs w:val="19"/>
                <w:color w:val="auto"/>
              </w:rPr>
            </w:pP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440" w:type="dxa"/>
            <w:vAlign w:val="bottom"/>
            <w:shd w:val="clear" w:color="auto" w:fill="CCECFF"/>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(50,710 )</w:t>
            </w:r>
          </w:p>
        </w:tc>
        <w:tc>
          <w:tcPr>
            <w:tcW w:w="1340" w:type="dxa"/>
            <w:vAlign w:val="bottom"/>
            <w:gridSpan w:val="2"/>
            <w:shd w:val="clear" w:color="auto" w:fill="CCEC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(50,904 )</w:t>
            </w: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4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46,867</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20,516</w:t>
            </w:r>
          </w:p>
        </w:tc>
      </w:tr>
      <w:tr>
        <w:trPr>
          <w:trHeight w:val="247"/>
        </w:trPr>
        <w:tc>
          <w:tcPr>
            <w:tcW w:w="5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44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8"/>
                <w:szCs w:val="18"/>
                <w:color w:val="auto"/>
              </w:rPr>
              <w:t>12,454</w:t>
            </w:r>
          </w:p>
        </w:tc>
        <w:tc>
          <w:tcPr>
            <w:tcW w:w="420" w:type="dxa"/>
            <w:vAlign w:val="bottom"/>
            <w:tcBorders>
              <w:bottom w:val="single" w:sz="8" w:color="CCECFF"/>
            </w:tcBorders>
            <w:shd w:val="clear" w:color="auto" w:fill="CCECFF"/>
          </w:tcPr>
          <w:p>
            <w:pPr>
              <w:spacing w:after="0"/>
              <w:rPr>
                <w:sz w:val="21"/>
                <w:szCs w:val="21"/>
                <w:color w:val="auto"/>
              </w:rPr>
            </w:pPr>
          </w:p>
        </w:tc>
        <w:tc>
          <w:tcPr>
            <w:tcW w:w="920" w:type="dxa"/>
            <w:vAlign w:val="bottom"/>
            <w:tcBorders>
              <w:bottom w:val="single" w:sz="8" w:color="auto"/>
            </w:tcBorders>
            <w:shd w:val="clear" w:color="auto" w:fill="CCECFF"/>
          </w:tcPr>
          <w:p>
            <w:pPr>
              <w:spacing w:after="0"/>
              <w:rPr>
                <w:sz w:val="21"/>
                <w:szCs w:val="21"/>
                <w:color w:val="auto"/>
              </w:rPr>
            </w:pPr>
          </w:p>
        </w:tc>
        <w:tc>
          <w:tcPr>
            <w:tcW w:w="154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8"/>
                <w:szCs w:val="18"/>
                <w:color w:val="auto"/>
              </w:rPr>
              <w:t>4,626</w:t>
            </w:r>
          </w:p>
        </w:tc>
      </w:tr>
      <w:tr>
        <w:trPr>
          <w:trHeight w:val="232"/>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40" w:type="dxa"/>
            <w:vAlign w:val="bottom"/>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8,611</w:t>
            </w:r>
          </w:p>
        </w:tc>
        <w:tc>
          <w:tcPr>
            <w:tcW w:w="13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(25,762 )</w:t>
            </w:r>
          </w:p>
        </w:tc>
      </w:tr>
      <w:tr>
        <w:trPr>
          <w:trHeight w:val="20"/>
        </w:trPr>
        <w:tc>
          <w:tcPr>
            <w:tcW w:w="58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-187960</wp:posOffset>
            </wp:positionV>
            <wp:extent cx="2736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nine months ended September 30, 2024 was $50.7 million, compared to $50.9 million for the same period in 2023. The change was primarily attributable to </w:t>
      </w:r>
      <w:r>
        <w:rPr>
          <w:rFonts w:ascii="Times New Roman" w:cs="Times New Roman" w:eastAsia="Times New Roman" w:hAnsi="Times New Roman"/>
          <w:sz w:val="18"/>
          <w:szCs w:val="18"/>
          <w:color w:val="242424"/>
        </w:rPr>
        <w:t>cost savings in rent and related expenses attributable to our corporate headquarters sublease,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commenced in November 2023, and </w:t>
      </w:r>
      <w:r>
        <w:rPr>
          <w:rFonts w:ascii="Times New Roman" w:cs="Times New Roman" w:eastAsia="Times New Roman" w:hAnsi="Times New Roman"/>
          <w:sz w:val="18"/>
          <w:szCs w:val="18"/>
          <w:color w:val="000000"/>
        </w:rPr>
        <w:t>the timing of vendor invoicing and payments.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2024 was $46.9 million compared to $20.5 million for the same period in 2023. The change was due to an increase in net proceeds from maturities of our marketable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$12.5 million compared to $4.6 million for the same period in 2023. The change was due to the increase in proceeds from the registered direct offering and private placement in June 2024 compared to the shares sold of our common stock under the 2020 ATM in the nine months ended September 30,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future operating expenses to gradually increase over the coming years as we continue to advance our candidates into the clinic. We expect our existing cash, cash equivalents and marketable securities will enable us to fund our operating expenses and capital expenditure requirements into 2026. However, we will need to obtain substantial additional funding in connection with our continuing operations. If we are unable to secure additional sources of funding when needed or on attractive terms, we could be forced to reduce staff and delay, scale back or stop certain research and development programs or future commercialization efforts.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June 2024. We expect to continue to raise capital when and as needed and at the time and in the manner most advantageous to 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despite macroeconomic and geopolitical events impacting financial markets, such as rising inflation and market volatility;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future potential benefits pursuant to the Gilead Collaboration and maintain the collaboration;</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to contract with third parties to manufacture, adequate supplies of our product candidates for our clinical studies and any eventual commercialization;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4" w:lineRule="exact"/>
        <w:rPr>
          <w:sz w:val="20"/>
          <w:szCs w:val="20"/>
          <w:color w:val="auto"/>
        </w:rPr>
      </w:pPr>
    </w:p>
    <w:p>
      <w:pPr>
        <w:ind w:left="1020" w:right="2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in the United States and abroad, maintaining and enforcing our intellectual property rights and defending intellectual property-related claims.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reduce staff, delay, scale back or discontinue our product development and clinical studies or grant rights to develop and market product candidates that we would otherwise prefer to develop and market ourselves.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President, who serves as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Chief Executive Officer and President concluded that our disclosure controls and procedures as of the end of the period covered by this report were effective at the reasonable assurance level.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the quarter ended September 30, 2024 that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are not a party to any material legal proceedings. In the future, we may from time to time become involved in litigation relating to claims arising from our ordinary course of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together with all other information in this report, including our condensed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All our product candidates are in clinical development or in varying stages of nonclinical development. Data supporting our clinical development programs are derived from nonclinical data that support our early stage clinical programs, which will determine whether pivotal studies are appropriate. These pivotal studies are necessary to support regulatory approval, and it may be years before these larger, pivotal studies are completed, if ever.</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Adverse geopolitical and macroeconomic developments, such as the recent and potential future disruptions in access to bank deposits and lending commitments due to bank failures, ongoing military conflicts, related sanctions, actual and anticipated changes in interest rates, economic inflation and the responses by central banking authorities to control such inflation, could affect our ability to access capital as and when needed.</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is no assurance that we will be successful in raising any necessary additional capital on terms that are acceptable to us, or at all. If we are unable to develop and commercialize any product candidates and generate sufficient revenue or raise capital, we could be forced to reduce staff,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9" w:name="page30"/>
    <w:bookmarkEnd w:id="29"/>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of operations, financial condition and share price. In addition, if we are unable to generate sufficient revenue or raise capital, we may conclude there is a substantial doubt about our ability to continue as a going concern, and future reports from our independent registered public accounting firm may also contain statements expressing substantial doubt about our ability to continue as a going concern.</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our collaboration with Gilead to be a critical part of the development, manufacture and commercialization of our product candidates. If this collaboration is unsuccessful, our business could be adversely affected.</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we entered into the Gilead Collaboration Agreement with Gilead, whereby Gilead exclusively licensed to us its HPI program and NNPI program, while retaining opt-in rights to these programs, and has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which were both amended in June 2024. Also in June 2024, we and Gilead subsequently entered into a securities purchase agreement and warrant agreement. Our agreements and relationship with Gilead pose a number of risks, including, but not limited to, the following:</w:t>
      </w:r>
    </w:p>
    <w:p>
      <w:pPr>
        <w:spacing w:after="0" w:line="78" w:lineRule="exact"/>
        <w:rPr>
          <w:sz w:val="20"/>
          <w:szCs w:val="20"/>
          <w:color w:val="auto"/>
        </w:rPr>
      </w:pPr>
    </w:p>
    <w:p>
      <w:pPr>
        <w:jc w:val="both"/>
        <w:ind w:left="1020" w:hanging="504"/>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spacing w:after="0" w:line="73"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development of our investigational products could be delayed and we may need additional resources to develop our investigational products.</w:t>
      </w:r>
    </w:p>
    <w:p>
      <w:pPr>
        <w:spacing w:after="0" w:line="7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heavily dependent on Gilead for further development and commercialization of the investigational products from the programs that it opts into.</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right to designate (and has designated) two directors for appointment to our board of directors pursuant to the terms of the investor rights agreement and owns approximately 19.9% of our outstanding common stock. Gilead also has the right to acquire additional shares from us, and in the open market, up to an amount resulting in Gilead owning a total of 35% of our outstanding common stock. As a result, Gilead may be able to exert significant influence over us.</w:t>
      </w:r>
    </w:p>
    <w:p>
      <w:pPr>
        <w:spacing w:after="0" w:line="73"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spacing w:after="0" w:line="69"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Gilead has an option to all our current, and future, pipeline programs during the collaboration term, it may be difficult for us to enter into new collaborations.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5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rate of completion of clinical studies might be delayed by many factors, including, for example:</w:t>
      </w:r>
    </w:p>
    <w:p>
      <w:pPr>
        <w:spacing w:after="0" w:line="117"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regulatory authorities on study design;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(CROs) and clinical study sites;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or the emergence of unforeseen safety issues;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of qualified materials under current good manufacturing practice (cGMP) for use in clinical studies due to manufacturing challenges, delays or interruptions in the supply chain;</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participant recruitment or failure to recruit a sufficient number of eligible participants, which may be due to a number of reasons, including the size of the participant population, the proximity of participants to clinical sites, the eligibility criteria for the study, the design of the clinical study, and other potential drug candidates being studied;</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participants completing participation in a study or return for post-treatment follow-up for any reason, including, product side effects or disease progression;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clinical study protocols;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 or termination of clinical studies by the institutional review board or ethics committee responsible for overseeing the study at a particular study site;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Furthermore, we are exposed to a number of risks related to our CROs, vendors, suppliers and other service providers that are located outside of the United States, many of which may be beyond our control. These risks include:</w:t>
      </w:r>
    </w:p>
    <w:p>
      <w:pPr>
        <w:spacing w:after="0" w:line="55" w:lineRule="exact"/>
        <w:rPr>
          <w:sz w:val="20"/>
          <w:szCs w:val="20"/>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such as the war between Russia and Ukraine, the Israel-Hamas war, the Israel-Hezbollah war, as well as tariffs, other wars, acts of terrorism, natural disasters or outbreaks of disease;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or increased scrutiny on CROs located in foreign countries, including China;</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 for which our product candidates are being developed;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United States Foreign Corrupt Practices Act (the FCPA) and other anti-corruption and anti-bribery laws;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 and</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preliminary or interim data may not accurately reflect the final results of a particular study.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publicly disclose top-line, preliminary or interim data based on analysis of then-available efficacy, tolerability, PK and safety data, and the results and related findings and conclusions are subject to change following a more comprehensive data review related to the particular study. We also make assumptions, estimates, calculations and conclusions as part of our data analyses, and we may not have received or had the opportunity to fully and carefully evaluate all data prior to release. As a result, the top-line, preliminary or interim results that we report may differ from final results of the same studies or different conclusions or considerations may qualify such results once additional data have been received and fully evaluated. Top-line, preliminary or interim data also remain subject to audit and verification procedures that may result in the final data differing materially from previously published top-line, preliminary or interim data. As a result, top-line, preliminary or interim data should be viewed with caution until the final data are available.</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to top-line, preliminary or interim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preliminary or interim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following risks with respect to the manufacture of our product candidates:</w:t>
      </w:r>
    </w:p>
    <w:p>
      <w:pPr>
        <w:spacing w:after="0" w:line="117" w:lineRule="exact"/>
        <w:rPr>
          <w:sz w:val="20"/>
          <w:szCs w:val="20"/>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be unable to formulate and manufacture our product candidates in the volume and quality required to meet our nonclinical, clinical and, if approved, commercial needs in a timely manner.</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not perform as agreed or might not remain in the contract manufacturing business for the time required to supply our products.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any third-party manufacturers with whom we contract could be foreign, which increases the risk of shipping delays and adds the risk of import restrictions.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share our trade secrets and know-how with third parties, increasing risk of misappropriation or disclosure of our intellectual property by or to third parties.</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and cannot recruit and retain similarly qualified replacements, our business may materially suffer.</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partners might delay, prevent or undermine the success of our product candidates.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spacing w:after="0" w:line="1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which could adversely affect our ability to develop certain of our product candidates.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that has not been independently verified and could prove to be false, misleading, or incomplete.</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including cybersecurity incidents, could materially and adversely affect our business, results of operations and financial condition.</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system outages, terrorism, war, telecommunication and electrical failures, cyberattacks, cybersecurity incidents or cyber intrusions over the Internet, attachments to emails, persons inside our organization, or persons with access to systems inside our organization.</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risk of a cybersecurity incident or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system outages and security vulnerabilities or incidents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European Union (EU) General Data Protection Regulation (EU GDPR). We would also be exposed to a risk of loss or litigation and potential liability, which could materially adversely affect our business, results of operations and financial condition.</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might render our product candidates or technologies obsolete or non-competitive.</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and transplant-related herpesviruses or any other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indication or field we might pursue, and successfully commercialize those treatments, our business and prospects could be materially harmed.</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1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Negative data from clinical studies using a competitor’s product candidates with the same or similar mechanisms of action (MOA) as ours could adversely impact the perception of the therapeutic use of our product candidates and our ability to enroll individuals in clinical studies.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MOA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credit carryforwards and certain other tax attributes may be limited.</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net operating loss carryforwards due to prior period losses generated before January 1, 2024, which if not utilized, will begin to expire in 2027 for net operating loss carryforwards prior to 2018. If we are unable to generate sufficient taxable income to utilize our net operating loss carryforwards, pre-2018 carryforwards could expire unused and be unavailable to offset future income tax liabilities.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and recent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and Legal Environment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we or our collaborators obtain regulatory approval for a particular product, the approval might limit the intended medical uses for the product, limit our ability to promote, sell, and distribute the product, require that we conduct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Regulators globally are imposing greater monetary fines for privacy violations. The EU GDPR applies to any company established in the EU as well as to those outside the EU if they collect and use personal data in connection with the offering of goods or services to individuals in the EU or the monitoring of their behavior. The EU GDPR enhances data protection obligations for processors and controllers of personal data, including, for example, expanded disclosures about how personal information is to be used, limitations on retention of information, mandatory data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breach notification requirements and onerous new obligations on services providers. Noncompliance with the EU GDPR may result in monetary penalties of up to €20 million or 4% of worldwide revenue, whichever is higher. The EU GDPR may increase our responsibility and liability in relation to personal data that we process and we may be required to put in place additional mechanisms to ensure compliance with the EU GDPR, including as implemented by individual countries. Compliance with the EU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2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might not be able to obtain insurance.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exposed to liability claims associated with the use of hazardous materials and chemicals.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fraud or other misconduct, including failure to:</w:t>
      </w:r>
    </w:p>
    <w:p>
      <w:pPr>
        <w:spacing w:after="0" w:line="117"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regulations of, and provide accurate information to, the FDA or comparable foreign regulatory authorities;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the U.K. Bribery Act 2010, the PRC Criminal Law, the PRC Anti-unfair Competition Law and other anti-bribery and trade laws;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and data accurately;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protecting our intellectual property.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our patents and other intellectual property rights.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5" w:lineRule="exact"/>
        <w:rPr>
          <w:sz w:val="20"/>
          <w:szCs w:val="20"/>
          <w:color w:val="auto"/>
        </w:rPr>
      </w:pPr>
    </w:p>
    <w:p>
      <w:pPr>
        <w:ind w:left="10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might fluctuate significantly, and you could lose all or part of your investment.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filed or furnished, as applicable, as part of this quarterly report on Form 10-Q:</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500" w:type="dxa"/>
            <w:vAlign w:val="bottom"/>
            <w:gridSpan w:val="3"/>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20" w:type="dxa"/>
            <w:vAlign w:val="bottom"/>
          </w:tcPr>
          <w:p>
            <w:pPr>
              <w:spacing w:after="0"/>
              <w:rPr>
                <w:sz w:val="12"/>
                <w:szCs w:val="12"/>
                <w:color w:val="auto"/>
              </w:rPr>
            </w:pPr>
          </w:p>
        </w:tc>
        <w:tc>
          <w:tcPr>
            <w:tcW w:w="12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550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24"/>
                <w:szCs w:val="24"/>
                <w:color w:val="auto"/>
              </w:rPr>
            </w:pPr>
          </w:p>
        </w:tc>
        <w:tc>
          <w:tcPr>
            <w:tcW w:w="5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with applicable</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firstLine="8"/>
        <w:spacing w:after="0" w:line="260" w:lineRule="auto"/>
        <w:tabs>
          <w:tab w:leader="none" w:pos="2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4" w:name="page45"/>
    <w:bookmarkEnd w:id="44"/>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accordance with the requirements of the Securities Exchange Act of 1934, the registrant caused this report to be signed on its behalf by the undersigned, thereunto duly authorized.</w:t>
      </w:r>
    </w:p>
    <w:p>
      <w:pPr>
        <w:spacing w:after="0" w:line="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282" w:lineRule="exact"/>
        <w:rPr>
          <w:sz w:val="20"/>
          <w:szCs w:val="20"/>
          <w:color w:val="auto"/>
        </w:rPr>
      </w:pPr>
    </w:p>
    <w:p>
      <w:pPr>
        <w:ind w:left="20"/>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26035</wp:posOffset>
            </wp:positionV>
            <wp:extent cx="32791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A. Okazaki</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A. Okazaki, certify that:</w:t>
      </w:r>
    </w:p>
    <w:p>
      <w:pPr>
        <w:spacing w:after="0" w:line="76" w:lineRule="exact"/>
        <w:rPr>
          <w:sz w:val="20"/>
          <w:szCs w:val="20"/>
          <w:color w:val="auto"/>
        </w:rPr>
      </w:pPr>
    </w:p>
    <w:p>
      <w:pPr>
        <w:ind w:left="520" w:hanging="512"/>
        <w:spacing w:after="0" w:line="207" w:lineRule="exact"/>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157"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hanging="512"/>
        <w:spacing w:after="0" w:line="226" w:lineRule="exact"/>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spacing w:after="0" w:line="1" w:lineRule="exact"/>
        <w:rPr>
          <w:rFonts w:ascii="Times New Roman" w:cs="Times New Roman" w:eastAsia="Times New Roman" w:hAnsi="Times New Roman"/>
          <w:sz w:val="18"/>
          <w:szCs w:val="18"/>
          <w:color w:val="auto"/>
        </w:rPr>
      </w:pP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6"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78"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26035</wp:posOffset>
            </wp:positionV>
            <wp:extent cx="3133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Jason A. Okazaki</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6" w:name="page47"/>
    <w:bookmarkEnd w:id="46"/>
    <w:p>
      <w:pPr>
        <w:ind w:left="100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2"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September 30, 2024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w:t>
      </w:r>
    </w:p>
    <w:p>
      <w:pPr>
        <w:spacing w:after="0" w:line="186"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Jason A. Okazaki</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2024-11-07T15:53:37Z</dcterms:created>
  <dcterms:modified xsi:type="dcterms:W3CDTF">2024-11-07T15:53:37Z</dcterms:modified>
</cp:coreProperties>
</file>