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94615</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96520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4" w:lineRule="exact"/>
        <w:rPr>
          <w:sz w:val="24"/>
          <w:szCs w:val="24"/>
          <w:color w:val="auto"/>
        </w:rPr>
      </w:pPr>
    </w:p>
    <w:p>
      <w:pPr>
        <w:ind w:left="4060" w:right="2540" w:hanging="4052"/>
        <w:spacing w:after="0" w:line="457" w:lineRule="auto"/>
        <w:tabs>
          <w:tab w:leader="none" w:pos="46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-420370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51" w:lineRule="exact"/>
        <w:rPr>
          <w:sz w:val="24"/>
          <w:szCs w:val="24"/>
          <w:color w:val="auto"/>
        </w:rPr>
      </w:pPr>
    </w:p>
    <w:p>
      <w:pPr>
        <w:ind w:left="3580" w:right="2520" w:hanging="3572"/>
        <w:spacing w:after="0" w:line="422" w:lineRule="auto"/>
        <w:tabs>
          <w:tab w:leader="none" w:pos="4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114935</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-503555</wp:posOffset>
            </wp:positionV>
            <wp:extent cx="78105" cy="7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Pr>
          <w:p>
            <w:pPr>
              <w:spacing w:after="0"/>
              <w:rPr>
                <w:sz w:val="22"/>
                <w:szCs w:val="22"/>
                <w:color w:val="auto"/>
              </w:rPr>
            </w:pPr>
          </w:p>
        </w:tc>
        <w:tc>
          <w:tcPr>
            <w:tcW w:w="3420" w:type="dxa"/>
            <w:vAlign w:val="bottom"/>
            <w:gridSpan w:val="5"/>
          </w:tcPr>
          <w:p>
            <w:pPr>
              <w:jc w:val="center"/>
              <w:ind w:left="72"/>
              <w:spacing w:after="0"/>
              <w:rPr>
                <w:sz w:val="20"/>
                <w:szCs w:val="20"/>
                <w:color w:val="auto"/>
              </w:rPr>
            </w:pPr>
            <w:r>
              <w:rPr>
                <w:rFonts w:ascii="Arial" w:cs="Arial" w:eastAsia="Arial" w:hAnsi="Arial"/>
                <w:sz w:val="22"/>
                <w:szCs w:val="22"/>
                <w:b w:val="1"/>
                <w:bCs w:val="1"/>
                <w:color w:val="auto"/>
                <w:w w:val="96"/>
              </w:rPr>
              <w:t>ASSEMBLY BIOSCIENCES, INC.</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280"/>
        </w:trPr>
        <w:tc>
          <w:tcPr>
            <w:tcW w:w="3840" w:type="dxa"/>
            <w:vAlign w:val="bottom"/>
          </w:tcPr>
          <w:p>
            <w:pPr>
              <w:jc w:val="center"/>
              <w:ind w:left="1700"/>
              <w:spacing w:after="0"/>
              <w:rPr>
                <w:sz w:val="20"/>
                <w:szCs w:val="20"/>
                <w:color w:val="auto"/>
              </w:rPr>
            </w:pPr>
            <w:r>
              <w:rPr>
                <w:rFonts w:ascii="Arial" w:cs="Arial" w:eastAsia="Arial" w:hAnsi="Arial"/>
                <w:sz w:val="16"/>
                <w:szCs w:val="16"/>
                <w:b w:val="1"/>
                <w:bCs w:val="1"/>
                <w:color w:val="auto"/>
                <w:w w:val="93"/>
              </w:rPr>
              <w:t>Delaware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jc w:val="right"/>
              <w:ind w:right="2341"/>
              <w:spacing w:after="0"/>
              <w:rPr>
                <w:sz w:val="20"/>
                <w:szCs w:val="20"/>
                <w:color w:val="auto"/>
              </w:rPr>
            </w:pPr>
            <w:r>
              <w:rPr>
                <w:rFonts w:ascii="Arial" w:cs="Arial" w:eastAsia="Arial" w:hAnsi="Arial"/>
                <w:sz w:val="16"/>
                <w:szCs w:val="16"/>
                <w:b w:val="1"/>
                <w:bCs w:val="1"/>
                <w:color w:val="auto"/>
              </w:rPr>
              <w:t>20-8729264</w:t>
            </w:r>
          </w:p>
        </w:tc>
        <w:tc>
          <w:tcPr>
            <w:tcW w:w="0" w:type="dxa"/>
            <w:vAlign w:val="bottom"/>
          </w:tcPr>
          <w:p>
            <w:pPr>
              <w:spacing w:after="0"/>
              <w:rPr>
                <w:sz w:val="1"/>
                <w:szCs w:val="1"/>
                <w:color w:val="auto"/>
              </w:rPr>
            </w:pPr>
          </w:p>
        </w:tc>
      </w:tr>
      <w:tr>
        <w:trPr>
          <w:trHeight w:val="203"/>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3"/>
              </w:rPr>
              <w:t>(State or other jurisdiction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06"/>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4"/>
              </w:rPr>
              <w:t>incorporation or organization)</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b w:val="1"/>
                <w:bCs w:val="1"/>
                <w:color w:val="auto"/>
                <w:w w:val="93"/>
              </w:rPr>
              <w:t>331 Oyster Point Blvd., Fourth Floor</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7260" w:type="dxa"/>
            <w:vAlign w:val="bottom"/>
            <w:gridSpan w:val="6"/>
          </w:tcPr>
          <w:p>
            <w:pPr>
              <w:jc w:val="center"/>
              <w:ind w:right="1640"/>
              <w:spacing w:after="0"/>
              <w:rPr>
                <w:sz w:val="20"/>
                <w:szCs w:val="20"/>
                <w:color w:val="auto"/>
              </w:rPr>
            </w:pPr>
            <w:r>
              <w:rPr>
                <w:rFonts w:ascii="Arial" w:cs="Arial" w:eastAsia="Arial" w:hAnsi="Arial"/>
                <w:sz w:val="16"/>
                <w:szCs w:val="16"/>
                <w:b w:val="1"/>
                <w:bCs w:val="1"/>
                <w:color w:val="auto"/>
                <w:w w:val="91"/>
              </w:rPr>
              <w:t>South San Francisco, California</w:t>
            </w:r>
          </w:p>
        </w:tc>
        <w:tc>
          <w:tcPr>
            <w:tcW w:w="3980" w:type="dxa"/>
            <w:vAlign w:val="bottom"/>
          </w:tcPr>
          <w:p>
            <w:pPr>
              <w:jc w:val="right"/>
              <w:ind w:right="2521"/>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color w:val="auto"/>
                <w:w w:val="93"/>
              </w:rPr>
              <w:t>(Address of principal executive offices)</w:t>
            </w: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80"/>
        </w:trPr>
        <w:tc>
          <w:tcPr>
            <w:tcW w:w="3840" w:type="dxa"/>
            <w:vAlign w:val="bottom"/>
          </w:tcPr>
          <w:p>
            <w:pPr>
              <w:spacing w:after="0"/>
              <w:rPr>
                <w:sz w:val="24"/>
                <w:szCs w:val="24"/>
                <w:color w:val="auto"/>
              </w:rPr>
            </w:pPr>
          </w:p>
        </w:tc>
        <w:tc>
          <w:tcPr>
            <w:tcW w:w="2840" w:type="dxa"/>
            <w:vAlign w:val="bottom"/>
            <w:gridSpan w:val="3"/>
          </w:tcPr>
          <w:p>
            <w:pPr>
              <w:jc w:val="center"/>
              <w:ind w:left="652"/>
              <w:spacing w:after="0"/>
              <w:rPr>
                <w:sz w:val="20"/>
                <w:szCs w:val="20"/>
                <w:color w:val="auto"/>
              </w:rPr>
            </w:pPr>
            <w:r>
              <w:rPr>
                <w:rFonts w:ascii="Arial" w:cs="Arial" w:eastAsia="Arial" w:hAnsi="Arial"/>
                <w:sz w:val="16"/>
                <w:szCs w:val="16"/>
                <w:b w:val="1"/>
                <w:bCs w:val="1"/>
                <w:color w:val="auto"/>
                <w:w w:val="93"/>
              </w:rPr>
              <w:t>(833) 509-4583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tcBorders>
          </w:tcPr>
          <w:p>
            <w:pPr>
              <w:jc w:val="center"/>
              <w:ind w:left="600"/>
              <w:spacing w:after="0"/>
              <w:rPr>
                <w:sz w:val="20"/>
                <w:szCs w:val="20"/>
                <w:color w:val="auto"/>
              </w:rPr>
            </w:pPr>
            <w:r>
              <w:rPr>
                <w:rFonts w:ascii="Arial" w:cs="Arial" w:eastAsia="Arial" w:hAnsi="Arial"/>
                <w:sz w:val="14"/>
                <w:szCs w:val="14"/>
                <w:color w:val="auto"/>
                <w:w w:val="92"/>
              </w:rPr>
              <w:t>Title of each class</w:t>
            </w:r>
          </w:p>
        </w:tc>
        <w:tc>
          <w:tcPr>
            <w:tcW w:w="6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6"/>
              </w:rPr>
              <w:t>Trading Symbol(s)</w:t>
            </w:r>
          </w:p>
        </w:tc>
        <w:tc>
          <w:tcPr>
            <w:tcW w:w="50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441"/>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33"/>
        </w:trPr>
        <w:tc>
          <w:tcPr>
            <w:tcW w:w="3840" w:type="dxa"/>
            <w:vAlign w:val="bottom"/>
            <w:tcBorders>
              <w:left w:val="single" w:sz="8" w:color="auto"/>
              <w:bottom w:val="single" w:sz="8" w:color="auto"/>
            </w:tcBorders>
          </w:tcPr>
          <w:p>
            <w:pPr>
              <w:jc w:val="center"/>
              <w:ind w:left="620"/>
              <w:spacing w:after="0"/>
              <w:rPr>
                <w:sz w:val="20"/>
                <w:szCs w:val="20"/>
                <w:color w:val="auto"/>
              </w:rPr>
            </w:pPr>
            <w:r>
              <w:rPr>
                <w:rFonts w:ascii="Arial" w:cs="Arial" w:eastAsia="Arial" w:hAnsi="Arial"/>
                <w:sz w:val="16"/>
                <w:szCs w:val="16"/>
                <w:color w:val="auto"/>
                <w:w w:val="91"/>
              </w:rPr>
              <w:t>Common Stock, par value $0.001</w:t>
            </w:r>
          </w:p>
        </w:tc>
        <w:tc>
          <w:tcPr>
            <w:tcW w:w="6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6"/>
                <w:szCs w:val="16"/>
                <w:color w:val="auto"/>
              </w:rPr>
              <w:t>ASMB</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ind w:right="421"/>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73"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940"/>
        <w:spacing w:after="0" w:line="260" w:lineRule="exact"/>
        <w:rPr>
          <w:sz w:val="20"/>
          <w:szCs w:val="20"/>
          <w:color w:val="auto"/>
        </w:rPr>
      </w:pPr>
      <w:r>
        <w:rPr>
          <w:rFonts w:ascii="Arial" w:cs="Arial" w:eastAsia="Arial" w:hAnsi="Arial"/>
          <w:sz w:val="16"/>
          <w:szCs w:val="16"/>
          <w:color w:val="auto"/>
        </w:rPr>
        <w:t xml:space="preserve">Indicate by check mark whether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3, 2020, there were 32,854,914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71"/>
        </w:trPr>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954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2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June 30, 2020 (unaudited) and December 31,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020" w:type="dxa"/>
            <w:vAlign w:val="bottom"/>
          </w:tcPr>
          <w:p>
            <w:pPr>
              <w:spacing w:after="0"/>
              <w:rPr>
                <w:sz w:val="24"/>
                <w:szCs w:val="24"/>
                <w:color w:val="auto"/>
              </w:rPr>
            </w:pPr>
          </w:p>
        </w:tc>
        <w:tc>
          <w:tcPr>
            <w:tcW w:w="95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(Loss) for the Three and Six Months Ended June 30,</w:t>
              </w:r>
            </w:hyperlink>
          </w:p>
        </w:tc>
        <w:tc>
          <w:tcPr>
            <w:tcW w:w="6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4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2020 and 2019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58"/>
        </w:trPr>
        <w:tc>
          <w:tcPr>
            <w:tcW w:w="102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u w:val="single" w:color="auto"/>
                <w:color w:val="0000EE"/>
                <w:w w:val="94"/>
              </w:rPr>
            </w:pPr>
            <w:hyperlink w:anchor="page5">
              <w:r>
                <w:rPr>
                  <w:rFonts w:ascii="Arial" w:cs="Arial" w:eastAsia="Arial" w:hAnsi="Arial"/>
                  <w:sz w:val="18"/>
                  <w:szCs w:val="18"/>
                  <w:u w:val="single" w:color="auto"/>
                  <w:color w:val="0000EE"/>
                  <w:w w:val="94"/>
                </w:rPr>
                <w:t>Condensed Consolidated Statements of Cash Flows for the Three and Six Months Ended June 30, 2020 and 2019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102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for the Three and Six Months Ended June 30, 2020 and</w:t>
              </w:r>
            </w:hyperlink>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020" w:type="dxa"/>
            <w:vAlign w:val="bottom"/>
          </w:tcPr>
          <w:p>
            <w:pPr>
              <w:spacing w:after="0"/>
              <w:rPr>
                <w:sz w:val="17"/>
                <w:szCs w:val="17"/>
                <w:color w:val="auto"/>
              </w:rPr>
            </w:pPr>
          </w:p>
        </w:tc>
        <w:tc>
          <w:tcPr>
            <w:tcW w:w="12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2019 (unaudited)</w:t>
              </w:r>
            </w:hyperlink>
          </w:p>
        </w:tc>
        <w:tc>
          <w:tcPr>
            <w:tcW w:w="83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r>
      <w:tr>
        <w:trPr>
          <w:trHeight w:val="358"/>
        </w:trPr>
        <w:tc>
          <w:tcPr>
            <w:tcW w:w="102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the Condensed Consolidated 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954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4"/>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38"/>
        </w:trPr>
        <w:tc>
          <w:tcPr>
            <w:tcW w:w="10560" w:type="dxa"/>
            <w:vAlign w:val="bottom"/>
            <w:gridSpan w:val="5"/>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763"/>
        </w:trPr>
        <w:tc>
          <w:tcPr>
            <w:tcW w:w="1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r>
      <w:tr>
        <w:trPr>
          <w:trHeight w:val="156"/>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288"/>
              <w:spacing w:after="0" w:line="155" w:lineRule="exact"/>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96,709</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46,732</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130,005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227,311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from collaboration</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3,315</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3,374</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5,059</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5,363</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235,088</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282,780</w:t>
            </w:r>
          </w:p>
        </w:tc>
      </w:tr>
      <w:tr>
        <w:trPr>
          <w:trHeight w:val="155"/>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2,063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1,830</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Operating lease right-of-use (ROU) assets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10,780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11,975</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5,232</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1,684</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Indefinite-lived intangible asset</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29,000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29,000</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12,638</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12,638</w:t>
            </w:r>
          </w:p>
        </w:tc>
      </w:tr>
      <w:tr>
        <w:trPr>
          <w:trHeight w:val="19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294,801</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339,907</w:t>
            </w:r>
          </w:p>
        </w:tc>
      </w:tr>
      <w:tr>
        <w:trPr>
          <w:trHeight w:val="143"/>
        </w:trPr>
        <w:tc>
          <w:tcPr>
            <w:tcW w:w="7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3,640</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1,731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clinical expenses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4,362</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4,826</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Other accrued expenses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6,019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8,286</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 - short-term</w:t>
            </w: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6,411</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Operating lease liabilities - short-term</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3,250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3,186</w:t>
            </w: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17,271</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24,440</w:t>
            </w:r>
          </w:p>
        </w:tc>
      </w:tr>
      <w:tr>
        <w:trPr>
          <w:trHeight w:val="156"/>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2,531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2,531</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Deferred revenue - long-term</w:t>
            </w:r>
          </w:p>
        </w:tc>
        <w:tc>
          <w:tcPr>
            <w:tcW w:w="240" w:type="dxa"/>
            <w:vAlign w:val="bottom"/>
          </w:tcPr>
          <w:p>
            <w:pPr>
              <w:spacing w:after="0"/>
              <w:rPr>
                <w:sz w:val="14"/>
                <w:szCs w:val="1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30,637</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 long-term</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7,884</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9,082</w:t>
            </w:r>
          </w:p>
        </w:tc>
      </w:tr>
      <w:tr>
        <w:trPr>
          <w:trHeight w:val="155"/>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27,686</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66,690</w:t>
            </w:r>
          </w:p>
        </w:tc>
      </w:tr>
      <w:tr>
        <w:trPr>
          <w:trHeight w:val="155"/>
        </w:trPr>
        <w:tc>
          <w:tcPr>
            <w:tcW w:w="7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$0.001 par value; 5,000,000 shares authorized; no shares issued or outstanding</w:t>
            </w: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43"/>
        </w:trPr>
        <w:tc>
          <w:tcPr>
            <w:tcW w:w="7720" w:type="dxa"/>
            <w:vAlign w:val="bottom"/>
          </w:tcPr>
          <w:p>
            <w:pPr>
              <w:ind w:left="260"/>
              <w:spacing w:after="0" w:line="143" w:lineRule="exact"/>
              <w:rPr>
                <w:sz w:val="20"/>
                <w:szCs w:val="20"/>
                <w:color w:val="auto"/>
              </w:rPr>
            </w:pPr>
            <w:r>
              <w:rPr>
                <w:rFonts w:ascii="Arial" w:cs="Arial" w:eastAsia="Arial" w:hAnsi="Arial"/>
                <w:sz w:val="14"/>
                <w:szCs w:val="14"/>
                <w:color w:val="auto"/>
                <w:w w:val="93"/>
              </w:rPr>
              <w:t>Common stock, $0.001 par value; 100,000,000 shares authorized as of June 30, 2020 and December 31, 2019; 32,807,519 and</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67"/>
        </w:trPr>
        <w:tc>
          <w:tcPr>
            <w:tcW w:w="7720" w:type="dxa"/>
            <w:vAlign w:val="bottom"/>
          </w:tcPr>
          <w:p>
            <w:pPr>
              <w:ind w:left="260"/>
              <w:spacing w:after="0"/>
              <w:rPr>
                <w:sz w:val="20"/>
                <w:szCs w:val="20"/>
                <w:color w:val="auto"/>
              </w:rPr>
            </w:pPr>
            <w:r>
              <w:rPr>
                <w:rFonts w:ascii="Arial" w:cs="Arial" w:eastAsia="Arial" w:hAnsi="Arial"/>
                <w:sz w:val="14"/>
                <w:szCs w:val="14"/>
                <w:color w:val="auto"/>
              </w:rPr>
              <w:t>32,558,307 shares issued and outstanding as of June 30, 2020 and December 31, 2019, respectively</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32</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725,784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712,807</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(201)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(458,806)</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(439,421)</w:t>
            </w:r>
          </w:p>
        </w:tc>
      </w:tr>
      <w:tr>
        <w:trPr>
          <w:trHeight w:val="155"/>
        </w:trPr>
        <w:tc>
          <w:tcPr>
            <w:tcW w:w="77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267,115</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273,217</w:t>
            </w:r>
          </w:p>
        </w:tc>
      </w:tr>
      <w:tr>
        <w:trPr>
          <w:trHeight w:val="155"/>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294,801</w:t>
            </w:r>
          </w:p>
        </w:tc>
        <w:tc>
          <w:tcPr>
            <w:tcW w:w="1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339,907</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3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39,376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43,457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23,327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18,700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46,373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41,405</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9,470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4,080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18,199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13,597</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32,797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22,780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64,572</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55,002</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operations</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6,579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(19,700)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(21,115)</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(48,036)</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 net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1,730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1,730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7,270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(18,514)</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(19,385)</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(45,573)</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7,270</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(18,503)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(19,385)</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(45,555)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marketable securities, net of tax</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305</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7,460</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(18,451)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(19,080)</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(45,395)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basic</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0.21</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35,307,669</w:t>
            </w:r>
          </w:p>
        </w:tc>
        <w:tc>
          <w:tcPr>
            <w:tcW w:w="1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25,740,500</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35,229,570</w:t>
            </w: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25,690,617</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share, diluted</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37,291,474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25,740,500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35,229,570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25,690,617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Six Months Ended June 30,</w:t>
            </w:r>
          </w:p>
        </w:tc>
        <w:tc>
          <w:tcPr>
            <w:tcW w:w="74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(19,385)</w:t>
            </w:r>
          </w:p>
        </w:tc>
        <w:tc>
          <w:tcPr>
            <w:tcW w:w="160" w:type="dxa"/>
            <w:vAlign w:val="bottom"/>
          </w:tcPr>
          <w:p>
            <w:pPr>
              <w:spacing w:after="0"/>
              <w:rPr>
                <w:sz w:val="19"/>
                <w:szCs w:val="19"/>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(45,555)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260</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12,058</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8,645</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accretion and amortization of investments in marketable debt securities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rent expense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2,308</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2,208</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 benefit</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fixed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 from collaboration</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1,655</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clinical expenses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248</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accrued expenses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(37,048)</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(48,334)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(44,944)</w:t>
            </w:r>
          </w:p>
        </w:tc>
      </w:tr>
      <w:tr>
        <w:trPr>
          <w:trHeight w:val="229"/>
        </w:trPr>
        <w:tc>
          <w:tcPr>
            <w:tcW w:w="7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(44,240)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(93,667)</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maturities of marketable securities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9"/>
              </w:rPr>
              <w:t>119,252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9"/>
              </w:rPr>
              <w:t>131,591</w:t>
            </w: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Proceeds from sale of marketable securities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22,700</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97,242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36,885</w:t>
            </w:r>
          </w:p>
        </w:tc>
      </w:tr>
      <w:tr>
        <w:trPr>
          <w:trHeight w:val="230"/>
        </w:trPr>
        <w:tc>
          <w:tcPr>
            <w:tcW w:w="7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331</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Proceeds from the issuance of common stock under Employee Stock Purchase Plan (ESPP)</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515</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846</w:t>
            </w:r>
          </w:p>
        </w:tc>
      </w:tr>
      <w:tr>
        <w:trPr>
          <w:trHeight w:val="230"/>
        </w:trPr>
        <w:tc>
          <w:tcPr>
            <w:tcW w:w="7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49,977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(7,213)</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46,732</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41,471</w:t>
            </w: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96,709</w:t>
            </w:r>
          </w:p>
        </w:tc>
        <w:tc>
          <w:tcPr>
            <w:tcW w:w="16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34,258</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 arising from obtaining ROU assets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0"/>
                <w:szCs w:val="20"/>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14,225</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Three Month Period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32,624,725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717,898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(466,076)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251,768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74,879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42,266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w w:val="93"/>
              </w:rPr>
              <w:t>Issuance of shares of common stock for settlement of restricted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stock units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65,649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debt securities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9"/>
              </w:rPr>
              <w:t>32,807,519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725,784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(458,806)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267,115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2019</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25,549,757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559,453</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(368,839)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190,401</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36,804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w w:val="99"/>
              </w:rPr>
              <w:t>Issuance of shares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30,347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debt securities, net of tax</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9"/>
              </w:rPr>
              <w:t>25,646,783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562,210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(387,342)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174,707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Six Month Period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32,558,307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712,807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(439,421)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273,217</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91,713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42,266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w w:val="99"/>
              </w:rPr>
              <w:t>Issuance of shares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115,233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6"/>
              </w:rPr>
              <w:t>Reclassification of stock-based awards from equity to accrued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gain on marketable debt securities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11,909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(19,385)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32,807,519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725,784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(458,806)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267,115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25,495,425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552,762</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(341,787)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210,653</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36,804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w w:val="99"/>
              </w:rPr>
              <w:t>Issuance of shares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63,679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RSUs for cash</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gain on marketable debt securities, net of tax</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8,607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(45,555)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2019</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25,646,783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562,210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(387,342)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174,707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clinical-stage biotechnology company advancing two innovative programs: a novel class of oral therapeutic candidates targeting chronic hepatitis B virus (HBV) infection and a novel class of oral live microbial biotherapeutic candidates, which are designed to treat disorders associated with the microbiome. The Company operates in one segment and is headquartered in South San Francisco, California, with operations in California, Connecticut and China.</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HBV Cure program is pursuing multiple drug candidates that inhibit the HBV lifecycle and block the generation of covalently closed circular DNA (cccDNA), with the aim of increasing the current low cure rates for patients with chronic HBV infection. Assembly has discovered several novel core inhibitors, which are small molecules that directly target and allosterically modify the HBV core protein.</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Microbiome program is centered on a fully integrated platform that includes a biological function-based strain isolation, identification, characterization and selection process, methods for strain purification and growth under conditions compliant with current Good Manufacturing Practice (cGMP) requirements. That platform is complemented by a licensed patented delivery system that the Company calls GEMICEL®, which is designed to allow for targeted oral delivery of live biologic and conventional therapies to the lower gastrointestinal (GI) tract. Using the Company’s microbiome platform, the Company is exploring product candidates for multiple disease indications, including ulcerative colitis (UC), Crohn’s disease and irritable bowel syndrome (IBS) in connection with its Research, Development, Collaboration and License Agreement (the Allergan Collaboration Agreement) with Allergan Pharmaceuticals International Limited (Allergan), which was acquired by AbbVie Inc. (AbbVie) in May 2020. In June 2020, AbbVie made a strategic portfolio decision to terminate the Allergan Collaboration Agreement effective on October 10, 2020 (see Note 8). Assembly is also exploring the microbiome in connection with immune-mediated and metabolic disorders and oncology.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proceeds from the exercise of warrants and stock options, issuance of debt and an upfront payment related to the Allergan Collaboration Agreement.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12 months following the date that these unaudited condensed consolidated interim financial statements are issued. If the Company cannot generate significant cash from its operations, it intends to obtain any additional funding it requires through strategic relationships, public or private equity or debt financings, grants or other arrangements (see Note 6 for recent sales of common stock). The Company cannot assure such funding will be available on reasonable terms, if at all. Market volatility resulting from the global novel coronavirus disease (COVID-19) pandemic or other factors could also adversely impact the Company’s ability to access capital when and as needed.</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generate sufficient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right="4040"/>
        <w:spacing w:after="0" w:line="464" w:lineRule="auto"/>
        <w:rPr>
          <w:sz w:val="20"/>
          <w:szCs w:val="20"/>
          <w:color w:val="auto"/>
        </w:rPr>
      </w:pPr>
      <w:r>
        <w:rPr>
          <w:rFonts w:ascii="Arial" w:cs="Arial" w:eastAsia="Arial" w:hAnsi="Arial"/>
          <w:sz w:val="18"/>
          <w:szCs w:val="18"/>
          <w:b w:val="1"/>
          <w:bCs w:val="1"/>
          <w:color w:val="auto"/>
        </w:rPr>
        <w:t>Note 2 - Summary of Significant Accounting Policies and Recent Accounting Pronouncements Basis of Presentation</w:t>
      </w:r>
    </w:p>
    <w:p>
      <w:pPr>
        <w:jc w:val="both"/>
        <w:ind w:right="20"/>
        <w:spacing w:after="0" w:line="277" w:lineRule="auto"/>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subsidiaries. All intercompany balances and transactions have been eliminated in consolidation.</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In management’s opinion, the unaudited interim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2019, which are contained in the Company’s Annual Report on Form 10-K as filed with the SEC on March 4, 2020. The results for the three and six months ended June 30, 2020 are not necessarily indicative of results to be expected for the entire year ending December 31, 2020 or future operating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Significant estimates inherent in the preparation of the accompanying unaudited condensed consolidated financial statements include revenue recognition, clinical trial accruals, recoverability and useful lives (indefinite or finite) of intangible assets, assessment of impairment of goodwill, provisions for income taxes, amounts receivable and recognized as revenue under the Allergan Collaboration Agreement, measurement of operating lease liabilities, and the fair value of stock options, stock appreciation rights, and restricted stock units (RSUs) granted to employees, directors and consultants.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materially from those estimates and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the COVID-19 outbreak a pandemic. To date, the Company’s operations have not been significantly impacted by the COVID-19 pandemic. However, the Company cannot at this time predict the specific extent, duration, or full impact the COVID-19 pandemic will have on its business, operations, strategy, prospects and financial condition and results. The impact of the COVID-19 pandemic on the financial performance of the Company will depend on future developments, including the duration and spread of the outbreak and related governmental advisories and restrictions. These developments and the impact of the COVID-19 pandemic on the financial markets and the overall economy are highly uncertain. If the financial markets and/or the overall economy are impacted for an extended period, the Company’s results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FFCR Act, CARES Act and A.B. 85 did not have a material impact on the Company’s condensed consolidated financial statements as of June 30, 2020; however, the Company continues to examine the impacts the FFCR Act, CARES Act and A.B. 85 may have on its business, results of operations, financial condition and liquidity.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excludes dilution and is computed by dividing net income (loss) by the weighted average number of common shares outstanding during the period. Diluted net income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Company sold 6,287,878 shares of common stock as well as pre-funded warrants to purchase up to 2,424,242 shares of common stock (see Note 6). The pre-funded warrants are exercisable for shares of common stock at a price of $0.001 per share. The shares of common stock into which the pre-funded warrants may be exercised are considered outstanding for the purposes of computing earnings per share because the shares may be issued for little or no consideration, are fully vested, and are exercisable after the original issuance date.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income (loss) per common share computations is as follows (in thousands, except per share amounts):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5260" w:type="dxa"/>
            <w:vAlign w:val="bottom"/>
          </w:tcPr>
          <w:p>
            <w:pPr>
              <w:spacing w:after="0"/>
              <w:rPr>
                <w:sz w:val="13"/>
                <w:szCs w:val="13"/>
                <w:color w:val="auto"/>
              </w:rPr>
            </w:pPr>
          </w:p>
        </w:tc>
        <w:tc>
          <w:tcPr>
            <w:tcW w:w="2480" w:type="dxa"/>
            <w:vAlign w:val="bottom"/>
            <w:gridSpan w:val="4"/>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2360" w:type="dxa"/>
            <w:vAlign w:val="bottom"/>
            <w:gridSpan w:val="3"/>
          </w:tcPr>
          <w:p>
            <w:pPr>
              <w:jc w:val="right"/>
              <w:ind w:right="414"/>
              <w:spacing w:after="0"/>
              <w:rPr>
                <w:sz w:val="20"/>
                <w:szCs w:val="20"/>
                <w:color w:val="auto"/>
              </w:rPr>
            </w:pPr>
            <w:r>
              <w:rPr>
                <w:rFonts w:ascii="Arial" w:cs="Arial" w:eastAsia="Arial" w:hAnsi="Arial"/>
                <w:sz w:val="13"/>
                <w:szCs w:val="13"/>
                <w:b w:val="1"/>
                <w:bCs w:val="1"/>
                <w:color w:val="auto"/>
              </w:rPr>
              <w:t>Six Months Ended June 30,</w:t>
            </w:r>
          </w:p>
        </w:tc>
      </w:tr>
      <w:tr>
        <w:trPr>
          <w:trHeight w:val="142"/>
        </w:trPr>
        <w:tc>
          <w:tcPr>
            <w:tcW w:w="526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70"/>
        </w:trPr>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7,270</w:t>
            </w:r>
          </w:p>
        </w:tc>
        <w:tc>
          <w:tcPr>
            <w:tcW w:w="12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(18,503)</w:t>
            </w:r>
          </w:p>
        </w:tc>
        <w:tc>
          <w:tcPr>
            <w:tcW w:w="14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(19,385)</w:t>
            </w:r>
          </w:p>
        </w:tc>
        <w:tc>
          <w:tcPr>
            <w:tcW w:w="12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(45,555)</w:t>
            </w: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Shares used in per share calculation - basic</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35,307,669</w:t>
            </w:r>
          </w:p>
        </w:tc>
        <w:tc>
          <w:tcPr>
            <w:tcW w:w="1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25,740,500</w:t>
            </w:r>
          </w:p>
        </w:tc>
        <w:tc>
          <w:tcPr>
            <w:tcW w:w="14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35,229,570</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25,690,617</w:t>
            </w:r>
          </w:p>
        </w:tc>
      </w:tr>
      <w:tr>
        <w:trPr>
          <w:trHeight w:val="229"/>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effect of securities</w:t>
            </w: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1,983,805</w:t>
            </w:r>
          </w:p>
        </w:tc>
        <w:tc>
          <w:tcPr>
            <w:tcW w:w="1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63"/>
        </w:trPr>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used in per share calculation - diluted</w:t>
            </w: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37,291,474</w:t>
            </w:r>
          </w:p>
        </w:tc>
        <w:tc>
          <w:tcPr>
            <w:tcW w:w="12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25,740,500</w:t>
            </w:r>
          </w:p>
        </w:tc>
        <w:tc>
          <w:tcPr>
            <w:tcW w:w="14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35,229,570</w:t>
            </w:r>
          </w:p>
        </w:tc>
        <w:tc>
          <w:tcPr>
            <w:tcW w:w="12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25,690,617</w:t>
            </w: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Basic</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Securities excluded from the computation of diluted income (loss) per share because including them would have been antidilutive are as follows:</w:t>
      </w: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5260" w:type="dxa"/>
            <w:vAlign w:val="bottom"/>
          </w:tcPr>
          <w:p>
            <w:pPr>
              <w:spacing w:after="0"/>
              <w:rPr>
                <w:sz w:val="13"/>
                <w:szCs w:val="13"/>
                <w:color w:val="auto"/>
              </w:rPr>
            </w:pPr>
          </w:p>
        </w:tc>
        <w:tc>
          <w:tcPr>
            <w:tcW w:w="2480" w:type="dxa"/>
            <w:vAlign w:val="bottom"/>
            <w:gridSpan w:val="4"/>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2360" w:type="dxa"/>
            <w:vAlign w:val="bottom"/>
            <w:gridSpan w:val="3"/>
          </w:tcPr>
          <w:p>
            <w:pPr>
              <w:jc w:val="right"/>
              <w:ind w:right="415"/>
              <w:spacing w:after="0"/>
              <w:rPr>
                <w:sz w:val="20"/>
                <w:szCs w:val="20"/>
                <w:color w:val="auto"/>
              </w:rPr>
            </w:pPr>
            <w:r>
              <w:rPr>
                <w:rFonts w:ascii="Arial" w:cs="Arial" w:eastAsia="Arial" w:hAnsi="Arial"/>
                <w:sz w:val="13"/>
                <w:szCs w:val="13"/>
                <w:b w:val="1"/>
                <w:bCs w:val="1"/>
                <w:color w:val="auto"/>
              </w:rPr>
              <w:t>Six Months Ended June 30,</w:t>
            </w:r>
          </w:p>
        </w:tc>
      </w:tr>
      <w:tr>
        <w:trPr>
          <w:trHeight w:val="142"/>
        </w:trPr>
        <w:tc>
          <w:tcPr>
            <w:tcW w:w="526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15,296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15,296</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15,296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15,296</w:t>
            </w: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3,521,778</w:t>
            </w:r>
          </w:p>
        </w:tc>
        <w:tc>
          <w:tcPr>
            <w:tcW w:w="1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5,203,935</w:t>
            </w:r>
          </w:p>
        </w:tc>
        <w:tc>
          <w:tcPr>
            <w:tcW w:w="14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6,652,076</w:t>
            </w:r>
          </w:p>
        </w:tc>
        <w:tc>
          <w:tcPr>
            <w:tcW w:w="1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5,203,935</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purchase under our ESPP</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5,976</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5,976</w:t>
            </w: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41,762</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489,857</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978,879</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489,857</w:t>
            </w: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3,587,827</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5,715,064</w:t>
            </w: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7,655,242</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5,715,064</w:t>
            </w:r>
          </w:p>
        </w:tc>
      </w:tr>
      <w:tr>
        <w:trPr>
          <w:trHeight w:val="20"/>
        </w:trPr>
        <w:tc>
          <w:tcPr>
            <w:tcW w:w="5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145,000 performance-based RSUs granted by the Company were excluded from the table above because they are subject to contingencies that were not achieved as of this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2017, the Financial Accounting Standards Board (FASB) issued ASU 2017-04, </w:t>
      </w:r>
      <w:r>
        <w:rPr>
          <w:rFonts w:ascii="Arial" w:cs="Arial" w:eastAsia="Arial" w:hAnsi="Arial"/>
          <w:sz w:val="17"/>
          <w:szCs w:val="17"/>
          <w:i w:val="1"/>
          <w:iCs w:val="1"/>
          <w:color w:val="auto"/>
        </w:rPr>
        <w:t>Intangibles-Goodwill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Test for Goodwill Impairment </w:t>
      </w:r>
      <w:r>
        <w:rPr>
          <w:rFonts w:ascii="Arial" w:cs="Arial" w:eastAsia="Arial" w:hAnsi="Arial"/>
          <w:sz w:val="17"/>
          <w:szCs w:val="17"/>
          <w:color w:val="auto"/>
        </w:rPr>
        <w:t>(ASU 2017-04), which simplifies how an entity is required to test goodwill for impairment by eliminating Step 2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goodwill impairment test. Step 2 measures a goodwill impairment loss by comparing the implied fair value of a reporting unit's goodwill with the carrying amount of that goodwill. Under the amendments in ASU 2017-04, an entity should recognize an impairment charge for the amount by which the carrying amount of a reporting unit exceeds its fair value; however, the loss recognized should not exceed the total amount of goodwill allocated to that reporting unit. The updated guidance requires a prospective adoption. In November 2019, the FASB issued ASU 2019-10,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Derivatives and Hedging (Topic 815), and Leases (Topic 842): Effective Dates </w:t>
      </w:r>
      <w:r>
        <w:rPr>
          <w:rFonts w:ascii="Arial" w:cs="Arial" w:eastAsia="Arial" w:hAnsi="Arial"/>
          <w:sz w:val="17"/>
          <w:szCs w:val="17"/>
          <w:color w:val="auto"/>
        </w:rPr>
        <w:t>(ASU 2019-10), which deferred the effective date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for all entities except SEC filers that are not smaller reporting companies to fiscal years beginning after December 15, 2022, including interim periods within those fiscal years. Early adoption is permitted for goodwill impairment tests performed on testing dates after January 1, 2017. The Company early adopted ASU 2017-04 effective January 1, 2020. The adoption of this standard had no material impact on the Company’s condensed consolidated financial statements.</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January 1, 2020, the Company adopted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which makes a number of changes meant to add, modify or remove certain disclosure requirements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movement amongst or hierarchy associated with Level 1, Level 2 and Level 3 fair value measurements. The adoption of this standard had no material impact on the Company’s condensed consolidated financial statements and related disclosures.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2020, the Company adopted ASU 2018-18, </w:t>
      </w:r>
      <w:r>
        <w:rPr>
          <w:rFonts w:ascii="Arial" w:cs="Arial" w:eastAsia="Arial" w:hAnsi="Arial"/>
          <w:sz w:val="17"/>
          <w:szCs w:val="17"/>
          <w:i w:val="1"/>
          <w:iCs w:val="1"/>
          <w:color w:val="auto"/>
        </w:rPr>
        <w:t>Collaborative Arrangements (Topic 808): Clarifying the Interaction between Topic 808 and</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w:t>
      </w:r>
      <w:r>
        <w:rPr>
          <w:rFonts w:ascii="Arial" w:cs="Arial" w:eastAsia="Arial" w:hAnsi="Arial"/>
          <w:sz w:val="17"/>
          <w:szCs w:val="17"/>
          <w:color w:val="auto"/>
        </w:rPr>
        <w:t>, which clarifies that certain transactions between collaborative arrangement participants should be accounted for as revenue under Topic 606</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Amendments in the standard should be applied retrospectively to the date of initial application of Topic 606, but entities may elect to apply the amendments in Topic 808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adoption of this standard had no impact on the Company’s condensed consolidated financial statements and related disclosures.</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which eliminates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standard is effective for fiscal years beginning after December 15, 2020 and interim periods within those fiscal years. Early adoption is permitted in an interim or annual period. Entities that elect to early adopt the amendments in an interim period should reflect any adjustments as of the beginning of the annual period that includes that interim period. Additionally, entities that elect early adoption must adopt all the amendments in the same period. Entities will apply the guidance prospectively, except for certain amendments. The Company early adopted ASU 2019-12 effective January 1, 2020. The adoption of this standard did not have a material impact on the Company’s condensed consolidated financial statements and related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(ASU 2016-13),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May and November 2019, the FASB issued additional amendments to the new guidance related to transition and clarification. In November 2019, the FASB issued ASU 2019-10, which deferred the effective date of this standard for all entities except SEC filers that are not smaller reporting companies to fiscal years beginning after December 15, 2022, including interim periods within those fiscal years. Early adoption is permitted. The Company is evaluating this new accounting standard but currently does not expect the adoption of this standard to have a material impact on its condensed consolidated financial statements and related disclosures.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94,524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94,524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94,524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94,524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32,958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33,119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22,183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22,255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36,080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36,256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38,375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38,375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129,596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130,005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224,120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224,529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Gain </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 xml:space="preserve">Loss </w:t>
            </w:r>
            <w:r>
              <w:rPr>
                <w:rFonts w:ascii="Arial" w:cs="Arial" w:eastAsia="Arial" w:hAnsi="Arial"/>
                <w:sz w:val="12"/>
                <w:szCs w:val="12"/>
                <w:b w:val="1"/>
                <w:bCs w:val="1"/>
                <w:color w:val="auto"/>
                <w:w w:val="89"/>
              </w:rPr>
              <w:t>(1)</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33,095</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42,579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42,578</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72,452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72,486</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44,692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44,714</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76,086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76,086</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227,238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227,311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269,817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269,889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unrealized gain (loss) is pre-tax.</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June 30, 2020 is less than one year. There were no long-term marketable securities held by the Company as of June 30, 2020.</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gains and losses for the three and six months ended June 30, 2020 and 2019 were not significant. None of the Company’s investments have been in a continuous unrealized loss position for more than 12 months as of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94,524</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94,524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94,524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94,524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33,119</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33,119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22,255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22,255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36,256</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36,256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38,375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38,375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130,005</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130,005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94,524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130,005</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224,529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33,095</w:t>
            </w: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4,999</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4,484</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9,483</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42,578</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72,486</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72,486</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34,025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34,025</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44,714</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44,714</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76,086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76,086</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227,311</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227,311</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236,794</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269,889</w:t>
            </w: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estimates the fair value of its U.S. and foreign corporate debt securities, asset-backed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3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Lab equipment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 to 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247</w:t>
            </w: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Office equipment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699</w:t>
            </w: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Leasehold improvement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 to 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2,084</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3,030</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5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Construction in progress</w:t>
            </w:r>
          </w:p>
        </w:tc>
        <w:tc>
          <w:tcPr>
            <w:tcW w:w="11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1,830</w:t>
            </w:r>
          </w:p>
        </w:tc>
      </w:tr>
      <w:tr>
        <w:trPr>
          <w:trHeight w:val="20"/>
        </w:trPr>
        <w:tc>
          <w:tcPr>
            <w:tcW w:w="5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expense was $0.1 million and $0.2 million for the three and six months ended June 30, 2020, respectively and $0.1 million and $0.3 million for the three and six months ended June 30, 2019, respectively and was recorded in both research and development expense and general and administrative expense in the unaudited condensed consolidated statements of operations and comprehensive loss. Primarily all of property and equipment of the Company is located in the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10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5,312</w:t>
            </w: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restructuring charges</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2,094</w:t>
            </w:r>
          </w:p>
        </w:tc>
      </w:tr>
      <w:tr>
        <w:trPr>
          <w:trHeight w:val="229"/>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professional fees and other</w:t>
            </w:r>
          </w:p>
        </w:tc>
        <w:tc>
          <w:tcPr>
            <w:tcW w:w="1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880</w:t>
            </w: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8,286</w:t>
            </w:r>
          </w:p>
        </w:tc>
      </w:tr>
      <w:tr>
        <w:trPr>
          <w:trHeight w:val="20"/>
        </w:trPr>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Accrued restructuring charges relate to the Company’s decision to relocate its headquarters to South San Francisco, California as approved by the Board of Directors in November 2019 and effective January 1, 2020. The Company accrued restructuring charges of $2.1 million in 2019 related to one-time severance payments and other employee-related costs associated with the relocation plan. This represents the total amount expected to be incurred in connection with the relocation and is expected to be fully paid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is authorized to issue 5,000,000 shares of preferred stock as of June 30, 2020 and December 31, 2019, respectively. As of June 30, 2020 and December 31, 2019, no shares of preferred stock were issued and outstanding. The Company is authorized to issue 100,000,000 shares of common stock as of June 30, 2020 and December 31, 2019,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 and Pre-Funded Warrants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2017, the Company filed a registration statement on Form S-3 with the SEC using a “shelf” registration statement, file No. 333-222366, which became effective January 10, 2018 (the Registration Statement). Under this shelf registration process, the Company may from time to time sell any combination of the securities described in the Registration Statement in one or more offerings up to an aggregate offering price of $250.0 million. In connection with the filing of this Registration Statement, the Company entered into a sales agreement under which the Company may offer and sell shares of its common stock having an aggregate offering price of up to $75.0 million through “at the market offerings” (ATM). As of June 30, 2020, no shares have been sold under the ATM program and $21.4 million remains available for sale under this Registration Statement.</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2019, the Company sold to various investors an aggregate of 6,287,878 shares of common stock at a public offering price of $16.50 per share, which included the exercise in full by the underwriters of their option to purchase 1,136,363 additional shares of common stock, and pre-funded warrants to purchase 2,424,242 shares of common stock at a public offering price of $16.499 per warrant. The Company received aggregate net proceeds of $134.7 million from the offering and the option exercise, after deducting underwriting discounts and commissions and offering expenses payable by the Company. The pre-funded warrants became immediately exercisable upon issuance at an exercise price of $0.001 per share, but under their terms, the outstanding pre-funded warrants to purchase shares of the Company’s common stock generally may not be exercised if the holder’s ownership of the Company’s common stock would exceed 19.99% following such exercise. The exercise price and number of shares of common stock issuable upon the exercise of the pre-funded warrants (Warrant Shares) are subject to adjustment in the event of any stock dividends and splits, reverse stock split, recapitalization, reorganization or similar transaction, as described in the pre-funded warrant agreements. Under certain circumstances, the pre-funded warrants may be exercisable on a “cashless” basis. Both the pre-funded warrants and the Warrant Shares are registered securities.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pre-funded warrants were classified as a component of permanent stockholders’ equity within additional paid-in-capital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pre-funded warrants do not provide any guarantee of value or return. The Company valued the pre-funded warrants at issuance, concluding their sales price approximated their fair value, and allocated net proceeds from the sale proportionately to the common stock and pre-funded warrants of which $37.5 million was allocated to the pre-funded warrants and recorded as a component of additional paid-in-capital.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and December 31, 2019 the following warrants to purchase shares of the Company’s common stock were issued and outstanding:</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280" w:type="dxa"/>
            <w:vAlign w:val="bottom"/>
          </w:tcPr>
          <w:p>
            <w:pPr>
              <w:jc w:val="center"/>
              <w:ind w:right="39"/>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ind w:left="2600"/>
              <w:spacing w:after="0"/>
              <w:rPr>
                <w:sz w:val="20"/>
                <w:szCs w:val="20"/>
                <w:color w:val="auto"/>
              </w:rPr>
            </w:pPr>
            <w:r>
              <w:rPr>
                <w:rFonts w:ascii="Arial" w:cs="Arial" w:eastAsia="Arial" w:hAnsi="Arial"/>
                <w:sz w:val="14"/>
                <w:szCs w:val="14"/>
                <w:b w:val="1"/>
                <w:bCs w:val="1"/>
                <w:color w:val="auto"/>
              </w:rPr>
              <w:t>Issue date</w:t>
            </w: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per Share</w:t>
            </w:r>
          </w:p>
        </w:tc>
        <w:tc>
          <w:tcPr>
            <w:tcW w:w="12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209"/>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September 10, 2010</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September 10,</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15,296</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December 16, 2019</w:t>
            </w:r>
          </w:p>
        </w:tc>
        <w:tc>
          <w:tcPr>
            <w:tcW w:w="1280" w:type="dxa"/>
            <w:vAlign w:val="bottom"/>
            <w:tcBorders>
              <w:bottom w:val="single" w:sz="8" w:color="CCECFF"/>
            </w:tcBorders>
          </w:tcPr>
          <w:p>
            <w:pPr>
              <w:jc w:val="center"/>
              <w:spacing w:after="0"/>
              <w:rPr>
                <w:sz w:val="20"/>
                <w:szCs w:val="20"/>
                <w:color w:val="auto"/>
              </w:rPr>
            </w:pPr>
            <w:r>
              <w:rPr>
                <w:rFonts w:ascii="Arial" w:cs="Arial" w:eastAsia="Arial" w:hAnsi="Arial"/>
                <w:sz w:val="18"/>
                <w:szCs w:val="18"/>
                <w:color w:val="auto"/>
                <w:w w:val="92"/>
              </w:rPr>
              <w:t>None</w:t>
            </w:r>
          </w:p>
        </w:tc>
        <w:tc>
          <w:tcPr>
            <w:tcW w:w="26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CFF"/>
            </w:tcBorders>
          </w:tcPr>
          <w:p>
            <w:pPr>
              <w:jc w:val="right"/>
              <w:ind w:right="39"/>
              <w:spacing w:after="0"/>
              <w:rPr>
                <w:sz w:val="20"/>
                <w:szCs w:val="20"/>
                <w:color w:val="auto"/>
              </w:rPr>
            </w:pPr>
            <w:r>
              <w:rPr>
                <w:rFonts w:ascii="Arial" w:cs="Arial" w:eastAsia="Arial" w:hAnsi="Arial"/>
                <w:sz w:val="18"/>
                <w:szCs w:val="18"/>
                <w:color w:val="auto"/>
              </w:rPr>
              <w:t>0.001</w:t>
            </w:r>
          </w:p>
        </w:tc>
        <w:tc>
          <w:tcPr>
            <w:tcW w:w="140" w:type="dxa"/>
            <w:vAlign w:val="bottom"/>
            <w:tcBorders>
              <w:bottom w:val="single" w:sz="8" w:color="CCECFF"/>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2,424,242</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18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2,439,538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warrants exercised during the three and six months ended June 30, 2020 or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Plans and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the Company’s stockholders approved (1) the Assembly Biosciences, Inc. 2018 Stock Incentive Plan (the 2018 Plan) pursuant to which the Company reserved 1,900,000 shares of its common stock for issuance in connection with equity incentive awards and (2) the Assembly Biosciences Inc. Employee Stock Purchase Plan (the 2018 ESPP) pursuant to which the Company reserved 400,000 shares of its common stock for issuance in connection with purchases by employees pursuant to this plan.</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May 2019, the Company’s stockholders approved an amendment to the 2018 Plan that increased the aggregate number of shares of common stock reserved under the 2018 Plan to 3,000,000.</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the Company’s stockholders approved an amendment to the 2018 Plan that increased the aggregate number of shares of common stock reserved under the 2018 Plan to 4,600,000.</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the Company had awards outstanding under the following shareholder-approved plans: 2010 Equity Incentive Plan (the 2010 Plan),</w:t>
      </w:r>
    </w:p>
    <w:p>
      <w:pPr>
        <w:spacing w:after="0" w:line="4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which has been frozen; the Amended and Restated 2014 Stock Incentive Plan (the 2014 Plan); and the 2018 Plan. Shares of common stock underlying awards that are forfeited under the 2010 Plan on or after June 2, 2016 will become available for issuance under the 2014 Plan. As of June 30, 2020, the Company also had awards outstanding under the Assembly Biosciences, Inc. 2017 Inducement Award Plan (the 2017 Plan), the Assembly Biosciences, Inc. 2019 Inducement Award Plan (the 2019 Plan) and the Assembly Biosciences, Inc. 2020 Inducement Award Plan (the 2020 Plan).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and vested RSUs. The Company also issues new shares of common stock in connection with purchases of shares of common stock by eligible employees under the Company’s 2018 ESPP.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six months ended June 30, 2020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 Share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5,613,353</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15.90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1,275,180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(91,713)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(144,744)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color w:val="auto"/>
              </w:rPr>
              <w:t>25.57</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June 30, 2020</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6,652,076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63,186</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Options vested and exercisable as of June 30, 2020</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3,440,092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39,923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options granted was $10.52 and $12.68 during the six months ended June 30,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during the six months ended June 30, 2020 and 2019 was $1.0 million and $0.7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related information for the six months ended June 30, 2020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4"/>
              </w:rPr>
              <w:t>Value Per RSU</w:t>
            </w:r>
          </w:p>
        </w:tc>
        <w:tc>
          <w:tcPr>
            <w:tcW w:w="0" w:type="dxa"/>
            <w:vAlign w:val="bottom"/>
          </w:tcPr>
          <w:p>
            <w:pPr>
              <w:spacing w:after="0"/>
              <w:rPr>
                <w:sz w:val="1"/>
                <w:szCs w:val="1"/>
                <w:color w:val="auto"/>
              </w:rPr>
            </w:pPr>
          </w:p>
        </w:tc>
      </w:tr>
      <w:tr>
        <w:trPr>
          <w:trHeight w:val="171"/>
        </w:trPr>
        <w:tc>
          <w:tcPr>
            <w:tcW w:w="6780" w:type="dxa"/>
            <w:vAlign w:val="bottom"/>
            <w:tcBorders>
              <w:bottom w:val="single" w:sz="8" w:color="CCECFF"/>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of RSUs</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at Grant Price</w:t>
            </w:r>
          </w:p>
        </w:tc>
        <w:tc>
          <w:tcPr>
            <w:tcW w:w="0" w:type="dxa"/>
            <w:vAlign w:val="bottom"/>
          </w:tcPr>
          <w:p>
            <w:pPr>
              <w:spacing w:after="0"/>
              <w:rPr>
                <w:sz w:val="1"/>
                <w:szCs w:val="1"/>
                <w:color w:val="auto"/>
              </w:rPr>
            </w:pPr>
          </w:p>
        </w:tc>
      </w:tr>
      <w:tr>
        <w:trPr>
          <w:trHeight w:val="223"/>
        </w:trPr>
        <w:tc>
          <w:tcPr>
            <w:tcW w:w="6780" w:type="dxa"/>
            <w:vAlign w:val="bottom"/>
            <w:shd w:val="clear" w:color="auto" w:fill="CCECFF"/>
          </w:tcPr>
          <w:p>
            <w:pPr>
              <w:spacing w:after="0"/>
              <w:rPr>
                <w:sz w:val="20"/>
                <w:szCs w:val="20"/>
                <w:color w:val="auto"/>
              </w:rPr>
            </w:pPr>
            <w:r>
              <w:rPr>
                <w:rFonts w:ascii="Arial" w:cs="Arial" w:eastAsia="Arial" w:hAnsi="Arial"/>
                <w:sz w:val="18"/>
                <w:szCs w:val="18"/>
                <w:color w:val="auto"/>
              </w:rPr>
              <w:t>Nonvested as of December 31, 2019</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758,718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9"/>
              <w:spacing w:after="0"/>
              <w:rPr>
                <w:sz w:val="20"/>
                <w:szCs w:val="20"/>
                <w:color w:val="auto"/>
              </w:rPr>
            </w:pPr>
            <w:r>
              <w:rPr>
                <w:rFonts w:ascii="Arial" w:cs="Arial" w:eastAsia="Arial" w:hAnsi="Arial"/>
                <w:sz w:val="18"/>
                <w:szCs w:val="18"/>
                <w:color w:val="auto"/>
              </w:rPr>
              <w:t>531,164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(99,224)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(54,279)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as of June 30, 2020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1,136,379</w:t>
            </w: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81"/>
              </w:rPr>
              <w:t>(1)</w:t>
            </w: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77"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157,500 RSUs that have vested but are subject to deferred settlement, which have a weighted average remaining contractual term of 1.7 years.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fair value of RSUs vested and settled during the six months ended June 30, 2020 and 2019 was $3.1 million and $2.9 million, respectively. The total intrinsic value of RSUs vested and settled during the six months ended June 30, 2020 and 2019 was $1.6 million and $1.3 million, respectively.</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2020, RSUs outstanding include 45,000 RSUs granted in December 2017 and 100,000 RSUs granted in September 2019 to executives of the Company with performance-based conditions vesting conditions. As of June 30, 2020, the performance condition for the 45,000 RSUs granted in December 2017 was deemed probable of being met and was subsequently achieved in July 2020. The Company recognized $0.7 million as a cumulative catch-up adjustment of stock-based compensation expense for this award for the three and six months ended June 30, 2020. The remaining 100,000 awards with an aggregate fair value of $1.2 million vest upon performance conditions not yet deemed probable and accordingly no stock-based compensation expense has been recognized as of June 30,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98" w:lineRule="exact"/>
        <w:rPr>
          <w:sz w:val="20"/>
          <w:szCs w:val="20"/>
          <w:color w:val="auto"/>
        </w:rPr>
      </w:pPr>
    </w:p>
    <w:p>
      <w:pPr>
        <w:ind w:right="60"/>
        <w:spacing w:after="0" w:line="453" w:lineRule="auto"/>
        <w:rPr>
          <w:sz w:val="20"/>
          <w:szCs w:val="20"/>
          <w:color w:val="auto"/>
        </w:rPr>
      </w:pPr>
      <w:r>
        <w:rPr>
          <w:rFonts w:ascii="Arial" w:cs="Arial" w:eastAsia="Arial" w:hAnsi="Arial"/>
          <w:sz w:val="18"/>
          <w:szCs w:val="18"/>
          <w:color w:val="auto"/>
        </w:rPr>
        <w:t xml:space="preserve">Employees purchased 42,266 and 36,804 shares of common stock under the 2018 ESPP during the six months ended June 30, 2020 and 2019, respectively. </w:t>
      </w:r>
      <w:r>
        <w:rPr>
          <w:rFonts w:ascii="Arial" w:cs="Arial" w:eastAsia="Arial" w:hAnsi="Arial"/>
          <w:sz w:val="18"/>
          <w:szCs w:val="18"/>
          <w:b w:val="1"/>
          <w:bCs w:val="1"/>
          <w:color w:val="auto"/>
        </w:rPr>
        <w:t>Valuation Assumptions</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5220" w:type="dxa"/>
            <w:vAlign w:val="bottom"/>
          </w:tcPr>
          <w:p>
            <w:pPr>
              <w:spacing w:after="0"/>
              <w:rPr>
                <w:sz w:val="13"/>
                <w:szCs w:val="13"/>
                <w:color w:val="auto"/>
              </w:rPr>
            </w:pPr>
          </w:p>
        </w:tc>
        <w:tc>
          <w:tcPr>
            <w:tcW w:w="2480" w:type="dxa"/>
            <w:vAlign w:val="bottom"/>
            <w:gridSpan w:val="6"/>
          </w:tcPr>
          <w:p>
            <w:pPr>
              <w:ind w:left="320"/>
              <w:spacing w:after="0"/>
              <w:rPr>
                <w:sz w:val="20"/>
                <w:szCs w:val="20"/>
                <w:color w:val="auto"/>
              </w:rPr>
            </w:pPr>
            <w:r>
              <w:rPr>
                <w:rFonts w:ascii="Arial" w:cs="Arial" w:eastAsia="Arial" w:hAnsi="Arial"/>
                <w:sz w:val="13"/>
                <w:szCs w:val="13"/>
                <w:b w:val="1"/>
                <w:bCs w:val="1"/>
                <w:color w:val="auto"/>
              </w:rPr>
              <w:t>Three Months Ended June 30,</w:t>
            </w:r>
          </w:p>
        </w:tc>
        <w:tc>
          <w:tcPr>
            <w:tcW w:w="2400" w:type="dxa"/>
            <w:vAlign w:val="bottom"/>
            <w:gridSpan w:val="5"/>
          </w:tcPr>
          <w:p>
            <w:pPr>
              <w:ind w:left="400"/>
              <w:spacing w:after="0"/>
              <w:rPr>
                <w:sz w:val="20"/>
                <w:szCs w:val="20"/>
                <w:color w:val="auto"/>
              </w:rPr>
            </w:pPr>
            <w:r>
              <w:rPr>
                <w:rFonts w:ascii="Arial" w:cs="Arial" w:eastAsia="Arial" w:hAnsi="Arial"/>
                <w:sz w:val="13"/>
                <w:szCs w:val="13"/>
                <w:b w:val="1"/>
                <w:bCs w:val="1"/>
                <w:color w:val="auto"/>
              </w:rPr>
              <w:t>Six Months Ended June 30,</w:t>
            </w:r>
          </w:p>
        </w:tc>
      </w:tr>
      <w:tr>
        <w:trPr>
          <w:trHeight w:val="142"/>
        </w:trPr>
        <w:tc>
          <w:tcPr>
            <w:tcW w:w="5220" w:type="dxa"/>
            <w:vAlign w:val="bottom"/>
            <w:tcBorders>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40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408"/>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40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448"/>
              <w:spacing w:after="0" w:line="142" w:lineRule="exact"/>
              <w:rPr>
                <w:sz w:val="20"/>
                <w:szCs w:val="20"/>
                <w:color w:val="auto"/>
              </w:rPr>
            </w:pPr>
            <w:r>
              <w:rPr>
                <w:rFonts w:ascii="Arial" w:cs="Arial" w:eastAsia="Arial" w:hAnsi="Arial"/>
                <w:sz w:val="13"/>
                <w:szCs w:val="13"/>
                <w:b w:val="1"/>
                <w:bCs w:val="1"/>
                <w:color w:val="auto"/>
              </w:rPr>
              <w:t>2019</w:t>
            </w:r>
          </w:p>
        </w:tc>
      </w:tr>
      <w:tr>
        <w:trPr>
          <w:trHeight w:val="156"/>
        </w:trPr>
        <w:tc>
          <w:tcPr>
            <w:tcW w:w="52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Exercise price</w:t>
            </w: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$14.57</w:t>
            </w:r>
          </w:p>
        </w:tc>
        <w:tc>
          <w:tcPr>
            <w:tcW w:w="6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 $20.52</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$15.22</w:t>
            </w:r>
          </w:p>
        </w:tc>
        <w:tc>
          <w:tcPr>
            <w:tcW w:w="6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 $57.33</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$14.45</w:t>
            </w:r>
          </w:p>
        </w:tc>
        <w:tc>
          <w:tcPr>
            <w:tcW w:w="6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 $20.52</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$15.22</w:t>
            </w:r>
          </w:p>
        </w:tc>
        <w:tc>
          <w:tcPr>
            <w:tcW w:w="68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 $57.33</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Expected volatility</w:t>
            </w:r>
          </w:p>
        </w:tc>
        <w:tc>
          <w:tcPr>
            <w:tcW w:w="460" w:type="dxa"/>
            <w:vAlign w:val="bottom"/>
          </w:tcPr>
          <w:p>
            <w:pPr>
              <w:jc w:val="right"/>
              <w:spacing w:after="0"/>
              <w:rPr>
                <w:sz w:val="20"/>
                <w:szCs w:val="20"/>
                <w:color w:val="auto"/>
              </w:rPr>
            </w:pPr>
            <w:r>
              <w:rPr>
                <w:rFonts w:ascii="Arial" w:cs="Arial" w:eastAsia="Arial" w:hAnsi="Arial"/>
                <w:sz w:val="14"/>
                <w:szCs w:val="14"/>
                <w:color w:val="auto"/>
                <w:w w:val="88"/>
              </w:rPr>
              <w:t>69.13%</w:t>
            </w:r>
          </w:p>
        </w:tc>
        <w:tc>
          <w:tcPr>
            <w:tcW w:w="660" w:type="dxa"/>
            <w:vAlign w:val="bottom"/>
          </w:tcPr>
          <w:p>
            <w:pPr>
              <w:ind w:left="20"/>
              <w:spacing w:after="0"/>
              <w:rPr>
                <w:sz w:val="20"/>
                <w:szCs w:val="20"/>
                <w:color w:val="auto"/>
              </w:rPr>
            </w:pPr>
            <w:r>
              <w:rPr>
                <w:rFonts w:ascii="Arial" w:cs="Arial" w:eastAsia="Arial" w:hAnsi="Arial"/>
                <w:sz w:val="14"/>
                <w:szCs w:val="14"/>
                <w:color w:val="auto"/>
              </w:rPr>
              <w:t>- 82.24%</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66.2%</w:t>
            </w:r>
          </w:p>
        </w:tc>
        <w:tc>
          <w:tcPr>
            <w:tcW w:w="660" w:type="dxa"/>
            <w:vAlign w:val="bottom"/>
          </w:tcPr>
          <w:p>
            <w:pPr>
              <w:ind w:left="20"/>
              <w:spacing w:after="0"/>
              <w:rPr>
                <w:sz w:val="20"/>
                <w:szCs w:val="20"/>
                <w:color w:val="auto"/>
              </w:rPr>
            </w:pPr>
            <w:r>
              <w:rPr>
                <w:rFonts w:ascii="Arial" w:cs="Arial" w:eastAsia="Arial" w:hAnsi="Arial"/>
                <w:sz w:val="14"/>
                <w:szCs w:val="14"/>
                <w:color w:val="auto"/>
              </w:rPr>
              <w:t>- 83.0%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66.38%</w:t>
            </w:r>
          </w:p>
        </w:tc>
        <w:tc>
          <w:tcPr>
            <w:tcW w:w="660" w:type="dxa"/>
            <w:vAlign w:val="bottom"/>
          </w:tcPr>
          <w:p>
            <w:pPr>
              <w:ind w:left="20"/>
              <w:spacing w:after="0"/>
              <w:rPr>
                <w:sz w:val="20"/>
                <w:szCs w:val="20"/>
                <w:color w:val="auto"/>
              </w:rPr>
            </w:pPr>
            <w:r>
              <w:rPr>
                <w:rFonts w:ascii="Arial" w:cs="Arial" w:eastAsia="Arial" w:hAnsi="Arial"/>
                <w:sz w:val="14"/>
                <w:szCs w:val="14"/>
                <w:color w:val="auto"/>
              </w:rPr>
              <w:t>- 82.24%</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66.2%</w:t>
            </w:r>
          </w:p>
        </w:tc>
        <w:tc>
          <w:tcPr>
            <w:tcW w:w="680" w:type="dxa"/>
            <w:vAlign w:val="bottom"/>
          </w:tcPr>
          <w:p>
            <w:pPr>
              <w:ind w:left="20"/>
              <w:spacing w:after="0"/>
              <w:rPr>
                <w:sz w:val="20"/>
                <w:szCs w:val="20"/>
                <w:color w:val="auto"/>
              </w:rPr>
            </w:pPr>
            <w:r>
              <w:rPr>
                <w:rFonts w:ascii="Arial" w:cs="Arial" w:eastAsia="Arial" w:hAnsi="Arial"/>
                <w:sz w:val="14"/>
                <w:szCs w:val="14"/>
                <w:color w:val="auto"/>
              </w:rPr>
              <w:t>- 83.2%</w:t>
            </w: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Risk-free rate</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0.36%</w:t>
            </w:r>
          </w:p>
        </w:tc>
        <w:tc>
          <w:tcPr>
            <w:tcW w:w="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- 0.60%</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- 2.47%</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0.36%</w:t>
            </w:r>
          </w:p>
        </w:tc>
        <w:tc>
          <w:tcPr>
            <w:tcW w:w="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- 1.44%</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- 2.65%</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Expected term (years)</w:t>
            </w:r>
          </w:p>
        </w:tc>
        <w:tc>
          <w:tcPr>
            <w:tcW w:w="460" w:type="dxa"/>
            <w:vAlign w:val="bottom"/>
          </w:tcPr>
          <w:p>
            <w:pPr>
              <w:jc w:val="right"/>
              <w:spacing w:after="0"/>
              <w:rPr>
                <w:sz w:val="20"/>
                <w:szCs w:val="20"/>
                <w:color w:val="auto"/>
              </w:rPr>
            </w:pPr>
            <w:r>
              <w:rPr>
                <w:rFonts w:ascii="Arial" w:cs="Arial" w:eastAsia="Arial" w:hAnsi="Arial"/>
                <w:sz w:val="14"/>
                <w:szCs w:val="14"/>
                <w:color w:val="auto"/>
              </w:rPr>
              <w:t>5.5</w:t>
            </w:r>
          </w:p>
        </w:tc>
        <w:tc>
          <w:tcPr>
            <w:tcW w:w="660" w:type="dxa"/>
            <w:vAlign w:val="bottom"/>
          </w:tcPr>
          <w:p>
            <w:pPr>
              <w:ind w:left="20"/>
              <w:spacing w:after="0"/>
              <w:rPr>
                <w:sz w:val="20"/>
                <w:szCs w:val="20"/>
                <w:color w:val="auto"/>
              </w:rPr>
            </w:pPr>
            <w:r>
              <w:rPr>
                <w:rFonts w:ascii="Arial" w:cs="Arial" w:eastAsia="Arial" w:hAnsi="Arial"/>
                <w:sz w:val="14"/>
                <w:szCs w:val="14"/>
                <w:color w:val="auto"/>
              </w:rPr>
              <w:t>- 7.5</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w:t>
            </w:r>
          </w:p>
        </w:tc>
        <w:tc>
          <w:tcPr>
            <w:tcW w:w="660" w:type="dxa"/>
            <w:vAlign w:val="bottom"/>
          </w:tcPr>
          <w:p>
            <w:pPr>
              <w:ind w:left="20"/>
              <w:spacing w:after="0"/>
              <w:rPr>
                <w:sz w:val="20"/>
                <w:szCs w:val="20"/>
                <w:color w:val="auto"/>
              </w:rPr>
            </w:pPr>
            <w:r>
              <w:rPr>
                <w:rFonts w:ascii="Arial" w:cs="Arial" w:eastAsia="Arial" w:hAnsi="Arial"/>
                <w:sz w:val="14"/>
                <w:szCs w:val="14"/>
                <w:color w:val="auto"/>
              </w:rPr>
              <w:t>- 9.0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w:t>
            </w:r>
          </w:p>
        </w:tc>
        <w:tc>
          <w:tcPr>
            <w:tcW w:w="660" w:type="dxa"/>
            <w:vAlign w:val="bottom"/>
          </w:tcPr>
          <w:p>
            <w:pPr>
              <w:ind w:left="20"/>
              <w:spacing w:after="0"/>
              <w:rPr>
                <w:sz w:val="20"/>
                <w:szCs w:val="20"/>
                <w:color w:val="auto"/>
              </w:rPr>
            </w:pPr>
            <w:r>
              <w:rPr>
                <w:rFonts w:ascii="Arial" w:cs="Arial" w:eastAsia="Arial" w:hAnsi="Arial"/>
                <w:sz w:val="14"/>
                <w:szCs w:val="14"/>
                <w:color w:val="auto"/>
              </w:rPr>
              <w:t>- 7.5</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w:t>
            </w:r>
          </w:p>
        </w:tc>
        <w:tc>
          <w:tcPr>
            <w:tcW w:w="680" w:type="dxa"/>
            <w:vAlign w:val="bottom"/>
          </w:tcPr>
          <w:p>
            <w:pPr>
              <w:ind w:left="20"/>
              <w:spacing w:after="0"/>
              <w:rPr>
                <w:sz w:val="20"/>
                <w:szCs w:val="20"/>
                <w:color w:val="auto"/>
              </w:rPr>
            </w:pPr>
            <w:r>
              <w:rPr>
                <w:rFonts w:ascii="Arial" w:cs="Arial" w:eastAsia="Arial" w:hAnsi="Arial"/>
                <w:sz w:val="14"/>
                <w:szCs w:val="14"/>
                <w:color w:val="auto"/>
              </w:rPr>
              <w:t>- 9.0</w:t>
            </w: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Expected dividend yield</w:t>
            </w:r>
          </w:p>
        </w:tc>
        <w:tc>
          <w:tcPr>
            <w:tcW w:w="1120" w:type="dxa"/>
            <w:vAlign w:val="bottom"/>
            <w:gridSpan w:val="2"/>
            <w:shd w:val="clear" w:color="auto" w:fill="CFF0FC"/>
          </w:tcPr>
          <w:p>
            <w:pPr>
              <w:jc w:val="right"/>
              <w:ind w:right="44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4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4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68"/>
              <w:spacing w:after="0"/>
              <w:rPr>
                <w:sz w:val="20"/>
                <w:szCs w:val="20"/>
                <w:color w:val="auto"/>
              </w:rPr>
            </w:pPr>
            <w:r>
              <w:rPr>
                <w:rFonts w:ascii="Arial" w:cs="Arial" w:eastAsia="Arial" w:hAnsi="Arial"/>
                <w:sz w:val="14"/>
                <w:szCs w:val="14"/>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determined based on the price of the Company’s common stock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 (in thousands):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w w:val="93"/>
              </w:rPr>
              <w:t>Three Months Ended June 30,</w:t>
            </w:r>
          </w:p>
        </w:tc>
        <w:tc>
          <w:tcPr>
            <w:tcW w:w="220" w:type="dxa"/>
            <w:vAlign w:val="bottom"/>
          </w:tcPr>
          <w:p>
            <w:pPr>
              <w:spacing w:after="0"/>
              <w:rPr>
                <w:sz w:val="13"/>
                <w:szCs w:val="13"/>
                <w:color w:val="auto"/>
              </w:rPr>
            </w:pPr>
          </w:p>
        </w:tc>
        <w:tc>
          <w:tcPr>
            <w:tcW w:w="2140" w:type="dxa"/>
            <w:vAlign w:val="bottom"/>
            <w:gridSpan w:val="4"/>
          </w:tcPr>
          <w:p>
            <w:pPr>
              <w:jc w:val="right"/>
              <w:ind w:right="417"/>
              <w:spacing w:after="0"/>
              <w:rPr>
                <w:sz w:val="20"/>
                <w:szCs w:val="20"/>
                <w:color w:val="auto"/>
              </w:rPr>
            </w:pPr>
            <w:r>
              <w:rPr>
                <w:rFonts w:ascii="Arial" w:cs="Arial" w:eastAsia="Arial" w:hAnsi="Arial"/>
                <w:sz w:val="13"/>
                <w:szCs w:val="13"/>
                <w:b w:val="1"/>
                <w:bCs w:val="1"/>
                <w:color w:val="auto"/>
                <w:w w:val="96"/>
              </w:rPr>
              <w:t>Six Months Ended June 30,</w:t>
            </w:r>
          </w:p>
        </w:tc>
      </w:tr>
      <w:tr>
        <w:trPr>
          <w:trHeight w:val="142"/>
        </w:trPr>
        <w:tc>
          <w:tcPr>
            <w:tcW w:w="516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1"/>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21"/>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3,607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3,116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5,551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5,845</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8"/>
                <w:szCs w:val="18"/>
                <w:color w:val="auto"/>
              </w:rPr>
              <w:t>3,527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(1,048)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2,800</w:t>
            </w: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7,134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2,068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12,058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8,645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line="277"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the reversal of previously recognized stock-based compensation expense of $3.6 million related to forfeited awards resulting from the departure of one of the Company’s former officers during the period.</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there was $32.2 million of total unrecognized stock-based compensation related to outstanding equity awards which is expected to be recognized over a weighted average remaining amortization period of 1.8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Allergan Collaboration Agreement</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the Company entered into the Allergan Collaboration Agreement with Allergan to develop and commercialize select microbiome gastrointestinal disease therapies. Pursuant to the Allergan Collaboration Agreement, the Company granted to Allergan an exclusive worldwide license to certain of its intellectual property, including its intellectual property arising under the Allergan Collaboration Agreement, to develop and commercialize licensed compounds for UC, Crohn’s disease, and two compounds for IBS. Allergan and the Company also agreed to collaborate on research and development activities with respect to the licensed compounds in accordance with a mutually agreed upon research and development plan. Per the terms of the Allergan Collaboration Agreement, Allergan could select backups and additional target indications to add to the licenses granted for additional consideration and also had the ability to enter into a contract manufacturing agreement with the Company for compound supply at cost plus an agreed upon margin. In addition, the Company participated in a Joint Development Committee (JDC) and Joint Patent Committee (JPC). Allergan had the right to terminate the Allergan Collaboration Agreement at any time upon advance written notice.</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2020, following its acquisition of Allergan, AbbVie, on behalf of Allergan, gave written notice of termination of the Allergan Collaboration Agreement, effective 120 days following the delivery of notice, on October 10, 2020. Upon termination, the licenses granted by the Company and its know-how will revert to the Company. Under the terms of the Allergan Collaboration Agreement, AbbVie is obligated to continue to reimburse the Company for certain research and development costs through October 10, 2020. Upon effectiveness of the termination, such reimbursements will cease. Due to the delivery of the termination notice, the Company determined that there were no further enforceable rights and obligations under the Allergan Collaboration Agreement beyond June 2020 and the remaining $36.0 million of deferred revenue was recognized in the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History of the Allergan Collaboration Agreement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Allergan paid the Company an upfront non-refundable payment of $50.0 million, which was received in 2017. Additionally, the Company is eligible to receive variable consideration in the form of research and development cost reimbursements, up to $631.0 million related to seven development milestones and up to $2.14 billion related to 12 commercial development and sales milestones in connection with the successful development and commercialization of licensed compounds. In addition, the Company was eligible to receive tiered royalties at rates ranging from the mid-single digits to the mid-teens based on net sales.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Allergan and the Company agreed to share research and development costs up to an aggregate of $75.0 million through proof-of-concept (POC) studies on a ⅔, ⅓ basis, respectively, and Allergan agreed to assume all post-POC development costs. In the event any pre-POC development costs exceed $75.0 million in the aggregate, the Company could have elected either (a) to fund ⅓ of such costs in excess of $75.0 million or (b) to allow Allergan to deduct from future development milestone payments ⅓ of the development costs funded by Allergan in excess of $75.0 million plus a premium of 25%. The Company had an option to co-promote the licensed programs in the U.S. and China, subject to certain conditions set forth in the Allergan Collaboration Agreement.</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concluded that Allergan was a customer, and the contract was not subject to accounting literature on collaborative arrangements. This is because the Company granted to Allergan licenses to its intellectual property and research and development services, all of which are outputs of the Company’s ongoing activities, in exchange for consideration. The Company identified the following material promises under the Allergan Collaboration Agreement: (1) grant of licenses to intellectual property for the four initial indications, inclusive of the related technology know-how (Licenses) and (2) the obligation to perform research development services through POC (Development Services). The Company’s participation on the JDC and JPC were considered to be immaterial in the context of the contract. The Company’s co-promotion option was not considered to be a performance obligation. Allergan’s selection of backups or additional target indications to add to the licenses granted for additional consideration and ability to enter into a contract manufacturing agreement with the Company for compound supply at cost plus an agreed upon margin were not considered to be performance obligations as the Company concluded the options were not offered at a discount that exceeds discounts available to other customers, and therefore were not material rights. The grant of additional licensing rights upon option exercises and contract manufacturing agreements were to be accounted for as separate contracts when or if they occurred.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concluded the Licenses each were considered to be functional as they had significant standalone functionality and were capable of being distinct. However, the Company determined that each of the Licenses individually were not distinct from the Development Services within the context of the agreement. This is because Allergan was dependent on the Company to execute the Development Services, which it was uniquely able to perform, in order for Allergan to benefit from the Licenses. As such, the Company determined that it had four performance obligations under the Allergan Collaboration Agreement associated with the grant of the four compound Licenses combined with the performance of the Development Services for each of the four compound indications. The Company determined that the four performance obligations would have been performed over the duration of the contract, which began in February 2017 and ended upon receipt of the termination notice. The Company used a cost-based input method to measure proportional performance and to calculate the corresponding amount of revenue to recognize. The Company believed this was the best measure of progress because other measures do not reflect how the Company transfers its performance obligation to Allergan. In applying the cost-based input method of revenue recognition, the Company measured costs incurred relative to budgeted costs to fulfill the four performance obligations. These costs consisted primarily of third-party contract costs and internal labor costs. Revenue was recognized based on actual costs incurred as a percentage of total budgeted costs as the Company completed its performance obligations.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allocate transaction price among the four performance obligations, the Company estimated their standalone selling price (SSP) using an income-based valuation approach for the estimated value a licensor of the compounds would receive considering the stage of the compounds’ development. A change in the assumptions used to determine its best estimate of selling price for the four performance obligations would not have had a significant effect on the allocation of consideration received to the four performance obligations.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transaction price at the inception of the agreement and upon adoption of the revenue from contracts with customers guidance was limited to $50.0 million upfront payment. Of this amount, the Company allocated $12.5 million to each of the four performance obligations. Research and development cost reimbursement payments are included in the transaction price in the reporting period that the Company concludes that it is probable that recording revenue in the period will not result in a significant reversal in amounts recognized in future periods. The variable consideration related to the remaining development and commercialization milestone payments has not been included in the transaction price as these were fully constrained at June 30, 2020. As part of the Company’s evaluation of the development and commercialization milestones constraint, the Company determined that the achievement of such milestones is contingent upon success in future clinical trials and regulatory approvals which are not within its control and uncertain at this stage. Any variable consideration related to sales-based milestones (including royalties) would have been recognized when the related sales occur as they were determined to relate predominantly to the license granted to Allergan. The Company re-evaluated the transaction price in each reporting period and as uncertain events were resolved or other changes in circumstances occur.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significant incremental costs of obtaining the Allergan contract.</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six months ended June 30, 2020 and 2019, the Company recognized $43.5 million and $7.0 million, respectively, in revenue associated with the Allergan Collaboration Agreement. Short-term and long-term deferred revenue contract liabilities related to the Allergan Collaboration Agreement were $6.4 million and $30.6 million at December 31, 2019. There were no deferred revenue contract liabilities as of June 30, 2020 due to the Company recognizing a cumulative catch-up adjustment of the remaining deferred revenue balance during the three months ended June 30, 2020 for the determined completion of the Company’s performance obligations under the Allergan Collaboration Agreement upon receipt of the notice of termination from AbbVie.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unaudited condensed consolidated balance sheets, contract asset balances of $3.3 million and $3.4 million were recorded as accounts receivable from collaboration as of June 30, 2020 and December 31,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Deductions</w:t>
            </w:r>
          </w:p>
        </w:tc>
        <w:tc>
          <w:tcPr>
            <w:tcW w:w="1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37,048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Deductions</w:t>
            </w:r>
          </w:p>
        </w:tc>
        <w:tc>
          <w:tcPr>
            <w:tcW w:w="1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2019</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40,660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364"/>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24"/>
                <w:szCs w:val="24"/>
                <w:color w:val="auto"/>
              </w:rPr>
            </w:pPr>
          </w:p>
        </w:tc>
        <w:tc>
          <w:tcPr>
            <w:tcW w:w="2260" w:type="dxa"/>
            <w:vAlign w:val="bottom"/>
            <w:gridSpan w:val="4"/>
          </w:tcPr>
          <w:p>
            <w:pPr>
              <w:jc w:val="right"/>
              <w:ind w:right="442"/>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184"/>
              <w:spacing w:after="0" w:line="142" w:lineRule="exact"/>
              <w:rPr>
                <w:sz w:val="20"/>
                <w:szCs w:val="20"/>
                <w:color w:val="auto"/>
              </w:rPr>
            </w:pPr>
            <w:r>
              <w:rPr>
                <w:rFonts w:ascii="Arial" w:cs="Arial" w:eastAsia="Arial" w:hAnsi="Arial"/>
                <w:sz w:val="13"/>
                <w:szCs w:val="13"/>
                <w:b w:val="1"/>
                <w:bCs w:val="1"/>
                <w:color w:val="auto"/>
                <w:w w:val="82"/>
              </w:rPr>
              <w:t>2020</w:t>
            </w:r>
          </w:p>
        </w:tc>
        <w:tc>
          <w:tcPr>
            <w:tcW w:w="12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179"/>
              <w:spacing w:after="0" w:line="142" w:lineRule="exact"/>
              <w:rPr>
                <w:sz w:val="20"/>
                <w:szCs w:val="20"/>
                <w:color w:val="auto"/>
              </w:rPr>
            </w:pPr>
            <w:r>
              <w:rPr>
                <w:rFonts w:ascii="Arial" w:cs="Arial" w:eastAsia="Arial" w:hAnsi="Arial"/>
                <w:sz w:val="13"/>
                <w:szCs w:val="13"/>
                <w:b w:val="1"/>
                <w:bCs w:val="1"/>
                <w:color w:val="auto"/>
                <w:w w:val="82"/>
              </w:rPr>
              <w:t>2019</w:t>
            </w:r>
          </w:p>
        </w:tc>
        <w:tc>
          <w:tcPr>
            <w:tcW w:w="1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61"/>
              <w:spacing w:after="0" w:line="142" w:lineRule="exact"/>
              <w:rPr>
                <w:sz w:val="20"/>
                <w:szCs w:val="20"/>
                <w:color w:val="auto"/>
              </w:rPr>
            </w:pPr>
            <w:r>
              <w:rPr>
                <w:rFonts w:ascii="Arial" w:cs="Arial" w:eastAsia="Arial" w:hAnsi="Arial"/>
                <w:sz w:val="13"/>
                <w:szCs w:val="13"/>
                <w:b w:val="1"/>
                <w:bCs w:val="1"/>
                <w:color w:val="auto"/>
                <w:w w:val="82"/>
              </w:rPr>
              <w:t>2020</w:t>
            </w:r>
          </w:p>
        </w:tc>
        <w:tc>
          <w:tcPr>
            <w:tcW w:w="12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82"/>
              <w:spacing w:after="0" w:line="142" w:lineRule="exact"/>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 recognized in the period from</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w w:val="96"/>
              </w:rPr>
              <w:t>Amounts included in deferred revenue at the beginning of the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4"/>
              <w:spacing w:after="0"/>
              <w:rPr>
                <w:sz w:val="20"/>
                <w:szCs w:val="20"/>
                <w:color w:val="auto"/>
              </w:rPr>
            </w:pPr>
            <w:r>
              <w:rPr>
                <w:rFonts w:ascii="Arial" w:cs="Arial" w:eastAsia="Arial" w:hAnsi="Arial"/>
                <w:sz w:val="18"/>
                <w:szCs w:val="18"/>
                <w:color w:val="auto"/>
              </w:rPr>
              <w:t>36,041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37,048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Performance obligations satisfied in previous period</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Milestones and Research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The Company is also required to pay diligence maintenance fees each year to the extent that the royalty, sublicensing, and milestone payments to IURTC are less than such fees for that year. Amounts paid in the six months ended June 30, 2020 and 2019 were insignificant.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must pay Therabiome clinical and regulatory milestones for each product or therapy advanced from the platform for U.S. regulatory milestones. In addition, the Company must pay Therabiome lesser amounts for foreign regulatory milestones, which vary by country and region. The Company is also required to pay Therabiome royalties on annual net sales of a product in the low to mid-single digit percentages plus, once annual net sales exceed certain thresholds, a one-time cash payment upon reaching such thresholds.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Therabiome must pay the Company royalties on annual net sales of any product Therabiome is permitted to develop using the intellectual property in the low double to mid-double-digit percentages, depending on the level of development or involvement the Company had in the product.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amounts were accrued for this agreement as of and for the six months ended June 30, 2020. Two regulatory milestones were determined to have occurred under this agreement and $0.3 million was accrued and included in accrued expenses during the six months ended June 30,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leases office space for corporate, administrative and laboratory functions in South San Francisco, California under a sub-sublease that expires in December 2023. The Company also leases office space in Carmel, Indiana under a lease agreement that expires in August 2023, which the Company has subleased. The Company also leases office and laboratory space in Groton, Connecticut under a lease that expires in March 2021. The Company’s China subsidiary leases office space in Shanghai that expires in May 2021 and rents lab space in Shanghai under a lease agreement that expires in December 2020. Additionally, the Company’s China subsidiary leases office space in Beijing under a lease agreement that expires in December 2020. Certain lease contracts contain renewal clauses that the Company assesses on a case by case basis. The Company also leases certain laboratory equipment accounted for as operating leases. Certain equipment leases continue to expire in 2020, with the final lease expiring in 2023.</w:t>
      </w:r>
    </w:p>
    <w:p>
      <w:pPr>
        <w:spacing w:after="0" w:line="1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2020, the Company had operating lease liabilities of $11.1 million and ROU assets of $10.8 million, which were included in the condensed consolidated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5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3"/>
                <w:szCs w:val="13"/>
                <w:b w:val="1"/>
                <w:bCs w:val="1"/>
                <w:color w:val="auto"/>
                <w:w w:val="93"/>
              </w:rPr>
              <w:t>Three Months Ended June 30,</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7"/>
          </w:tcPr>
          <w:p>
            <w:pPr>
              <w:ind w:left="260"/>
              <w:spacing w:after="0"/>
              <w:rPr>
                <w:sz w:val="20"/>
                <w:szCs w:val="20"/>
                <w:color w:val="auto"/>
              </w:rPr>
            </w:pPr>
            <w:r>
              <w:rPr>
                <w:rFonts w:ascii="Arial" w:cs="Arial" w:eastAsia="Arial" w:hAnsi="Arial"/>
                <w:sz w:val="13"/>
                <w:szCs w:val="13"/>
                <w:b w:val="1"/>
                <w:bCs w:val="1"/>
                <w:color w:val="auto"/>
              </w:rPr>
              <w:t>Six Months Ended June 30,</w:t>
            </w:r>
          </w:p>
        </w:tc>
      </w:tr>
      <w:tr>
        <w:trPr>
          <w:trHeight w:val="142"/>
        </w:trPr>
        <w:tc>
          <w:tcPr>
            <w:tcW w:w="52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90"/>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w w:val="84"/>
              </w:rPr>
              <w:t>2,308</w:t>
            </w:r>
          </w:p>
        </w:tc>
        <w:tc>
          <w:tcPr>
            <w:tcW w:w="120" w:type="dxa"/>
            <w:vAlign w:val="bottom"/>
          </w:tcPr>
          <w:p>
            <w:pPr>
              <w:spacing w:after="0"/>
              <w:rPr>
                <w:sz w:val="19"/>
                <w:szCs w:val="19"/>
                <w:color w:val="auto"/>
              </w:rPr>
            </w:pPr>
          </w:p>
        </w:tc>
        <w:tc>
          <w:tcPr>
            <w:tcW w:w="300" w:type="dxa"/>
            <w:vAlign w:val="bottom"/>
          </w:tcPr>
          <w:p>
            <w:pPr>
              <w:jc w:val="right"/>
              <w:ind w:right="15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2,208</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433</w:t>
            </w: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599</w:t>
            </w: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4"/>
              </w:rPr>
              <w:t>3,200</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3,240</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ind w:left="100"/>
              <w:spacing w:after="0"/>
              <w:rPr>
                <w:sz w:val="20"/>
                <w:szCs w:val="20"/>
                <w:color w:val="auto"/>
              </w:rPr>
            </w:pPr>
            <w:r>
              <w:rPr>
                <w:rFonts w:ascii="Arial" w:cs="Arial" w:eastAsia="Arial" w:hAnsi="Arial"/>
                <w:sz w:val="13"/>
                <w:szCs w:val="13"/>
                <w:b w:val="1"/>
                <w:bCs w:val="1"/>
                <w:color w:val="auto"/>
                <w:w w:val="91"/>
              </w:rPr>
              <w:t>Six Months Ended June 30,</w:t>
            </w:r>
          </w:p>
        </w:tc>
        <w:tc>
          <w:tcPr>
            <w:tcW w:w="840" w:type="dxa"/>
            <w:vAlign w:val="bottom"/>
            <w:tcBorders>
              <w:bottom w:val="single" w:sz="8" w:color="auto"/>
            </w:tcBorders>
          </w:tcPr>
          <w:p>
            <w:pPr>
              <w:spacing w:after="0"/>
              <w:rPr>
                <w:sz w:val="24"/>
                <w:szCs w:val="24"/>
                <w:color w:val="auto"/>
              </w:rPr>
            </w:pPr>
          </w:p>
        </w:tc>
      </w:tr>
      <w:tr>
        <w:trPr>
          <w:trHeight w:val="142"/>
        </w:trPr>
        <w:tc>
          <w:tcPr>
            <w:tcW w:w="5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3"/>
                <w:szCs w:val="13"/>
                <w:b w:val="1"/>
                <w:bCs w:val="1"/>
                <w:color w:val="auto"/>
                <w:w w:val="82"/>
              </w:rPr>
              <w:t>2020</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614"/>
              <w:spacing w:after="0" w:line="142" w:lineRule="exact"/>
              <w:rPr>
                <w:sz w:val="20"/>
                <w:szCs w:val="20"/>
                <w:color w:val="auto"/>
              </w:rPr>
            </w:pPr>
            <w:r>
              <w:rPr>
                <w:rFonts w:ascii="Arial" w:cs="Arial" w:eastAsia="Arial" w:hAnsi="Arial"/>
                <w:sz w:val="13"/>
                <w:szCs w:val="13"/>
                <w:b w:val="1"/>
                <w:bCs w:val="1"/>
                <w:color w:val="auto"/>
              </w:rPr>
              <w:t>2019</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2,099</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ROU assets exchanged for new operating lease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545</w:t>
            </w:r>
          </w:p>
        </w:tc>
        <w:tc>
          <w:tcPr>
            <w:tcW w:w="5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14,225</w:t>
            </w:r>
          </w:p>
        </w:tc>
      </w:tr>
    </w:tbl>
    <w:p>
      <w:pPr>
        <w:spacing w:after="0" w:line="20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June 30, 2020 and December 31, 2019, the weighted-average remaining lease term for operating leases was 3.3 years and 2.7 years, respectively. As of June 30, 2020 and December 31, 2019, the weighted-average discount rate for operating leases was 9.5% and 9.4%,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maturities of the Company’s operating lease liabilities were as follows (in thousands):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Six months ending December 31, 2020</w:t>
            </w:r>
          </w:p>
        </w:tc>
        <w:tc>
          <w:tcPr>
            <w:tcW w:w="22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2,356</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Year Ending December 31, 2021</w:t>
            </w:r>
          </w:p>
        </w:tc>
        <w:tc>
          <w:tcPr>
            <w:tcW w:w="1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3,991</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 2022</w:t>
            </w:r>
          </w:p>
        </w:tc>
        <w:tc>
          <w:tcPr>
            <w:tcW w:w="1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3,627</w:t>
            </w:r>
          </w:p>
        </w:tc>
      </w:tr>
      <w:tr>
        <w:trPr>
          <w:trHeight w:val="229"/>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Ending December 31, 2023</w:t>
            </w:r>
          </w:p>
        </w:tc>
        <w:tc>
          <w:tcPr>
            <w:tcW w:w="18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3,325</w:t>
            </w: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13,299</w:t>
            </w:r>
          </w:p>
        </w:tc>
      </w:tr>
      <w:tr>
        <w:trPr>
          <w:trHeight w:val="229"/>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present value discount</w:t>
            </w:r>
          </w:p>
        </w:tc>
        <w:tc>
          <w:tcPr>
            <w:tcW w:w="18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8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11,134</w:t>
            </w:r>
          </w:p>
        </w:tc>
      </w:tr>
      <w:tr>
        <w:trPr>
          <w:trHeight w:val="20"/>
        </w:trPr>
        <w:tc>
          <w:tcPr>
            <w:tcW w:w="4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2020, the Company entered into a Collaboration Agreement (China Collaboration Agreement) with BeiGene, Ltd. (BeiGene), granting BeiGene an exclusive, royalty-bearing license to develop and commercialize the Company’s novel core inhibitor product candidates ABI-H0731, ABI-H2158 and ABI-H3733 for chronic HBV infection (the Licensed Product Candidates) in the People’s Republic of China, Hong Kong, Taiwan and Macau (the Territory).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terms of the China Collaboration Agreement, the Company received an upfront cash payment of $40.0 million from BeiGene, and the Company is eligible to receive up to approximately $500.0 million in 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 BeiGene also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China Collaboration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China Collaboration Agreement, neither party will commercialize any competing products in the Territory.</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after ABI-H2158 and ABI-H3733 reach the end of Phase 2 clinical trials, the Company and BeiGene are unable to mutually agree on the terms of a Phase 3 global study, BeiGene may elect to terminate the China Collaboration Agreement solely as it relates to that compound, as applicable. Such a termination would result in the Company regaining all rights to the applicable compound in the Territory. In addition, BeiGene may terminate the China Collaboration Agreement for convenience at any time upon 90 days’ advance written notice to us. The China Collaboration Agreement also contains customary provisions for termination by either party, including in the event of breach of the China Collaboration Agreement, subject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interim condensed consolidated financial statements and this Management’s Discussion and Analysis of Financial Condition and Results of Operations should be read in conjunction with the consolidated financial statements and notes thereto for the year ended December 31, 2019 and the related Management’s Discussion and Analysis of Financial Condition and Results of Operations, both of which are contained in our Annual Report on Form 10-K for the fiscal year ended December 31, 2019 filed with the U.S. Securities and Exchange Commission on March 4, 2020 (2019 Annual Report). In addition to historical information, this discussion and analysis contains forward-looking statements within the meaning of Section 27A of the Securities Act of 1933, as amended, and Section 21E of the Securities Exchange Act of 1934, as amended (the Exchange Act). These forward-looking statements are subject to risks and uncertainties, including those set forth under “Part I. Item 1A. Risk Factors” in our 2019 Annual Report, “Part II. Item 1A. Risk Factors” in this report, and elsewhere in this report, that could cause actual results to differ materially from historical results or anticipated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clinical-stage biotechnology company developing innovative therapeutics targeting chronic hepatitis B virus (HBV) infection and disorders associated with the microbiome. Our HBV Cure program is focused on advancing a new class of potent, oral core inhibitors that have the potential to increase cure rates for chronically infected patients. Our Microbiome program is developing novel oral live microbial biotherapeutic candidates with our fully integrated platform, including a robust process for strain identification and selection, current Good Manufacturing Practice (cGMP) manufacturing expertise and targeted delivery to the lower gastrointestinal tract with the GEMICEL® technology.</w:t>
      </w:r>
    </w:p>
    <w:p>
      <w:pPr>
        <w:spacing w:after="0" w:line="13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Like most companies, the spread of the novel coronavirus, SARS-CoV-2, which causes coronavirus disease (COVID-19), and the ongoing COVID-19 pandemic has affected certain aspects of our business. As further detailed below, those effects have been primarily limited to where and how our employees work in our labs and offices. To date, our current and future planned clinical trials and pre-clinical studies have not been subject to significant impact.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second quarter of 2020, we continued to grow our business and advance our development pipeline of product candidates in both our HBV Cure and Microbiome programs. Key highlights and accomplishments during the quarter, as well as upcoming milestones and subsequent events include: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Cure Program</w:t>
      </w:r>
    </w:p>
    <w:p>
      <w:pPr>
        <w:spacing w:after="0" w:line="198"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ABI-H0731 (H0731), our lead core inhibitor product candidate in the HBV Cure program</w:t>
      </w:r>
      <w:r>
        <w:rPr>
          <w:rFonts w:ascii="Arial" w:cs="Arial" w:eastAsia="Arial" w:hAnsi="Arial"/>
          <w:sz w:val="18"/>
          <w:szCs w:val="18"/>
          <w:color w:val="auto"/>
        </w:rPr>
        <w:t>:</w:t>
      </w:r>
    </w:p>
    <w:p>
      <w:pPr>
        <w:spacing w:after="0" w:line="185" w:lineRule="exact"/>
        <w:rPr>
          <w:sz w:val="20"/>
          <w:szCs w:val="20"/>
          <w:color w:val="auto"/>
        </w:rPr>
      </w:pPr>
    </w:p>
    <w:p>
      <w:pPr>
        <w:jc w:val="both"/>
        <w:ind w:left="1440" w:hanging="582"/>
        <w:spacing w:after="0" w:line="254" w:lineRule="auto"/>
        <w:tabs>
          <w:tab w:leader="none" w:pos="144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Continuation of our ongoing open-label extension study, ABI-H0731-211 (Study 211), and transition of patients who achieve agreed-upon stopping criteria off therapy. Study 211 is the first clinical trial with a core inhibitor to stop therapy and monitor for sustained virologic response in patients with chronic HBV infection.</w:t>
      </w:r>
    </w:p>
    <w:p>
      <w:pPr>
        <w:spacing w:after="0" w:line="149" w:lineRule="exact"/>
        <w:rPr>
          <w:rFonts w:ascii="Courier New" w:cs="Courier New" w:eastAsia="Courier New" w:hAnsi="Courier New"/>
          <w:sz w:val="18"/>
          <w:szCs w:val="18"/>
          <w:color w:val="auto"/>
        </w:rPr>
      </w:pPr>
    </w:p>
    <w:p>
      <w:pPr>
        <w:jc w:val="both"/>
        <w:ind w:left="1440" w:hanging="582"/>
        <w:spacing w:after="0" w:line="252" w:lineRule="auto"/>
        <w:tabs>
          <w:tab w:leader="none" w:pos="144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Upcoming reporting of additional interim analyses from Study 211 at the European Association for the Study of the Liver’s (EASL) Digital International Liver Congress</w:t>
      </w:r>
      <w:r>
        <w:rPr>
          <w:rFonts w:ascii="Arial" w:cs="Arial" w:eastAsia="Arial" w:hAnsi="Arial"/>
          <w:sz w:val="15"/>
          <w:szCs w:val="15"/>
          <w:color w:val="auto"/>
        </w:rPr>
        <w:t>TM</w:t>
      </w:r>
      <w:r>
        <w:rPr>
          <w:rFonts w:ascii="Arial" w:cs="Arial" w:eastAsia="Arial" w:hAnsi="Arial"/>
          <w:sz w:val="18"/>
          <w:szCs w:val="18"/>
          <w:color w:val="auto"/>
        </w:rPr>
        <w:t xml:space="preserve"> in an oral presentation (HBeAg negative patients) and late-breaker poster presentation (HBeAg positive patients). EASL’s 2020 meeting had been scheduled to occur in April 2020, but it was rescheduled to August 27 to 29, 2020 as a digital meeting due to the COVID-19 pandemic.</w:t>
      </w:r>
    </w:p>
    <w:p>
      <w:pPr>
        <w:spacing w:after="0" w:line="153" w:lineRule="exact"/>
        <w:rPr>
          <w:rFonts w:ascii="Courier New" w:cs="Courier New" w:eastAsia="Courier New" w:hAnsi="Courier New"/>
          <w:sz w:val="18"/>
          <w:szCs w:val="18"/>
          <w:color w:val="auto"/>
        </w:rPr>
      </w:pPr>
    </w:p>
    <w:p>
      <w:pPr>
        <w:ind w:left="1440" w:right="20" w:hanging="582"/>
        <w:spacing w:after="0" w:line="323" w:lineRule="auto"/>
        <w:tabs>
          <w:tab w:leader="none" w:pos="1440" w:val="left"/>
        </w:tabs>
        <w:numPr>
          <w:ilvl w:val="0"/>
          <w:numId w:val="7"/>
        </w:numPr>
        <w:rPr>
          <w:rFonts w:ascii="Courier New" w:cs="Courier New" w:eastAsia="Courier New" w:hAnsi="Courier New"/>
          <w:sz w:val="16"/>
          <w:szCs w:val="16"/>
          <w:color w:val="auto"/>
        </w:rPr>
      </w:pPr>
      <w:r>
        <w:rPr>
          <w:rFonts w:ascii="Arial" w:cs="Arial" w:eastAsia="Arial" w:hAnsi="Arial"/>
          <w:sz w:val="16"/>
          <w:szCs w:val="16"/>
          <w:color w:val="auto"/>
        </w:rPr>
        <w:t>Initiation of a study evaluating treatment intensification with H0731 in patients with chronic HBV infection who are only partially virologically suppressed on nucleos(t)ide analog reverse transcriptase inhibitor (NrtI) therapy alone after at least a year of treatment.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ABI-H2158 (H2158), our second-generation core inhibitor product candidate in the HBV Cure program</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Initiation of a Phase 2 clinical study using a 300 mg dose of H2158.</w:t>
      </w:r>
    </w:p>
    <w:p>
      <w:pPr>
        <w:spacing w:after="0" w:line="190" w:lineRule="exact"/>
        <w:rPr>
          <w:sz w:val="20"/>
          <w:szCs w:val="20"/>
          <w:color w:val="auto"/>
        </w:rPr>
      </w:pPr>
    </w:p>
    <w:p>
      <w:pPr>
        <w:ind w:left="1440" w:right="20" w:hanging="582"/>
        <w:spacing w:after="0" w:line="259" w:lineRule="auto"/>
        <w:tabs>
          <w:tab w:leader="none" w:pos="144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Upcoming reporting of detailed data on the final dose-ranging cohorts of the Phase 1b portion of the Phase 1a/1b clinical study of H2158 at EASL 2020 in a late-breaker poster presentation.</w:t>
      </w:r>
    </w:p>
    <w:p>
      <w:pPr>
        <w:spacing w:after="0" w:line="143" w:lineRule="exact"/>
        <w:rPr>
          <w:rFonts w:ascii="Courier New" w:cs="Courier New" w:eastAsia="Courier New" w:hAnsi="Courier New"/>
          <w:sz w:val="18"/>
          <w:szCs w:val="18"/>
          <w:color w:val="auto"/>
        </w:rPr>
      </w:pPr>
    </w:p>
    <w:p>
      <w:pPr>
        <w:ind w:left="1440" w:hanging="582"/>
        <w:spacing w:after="0"/>
        <w:tabs>
          <w:tab w:leader="none" w:pos="144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Receipt of Fast Track Designation from the U.S. Food and Drug Administration (FDA).</w:t>
      </w:r>
    </w:p>
    <w:p>
      <w:pPr>
        <w:spacing w:after="0" w:line="168"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ABI-H3733 (H3733), our third core inhibitor product candidate in the HBV Cure program</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440" w:hanging="582"/>
        <w:spacing w:after="0"/>
        <w:tabs>
          <w:tab w:leader="none" w:pos="1440" w:val="left"/>
        </w:tabs>
        <w:numPr>
          <w:ilvl w:val="1"/>
          <w:numId w:val="9"/>
        </w:numPr>
        <w:rPr>
          <w:rFonts w:ascii="Courier New" w:cs="Courier New" w:eastAsia="Courier New" w:hAnsi="Courier New"/>
          <w:sz w:val="17"/>
          <w:szCs w:val="17"/>
          <w:color w:val="auto"/>
        </w:rPr>
      </w:pPr>
      <w:r>
        <w:rPr>
          <w:rFonts w:ascii="Arial" w:cs="Arial" w:eastAsia="Arial" w:hAnsi="Arial"/>
          <w:sz w:val="17"/>
          <w:szCs w:val="17"/>
          <w:color w:val="auto"/>
        </w:rPr>
        <w:t>Continuation of a Phase 1 clinical study to evaluate safety, tolerability, and pharmacokinetics (PK) of H3733 in healthy subjects.</w:t>
      </w:r>
    </w:p>
    <w:p>
      <w:pPr>
        <w:spacing w:after="0" w:line="180" w:lineRule="exact"/>
        <w:rPr>
          <w:rFonts w:ascii="Courier New" w:cs="Courier New" w:eastAsia="Courier New" w:hAnsi="Courier New"/>
          <w:sz w:val="17"/>
          <w:szCs w:val="17"/>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China HBV Collaboration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440" w:hanging="582"/>
        <w:spacing w:after="0" w:line="259" w:lineRule="auto"/>
        <w:tabs>
          <w:tab w:leader="none" w:pos="144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Subsequent to the period, on July 17, 2020, entry into a Collaboration Agreement (China Collaboration Agreement) with BeiGene, Ltd. (BeiGene) to develop, manufacture and commercialize H0731, H2158 and H3733.</w:t>
      </w:r>
    </w:p>
    <w:p>
      <w:pPr>
        <w:spacing w:after="0" w:line="143" w:lineRule="exact"/>
        <w:rPr>
          <w:rFonts w:ascii="Courier New" w:cs="Courier New" w:eastAsia="Courier New" w:hAnsi="Courier New"/>
          <w:sz w:val="18"/>
          <w:szCs w:val="18"/>
          <w:color w:val="auto"/>
        </w:rPr>
      </w:pPr>
    </w:p>
    <w:p>
      <w:pPr>
        <w:ind w:left="1440" w:hanging="582"/>
        <w:spacing w:after="0" w:line="289" w:lineRule="auto"/>
        <w:tabs>
          <w:tab w:leader="none" w:pos="1440" w:val="left"/>
        </w:tabs>
        <w:numPr>
          <w:ilvl w:val="1"/>
          <w:numId w:val="9"/>
        </w:numPr>
        <w:rPr>
          <w:rFonts w:ascii="Courier New" w:cs="Courier New" w:eastAsia="Courier New" w:hAnsi="Courier New"/>
          <w:sz w:val="17"/>
          <w:szCs w:val="17"/>
          <w:color w:val="auto"/>
        </w:rPr>
      </w:pPr>
      <w:r>
        <w:rPr>
          <w:rFonts w:ascii="Arial" w:cs="Arial" w:eastAsia="Arial" w:hAnsi="Arial"/>
          <w:sz w:val="17"/>
          <w:szCs w:val="17"/>
          <w:color w:val="auto"/>
        </w:rPr>
        <w:t>Under the terms of the agreement, we granted BeiGene an exclusive, royalty-bearing license to develop and commercialize products containing H0731, H2158 and H3733 in the People’s Republic of China, Hong Kong, Taiwan and Macau.</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Program</w:t>
      </w:r>
    </w:p>
    <w:p>
      <w:pPr>
        <w:spacing w:after="0" w:line="198" w:lineRule="exact"/>
        <w:rPr>
          <w:sz w:val="20"/>
          <w:szCs w:val="20"/>
          <w:color w:val="auto"/>
        </w:rPr>
      </w:pPr>
    </w:p>
    <w:p>
      <w:pPr>
        <w:ind w:left="580" w:hanging="572"/>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Presentation of preclinical data from our immuno-oncology microbiome program for presentation as an e-poster at the American Association for Cancer Research (AACR) 2020 Virtual Annual Meeting II.</w:t>
      </w:r>
    </w:p>
    <w:p>
      <w:pPr>
        <w:spacing w:after="0" w:line="129"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of worldwide rights to all of our microbiome gastrointestinal programs previously licensed to Allergan Pharmaceuticals International Limited (Allergan) under the Research, Development, Collaboration and License Agreement (Allergan Collaboration Agreement) pending completion of transition in the fourth quarter of 2020 and exploration of strategic alternatives to continue development of the Microbiome programs following the return of rights.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Highlights</w:t>
      </w:r>
    </w:p>
    <w:p>
      <w:pPr>
        <w:spacing w:after="0" w:line="18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Strengthening of our leadership team with the addition of William Delaney IV, Ph.D. as Chief Scientific Officer, Virology.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Cure Program</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Over 250 million people worldwide are chronically infected with HBV. Our HBV Cure program is pursuing multiple drug candidates that inhibit the HBV lifecycle and block the generation of covalently closed circular DNA (cccDNA), with the aim of increasing the current low cure rate for patients with HBV. We have discovered several novel core inhibitors, which are small molecules that directly target and allosterically modulate the HBV core protein.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ABI-H0731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H0731, our lead core inhibitor product candidate in the HBV Cure program, is licensed from Indiana University. In the fourth quarter of 2019, we presented final 24-week data from HBeAg positive patients enrolled in our Phase 2 studies of H0731, Study 201, which enrolled NrtI-treated patients, and ABI-H0731-202 (Study 202), which enrolled treatment-naïve patients. In addition, we presented interim data from Study 211. The conduct of Study 201 and 202 is now complete, and Study 211 is ongoing. Most currently enrolled patients are continuing with normal study visits. For those patients unable to come to the clinic as a result of COVID-19, study drug is being shipped to their homes, and sites are conducting telehealth visits.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We presented certain top-line information and other updates regarding Study 201 and Study 211 in May 2020, and we expect to report additional data from Study 201 as well as further interim data from Study 211 at EASL 2020 in August 2020.</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recently determined the stopping criteria by which we will transition patients off therapy in Study 211. These criteria have been discussed with our lead investigators and reviewed and agreed upon by the FDA. In June 2020, we began transitioning patients who met the stopping criteria off treatment to observe for sustained virologic response. At this time, the ongoing COVID-19 pandemic has not impacted our timeline for transition of patients off treatment or completion of Study 211, but we will continue to monitor the situation closely.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ABI-H2158</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H2158, our second-generation core inhibitor product candidate in the HBV Cure program, was internally discovered and developed and is chemically distinct from H0731.</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quarter of 2019, we presented final data from the Phase 1a portion of a Phase 1a/1b dose-ranging clinical study. The Phase 1a study assessed safety, tolerability and PK in 48 healthy volunteers. In the fourth quarter of 2019, we reported interim data from the first, low-dose cohort of the Phase 1b portion of the Phase 1a/1b dose-ranging clinical study, which enrolled HBeAg positive patients.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presented additional top-line data from the dose-ranging cohorts of the Phase 1b portion of the Phase 1a/1b dose-ranging clinical study in May 2020, and we expect to report the detailed data from these cohorts at EASL 2020.</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data from the Phase 1b dose-ranging study, we initiated a Phase 2 clinical study in June 2020 using a 300 mg dose of H2158. This study will be conducted in approximately ten countries in Asia, North America and Europe. While we will continue to monitor the situation closely, at this time, we do not expect our timelines for this study to be significantly impacted by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H3733, our third core inhibitor product candidate in the HBV Cure program, has completed Investigational New Drug (IND) enabling studies. H3733 has a novel chemical scaffold separate from both H0731 and H2158. We presented a preclinical profile of this candidate in the first quarter of 2019.</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we initiated a Phase 1 clinical study to evaluate safety, tolerability and PK following single ascending dose and multiple ascending dose administration of H3733 in healthy subjects in New Zealand. After a short delay in enrollment of the study due to the government-mandated shutdown of all clinical studies unrelated to COVID-19, we resumed enrollment during the second quarter of this year. This delay did not have a significant impact on our clinical development timelines for H3733.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three clinical-stage product candidates, our research discovery team is actively focused on identifying and developing additional product candidates for our HBV Cure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HBV Collaboration Agreement</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17, 2020, we entered into the China Collaboration Agreement with BeiGene, granting BeiGene an exclusive, royalty-bearing license to develop and commercialize products containing H0731, H2158 and H3733 in the People’s Republic of China, Hong Kong, Taiwan and Macau (the Territory).</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China Collaboration Agreement, we and BeiGene will collaborate on development activities with respect to the licensed products in accordance with a mutually agreed upon development plan.</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terms of the China Collaboration Agreement, BeiGene paid us an upfront amount of $40.0 million, and we are eligible to receive up to approximately $500.0 million in milestone payments, comprised of up to $113.8 million in development and regulatory and $385.0 million in net sales milestone payments. In addition, we are eligible to receive tiered royalties at percentages ranging from the mid-teens to the low 30s of net sales. BeiGene has also agreed to pay all development and regulatory costs up to an aggregate of $45.0 million in the territory for H0731, H2158 and H3733. Following this initial investment, we and BeiGene will share development costs for the Territory equally.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The China Collaboration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China Collaboration Agreement, neither party will commercialize any competing products in the Territory.</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after ABI-H2158 and ABI-H3733 reach the end of Phase 2 clinical trials, we and BeiGene are unable to mutually agree on the terms of a Phase 3 global study, BeiGene may elect to terminate the China Collaboration Agreement solely as it relates to that compound, as applicable. Such a termination would result in us regaining all rights to the applicable compound in the Territory. In addition, BeiGene may terminate the China Collaboration Agreement for convenience at any time upon 90 days’ advance written notice to us. The China Collaboration Agreement also contains customary provisions for termination by either party, including in the event of breach of the China Collaboration Agreement, subject to cure.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Microbiome Program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there has been increasing scientific evidence suggesting the therapeutic potential of the human microbiome—the billions of microbes living in and on people—to impact health and disease. Our Microbiome program builds upon experience reported in the literature of successfully treating various disease indications with fecal microbiota transplants and seeks to provide a pharmacologically relevant therapy using a “drug like” approach that delivers targeted and specific microbiome therapies in an oral capsule.</w:t>
      </w:r>
    </w:p>
    <w:p>
      <w:pPr>
        <w:spacing w:after="0" w:line="1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Microbiome program consists of a fully integrated platform that includes a biological-function-based strain isolation, identification, characterization and selection process, methods for strain purification and growth under conditions compliant with cGMP requirements, and a licensed patented delivery system that we call GEMICEL®, which is designed to allow for targeted oral delivery of live biologic and conventional therapies to the lower GI tract.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ABI-M201</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Microbiome program’s lead candidate, M201, is in a multi-center, randomized, double-blind, placebo-controlled Phase 1b clinical trial to evaluate its safety and efficacy in patients with mildly to moderately active ulcerative colitis (UC) who are being treated with mesalamine. The study’s primary objective is safety and tolerability, and its secondary objectives focus on the effect of M201 treatment on disease activity measures in patients with UC.</w:t>
      </w:r>
    </w:p>
    <w:p>
      <w:pPr>
        <w:spacing w:after="0" w:line="1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Phase 1b study is ongoing; however, continued enrollment has been delayed as a result of the COVID-19 pandemic and the limitations placed on some trial sites to conduct certain procedures as part of the patient screening process. We expect enrollment activities to resume in mid-2020, and we continue to monitor the situation closely. For currently enrolled patients who are unable to come to the clinic, study drug or placebo is being shipped to their homes and sites are conducting telehealth monitoring and home health nurse visits. Preclinical data from the M201 program was selected for presentation as a poster at Digestive Disease Week (DDW) in May 2020; however, DDW 2020 was cancelled due to the COVID-19 pandemic.</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M201 is being developed as part of the Allergan Collaboration Agreement, which provides for the development and commercialization of microbiome gastrointestinal programs. We expect the Phase 1b study of M201 to continue despite the pending termination of the Allergan Collaboration Agreement. See “—Allergan Collaboration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Product Candidates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our microbiome platform capabilities, we are also exploring additional product candidates for other disease indications, including Crohn’s disease and irritable bowel syndrome in connection with the Allergan Collaboration Agreement, as well as immune-mediated and metabolic disorders and oncology, which indications we will pursue either internally or in collaboration with other third parties. Preclinical data from our immuno-oncology microbiome program was presented as an e-poster at AACR in June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Allergan Collaboration Agreement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AbbVie Inc. (AbbVie) completed its acquisition of Allergan. In June 2020, AbbVie notified us that it decided to terminate the Allergan Collaboration Agreement. This decision was not based on any efficacy, safety or other data related to collaboration programs. The termination will be effective on October 10, 2020, until which time AbbVie is obligated to continue to reimburse us for certain research and development costs. After such time, we will regain worldwide rights to all microbiome candidates subject to the collaboration, including M201. We have begun exploring strategic alternatives to continue development of the Microbiome programs following the return of the related intellectual property rights.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and research, development and small-scale manufacturing activities in Groton, Connecticut. We also currently have an administrative office and research laboratory space in Shanghai, China and a regulatory office in Beijing, China.</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equity financings and collaborations. Our operations to date have been primarily limited to organizing and staffing our company, licensing our product candidates, discovering and developing our product candidates, establishing small-scale manufacturing capabilities for certain of our product candidates, maintaining and improving our patent portfolio and raising capital.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generated significant losses to date, and we expect to continue to generate losses as we continue to develop our product candidates. As of June 30, 2020, we had an accumulated deficit of $458.8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3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mid-March 2020, as a result of the COVID-19 pandemic, six San Francisco Bay Area counties announced a shelter-in-place order, restricting all residents to their homes, with few exceptions. Within a week, both California and Connecticut issued state-wide stay-at-home orders. As a biotechnology company, we were exempt from such orders. California’s state-wide and local orders remain in place. Connecticut’s order expired in May 2020.</w:t>
      </w:r>
    </w:p>
    <w:p>
      <w:pPr>
        <w:spacing w:after="0" w:line="1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of the exemptions described above, there has not been any significant interruption to date of essential activities at our offices, including work in our laboratories in both South San Francisco and Groton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on-hand and reallocation of certain resources that allow our employees to practice “social distancing” and comply with applicable laws. Notwithstanding the expiration of Connecticut’s stay-at-home order, substantially all of our U.S.-based non-research employees at both our South San Francisco and Groton facilities have been working from their homes since mid-March 2020. Clinical study-related impacts of the COVID-19 pandemic to date have been limited to short enrollment delays for our Phase 1 study of H3733 and our Phase 1b study of M201. We cannot currently predict the specific extent, duration or full impact that the COVID-19 pandemic will have on our ongoing and planned research efforts, clinical trials and other business operations. We continue to monitor the situation regularly for additional potential delays, or modifications to our ongoing and planned trials and, if circumstances warrant, we may adjust our budget and operating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2019 Annual Report. Our critical accounting policies and significant estimates have not changed from those previously disclosed in our 2019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5"/>
              </w:rPr>
              <w:t>Three Months Ended 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Pr>
          <w:p>
            <w:pPr>
              <w:spacing w:after="0"/>
              <w:rPr>
                <w:sz w:val="13"/>
                <w:szCs w:val="13"/>
                <w:color w:val="auto"/>
              </w:rPr>
            </w:pPr>
          </w:p>
        </w:tc>
        <w:tc>
          <w:tcPr>
            <w:tcW w:w="820" w:type="dxa"/>
            <w:vAlign w:val="bottom"/>
          </w:tcPr>
          <w:p>
            <w:pPr>
              <w:ind w:left="520"/>
              <w:spacing w:after="0" w:line="155" w:lineRule="exact"/>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820" w:type="dxa"/>
            <w:vAlign w:val="bottom"/>
            <w:tcBorders>
              <w:top w:val="single" w:sz="8" w:color="auto"/>
            </w:tcBorders>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87"/>
              </w:rPr>
              <w:t>39,376</w:t>
            </w:r>
          </w:p>
        </w:tc>
        <w:tc>
          <w:tcPr>
            <w:tcW w:w="160" w:type="dxa"/>
            <w:vAlign w:val="bottom"/>
            <w:tcBorders>
              <w:top w:val="single" w:sz="8" w:color="CCECFF"/>
            </w:tcBorders>
            <w:shd w:val="clear" w:color="auto" w:fill="CCECFF"/>
          </w:tcPr>
          <w:p>
            <w:pPr>
              <w:spacing w:after="0"/>
              <w:rPr>
                <w:sz w:val="19"/>
                <w:szCs w:val="19"/>
                <w:color w:val="auto"/>
              </w:rPr>
            </w:pPr>
          </w:p>
        </w:tc>
        <w:tc>
          <w:tcPr>
            <w:tcW w:w="860" w:type="dxa"/>
            <w:vAlign w:val="bottom"/>
            <w:tcBorders>
              <w:top w:val="single" w:sz="8" w:color="auto"/>
            </w:tcBorders>
            <w:shd w:val="clear" w:color="auto" w:fill="CCECFF"/>
          </w:tcPr>
          <w:p>
            <w:pPr>
              <w:jc w:val="right"/>
              <w:ind w:right="6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3,080</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36,296</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1178%</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revenue includes the recognition of deferred revenue and reimbursements incurred under the Allergan Collaboration Agreement, for which AbbVie (formerly Allergan pre-acquisition) gave written notice of termination in June 2020. As a result, we recognized in collaboration revenue the remaining deferred revenue balance of $36.0 million upon receipt of the termination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300" w:type="dxa"/>
            <w:vAlign w:val="bottom"/>
          </w:tcPr>
          <w:p>
            <w:pPr>
              <w:spacing w:after="0"/>
              <w:rPr>
                <w:sz w:val="14"/>
                <w:szCs w:val="14"/>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2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97"/>
              <w:spacing w:after="0"/>
              <w:rPr>
                <w:sz w:val="20"/>
                <w:szCs w:val="20"/>
                <w:color w:val="auto"/>
              </w:rPr>
            </w:pPr>
            <w:r>
              <w:rPr>
                <w:rFonts w:ascii="Arial" w:cs="Arial" w:eastAsia="Arial" w:hAnsi="Arial"/>
                <w:sz w:val="14"/>
                <w:szCs w:val="14"/>
                <w:b w:val="1"/>
                <w:bCs w:val="1"/>
                <w:color w:val="auto"/>
                <w:w w:val="98"/>
              </w:rPr>
              <w:t>2020 vs. 2019</w:t>
            </w:r>
          </w:p>
        </w:tc>
        <w:tc>
          <w:tcPr>
            <w:tcW w:w="160" w:type="dxa"/>
            <w:vAlign w:val="bottom"/>
          </w:tcPr>
          <w:p>
            <w:pPr>
              <w:spacing w:after="0"/>
              <w:rPr>
                <w:sz w:val="19"/>
                <w:szCs w:val="19"/>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Cure program</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16,001</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12,141</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3,860</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 xml:space="preserve">Microbiome program </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7,326</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6,559</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767</w:t>
            </w:r>
          </w:p>
        </w:tc>
        <w:tc>
          <w:tcPr>
            <w:tcW w:w="168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23,327</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18,700</w:t>
            </w:r>
          </w:p>
        </w:tc>
        <w:tc>
          <w:tcPr>
            <w:tcW w:w="1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4,627</w:t>
            </w:r>
          </w:p>
        </w:tc>
        <w:tc>
          <w:tcPr>
            <w:tcW w:w="16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77" w:lineRule="auto"/>
        <w:tabs>
          <w:tab w:leader="none" w:pos="241" w:val="left"/>
        </w:tabs>
        <w:numPr>
          <w:ilvl w:val="0"/>
          <w:numId w:val="12"/>
        </w:numPr>
        <w:rPr>
          <w:rFonts w:ascii="Arial" w:cs="Arial" w:eastAsia="Arial" w:hAnsi="Arial"/>
          <w:sz w:val="15"/>
          <w:szCs w:val="15"/>
          <w:color w:val="auto"/>
        </w:rPr>
      </w:pPr>
      <w:r>
        <w:rPr>
          <w:rFonts w:ascii="Arial" w:cs="Arial" w:eastAsia="Arial" w:hAnsi="Arial"/>
          <w:sz w:val="18"/>
          <w:szCs w:val="18"/>
          <w:color w:val="auto"/>
        </w:rPr>
        <w:t>Expenses presented for the Microbiome program exclude collaboration revenue related to expense reimbursements under the Allergan Collaboration Agreement as discussed in Note 8 to the Condensed Consolidated Financial Statements.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expenses were $23.3 million for the three months ended June 30, 2020 compared to $18.7 million for the same period in 2019. The increase was primarily due to an increase of $3.9 million in research and development expenses related to the HBV Cure program and an increase of $0.8 million in research and development expenses related to the Microbiome program. Research and development expenses include non-cash stock-based compensation expenses of $3.6 million for the three months ended June 30, 2020 and $3.1 million for the same period in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5"/>
              </w:rPr>
              <w:t>Three Months Ended 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Pr>
          <w:p>
            <w:pPr>
              <w:spacing w:after="0"/>
              <w:rPr>
                <w:sz w:val="13"/>
                <w:szCs w:val="13"/>
                <w:color w:val="auto"/>
              </w:rPr>
            </w:pPr>
          </w:p>
        </w:tc>
        <w:tc>
          <w:tcPr>
            <w:tcW w:w="860" w:type="dxa"/>
            <w:vAlign w:val="bottom"/>
          </w:tcPr>
          <w:p>
            <w:pPr>
              <w:ind w:left="520"/>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Borders>
              <w:top w:val="single" w:sz="8" w:color="auto"/>
            </w:tcBorders>
            <w:shd w:val="clear" w:color="auto" w:fill="CCECFF"/>
          </w:tcPr>
          <w:p>
            <w:pPr>
              <w:jc w:val="right"/>
              <w:ind w:right="7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9,470</w:t>
            </w:r>
          </w:p>
        </w:tc>
        <w:tc>
          <w:tcPr>
            <w:tcW w:w="160" w:type="dxa"/>
            <w:vAlign w:val="bottom"/>
            <w:tcBorders>
              <w:top w:val="single" w:sz="8" w:color="CCECFF"/>
            </w:tcBorders>
            <w:shd w:val="clear" w:color="auto" w:fill="CCECFF"/>
          </w:tcPr>
          <w:p>
            <w:pPr>
              <w:spacing w:after="0"/>
              <w:rPr>
                <w:sz w:val="19"/>
                <w:szCs w:val="19"/>
                <w:color w:val="auto"/>
              </w:rPr>
            </w:pPr>
          </w:p>
        </w:tc>
        <w:tc>
          <w:tcPr>
            <w:tcW w:w="860" w:type="dxa"/>
            <w:vAlign w:val="bottom"/>
            <w:tcBorders>
              <w:top w:val="single" w:sz="8" w:color="auto"/>
            </w:tcBorders>
            <w:shd w:val="clear" w:color="auto" w:fill="CCECFF"/>
          </w:tcPr>
          <w:p>
            <w:pPr>
              <w:jc w:val="right"/>
              <w:ind w:right="6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4,080</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5,390</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the stock-based compensation expense associated with equity awards to our employees, consultants, and directors.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 and administrative expenses were $9.5 million for the three months ended June 30, 2020 compared to $4.1 million for the same period in 2019. The increase includes an increase of $0.7 million in salary and benefits and an increase of $0.2 million in recruitment expenses due to additional employees as well as an increase of $0.3 million in professional fees. These increases were partially offset by a decrease of $0.4 million in travel related expenses due to state and local laws restricting travel in response to the COVID-19 pandemic. General and administrative expenses include non-cash stock-based compensation expenses of $3.5 million for the three months ended June 30, 2020 and a $1.1 million reduction of expense for the same period in 2019. Stock-based compensation expense for the three months ended June 30, 2019 includes the reversal of previously recognized expense of $3.6 million related to forfeited awards resulting from the departure of one of the Company’s former officers during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820" w:type="dxa"/>
            <w:vAlign w:val="bottom"/>
            <w:tcBorders>
              <w:top w:val="single" w:sz="8" w:color="auto"/>
            </w:tcBorders>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87"/>
              </w:rPr>
              <w:t>43,457</w:t>
            </w:r>
          </w:p>
        </w:tc>
        <w:tc>
          <w:tcPr>
            <w:tcW w:w="160" w:type="dxa"/>
            <w:vAlign w:val="bottom"/>
            <w:tcBorders>
              <w:top w:val="single" w:sz="8" w:color="CCECFF"/>
            </w:tcBorders>
            <w:shd w:val="clear" w:color="auto" w:fill="CCECFF"/>
          </w:tcPr>
          <w:p>
            <w:pPr>
              <w:spacing w:after="0"/>
              <w:rPr>
                <w:sz w:val="19"/>
                <w:szCs w:val="19"/>
                <w:color w:val="auto"/>
              </w:rPr>
            </w:pPr>
          </w:p>
        </w:tc>
        <w:tc>
          <w:tcPr>
            <w:tcW w:w="860" w:type="dxa"/>
            <w:vAlign w:val="bottom"/>
            <w:tcBorders>
              <w:top w:val="single" w:sz="8" w:color="auto"/>
            </w:tcBorders>
            <w:shd w:val="clear" w:color="auto" w:fill="CCECFF"/>
          </w:tcPr>
          <w:p>
            <w:pPr>
              <w:jc w:val="right"/>
              <w:ind w:right="6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6,966</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36,491</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524%</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revenue includes the recognition of deferred revenue and reimbursements incurred under the Allergan Collaboration Agreement, for which AbbVie (formerly Allergan pre-acquisition) gave written notice of termination in June 2020. As a result, we recognized in collaboration revenue the remaining deferred revenue balance of $36.0 million upon receipt of the termination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300" w:type="dxa"/>
            <w:vAlign w:val="bottom"/>
          </w:tcPr>
          <w:p>
            <w:pPr>
              <w:spacing w:after="0"/>
              <w:rPr>
                <w:sz w:val="14"/>
                <w:szCs w:val="14"/>
                <w:color w:val="auto"/>
              </w:rPr>
            </w:pPr>
          </w:p>
        </w:tc>
        <w:tc>
          <w:tcPr>
            <w:tcW w:w="290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2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97"/>
              <w:spacing w:after="0"/>
              <w:rPr>
                <w:sz w:val="20"/>
                <w:szCs w:val="20"/>
                <w:color w:val="auto"/>
              </w:rPr>
            </w:pPr>
            <w:r>
              <w:rPr>
                <w:rFonts w:ascii="Arial" w:cs="Arial" w:eastAsia="Arial" w:hAnsi="Arial"/>
                <w:sz w:val="14"/>
                <w:szCs w:val="14"/>
                <w:b w:val="1"/>
                <w:bCs w:val="1"/>
                <w:color w:val="auto"/>
                <w:w w:val="98"/>
              </w:rPr>
              <w:t>2020 vs. 2019</w:t>
            </w:r>
          </w:p>
        </w:tc>
        <w:tc>
          <w:tcPr>
            <w:tcW w:w="160" w:type="dxa"/>
            <w:vAlign w:val="bottom"/>
          </w:tcPr>
          <w:p>
            <w:pPr>
              <w:spacing w:after="0"/>
              <w:rPr>
                <w:sz w:val="19"/>
                <w:szCs w:val="19"/>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Cure program</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31,637</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27,854</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3,783</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 xml:space="preserve">Microbiome program </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14,736</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13,551</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1,185</w:t>
            </w:r>
          </w:p>
        </w:tc>
        <w:tc>
          <w:tcPr>
            <w:tcW w:w="168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46,373</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41,405</w:t>
            </w:r>
          </w:p>
        </w:tc>
        <w:tc>
          <w:tcPr>
            <w:tcW w:w="1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4,968</w:t>
            </w:r>
          </w:p>
        </w:tc>
        <w:tc>
          <w:tcPr>
            <w:tcW w:w="16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77" w:lineRule="auto"/>
        <w:tabs>
          <w:tab w:leader="none" w:pos="241" w:val="left"/>
        </w:tabs>
        <w:numPr>
          <w:ilvl w:val="0"/>
          <w:numId w:val="13"/>
        </w:numPr>
        <w:rPr>
          <w:rFonts w:ascii="Arial" w:cs="Arial" w:eastAsia="Arial" w:hAnsi="Arial"/>
          <w:sz w:val="15"/>
          <w:szCs w:val="15"/>
          <w:color w:val="auto"/>
        </w:rPr>
      </w:pPr>
      <w:r>
        <w:rPr>
          <w:rFonts w:ascii="Arial" w:cs="Arial" w:eastAsia="Arial" w:hAnsi="Arial"/>
          <w:sz w:val="18"/>
          <w:szCs w:val="18"/>
          <w:color w:val="auto"/>
        </w:rPr>
        <w:t>Expenses presented for the Microbiome program exclude collaboration revenue related to expense reimbursements under the Allergan Collaboration Agreement as discussed in Note 8 to the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Research and development expenses were $46.4 million for the six months ended June 30, 2020 compared to $41.4 million for the same period in 2019. The increase was primarily due to an increase of $3.8 million in research and development expenses related to the HBV Cure program and an increase of $1.2 million in research and development expenses related to the Microbiome program. Research and development expenses include non-cash stock-based compensation expenses of $5.6 million for the six months ended June 30, 2020 and $5.8 million for the same period in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top w:val="single" w:sz="8" w:color="auto"/>
            </w:tcBorders>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87"/>
              </w:rPr>
              <w:t>18,199</w:t>
            </w:r>
          </w:p>
        </w:tc>
        <w:tc>
          <w:tcPr>
            <w:tcW w:w="160" w:type="dxa"/>
            <w:vAlign w:val="bottom"/>
            <w:tcBorders>
              <w:top w:val="single" w:sz="8" w:color="CCECFF"/>
            </w:tcBorders>
            <w:shd w:val="clear" w:color="auto" w:fill="CCECFF"/>
          </w:tcPr>
          <w:p>
            <w:pPr>
              <w:spacing w:after="0"/>
              <w:rPr>
                <w:sz w:val="19"/>
                <w:szCs w:val="19"/>
                <w:color w:val="auto"/>
              </w:rPr>
            </w:pPr>
          </w:p>
        </w:tc>
        <w:tc>
          <w:tcPr>
            <w:tcW w:w="820" w:type="dxa"/>
            <w:vAlign w:val="bottom"/>
            <w:tcBorders>
              <w:top w:val="single" w:sz="8" w:color="auto"/>
            </w:tcBorders>
            <w:shd w:val="clear" w:color="auto" w:fill="CCECFF"/>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87"/>
              </w:rPr>
              <w:t>13,597</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4,602</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the stock-based compensation expense associated with equity awards to our employees, consultants, and directors.</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expenses were $18.2 million for the six months ended June 30, 2020 compared to $13.6 million for the same period in 2019. The increase includes an increase of $1.2 million in salary and benefits and an increase of $0.2 million in recruitment expenses due to additional employees partially offset by a decrease of $0.6 million in travel related expenses due to state and local laws restricting travel in response to the COVID-19 pandemic. General and administrative expenses include non-cash stock-based compensation expenses of $6.5 million for the six months ended June 30, 2020 and $2.8 million for the same period in 2019. Stock-based compensation expense for the six months ended June 30, 2019 includes the reversal of previously recognized expense of $3.6 million related to forfeited awards resulting from the departure of one of the Company’s former officers during the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June 30, 2020 principally through equity financings, raising an aggregate of $546.4 million in net proceeds, and a strategic collaboration raising an aggregate of $50.0 million through an upfront payment.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Cash provided by (used in):</w:t>
            </w:r>
          </w:p>
        </w:tc>
        <w:tc>
          <w:tcPr>
            <w:tcW w:w="2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CFF"/>
            </w:tcBorders>
            <w:vMerge w:val="continue"/>
          </w:tcPr>
          <w:p>
            <w:pPr>
              <w:spacing w:after="0"/>
              <w:rPr>
                <w:sz w:val="19"/>
                <w:szCs w:val="19"/>
                <w:color w:val="auto"/>
              </w:rPr>
            </w:pPr>
          </w:p>
        </w:tc>
        <w:tc>
          <w:tcPr>
            <w:tcW w:w="2380" w:type="dxa"/>
            <w:vAlign w:val="bottom"/>
            <w:tcBorders>
              <w:bottom w:val="single" w:sz="8" w:color="CCEC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C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Operating activities</w:t>
            </w:r>
          </w:p>
        </w:tc>
        <w:tc>
          <w:tcPr>
            <w:tcW w:w="2380" w:type="dxa"/>
            <w:vAlign w:val="bottom"/>
            <w:shd w:val="clear" w:color="auto" w:fill="CCECFF"/>
          </w:tcPr>
          <w:p>
            <w:pPr>
              <w:spacing w:after="0"/>
              <w:rPr>
                <w:sz w:val="19"/>
                <w:szCs w:val="19"/>
                <w:color w:val="auto"/>
              </w:rPr>
            </w:pPr>
          </w:p>
        </w:tc>
        <w:tc>
          <w:tcPr>
            <w:tcW w:w="46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(48,334)</w:t>
            </w:r>
          </w:p>
        </w:tc>
        <w:tc>
          <w:tcPr>
            <w:tcW w:w="220" w:type="dxa"/>
            <w:vAlign w:val="bottom"/>
            <w:shd w:val="clear" w:color="auto" w:fill="CCECFF"/>
          </w:tcPr>
          <w:p>
            <w:pPr>
              <w:spacing w:after="0"/>
              <w:rPr>
                <w:sz w:val="19"/>
                <w:szCs w:val="19"/>
                <w:color w:val="auto"/>
              </w:rPr>
            </w:pPr>
          </w:p>
        </w:tc>
        <w:tc>
          <w:tcPr>
            <w:tcW w:w="760" w:type="dxa"/>
            <w:vAlign w:val="bottom"/>
            <w:shd w:val="clear" w:color="auto" w:fill="CCECFF"/>
          </w:tcPr>
          <w:p>
            <w:pPr>
              <w:jc w:val="right"/>
              <w:ind w:right="5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(44,944)</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Investing activities</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97,242</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36,885</w:t>
            </w:r>
          </w:p>
        </w:tc>
        <w:tc>
          <w:tcPr>
            <w:tcW w:w="0" w:type="dxa"/>
            <w:vAlign w:val="bottom"/>
          </w:tcPr>
          <w:p>
            <w:pPr>
              <w:spacing w:after="0"/>
              <w:rPr>
                <w:sz w:val="1"/>
                <w:szCs w:val="1"/>
                <w:color w:val="auto"/>
              </w:rPr>
            </w:pPr>
          </w:p>
        </w:tc>
      </w:tr>
      <w:tr>
        <w:trPr>
          <w:trHeight w:val="230"/>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Financing activities</w:t>
            </w:r>
          </w:p>
        </w:tc>
        <w:tc>
          <w:tcPr>
            <w:tcW w:w="2840" w:type="dxa"/>
            <w:vAlign w:val="bottom"/>
            <w:gridSpan w:val="2"/>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CFF"/>
          </w:tcPr>
          <w:p>
            <w:pPr>
              <w:jc w:val="right"/>
              <w:ind w:right="37"/>
              <w:spacing w:after="0"/>
              <w:rPr>
                <w:sz w:val="20"/>
                <w:szCs w:val="20"/>
                <w:color w:val="auto"/>
              </w:rPr>
            </w:pPr>
            <w:r>
              <w:rPr>
                <w:rFonts w:ascii="Arial" w:cs="Arial" w:eastAsia="Arial" w:hAnsi="Arial"/>
                <w:sz w:val="18"/>
                <w:szCs w:val="18"/>
                <w:color w:val="auto"/>
              </w:rPr>
              <w:t>1,069</w:t>
            </w:r>
          </w:p>
        </w:tc>
        <w:tc>
          <w:tcPr>
            <w:tcW w:w="220" w:type="dxa"/>
            <w:vAlign w:val="bottom"/>
            <w:shd w:val="clear" w:color="auto" w:fill="CCECFF"/>
          </w:tcPr>
          <w:p>
            <w:pPr>
              <w:spacing w:after="0"/>
              <w:rPr>
                <w:sz w:val="19"/>
                <w:szCs w:val="19"/>
                <w:color w:val="auto"/>
              </w:rPr>
            </w:pPr>
          </w:p>
        </w:tc>
        <w:tc>
          <w:tcPr>
            <w:tcW w:w="760" w:type="dxa"/>
            <w:vAlign w:val="bottom"/>
            <w:shd w:val="clear" w:color="auto" w:fill="CCECFF"/>
          </w:tcPr>
          <w:p>
            <w:pPr>
              <w:jc w:val="right"/>
              <w:ind w:right="5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CFF"/>
          </w:tcPr>
          <w:p>
            <w:pPr>
              <w:jc w:val="right"/>
              <w:ind w:right="35"/>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was $48.3 million for the six months ended June 30, 2020. This was primarily due to a $19.4 million net loss, $0.1 million of accretion of discount of marketable securities and a decrease of $43.5 million of operating assets and liabilities, which includes the recognition of the remaining deferred revenue balance of $36.0 million as revenue during the six months ended June 30, 2020 in connection with AbbVie’s decision to terminate the Allergan Collaboration Agreement as discussed in Note 8. These decreases were partially offset by $12.1 million non-cash expense recorded for stock-based compensation, $2.3 million of amortization of operating lease right-of-use (ROU) assets and $0.2 million of depreciation and amortization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Net cash used in operating activities was $44.9 million for the six months ended June 30, 2019. This was primarily due to a $45.6 million net loss, $1.1 million of accretion of discount of marketable securities and a decrease of $9.4 million of operating assets and liabilities, which were offset by $8.6 million non-cash expense recorded for stock-based compensation, $2.2 million of amortization of operating lease ROU assets and $0.3 million of depreciation and amortization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2020 was $97.2 million due to $119.3 million of redemptions of marketable securities and $22.7 million of sale of marketable securities, which were partially offset by the purchase of $44.2 million of marketable securities and $0.5 million of property and equipment.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2019 was $36.9 million primarily due to $131.6 million of redemptions of marketable securities and $0.5 million of sale of marketable securities , which were partially offset by the purchase of $93.7 million of marketable securities and $1.5 million of property and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was $1.1 million resulting from the exercise of stock options to purchase 91,713 shares of common stock and the issuance of 42,266 shares of common stock under our ESPP.</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2019 was $0.8 million resulting from the exercise of stock options to purchase 50,875 shares of common stock and the issuance of 36,804 shares of common stock under our ESPP.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development and clinical studies of our product candidates and pursue our intellectual property strategy.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by issuing equity securities, most recently in December 2019. We intend to continue to raise capital when and as needed and at the time and in the manner most advantageous to us. Market volatility resulting from the COVID-19 pandemic or other factors could also adversely impact our ability to access capital as and when needed.</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12 months. Our future capital requirements will depend on many factors, including:</w:t>
      </w:r>
    </w:p>
    <w:p>
      <w:pPr>
        <w:spacing w:after="0" w:line="130" w:lineRule="exact"/>
        <w:rPr>
          <w:sz w:val="20"/>
          <w:szCs w:val="20"/>
          <w:color w:val="auto"/>
        </w:rPr>
      </w:pPr>
    </w:p>
    <w:p>
      <w:pPr>
        <w:ind w:left="580" w:right="2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timing,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recruiting additional employees to support the growth of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left="5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therapeutics that we do not expect to be commercially available for many years, if at all. Accordingly, we will need to continue to rely on additional financings to achieve our business objectives. Adequate additional financings may not be available to us on acceptable terms, or at all.</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contractual obligations as disclosed in our 2019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2019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our Chief Financial Officer concluded that our disclosure controls and procedures as of the end of the period covered by this report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June 30, 2020 that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consider the following risk factors, together with all other information in this report, including our consolidated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 Cure and Microbiome programs.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 Cure and Microbiome programs, we will be unable to generate revenues from the sale of products or build a sustainable or profitable business.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all of our product candidates are currently in clinical development or in varying stages of nonclinical development and their risk of failure is high. The data supporting our drug discovery and nonclinical and clinical development programs are derived from either laboratory, nonclinical studies, Phase 1 and Phase 2 clinical data. With respect to our ongoing Phase 2 trials, as we transition patients off of therapy in Study 211, we may not observe sustained virologic response and such patients may need to resume NrtI therapy. In addition, there is no guarantee that Phase 3 clinical studies, if and when completed, will result in data consistent with that observed in prior studies. As a result, we cannot predict when or if any one of our product candidates will prove safe and effective in humans or will receive regulatory approval.</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scientific evidence to support the feasibility of our product candidates and therapeutic approaches is limited, and many companies, some with more resources than we have, are and may be developing competitive product candidates.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and other reasons, our drug discovery and development may not be successful, and we may be unable to continue clinical development of our programs and may not generate product approvals or product revenue. If any of those occur, it will have a material adverse impact on our business, results of operations, financial condition and share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spread of the coronavirus and resulting COVID-19 pandemic may materially and adversely affect our business.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COVID-19 outbreak began in December 2019 and has since spread globally, reaching pandemic status. The continued spread of COVID-19 could adversely impact our research and development through delay, modification or suspension of our clinical and/or nonclinical studies. Other clinical-stage biotechnology companies, like us, have already had their clinical and nonclinical studies affected by the COVID-19 pandemic.</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that could increase the cost of conducting clinical studies; (3) disrupt or suspend the business operations of our third-party contract research organizations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personal protective equipment and disinfectants, each of which are necessary for our laboratories and the laboratories of our CROs to maintain normal workflows.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cannot provide any assurances about when any of our clinical studies that have delayed or may in the future delay enrollment as a result of COVID-19 might reinitiate enrollment or that their enrollment will be reinitiated at all. For those clinical studies that are currently ongoing, we cannot provide any assurances that the measures that we have taken to date, or may in the future take, will continue to allow us to mitigate and manage results of negative impacts to site initiation, participant recruitment and enrollment, participant randomization and dosing, distribution of clinical study materials, study monitoring or data analysis. Even if we are able to collect clinical data while the outbreak is ongoing, COVID-19 may negatively affect the quality, completeness, integrity, interpretability and cost of obtaining such clinical study data. Any of these effects could adversely affect our ability to advance our product candidates in the manner and on the timelines presently planned, obtain regulatory approval for and to commercialize our product candidates, increase our operating expenses and have a material adverse effect on our business, results of operations, financial results and our share price.</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the COVID-19 pandemic, governments around the world implemented significant measures to control the spread of the virus, including quarantines, travel restrictions, stay-at-home orders and business shutdowns. While governments are in various stages of relaxing these measures, we continue to take precautionary measures intended to help minimize the risk of the virus to our employees, including temporarily requiring all employees who are able to do so to work remotely and suspending all non-essential travel worldwide for our employees. These measures could negatively affect our business. For instance, requiring all employees to work remotely may disrupt our operations or increase the risk of a cybersecurity incident.</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extent to which the COVID-19 pandemic may impact our business will depend on future developments, which are highly uncertain and cannot be predicted with confidence, such as the duration and severity of the pandemic, and the effectiveness of actions for containment and treatment of COVID-19. We cannot presently predict the scope and severity of any potential business shutdowns or disruptions, including to our ongoing and planned clinical studies. Any such shutdowns or other business interruptions could result in material and negative effects to our ability to conduct our business in the manner and on the timelines presently planned as well as negatively affect the accuracy of our estimates regarding capital requirements and needs for additional financing or our ability to produce accurate and timely financial statements. We may incur additional liabilities related to business disruptions caused by the COVID-19 pandemic, including those related to our employees, our agreements with third parties, and our interactions with governmental authorities. Any of these disruptions could have a material adverse impact on our business, results of operation, financial condition and share price.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COVID-19 pandemic has also caused volatility in the global financial markets and threatened a slowdown in the global economy, which may negatively affect our ability to raise additional capital on attractive terms or at all. In addition, a recession, depression, or other sustained adverse market event resulting from the COVID-19 pandemic could materially and adversely affect our business and the value of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 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biologic license application (BLA) or new drug application (NDA) to the FDA or comparable applications to other regulatory authorities and do not expect to be in a position to do so in the foreseeable future.</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of our product candidates are currently in clinical development or in varying stages of nonclinical development. It may be years before the larger, pivotal trials necessary to support regulatory approval of our product candidates are completed, if ever. The clinical studies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34"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demonstrating through clinical studies that the product candidate is safe and effective in patients for the intended indication;</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with sufficient quality and at acceptable prices.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from the sale of products or build a sustainable or profitable business.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Nonclinical and clinical testing required for our product candidates is expensive and time-consuming and may result in delays or may fail to demonstrate safety and efficacy for desired indications. Such delays or failures could delay or prevent our receipt of licensing, sales and/or milestone revenue.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through nonclinical studies and human testing in clinical studies that each potential product is safe and effective in humans. To meet these requirements, we must conduct extensive nonclinical testing and sufficient and well-controlled clinical studies. Conducting clinical studies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studies might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cause us to incur additional operating expenses. The commencement and rate of completion of clinical studies might be delayed by many factors, including, for example:</w:t>
      </w:r>
    </w:p>
    <w:p>
      <w:pPr>
        <w:spacing w:after="0" w:line="143"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demonstrate efficacy;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cGMP for use in clinical studies due to manufacturing challenges, delays or due to interruption in the supply chain due to shipment delays or custom holds;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3"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impacts in trial initiation, enrollment, completion and similar activities due to the impact of COVID-19;</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studies.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studies and may fail to obtain regulatory approval for any of our product candidates.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failure of nonclinical studies and clinical studies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studies would delay the filing of our NDAs or BLAs with the FDA and, ultimately, our ability to commercialize our product candidates and generate product revenues. Any change in, or termination of, our clinical studies could materially harm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Top-line or initial data may not accurately reflect the complete results of a particular study or trial.</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publicly disclose top-line or initial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estimates, calculations and conclusions as part of our analyses of data, and we may not have received or had the opportunity to evaluate fully and carefully all data. As a result, the top-line or initial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initial or preliminary data we previously published. As a result, top-line and initial data should be viewed with caution until the final data are available.</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nonclinical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initial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rely on third-party manufacturers to supply the quantities of H0731, H2158 and H3733 used in our clinical and nonclinical studies and the drug substance for our Microbiome program. We currently manufacture our microbiome drug product for use in our planned nonclinical studies and early-stage clinical studies; however, we may require third-party manufacturers for subsequent clinical studies or other microbiome drug products.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studies or, at some future date, for commercial quantities, then we would need to identify and contract with additional or replacement third-party manufacturers to manufacture compounds, drug substance and drug products for nonclinical, clinical and commercial purposes. We 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FDA and applicable non-U.S. regulatory requirements, including cGMPs. The cGMP requirements govern compliance and documentation policies and procedures. Complying with FDA and non-U.S. regulatory requirements will require that we expend time, money, and effort in production, recordkeeping, and compliance to assure that the product meets applicable specifications and other requirements. Any manufacturing facility must also pass a pre-approval inspection prior to regulatory approval. Failure to pass a pre-approval inspection might significantly delay regulatory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98" w:lineRule="exact"/>
        <w:rPr>
          <w:sz w:val="20"/>
          <w:szCs w:val="20"/>
          <w:color w:val="auto"/>
        </w:rPr>
      </w:pPr>
    </w:p>
    <w:p>
      <w:pPr>
        <w:jc w:val="both"/>
        <w:ind w:left="580" w:hanging="572"/>
        <w:spacing w:after="0" w:line="279"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establish our own manufacturing capabilities, we will need to identify manufacturers for commercial supply on acceptable terms, which we may not be able to do because the number of potential manufacturers is limited, and the FDA must evaluate any new or replacement contractor. This evaluation would generally require compliance inspections. In addition, a new manufacturer would have to be educated in, or develop substantially equivalent processes for, production of our products after receipt of regulatory approval, if any.</w:t>
      </w:r>
    </w:p>
    <w:p>
      <w:pPr>
        <w:spacing w:after="0" w:line="130" w:lineRule="exact"/>
        <w:rPr>
          <w:rFonts w:ascii="Arial" w:cs="Arial" w:eastAsia="Arial" w:hAnsi="Arial"/>
          <w:sz w:val="17"/>
          <w:szCs w:val="17"/>
          <w:color w:val="auto"/>
        </w:rPr>
      </w:pPr>
    </w:p>
    <w:p>
      <w:pPr>
        <w:ind w:left="580" w:right="2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studies or to produce, store and successfully distribute our products.</w:t>
      </w:r>
    </w:p>
    <w:p>
      <w:pPr>
        <w:spacing w:after="0" w:line="129"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46" w:lineRule="exact"/>
        <w:rPr>
          <w:rFonts w:ascii="Arial" w:cs="Arial" w:eastAsia="Arial" w:hAnsi="Arial"/>
          <w:sz w:val="18"/>
          <w:szCs w:val="18"/>
          <w:color w:val="auto"/>
        </w:rPr>
      </w:pPr>
    </w:p>
    <w:p>
      <w:pPr>
        <w:jc w:val="both"/>
        <w:ind w:left="580" w:right="20" w:hanging="572"/>
        <w:spacing w:after="0" w:line="26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43"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these risks could delay our development efforts, nonclinical studies and clinical studies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our industry, 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studies or in the future, could cause us or regulatory authorities to interrupt, restrict, delay, or halt clinical studies.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43"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them off the market;</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Strategy (REMS) plan to ensure that the benefits of the product outweigh its risks;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change the way a product is administered, conduct additional clinical studies or change the labeling of a product;</w:t>
      </w:r>
    </w:p>
    <w:p>
      <w:pPr>
        <w:spacing w:after="0" w:line="196" w:lineRule="exact"/>
        <w:rPr>
          <w:rFonts w:ascii="Arial" w:cs="Arial" w:eastAsia="Arial" w:hAnsi="Arial"/>
          <w:sz w:val="17"/>
          <w:szCs w:val="17"/>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Nonclinical studies may not be representative of disease behavior in clinical studies. The outcomes of nonclinical testing and clinical studies are uncertain, and results of nonclinical studies and earlier clinical studies may not be predictive of future clinical study results.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nonclinical studies may not be representative of disease behavior in a clinical setting and thus may not be predictive of the outcomes of our clinical studies. In addition, the results of nonclinical studies and early clinical studies of product candidates may not be predictive of the results of later-stage clinical studies, and the results of any study or trial for any of our product candidates may not be as favorable as the results for any prior studies or trials, if at all.</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Nonclinical studies and clinical testing are expensive, can take many years to complete and their outcomes are highly uncertain. Failure can occur at any time during the nonclinical study and clinical study processes due to inadequate performance of a drug candidate or inadequate adherence by patients or investigators to clinical study protocols. Further, clinical studies might not provide statistically significant data supporting a product candidate’s safety and effectiveness to obtain the requisite regulatory approvals. In addition, there is a high failure rate for drugs and biologics proceeding through clinical studies. Our failure to replicate earlier positive results in later-stage clinical studies or otherwise demonstrate the required characteristics to support marketing approval for any of our product candidates would substantially harm our business, prospects,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and retain additional qualified personnel, our ability to grow our business might be harmed.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2020, we had 139 employees and contracts with a number of temporary contractors, consultants and CROs.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 and any failure to do so could have a material adverse impact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and retain qualified employees, officers, or other significant personnel or experience increases in our compensation costs, our business might materially suffer.</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highly dependent on the services of our executive officers and senior management team. Our employment agreements with our executive officers and senior management team members do not ensure their retention. We do not currently maintain, nor do we intend to obtain in the future, “key man” life insurance that would compensate us in the event of the death or disability of any of the members of our management team. Our key management and scientific personnel are critical to our success, and loss of any of these key employees could have a material adverse impact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 Cure or Microbiome programs. We might never achieve or maintain profitability. We anticipate that our expenses will continue to be substantial in the foreseeable future as we:</w:t>
      </w:r>
    </w:p>
    <w:p>
      <w:pPr>
        <w:spacing w:after="0" w:line="122"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H0731, H2158 and H3733, our first three HBV product candidates, through clinical development;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M201, our first candidate from our Microbiome program, through Phase 1b clinical development;</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undertake research and discovery efforts to identify potential additional product candidates in both our HBV Cure and Microbiome programs;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studies or the development of any of our product candidates.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from the sale of products and achieve profitability will depend on, among other things:</w:t>
      </w:r>
    </w:p>
    <w:p>
      <w:pPr>
        <w:spacing w:after="0" w:line="130"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studies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 and/or obtaining regulatory exclusivity;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establishing manufacturing, distribution, sales, and marketing arrangements internally and/or with third parties for any approved products; and</w:t>
      </w:r>
    </w:p>
    <w:p>
      <w:pPr>
        <w:spacing w:after="0" w:line="196" w:lineRule="exact"/>
        <w:rPr>
          <w:rFonts w:ascii="Arial" w:cs="Arial" w:eastAsia="Arial" w:hAnsi="Arial"/>
          <w:sz w:val="17"/>
          <w:szCs w:val="17"/>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06"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studies;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failure to successfully commercialize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successfully develop products for commercial use.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 significant amounts of capital and takes a long time to reach commercial viability, if it can be achieved at all. To date, our research and development projects have not produced commercially approved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HBV therapy research and development efforts involve therapeutics based on modulating forms of HBV core proteins with core inhibitors. The development of our core inhibitor technology is in early stages, and the commercial feasibility and acceptance of our core inhibitor technology is unknown. More specifically, while there may be initial indications of decreasing cccDNA levels in some treated patients, the theory that treatment with core inhibitors may result in more rapid loss of cccDNA compared to conventional (standard of care) therapies is unproven. It is also unknown if the biomarkers assumed to be indicators of cccDNA pool levels (such as serum pgRNA, HBeAG, HBcrAg and, to a lesser extent, HBsAg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approved drug if there is not a corresponding medical benefit related to the underlying HBV infection.</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Our microbiome therapy candidates are in nonclinical and early clinical development, and our GEMICEL® dual-targeted release capsule formulation is novel and has not yet been shown to successfully deliver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successfully develop commercial products, we will be unable to generate revenue from the sale of products or build a sustainable or profitable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In 2018 and July 2020, the FDA granted Fast Track designation to H0731 and H2158, respectively, for the treatment of patients with chronic HBV infection. We may seek Fast Track designation for other product candidates, but there is no assurance that it will be granted.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seek a breakthrough therapy designation for one or more of our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For drugs that have been designated as breakthrough therapies, interaction and communication between the FDA and the sponsor can help to identify the most efficient path for clinical development. Drugs designated as breakthrough therapies by the FDA may also be eligible for accelerated approval.</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conventional FDA procedures and does not assure ultimate approval by the FDA. In addition, even if one or more of our product candidates qualify as breakthrough therapies, the FDA may later decide that the products no longer meet the conditions for qualification and rescind the designation.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anticipate that we will incur operating losses for the next several years as we continue to develop our product candidates and our Microbiome platform as well as initiate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or if clinical study timelines are accelerated. If that happens, we may need additional financing to continue the development of our HBV and microbiome product candidates, which we might seek and receive from the public financial markets, third-party commercial partners, private placements, debt financings or other sources. There is no assurance that we will be able to generate sufficient revenue from our collaborations or that we will be successful in raising any necessary additional capital on terms that are acceptable to us, or at all. For example, AbbVie recently provided notice of termination of the Allergan Collaboration Agreement, and we are currently exploring strategic alternatives to continue development of our Microbiome programs following the return of the rights licensed under the Allergan Collaboration Agreement. If other events such as this or other unforeseen circumstances occurred and we were unable to generate sufficient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jc w:val="both"/>
        <w:spacing w:after="0" w:line="311"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drugs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another prolonged government shutdown occurs, it could significantly impact the ability of the FDA to timely review and process our regulatory submissions or our ability to raise capital through the public financial markets, either of which could have a material adverse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an in-license relationship for each of our HBV Cure program and our Microbiome program.</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license agreement with IURTC from whom we have licensed H0731 and certain other HBV therapies, requires us to make milestone payments based upon the successful accomplishment of clinical and regulatory milestones related to H0731 and certain other HBV therapies and royalty payments and diligence fees. If we breach any of our obligations under our license agreement, we could lose our rights to H0731.</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license with Therabiome, from whom we have licensed a delivery platform for our Microbiome program, also requires us to pay regulatory and clinical milestones as well as royalty payments to Therabiome. If we breach any of these obligations, we could lose our rights to the targeted delivery mechanism of our Microbiome program.</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comply with our obligations to our licensors, then they may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For example, following its acquisition of Allergan, AbbVie made a strategic portfolio decision to terminate the Allergan Collaboration Agreement. The termination will be effective on October 10, 2020. We are currently exploring strategic alternatives to continue development of our Microbiome programs following the return of the rights licensed under the Allergan Collaboration Agreement.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collaboration, such as the one with AbbVie, is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data provided by our collaborators and others that has not been independently verified and could prove to be false, misleading, or incomplete.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adversely affect our business, results of operations and financial condition.</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this data from being compromised, and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studies, and those third parties may not perform satisfactorily, including failing to meet deadlines for the completion of such research, testing or trials.</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rely on the services of third parties to conduct studies on our behalf. If we are unable to retain or continue with third parties for these purposes on acceptable terms, we may be unable to successfully develop our product candidates. In addition, any failures by third parties to adequately perform their responsibilities may delay the submission of our product candidates for regulatory approval, which would impair our financial condition and business prospects.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and our reliance on third parties does not relieve us of our regulatory responsibilities. Furthermore, these third parties may also have relationships with other entities, some of which may be our competitors.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from the sale of products could be delayed.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UC, inflammatory bowel disease (IBD), including Crohn’s disease, IBS, immune-mediated and metabolic disorders and oncology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immune-mediated and metabolic disorders and oncology or any other indication or field we might pursue, and successfully commercialize those treatments, our business and prospects might be materially harmed, due to intense competition in these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jc w:val="both"/>
        <w:spacing w:after="0" w:line="308" w:lineRule="auto"/>
        <w:rPr>
          <w:sz w:val="20"/>
          <w:szCs w:val="20"/>
          <w:color w:val="auto"/>
        </w:rPr>
      </w:pPr>
      <w:r>
        <w:rPr>
          <w:rFonts w:ascii="Arial" w:cs="Arial" w:eastAsia="Arial" w:hAnsi="Arial"/>
          <w:sz w:val="17"/>
          <w:szCs w:val="17"/>
          <w:b w:val="1"/>
          <w:bCs w:val="1"/>
          <w:i w:val="1"/>
          <w:iCs w:val="1"/>
          <w:color w:val="auto"/>
        </w:rPr>
        <w:t>Companies with core inhibitor products or microbiome products may produce negative clinical data, which would adversely affect public perception of our product candidates, and may negatively impact regulatory approval of, or demand for, our potential products.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Negative data from clinical trials using core inhibitors or microbiome-based therapies (e.g., fecal transplant) could negatively impact the perception of the therapeutic use of our HBV or microbiome product candidates, respectively. This could negatively impact our ability to enroll patients in clinical trials. The clinical and commercial success of our potential products will depend in part on the public and clinical communities’ acceptance of the use of core inhibitor product candidates and oral live microbial biotherapeutic products (LBPs). Moreover, our success depends upon physicians prescribing, and their patients being willing to receive, treatments that involve the use of core inhibitor product candidates or LBPs we may develop in lieu of, or in addition to, existing treatments with which they are already familiar and for which more clinical data may be available. Adverse events in our preclinical studies or clinical trials or those of our competitors or of academic researchers utilizing core inhibitor therapies or microbiome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43"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assimilating the acquired technologies, products or business operations;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successfully develop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manufacturing testing and clinical studies of each product candidate, is lengthy, expensive, and uncertain. We or our collaborators must obtain and maintain regulatory authorization to conduct clinical studies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 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30"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Once a product candidate is approved, numerous post-approval requirements apply. Among other things, we and our collaborators will be subject to requirements regarding testing, manufacturing, quality control, clinical studies,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studies. The FDA also has the authority to require changes in the labeling of approved drug products and to require post-marketing studies. The FDA can also impose distribution and use restrictions under a REMS.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jc w:val="both"/>
        <w:spacing w:after="0" w:line="254" w:lineRule="auto"/>
        <w:rPr>
          <w:sz w:val="20"/>
          <w:szCs w:val="20"/>
          <w:color w:val="auto"/>
        </w:rPr>
      </w:pPr>
      <w:r>
        <w:rPr>
          <w:rFonts w:ascii="Arial" w:cs="Arial" w:eastAsia="Arial" w:hAnsi="Arial"/>
          <w:sz w:val="18"/>
          <w:szCs w:val="18"/>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license revocation or refusal to allow us to enter into supply contracts, including government contracts. In addition, even if we comply with FDA and other requirements, new information regarding the safety or effectiveness of a product could lead the FDA to modify or withdraw product approval or revise product labeling.</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3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never commercialized a product, and even if any product candidate of ours is approved by the appropriate regulatory authorities for marketing and sale, it may nonetheless fail to gain sufficient market acceptance by physicians, patients, third-party payors and others in the medical community. Physicians may be reluctant to take their patients off their current medications and switch their treatment regimen. Further, patients often acclimate to the treatment regime that they are currently taking and do not want to switch unless their physicians recommend switching products or they are required to switch due to lack of coverage and adequate reimbursement. In addition, even if we are able to demonstrate our product candidates’ safety and efficacy to the FDA and other regulators, safety or efficacy concerns in the medical community may hinder market acceptance.</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including management time and financial resources, and may not be successful. If any of our product candidates are approved but do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160"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5540" w:right="5280" w:hanging="5532"/>
        <w:spacing w:after="0" w:line="606" w:lineRule="auto"/>
        <w:tabs>
          <w:tab w:leader="none" w:pos="5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potential advantages of the product compared to competitive therapies;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and adequacy of coverage and reimbursement from government payors, managed care plans and other third-party payors.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ACA.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98"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(which was increased to 70% as of January 1, 2019 under the Bipartisan Budget Act of 2018 (BBA));</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and the long ranging effects of these challenges on reimbursement by third-party payors, the viability of the ACA marketplace, providers, and potentially, our business are unknown at this time. In addition, the full impact of the ACA, any law repealing and/or replacing elements of it, and the political uncertainty surrounding any repeal or replacement legislation on our business remains unclear.</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 in July 2020, President Trump signed four Executive Orders aimed at lowering drug prices. The Executive Orders direct the Secretary of the U.S. Department of Health and Human Services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permitting the re-importation of insulin products and prioritizing 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Federally Qualified Health Center (FQHC) as part of the 340B drug program to purchase those drugs at the discounted price paid by the FQHC. It is unclear if, when, and to what extent the Executive Orders may be implemented. The regulatory and market implications of the Executive Orders are unknown at this time, but legislation, regulations or policies allowing the reimportation of drugs, if enacted and implemented, could decrease the price we receive for any products that we may develop and commercialize and could adversely affect our future revenues and prospects for profitability.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from the sale of products, and to achieve and maintain profitability.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There are ambiguities as to what is required to comply with these requirements, and if we fail to comply with any applicable federal, state or foreign legal requirement, we could be subject to penalties.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Regulators globally are imposing greater monetary fines for privacy violations. The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and services or even prevent us from offering certain products in jurisdictions that we may operate in. Given the limited enforcement of the GDPR to date, particularly in the pharmaceutical space, we face uncertainty as to the exact interpretation of the new requirements on our trials and we may be unsuccessful in implementing all measures required by data protection authorities or courts in interpretation of the new law.</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California recently enacted the CCPA, which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trial regulations, as currently written, the CCPA may impact our business activities. The California Attorney General has proposed final proposed regulations, which have not been approved to date, that may further impact our business activities if they are adopted. The uncertainty surrounding the implementation of CCPA exemplifies the vulnerability of our business to the evolving regulatory environment related to personal data and protected health information.</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jc w:val="both"/>
        <w:spacing w:after="0" w:line="254" w:lineRule="auto"/>
        <w:rPr>
          <w:sz w:val="20"/>
          <w:szCs w:val="20"/>
          <w:color w:val="auto"/>
        </w:rPr>
      </w:pPr>
      <w:r>
        <w:rPr>
          <w:rFonts w:ascii="Arial" w:cs="Arial" w:eastAsia="Arial" w:hAnsi="Arial"/>
          <w:sz w:val="18"/>
          <w:szCs w:val="18"/>
          <w:color w:val="auto"/>
        </w:rPr>
        <w:t>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185"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laws;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Misconduct could also involve the improper use or misrepresentation of information obtained in the course of clinical studies, creating fraudulent data in our nonclinical studies or clinical studies or illegal misappropriation of product materials, which could result in regulatory sanctions, delays in clinical studies,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studies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210"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tariffs, war and terrorism, natural disasters or outbreaks of disease, such as the spread of the novel strain of coronavirus and the resulting COVID-19 pandemic impacting all countries, including China.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jc w:val="both"/>
        <w:spacing w:after="0" w:line="270"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we and our licensors have filed patent applications intended to cover our products candidates and their methods of use. Although we co-own and have in-licensed two issued patents in the U.S. directed to compositions of matter that includes H0731, which are expected to expire in 2035 and 2036, and we have in-licensed issued U.S. patents related to delivery technology for our Microbiome program, which are expected to expire in 2034, we do not own or have any rights to any issued patents that cover any of our other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30"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196"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43"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43"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collaborators and other parties, and the breach of these agreements could adversely affect our business and prospects.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disclosure to or misappropriation by third parties of our patents, trade secrets or confidential information could compromise our competitive position. 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in the future be involved in legal or administrative proceedings involving our intellectual property initiated by third parties, and which proceedings can result in significant costs and commitment of management time and attention and could put our patents in these territories at risk of being invalidated or interpreted narrowly, or our patent applications at risk of not being granted and could provoke third parties to assert claims against us.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This system includes procedures for challenging issued patents and pending patent applications, which may create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5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96"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580" w:hanging="572"/>
        <w:spacing w:after="0" w:line="286"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 In China, although the government has recently been increasingly active in policing counterfeit pharmaceuticals, there is not yet an effective counterfeit pharmaceutical regulation control and enforcement system.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43"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progress, results and timing of our clinical studies and nonclinical studies and other studies involving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issuance of new or changed securities analysts’ reports or recommendations, or the announcement of any changes to our credit rating;</w:t>
      </w:r>
    </w:p>
    <w:p>
      <w:pPr>
        <w:spacing w:after="0" w:line="196" w:lineRule="exact"/>
        <w:rPr>
          <w:rFonts w:ascii="Arial" w:cs="Arial" w:eastAsia="Arial" w:hAnsi="Arial"/>
          <w:sz w:val="17"/>
          <w:szCs w:val="17"/>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this year, the stock market has experienced significant price and volume fluctuations related to the COVID-19 pandemic. This volatility has had a significant impact on the market price of our common stock and securities issued by many companies across many industries. The changes frequently appear to occur without regard to the operating performance of the affected companies. Accordingly, the price of our common stock could fluctuate based upon factors unrelated to our business and operations, and these fluctuations could materially reduce our share price.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Global Select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Global Select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Global Select Market. A delisting of our common stock from the Nasdaq Global Select Market and our inability to list the stock on another national securities exchange could negatively impact us by: (1) reducing the liquidity and market price of our common stock; (2) reducing the number of investors willing to hold or acquire our common stock, which could negatively impact our ability to raise equity financing; (3) limiting our ability to use a registration statement to offer and sell freely tradable securities, thereby preventing us from accessing the public capital markets and (4) impairing our ability to provide equity incentives to our employees.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2019, we had potentially utilizable gross Federal net operating loss carryforwards of $297.6 million with $182.9 million of net operating losses that carry forward indefinitely and $114.7 million of net operating losses which begin to expire in 2027. There are State net operating loss carryforwards of $309.3 million with $1.0 million carrying forward indefinitely and $308.3 million beginning to expire in 2031. In addition, we have Federal research and development credit carryforwards of $9.0 million which begin to expire in 2028 if not utilized and California research and development credit carryforwards of $5.3 million, which will carryforward indefinitely.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$39.8 million of our $337.4 million of Federal net operating losses will not be available to us to offset future taxable income leaving potentially utilizable gross Federal net operating loss carryforwards of $297.6 million.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7"/>
          <w:szCs w:val="17"/>
          <w:color w:val="auto"/>
        </w:rPr>
        <w:t>In addition, under the Tax Cust and Jobs Act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 Coronavirus Aid, Relief, and Economic Security Act (CARES Act) was signed into law by President Trump in March 2020. The CARES Act allows NOLs in tax periods beginning after December 31, 2017 and beginning before January 1, 2021 to be carried back five years, carried forward indefinitely, and permitted to deduct 100% of our taxable income for tax periods beginning before January 1, 2021. In tax periods beginning after December 31, 2020, the 80% taxable income limit discussed above will apply to all U.S. NOLs generated in taxable periods beginning after December 31, 2017.</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due to ownership changes, changes in law or other unforeseen reasons, our existing NOLs could expire or otherwise be unavailable to offset future income tax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face increased legal, accounting, administrative and other costs and expenses not faced by private companies. We have incurred and will continue to incur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We are subject to the reporting requirements of the Exchange Act, which requires that we file annual, quarterly and current reports with respect to our business and financial condition, and the rules and regulations implemented by the SEC, the Sarbanes-Oxley Act, and the listing standards of the Nasdaq Global Select Market, each of which imposes additional reporting and other obligations on public companies. Although we are currently unable to estimate these costs with any degree of certainty, we expect that the requirements of these rules and regulations will continue to increase our legal, accounting and financial compliance costs, make some activities more difficult, time consuming and costly and place significant strain on our personnel, systems and resources. These increased costs will require us to divert a significant amount of money that we could otherwise use to develop our product candidates or otherwise expand our business. Complying with these requirements might divert management’s attention from other business concerns, which could have a material adverse effect on our prospects, business, and financial condition. If we are unable to satisfy our obligations as a public company, we could be subject to delisting of our common stock, fines, sanctions and other regulatory action and potentially civil litigation.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06" w:lineRule="exact"/>
        <w:rPr>
          <w:sz w:val="20"/>
          <w:szCs w:val="20"/>
          <w:color w:val="auto"/>
        </w:rPr>
      </w:pPr>
    </w:p>
    <w:p>
      <w:pPr>
        <w:ind w:left="580" w:right="20" w:hanging="572"/>
        <w:spacing w:after="0" w:line="27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could decline rapidly. If one or more analysts cease coverage of our company, we could lose visibility in the market, which in turn could cause our stock price to decline.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Filed</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gridSpan w:val="2"/>
            <w:vMerge w:val="continue"/>
          </w:tcPr>
          <w:p>
            <w:pPr>
              <w:spacing w:after="0"/>
              <w:rPr>
                <w:sz w:val="12"/>
                <w:szCs w:val="12"/>
                <w:color w:val="auto"/>
              </w:rPr>
            </w:pPr>
          </w:p>
        </w:tc>
        <w:tc>
          <w:tcPr>
            <w:tcW w:w="590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Description of Document</w:t>
            </w:r>
          </w:p>
        </w:tc>
        <w:tc>
          <w:tcPr>
            <w:tcW w:w="8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5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60" w:type="dxa"/>
        <w:tblCellMar>
          <w:top w:w="0" w:type="dxa"/>
          <w:left w:w="0" w:type="dxa"/>
          <w:bottom w:w="0" w:type="dxa"/>
          <w:right w:w="0" w:type="dxa"/>
        </w:tblCellMar>
      </w:tblPr>
      <w:tr>
        <w:trPr>
          <w:trHeight w:val="207"/>
        </w:trPr>
        <w:tc>
          <w:tcPr>
            <w:tcW w:w="980" w:type="dxa"/>
            <w:vAlign w:val="bottom"/>
          </w:tcPr>
          <w:p>
            <w:pPr>
              <w:jc w:val="right"/>
              <w:ind w:right="590"/>
              <w:spacing w:after="0"/>
              <w:rPr>
                <w:sz w:val="20"/>
                <w:szCs w:val="20"/>
                <w:color w:val="auto"/>
              </w:rPr>
            </w:pPr>
            <w:r>
              <w:rPr>
                <w:rFonts w:ascii="Arial" w:cs="Arial" w:eastAsia="Arial" w:hAnsi="Arial"/>
                <w:sz w:val="18"/>
                <w:szCs w:val="18"/>
                <w:color w:val="auto"/>
              </w:rPr>
              <w:t>3.1</w:t>
            </w:r>
          </w:p>
        </w:tc>
        <w:tc>
          <w:tcPr>
            <w:tcW w:w="6100" w:type="dxa"/>
            <w:vAlign w:val="bottom"/>
            <w:gridSpan w:val="4"/>
          </w:tcPr>
          <w:p>
            <w:pPr>
              <w:spacing w:after="0"/>
              <w:rPr>
                <w:rFonts w:ascii="Arial" w:cs="Arial" w:eastAsia="Arial" w:hAnsi="Arial"/>
                <w:sz w:val="18"/>
                <w:szCs w:val="18"/>
                <w:color w:val="0000EE"/>
                <w:w w:val="94"/>
              </w:rPr>
            </w:pPr>
            <w:hyperlink r:id="rId86">
              <w:r>
                <w:rPr>
                  <w:rFonts w:ascii="Arial" w:cs="Arial" w:eastAsia="Arial" w:hAnsi="Arial"/>
                  <w:sz w:val="18"/>
                  <w:szCs w:val="18"/>
                  <w:color w:val="0000EE"/>
                  <w:w w:val="94"/>
                </w:rPr>
                <w:t>Fifth Amended and Restated Certificate of Incorporation, effective as of June 12,</w:t>
              </w:r>
            </w:hyperlink>
          </w:p>
        </w:tc>
        <w:tc>
          <w:tcPr>
            <w:tcW w:w="3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86">
              <w:r>
                <w:rPr>
                  <w:rFonts w:ascii="Arial" w:cs="Arial" w:eastAsia="Arial" w:hAnsi="Arial"/>
                  <w:sz w:val="18"/>
                  <w:szCs w:val="18"/>
                  <w:color w:val="0000EE"/>
                  <w:w w:val="84"/>
                </w:rPr>
                <w:t>2020.</w:t>
              </w:r>
            </w:hyperlink>
          </w:p>
        </w:tc>
        <w:tc>
          <w:tcPr>
            <w:tcW w:w="980" w:type="dxa"/>
            <w:vAlign w:val="bottom"/>
            <w:tcBorders>
              <w:top w:val="single" w:sz="8" w:color="0000EE"/>
            </w:tcBorders>
          </w:tcPr>
          <w:p>
            <w:pPr>
              <w:spacing w:after="0"/>
              <w:rPr>
                <w:sz w:val="17"/>
                <w:szCs w:val="17"/>
                <w:color w:val="auto"/>
              </w:rPr>
            </w:pPr>
          </w:p>
        </w:tc>
        <w:tc>
          <w:tcPr>
            <w:tcW w:w="44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980" w:type="dxa"/>
            <w:vAlign w:val="bottom"/>
          </w:tcPr>
          <w:p>
            <w:pPr>
              <w:jc w:val="right"/>
              <w:ind w:right="590"/>
              <w:spacing w:after="0"/>
              <w:rPr>
                <w:sz w:val="20"/>
                <w:szCs w:val="20"/>
                <w:color w:val="auto"/>
              </w:rPr>
            </w:pPr>
            <w:r>
              <w:rPr>
                <w:rFonts w:ascii="Arial" w:cs="Arial" w:eastAsia="Arial" w:hAnsi="Arial"/>
                <w:sz w:val="18"/>
                <w:szCs w:val="18"/>
                <w:color w:val="auto"/>
              </w:rPr>
              <w:t>3.2</w:t>
            </w:r>
          </w:p>
        </w:tc>
        <w:tc>
          <w:tcPr>
            <w:tcW w:w="6100" w:type="dxa"/>
            <w:vAlign w:val="bottom"/>
            <w:gridSpan w:val="4"/>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Amended and Restated Bylaws of Assembly Biosciences, Inc.</w:t>
              </w:r>
            </w:hyperlink>
          </w:p>
        </w:tc>
        <w:tc>
          <w:tcPr>
            <w:tcW w:w="380" w:type="dxa"/>
            <w:vAlign w:val="bottom"/>
          </w:tcPr>
          <w:p>
            <w:pPr>
              <w:spacing w:after="0"/>
              <w:rPr>
                <w:sz w:val="24"/>
                <w:szCs w:val="24"/>
                <w:color w:val="auto"/>
              </w:rPr>
            </w:pPr>
          </w:p>
        </w:tc>
      </w:tr>
      <w:tr>
        <w:trPr>
          <w:trHeight w:val="297"/>
        </w:trPr>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10.1#</w:t>
            </w:r>
          </w:p>
        </w:tc>
        <w:tc>
          <w:tcPr>
            <w:tcW w:w="6100" w:type="dxa"/>
            <w:vAlign w:val="bottom"/>
            <w:gridSpan w:val="4"/>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Amendment No. 3 to Assembly Biosciences, Inc. 2018 Stock Incentive Plan.</w:t>
              </w:r>
            </w:hyperlink>
          </w:p>
        </w:tc>
        <w:tc>
          <w:tcPr>
            <w:tcW w:w="380" w:type="dxa"/>
            <w:vAlign w:val="bottom"/>
          </w:tcPr>
          <w:p>
            <w:pPr>
              <w:spacing w:after="0"/>
              <w:rPr>
                <w:sz w:val="24"/>
                <w:szCs w:val="24"/>
                <w:color w:val="auto"/>
              </w:rPr>
            </w:pPr>
          </w:p>
        </w:tc>
      </w:tr>
      <w:tr>
        <w:trPr>
          <w:trHeight w:val="256"/>
        </w:trPr>
        <w:tc>
          <w:tcPr>
            <w:tcW w:w="980" w:type="dxa"/>
            <w:vAlign w:val="bottom"/>
          </w:tcPr>
          <w:p>
            <w:pPr>
              <w:jc w:val="right"/>
              <w:ind w:right="590"/>
              <w:spacing w:after="0"/>
              <w:rPr>
                <w:sz w:val="20"/>
                <w:szCs w:val="20"/>
                <w:color w:val="auto"/>
              </w:rPr>
            </w:pPr>
            <w:r>
              <w:rPr>
                <w:rFonts w:ascii="Arial" w:cs="Arial" w:eastAsia="Arial" w:hAnsi="Arial"/>
                <w:sz w:val="18"/>
                <w:szCs w:val="18"/>
                <w:color w:val="auto"/>
                <w:w w:val="79"/>
              </w:rPr>
              <w:t>31.1</w:t>
            </w:r>
          </w:p>
        </w:tc>
        <w:tc>
          <w:tcPr>
            <w:tcW w:w="6100" w:type="dxa"/>
            <w:vAlign w:val="bottom"/>
            <w:gridSpan w:val="4"/>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Certification of Chief Executive Officer Pursuant to Section 302 of the Sarbanes-</w:t>
              </w:r>
            </w:hyperlink>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196"/>
        </w:trPr>
        <w:tc>
          <w:tcPr>
            <w:tcW w:w="980" w:type="dxa"/>
            <w:vAlign w:val="bottom"/>
          </w:tcPr>
          <w:p>
            <w:pPr>
              <w:spacing w:after="0"/>
              <w:rPr>
                <w:sz w:val="17"/>
                <w:szCs w:val="17"/>
                <w:color w:val="auto"/>
              </w:rPr>
            </w:pPr>
          </w:p>
        </w:tc>
        <w:tc>
          <w:tcPr>
            <w:tcW w:w="58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Oxley Act of 2002.</w:t>
              </w:r>
            </w:hyperlink>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06/16/2020</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3.1</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06/16/2020</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3.2</w:t>
            </w:r>
          </w:p>
        </w:tc>
      </w:tr>
      <w:tr>
        <w:trPr>
          <w:trHeight w:val="297"/>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06/16/2020</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5"/>
              </w:rPr>
              <w:t>10.1</w:t>
            </w:r>
          </w:p>
        </w:tc>
      </w:tr>
    </w:tbl>
    <w:p>
      <w:pPr>
        <w:spacing w:after="0" w:line="562" w:lineRule="exact"/>
        <w:rPr>
          <w:sz w:val="20"/>
          <w:szCs w:val="20"/>
          <w:color w:val="auto"/>
        </w:rPr>
      </w:pPr>
    </w:p>
    <w:p>
      <w:pPr>
        <w:sectPr>
          <w:pgSz w:w="11900" w:h="16838" w:orient="portrait"/>
          <w:cols w:equalWidth="0" w:num="2">
            <w:col w:w="7740" w:space="720"/>
            <w:col w:w="27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60"/>
              <w:spacing w:after="0"/>
              <w:rPr>
                <w:sz w:val="20"/>
                <w:szCs w:val="20"/>
                <w:color w:val="auto"/>
              </w:rPr>
            </w:pPr>
            <w:r>
              <w:rPr>
                <w:rFonts w:ascii="Arial" w:cs="Arial" w:eastAsia="Arial" w:hAnsi="Arial"/>
                <w:sz w:val="18"/>
                <w:szCs w:val="18"/>
                <w:color w:val="auto"/>
              </w:rPr>
              <w:t>31.2</w:t>
            </w:r>
          </w:p>
        </w:tc>
        <w:tc>
          <w:tcPr>
            <w:tcW w:w="6100" w:type="dxa"/>
            <w:vAlign w:val="bottom"/>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 of the Chief Financial Officer Pursuant to Section 302 of the</w:t>
              </w:r>
            </w:hyperlink>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196"/>
        </w:trPr>
        <w:tc>
          <w:tcPr>
            <w:tcW w:w="10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tcPr>
          <w:p>
            <w:pPr>
              <w:spacing w:after="0"/>
              <w:rPr>
                <w:sz w:val="17"/>
                <w:szCs w:val="17"/>
                <w:color w:val="auto"/>
              </w:rPr>
            </w:pPr>
          </w:p>
        </w:tc>
        <w:tc>
          <w:tcPr>
            <w:tcW w:w="8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277"/>
        </w:trPr>
        <w:tc>
          <w:tcPr>
            <w:tcW w:w="1040" w:type="dxa"/>
            <w:vAlign w:val="bottom"/>
          </w:tcPr>
          <w:p>
            <w:pPr>
              <w:ind w:left="60"/>
              <w:spacing w:after="0"/>
              <w:rPr>
                <w:sz w:val="20"/>
                <w:szCs w:val="20"/>
                <w:color w:val="auto"/>
              </w:rPr>
            </w:pPr>
            <w:r>
              <w:rPr>
                <w:rFonts w:ascii="Arial" w:cs="Arial" w:eastAsia="Arial" w:hAnsi="Arial"/>
                <w:sz w:val="18"/>
                <w:szCs w:val="18"/>
                <w:color w:val="auto"/>
              </w:rPr>
              <w:t>32.1*</w:t>
            </w:r>
          </w:p>
        </w:tc>
        <w:tc>
          <w:tcPr>
            <w:tcW w:w="6100" w:type="dxa"/>
            <w:vAlign w:val="bottom"/>
            <w:gridSpan w:val="5"/>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Certification of Chief Executive Officer Pursuant to Section 906 of the Sarbanes-</w:t>
              </w:r>
            </w:hyperlink>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196"/>
        </w:trPr>
        <w:tc>
          <w:tcPr>
            <w:tcW w:w="1040" w:type="dxa"/>
            <w:vAlign w:val="bottom"/>
          </w:tcPr>
          <w:p>
            <w:pPr>
              <w:spacing w:after="0"/>
              <w:rPr>
                <w:sz w:val="17"/>
                <w:szCs w:val="17"/>
                <w:color w:val="auto"/>
              </w:rPr>
            </w:pPr>
          </w:p>
        </w:tc>
        <w:tc>
          <w:tcPr>
            <w:tcW w:w="58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Oxley Act of 2002.</w:t>
              </w:r>
            </w:hyperlink>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7"/>
        </w:trPr>
        <w:tc>
          <w:tcPr>
            <w:tcW w:w="1040" w:type="dxa"/>
            <w:vAlign w:val="bottom"/>
          </w:tcPr>
          <w:p>
            <w:pPr>
              <w:ind w:left="60"/>
              <w:spacing w:after="0"/>
              <w:rPr>
                <w:sz w:val="20"/>
                <w:szCs w:val="20"/>
                <w:color w:val="auto"/>
              </w:rPr>
            </w:pPr>
            <w:r>
              <w:rPr>
                <w:rFonts w:ascii="Arial" w:cs="Arial" w:eastAsia="Arial" w:hAnsi="Arial"/>
                <w:sz w:val="18"/>
                <w:szCs w:val="18"/>
                <w:color w:val="auto"/>
              </w:rPr>
              <w:t>32.2*</w:t>
            </w:r>
          </w:p>
        </w:tc>
        <w:tc>
          <w:tcPr>
            <w:tcW w:w="6100" w:type="dxa"/>
            <w:vAlign w:val="bottom"/>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Certification of the Chief Financial Officer Pursuant to Section 906 of the</w:t>
              </w:r>
            </w:hyperlink>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196"/>
        </w:trPr>
        <w:tc>
          <w:tcPr>
            <w:tcW w:w="10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tcPr>
          <w:p>
            <w:pPr>
              <w:spacing w:after="0"/>
              <w:rPr>
                <w:sz w:val="17"/>
                <w:szCs w:val="17"/>
                <w:color w:val="auto"/>
              </w:rPr>
            </w:pPr>
          </w:p>
        </w:tc>
        <w:tc>
          <w:tcPr>
            <w:tcW w:w="8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61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61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61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61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61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610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with applicable</w:t>
            </w:r>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230"/>
        </w:trPr>
        <w:tc>
          <w:tcPr>
            <w:tcW w:w="1040" w:type="dxa"/>
            <w:vAlign w:val="bottom"/>
          </w:tcPr>
          <w:p>
            <w:pPr>
              <w:spacing w:after="0"/>
              <w:rPr>
                <w:sz w:val="20"/>
                <w:szCs w:val="20"/>
                <w:color w:val="auto"/>
              </w:rPr>
            </w:pPr>
          </w:p>
        </w:tc>
        <w:tc>
          <w:tcPr>
            <w:tcW w:w="6100" w:type="dxa"/>
            <w:vAlign w:val="bottom"/>
            <w:gridSpan w:val="5"/>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380" w:type="dxa"/>
            <w:vAlign w:val="bottom"/>
          </w:tcPr>
          <w:p>
            <w:pPr>
              <w:spacing w:after="0"/>
              <w:rPr>
                <w:sz w:val="20"/>
                <w:szCs w:val="20"/>
                <w:color w:val="auto"/>
              </w:rPr>
            </w:pPr>
          </w:p>
        </w:tc>
      </w:tr>
    </w:tbl>
    <w:p>
      <w:pPr>
        <w:spacing w:after="0" w:line="202"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jc w:val="both"/>
        <w:ind w:left="580" w:hanging="572"/>
        <w:spacing w:after="0" w:line="253"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 and are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5, 2020</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5, 2020</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3540" w:type="dxa"/>
            <w:vAlign w:val="bottom"/>
          </w:tcPr>
          <w:p>
            <w:pPr>
              <w:spacing w:after="0"/>
              <w:rPr>
                <w:sz w:val="24"/>
                <w:szCs w:val="24"/>
                <w:color w:val="auto"/>
              </w:rPr>
            </w:pP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65</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Thomas J. Russo, CFA,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June 30, 2020 as filed with the Securities and Exchange Commission on or about the date hereof (the Report), I, John G. McHutchison, A.O., M.D., Chief Executive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June 30, 2020 as filed with the Securities and Exchange Commission on or about the date hereof (the Report), I, Thomas J. Russo, CFA, Chief Financial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Russo, CFA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August 5,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o"/>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lvl w:ilvl="1">
      <w:lvlJc w:val="left"/>
      <w:lvlText w:val="o"/>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86" Type="http://schemas.openxmlformats.org/officeDocument/2006/relationships/hyperlink" Target="http://www.sec.gov/Archives/edgar/data/0001426800/000156459020029542/asmb-ex31_26.htm" TargetMode="External"/><Relationship Id="rId87" Type="http://schemas.openxmlformats.org/officeDocument/2006/relationships/hyperlink" Target="http://www.sec.gov/Archives/edgar/data/0001426800/000156459020029542/asmb-ex32_24.htm" TargetMode="External"/><Relationship Id="rId88" Type="http://schemas.openxmlformats.org/officeDocument/2006/relationships/hyperlink" Target="http://www.sec.gov/Archives/edgar/data/0001426800/000156459020029542/asmb-ex101_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2020-08-05T15:49:34Z</dcterms:created>
  <dcterms:modified xsi:type="dcterms:W3CDTF">2020-08-05T15:49:34Z</dcterms:modified>
</cp:coreProperties>
</file>