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smb-20250331.htm"/>
      <w:bookmarkStart w:id="1" w:name="ksasmb20250331"/>
      <w:bookmarkEnd w:id="0"/>
      <w:bookmarkEnd w:id="1"/>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FORM 10-Q</w:t>
      </w:r>
    </w:p>
    <w:p>
      <w:pPr>
        <w:pStyle w:val="TextBody"/>
        <w:pBdr>
          <w:bottom w:val="single" w:sz="4" w:space="1" w:color="000000"/>
        </w:pBdr>
        <w:bidi w:val="0"/>
        <w:jc w:val="center"/>
        <w:rPr/>
      </w:pPr>
      <w:r>
        <w:rPr/>
        <w:t> </w:t>
      </w:r>
    </w:p>
    <w:p>
      <w:pPr>
        <w:pStyle w:val="TextBody"/>
        <w:bidi w:val="0"/>
        <w:jc w:val="both"/>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quarterly period ended March 31, 2025</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OR</w:t>
      </w:r>
    </w:p>
    <w:p>
      <w:pPr>
        <w:pStyle w:val="TextBody"/>
        <w:bidi w:val="0"/>
        <w:jc w:val="both"/>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transition period from ___________to___________.</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Commission file number: 001-35005</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ASSEMBLY BIOSCIENCES, INC.</w:t>
      </w:r>
    </w:p>
    <w:p>
      <w:pPr>
        <w:pStyle w:val="TextBody"/>
        <w:bidi w:val="0"/>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bidi w:val="0"/>
        <w:jc w:val="both"/>
        <w:rPr/>
      </w:pPr>
      <w:r>
        <w:rPr/>
        <w:t> </w:t>
      </w:r>
    </w:p>
    <w:tbl>
      <w:tblPr>
        <w:tblW w:w="4952" w:type="dxa"/>
        <w:jc w:val="left"/>
        <w:tblInd w:w="0" w:type="dxa"/>
        <w:tblLayout w:type="fixed"/>
        <w:tblCellMar>
          <w:top w:w="28" w:type="dxa"/>
          <w:left w:w="28" w:type="dxa"/>
          <w:bottom w:w="28" w:type="dxa"/>
          <w:right w:w="28" w:type="dxa"/>
        </w:tblCellMar>
      </w:tblPr>
      <w:tblGrid>
        <w:gridCol w:w="2236"/>
        <w:gridCol w:w="2716"/>
      </w:tblGrid>
      <w:tr>
        <w:trPr/>
        <w:tc>
          <w:tcPr>
            <w:tcW w:w="223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20-8729264</w:t>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 of</w:t>
            </w:r>
          </w:p>
        </w:tc>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 Identification No.)</w:t>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incorporation or organization)</w:t>
            </w:r>
          </w:p>
        </w:tc>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3782" w:type="dxa"/>
        <w:jc w:val="left"/>
        <w:tblInd w:w="0" w:type="dxa"/>
        <w:tblLayout w:type="fixed"/>
        <w:tblCellMar>
          <w:top w:w="28" w:type="dxa"/>
          <w:left w:w="28" w:type="dxa"/>
          <w:bottom w:w="28" w:type="dxa"/>
          <w:right w:w="28" w:type="dxa"/>
        </w:tblCellMar>
      </w:tblPr>
      <w:tblGrid>
        <w:gridCol w:w="2926"/>
        <w:gridCol w:w="856"/>
      </w:tblGrid>
      <w:tr>
        <w:trPr/>
        <w:tc>
          <w:tcPr>
            <w:tcW w:w="292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Two Tower Place, 7th Floor</w:t>
            </w:r>
          </w:p>
        </w:tc>
        <w:tc>
          <w:tcPr>
            <w:tcW w:w="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South San Francisco, California</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94080</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(Address of principal executive offices)</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(zip code)</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(833) 509-4583</w:t>
      </w:r>
    </w:p>
    <w:p>
      <w:pPr>
        <w:pStyle w:val="TextBody"/>
        <w:bidi w:val="0"/>
        <w:jc w:val="center"/>
        <w:rPr>
          <w:rFonts w:ascii="Times New Roman" w:hAnsi="Times New Roman"/>
          <w:color w:val="000000"/>
          <w:sz w:val="18"/>
        </w:rPr>
      </w:pPr>
      <w:r>
        <w:rPr>
          <w:rFonts w:ascii="Times New Roman" w:hAnsi="Times New Roman"/>
          <w:color w:val="000000"/>
          <w:sz w:val="18"/>
        </w:rPr>
        <w:t>(Registrant’s telephone number, including area code)</w:t>
      </w:r>
    </w:p>
    <w:p>
      <w:pPr>
        <w:pStyle w:val="TextBody"/>
        <w:pBdr>
          <w:bottom w:val="single" w:sz="4" w:space="1" w:color="000000"/>
        </w:pBdr>
        <w:bidi w:val="0"/>
        <w:spacing w:before="0" w:after="12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both"/>
        <w:rPr/>
      </w:pPr>
      <w:r>
        <w:rPr/>
        <w:t> </w:t>
      </w:r>
    </w:p>
    <w:tbl>
      <w:tblPr>
        <w:tblW w:w="7158" w:type="dxa"/>
        <w:jc w:val="left"/>
        <w:tblInd w:w="0" w:type="dxa"/>
        <w:tblLayout w:type="fixed"/>
        <w:tblCellMar>
          <w:top w:w="28" w:type="dxa"/>
          <w:left w:w="28" w:type="dxa"/>
          <w:bottom w:w="28" w:type="dxa"/>
          <w:right w:w="28" w:type="dxa"/>
        </w:tblCellMar>
      </w:tblPr>
      <w:tblGrid>
        <w:gridCol w:w="2506"/>
        <w:gridCol w:w="1426"/>
        <w:gridCol w:w="3226"/>
      </w:tblGrid>
      <w:tr>
        <w:trPr/>
        <w:tc>
          <w:tcPr>
            <w:tcW w:w="250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25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25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40" w:after="283"/>
              <w:jc w:val="center"/>
              <w:rPr>
                <w:rFonts w:ascii="Times New Roman" w:hAnsi="Times New Roman"/>
                <w:color w:val="000000"/>
                <w:sz w:val="18"/>
              </w:rPr>
            </w:pPr>
            <w:r>
              <w:rPr>
                <w:rFonts w:ascii="Times New Roman" w:hAnsi="Times New Roman"/>
                <w:color w:val="000000"/>
                <w:sz w:val="18"/>
              </w:rPr>
              <w:t>Common Stock, par value $0.001</w:t>
            </w:r>
          </w:p>
        </w:tc>
        <w:tc>
          <w:tcPr>
            <w:tcW w:w="1426" w:type="dxa"/>
            <w:tcBorders>
              <w:bottom w:val="single" w:sz="8" w:space="0" w:color="000000"/>
              <w:right w:val="single" w:sz="8" w:space="0" w:color="000000"/>
            </w:tcBorders>
            <w:tcMar>
              <w:top w:w="0" w:type="dxa"/>
              <w:left w:w="0" w:type="dxa"/>
            </w:tcMar>
            <w:vAlign w:val="center"/>
          </w:tcPr>
          <w:p>
            <w:pPr>
              <w:pStyle w:val="TableContents"/>
              <w:bidi w:val="0"/>
              <w:spacing w:before="40" w:after="283"/>
              <w:jc w:val="center"/>
              <w:rPr>
                <w:rFonts w:ascii="Times New Roman" w:hAnsi="Times New Roman"/>
                <w:color w:val="000000"/>
                <w:sz w:val="18"/>
              </w:rPr>
            </w:pPr>
            <w:r>
              <w:rPr>
                <w:rFonts w:ascii="Times New Roman" w:hAnsi="Times New Roman"/>
                <w:color w:val="000000"/>
                <w:sz w:val="18"/>
              </w:rPr>
              <w:t>ASMB</w:t>
            </w:r>
          </w:p>
        </w:tc>
        <w:tc>
          <w:tcPr>
            <w:tcW w:w="3226" w:type="dxa"/>
            <w:tcBorders>
              <w:bottom w:val="single" w:sz="8" w:space="0" w:color="000000"/>
              <w:right w:val="single" w:sz="8" w:space="0" w:color="000000"/>
            </w:tcBorders>
            <w:tcMar>
              <w:top w:w="0" w:type="dxa"/>
              <w:left w:w="0" w:type="dxa"/>
            </w:tcMar>
            <w:vAlign w:val="center"/>
          </w:tcPr>
          <w:p>
            <w:pPr>
              <w:pStyle w:val="TableContents"/>
              <w:bidi w:val="0"/>
              <w:spacing w:before="4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4905" w:type="dxa"/>
        <w:jc w:val="left"/>
        <w:tblInd w:w="0" w:type="dxa"/>
        <w:tblLayout w:type="fixed"/>
        <w:tblCellMar>
          <w:top w:w="28" w:type="dxa"/>
          <w:left w:w="28" w:type="dxa"/>
          <w:bottom w:w="28" w:type="dxa"/>
          <w:right w:w="28" w:type="dxa"/>
        </w:tblCellMar>
      </w:tblPr>
      <w:tblGrid>
        <w:gridCol w:w="2056"/>
        <w:gridCol w:w="316"/>
        <w:gridCol w:w="146"/>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As of May 2, 2025, there were 7,637,553</w:t>
      </w:r>
      <w:r>
        <w:rPr>
          <w:rFonts w:ascii="Times New Roman" w:hAnsi="Times New Roman"/>
          <w:color w:val="000000"/>
          <w:sz w:val="20"/>
        </w:rPr>
        <w:t xml:space="preserve"> </w:t>
      </w:r>
      <w:r>
        <w:rPr>
          <w:rFonts w:ascii="Times New Roman" w:hAnsi="Times New Roman"/>
          <w:color w:val="000000"/>
          <w:sz w:val="18"/>
        </w:rPr>
        <w:t>shares of the registrant’s common stock outstanding.</w:t>
      </w:r>
    </w:p>
    <w:p>
      <w:pPr>
        <w:pStyle w:val="TextBody"/>
        <w:pBdr>
          <w:bottom w:val="double" w:sz="4" w:space="1" w:color="000000"/>
        </w:pBdr>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1"/>
        <w:gridCol w:w="8348"/>
        <w:gridCol w:w="976"/>
      </w:tblGrid>
      <w:tr>
        <w:trPr/>
        <w:tc>
          <w:tcPr>
            <w:tcW w:w="881" w:type="dxa"/>
            <w:tcBorders/>
            <w:vAlign w:val="center"/>
          </w:tcPr>
          <w:p>
            <w:pPr>
              <w:pStyle w:val="TableContents"/>
              <w:bidi w:val="0"/>
              <w:spacing w:before="0" w:after="283"/>
              <w:jc w:val="left"/>
              <w:rPr>
                <w:sz w:val="4"/>
                <w:szCs w:val="4"/>
              </w:rPr>
            </w:pPr>
            <w:r>
              <w:rPr>
                <w:sz w:val="4"/>
                <w:szCs w:val="4"/>
              </w:rPr>
            </w:r>
          </w:p>
        </w:tc>
        <w:tc>
          <w:tcPr>
            <w:tcW w:w="834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80"/>
              <w:jc w:val="left"/>
              <w:rPr/>
            </w:pPr>
            <w:r>
              <w:rPr/>
              <w:t> </w:t>
            </w:r>
          </w:p>
        </w:tc>
        <w:tc>
          <w:tcPr>
            <w:tcW w:w="8348" w:type="dxa"/>
            <w:tcBorders/>
            <w:tcMar>
              <w:top w:w="0" w:type="dxa"/>
              <w:left w:w="0" w:type="dxa"/>
              <w:bottom w:w="0" w:type="dxa"/>
              <w:right w:w="0" w:type="dxa"/>
            </w:tcMar>
            <w:vAlign w:val="center"/>
          </w:tcPr>
          <w:p>
            <w:pPr>
              <w:pStyle w:val="TableContents"/>
              <w:bidi w:val="0"/>
              <w:spacing w:before="0" w:after="80"/>
              <w:jc w:val="left"/>
              <w:rPr/>
            </w:pPr>
            <w:r>
              <w:rPr/>
              <w:t> </w:t>
            </w:r>
          </w:p>
        </w:tc>
        <w:tc>
          <w:tcPr>
            <w:tcW w:w="976"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at March 31, 2025 (unaudited) and December 31, 2024</w:t>
              </w:r>
            </w:hyperlink>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Loss for the Three Months Ended March 31, 2025 and 2024 (unaudited)</w:t>
              </w:r>
            </w:hyperlink>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hange">
              <w:r>
                <w:rPr>
                  <w:rStyle w:val="InternetLink"/>
                  <w:rFonts w:ascii="Times New Roman" w:hAnsi="Times New Roman"/>
                  <w:color w:val="0000FF"/>
                  <w:sz w:val="20"/>
                  <w:u w:val="single"/>
                </w:rPr>
                <w:t>Condensed Consolidated Statements of Changes in Stockholders’ Equity for the Three Months Ended March 31, 2025 and 2024 (unaudited)</w:t>
              </w:r>
            </w:hyperlink>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 for the Three Months Ended March 31, 2025 and 2024 (unaudited)</w:t>
              </w:r>
            </w:hyperlink>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5</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the Condensed Consolidated Financial Statements (unaudited)</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OTHER INFORMATION</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922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29" w:type="dxa"/>
            <w:gridSpan w:val="2"/>
            <w:tcBorders/>
            <w:tcMar>
              <w:top w:w="0" w:type="dxa"/>
              <w:left w:w="0" w:type="dxa"/>
              <w:bottom w:w="0" w:type="dxa"/>
              <w:right w:w="0" w:type="dxa"/>
            </w:tcMar>
            <w:vAlign w:val="center"/>
          </w:tcPr>
          <w:p>
            <w:pPr>
              <w:pStyle w:val="TableContents"/>
              <w:bidi w:val="0"/>
              <w:spacing w:before="0" w:after="283"/>
              <w:jc w:val="left"/>
              <w:rPr/>
            </w:pPr>
            <w:hyperlink w:anchor="signathure">
              <w:r>
                <w:rPr>
                  <w:rStyle w:val="InternetLink"/>
                  <w:rFonts w:ascii="Times New Roman" w:hAnsi="Times New Roman"/>
                  <w:color w:val="0000FF"/>
                  <w:sz w:val="20"/>
                  <w:u w:val="single"/>
                </w:rPr>
                <w:t>SIGNATURES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References to Assembly Biosciences,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Throughout this Quarterly Report on Form 10-Q, the “Company,” “Assembly,” “we,” “us,” and “our,” except where the context requires otherwise, refer to Assembly Biosciences, Inc. and its consolidated subsidiaries, and “board of directors” refers to the board of directors of Assembly Biosciences, Inc.</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that are subject to certain risks and uncertainties, including, without limitation, those set forth in Part I, Item 1A of our Annual Report on Form 10-K filed with the U.S. Securities and Exchange Commission (SEC) on March 20, 2025 (2024 Annual Report) and Part II, Item 1A of this Quarterly Report on Form 10-Q under the heading “Risk Factors,” that could cause actual results to materially differ. Such risks and uncertainties include,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financial resources necessary to continue our research activities, clinical studies and other business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realize the potential benefits of our collaboration with Gilead Sciences, Inc. (Gilead), including all financial aspects of the collaboration and equity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initiate and complete clinical studies involving our therapeutic product candidates, including studies contemplated by our collaboration with Gilead, in the currently anticipated timeframes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safety and efficacy data from clinical or nonclinical studies may not warrant further development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and nonclinical data may not differentiate our product candidates from other companies’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effects of changes in government regulation, including as a result of the change in U.S. administration in 2025;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of nonclinical studies may not be representative of disease behavior in a clinical setting and may not be predictive of the outcomes of clinical studies.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You are urged to consider statements that include the words may, will, would, could, should, might, believes, hopes, estimates, projects, potential, enable, expects, plans, anticipates, intends, continues, forecast, designed, goal or the negative of those words or other comparable words to be uncertain and forward-looking. In particular, forward-looking statements include, but are not limited to, statements regarding the timing of commencement of future clinical studies involving our therapeutic product candidates; and our ability to successfully complete, and receive favorable results in, clinical studies for our product candidates. We intend such forward-looking statements to be covered by the safe harbor provisions contained in Section 27A of the Securities Act of 1933, as amended (the Securities Act), and Section 21E of the Securities Exchange Act of 1934, as amended (the Exchange Act). Except as required by law, we assume no obligation to update publicly any forward-looking statements, whether as a result of new information, future events or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jc w:val="both"/>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for share amounts and par value)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203"/>
        <w:gridCol w:w="146"/>
        <w:gridCol w:w="211"/>
        <w:gridCol w:w="841"/>
        <w:gridCol w:w="166"/>
        <w:gridCol w:w="146"/>
        <w:gridCol w:w="216"/>
        <w:gridCol w:w="863"/>
        <w:gridCol w:w="413"/>
      </w:tblGrid>
      <w:tr>
        <w:trPr/>
        <w:tc>
          <w:tcPr>
            <w:tcW w:w="7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73,735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115,503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(ROU)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119,168</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from a related party -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 short-term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from a related party -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71,884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85,809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5,000,000 shares authorized; no shares issued or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150,000,000 shares authorized as of March 31, 2025 and December 31, 2024; 7,618,885 and 7,457,240 shares issued and outstanding as of March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859,488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(825,925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33,359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119,168</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color w:val="000000"/>
          <w:sz w:val="20"/>
        </w:rPr>
      </w:pPr>
      <w:r>
        <w:rPr>
          <w:rFonts w:ascii="Times New Roman" w:hAnsi="Times New Roman"/>
          <w:color w:val="000000"/>
          <w:sz w:val="20"/>
        </w:rPr>
        <w:t>(In thousands except for share and per share amounts)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8709" w:type="dxa"/>
        <w:jc w:val="left"/>
        <w:tblInd w:w="0" w:type="dxa"/>
        <w:tblLayout w:type="fixed"/>
        <w:tblCellMar>
          <w:top w:w="28" w:type="dxa"/>
          <w:left w:w="28" w:type="dxa"/>
          <w:bottom w:w="28" w:type="dxa"/>
          <w:right w:w="28" w:type="dxa"/>
        </w:tblCellMar>
      </w:tblPr>
      <w:tblGrid>
        <w:gridCol w:w="5386"/>
        <w:gridCol w:w="146"/>
        <w:gridCol w:w="226"/>
        <w:gridCol w:w="1000"/>
        <w:gridCol w:w="178"/>
        <w:gridCol w:w="156"/>
        <w:gridCol w:w="226"/>
        <w:gridCol w:w="1000"/>
        <w:gridCol w:w="39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Collaboration revenue from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4,509</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(9,941</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(8,818</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(8,860</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(9,235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7,506,321</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5,483,313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6" w:name="condensed_consolidated_statements_change"/>
      <w:bookmarkEnd w:id="6"/>
      <w:r>
        <w:rPr>
          <w:rFonts w:ascii="Times New Roman" w:hAnsi="Times New Roman"/>
          <w:b/>
          <w:color w:val="000000"/>
          <w:sz w:val="20"/>
        </w:rPr>
        <w:t>CONDENSED CONSOLIDATED STATEMENTS OF CHANGES IN STOCKHOLDERS’ EQUITY</w:t>
      </w:r>
    </w:p>
    <w:p>
      <w:pPr>
        <w:pStyle w:val="TextBody"/>
        <w:bidi w:val="0"/>
        <w:jc w:val="center"/>
        <w:rPr>
          <w:rFonts w:ascii="Times New Roman" w:hAnsi="Times New Roman"/>
          <w:color w:val="000000"/>
          <w:sz w:val="20"/>
        </w:rPr>
      </w:pPr>
      <w:r>
        <w:rPr>
          <w:rFonts w:ascii="Times New Roman" w:hAnsi="Times New Roman"/>
          <w:color w:val="000000"/>
          <w:sz w:val="20"/>
        </w:rPr>
        <w:t>(In thousands except for share amounts)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239"/>
        <w:gridCol w:w="146"/>
        <w:gridCol w:w="146"/>
        <w:gridCol w:w="931"/>
        <w:gridCol w:w="146"/>
        <w:gridCol w:w="146"/>
        <w:gridCol w:w="261"/>
        <w:gridCol w:w="430"/>
        <w:gridCol w:w="146"/>
        <w:gridCol w:w="146"/>
        <w:gridCol w:w="211"/>
        <w:gridCol w:w="781"/>
        <w:gridCol w:w="146"/>
        <w:gridCol w:w="146"/>
        <w:gridCol w:w="370"/>
        <w:gridCol w:w="846"/>
        <w:gridCol w:w="166"/>
        <w:gridCol w:w="146"/>
        <w:gridCol w:w="211"/>
        <w:gridCol w:w="841"/>
        <w:gridCol w:w="166"/>
        <w:gridCol w:w="146"/>
        <w:gridCol w:w="257"/>
        <w:gridCol w:w="824"/>
        <w:gridCol w:w="211"/>
      </w:tblGrid>
      <w:tr>
        <w:trPr/>
        <w:tc>
          <w:tcPr>
            <w:tcW w:w="2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 Period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7,457,240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859,488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(825,925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33,359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stock under at-the-market (ATM) equity offering program,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161,645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Unrealized loss on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7,618,885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862,121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(834,743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27,133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39"/>
        <w:gridCol w:w="146"/>
        <w:gridCol w:w="146"/>
        <w:gridCol w:w="931"/>
        <w:gridCol w:w="146"/>
        <w:gridCol w:w="146"/>
        <w:gridCol w:w="261"/>
        <w:gridCol w:w="430"/>
        <w:gridCol w:w="146"/>
        <w:gridCol w:w="146"/>
        <w:gridCol w:w="211"/>
        <w:gridCol w:w="781"/>
        <w:gridCol w:w="146"/>
        <w:gridCol w:w="146"/>
        <w:gridCol w:w="370"/>
        <w:gridCol w:w="846"/>
        <w:gridCol w:w="166"/>
        <w:gridCol w:w="146"/>
        <w:gridCol w:w="211"/>
        <w:gridCol w:w="841"/>
        <w:gridCol w:w="166"/>
        <w:gridCol w:w="146"/>
        <w:gridCol w:w="257"/>
        <w:gridCol w:w="824"/>
        <w:gridCol w:w="211"/>
      </w:tblGrid>
      <w:tr>
        <w:trPr/>
        <w:tc>
          <w:tcPr>
            <w:tcW w:w="2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5,482,752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826,921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(785,748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41,097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Unrealized loss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as of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5,482,752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827,660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(794,825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32,601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7" w:name="condensed_consolidated_statements_cash_f"/>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57"/>
        <w:gridCol w:w="246"/>
        <w:gridCol w:w="237"/>
        <w:gridCol w:w="831"/>
        <w:gridCol w:w="187"/>
        <w:gridCol w:w="164"/>
        <w:gridCol w:w="237"/>
        <w:gridCol w:w="831"/>
        <w:gridCol w:w="615"/>
      </w:tblGrid>
      <w:tr>
        <w:trPr/>
        <w:tc>
          <w:tcPr>
            <w:tcW w:w="685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(9,077</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accretion of investments in marketable debt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rent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research and development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accrued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 from a related party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(9,419</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(23,439</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(18,364</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marketable securities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property and equipment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6,586</w:t>
            </w:r>
          </w:p>
        </w:tc>
        <w:tc>
          <w:tcPr>
            <w:tcW w:w="18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17,272</w:t>
            </w:r>
          </w:p>
        </w:tc>
        <w:tc>
          <w:tcPr>
            <w:tcW w:w="6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the issuance of common stock under ATM equity offering program, net of issuance costs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w:t>
            </w:r>
          </w:p>
        </w:tc>
        <w:tc>
          <w:tcPr>
            <w:tcW w:w="18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the beginning of the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38,344</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the end of the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23,413</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18,749</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8" w:name="notes_to_condensed_consolidated_financia"/>
      <w:bookmarkEnd w:id="8"/>
      <w:r>
        <w:rPr>
          <w:rFonts w:ascii="Times New Roman" w:hAnsi="Times New Roman"/>
          <w:b/>
          <w:color w:val="000000"/>
          <w:sz w:val="20"/>
        </w:rPr>
        <w:t>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 Nature of Business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Assembly Biosciences, Inc. (together with its subsidiaries, Assembly or the Company), incorporated in Delaware in October 2005, is a biotechnology company developing innovative therapeutics targeting serious viral diseases with the potential to improve the lives of patients worldwide. The Company's pipeline includes multiple clinical-stage investigational therapies, including: (1) two helicase-primase inhibitors (HPIs) targeting recurrent genital herpes; (2) an orally bioavailable hepatitis delta virus entry inhibitor; and (3) a highly potent next-generation capsid assembly modulator designed to disrupt the replication cycle of hepatitis B virus at several key points. The Company's pipeline also includes a novel, oral broad-spectrum non-nucleoside polymerase inhibitor (NNPI) targeting transplant-related herpesviruses, which is currently undergoing studies to enable a regulatory filing, and it has additional research programs against multiple antiviral targets. The Company operates in one segment and is headquartered in South San Francisco, California (see Note 9 - Segment Reporting).</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not derived any revenue from product sales to date and currently has no approved products. Once a product has been developed, it will need to be approved for sale by the U.S. Food and Drug Administration or an applicable foreign regulatory agency. Since the Company’s initial public offering, operations have been financed through the sale of equity securities and payments related to collaboration agreements. The Company has incurred losses from operations since inception and expects to continue to incur substantial losses for the next several years as it continues its product development efforts. Management believes the Company currently has sufficient funds to meet its operating requirements for at least the next twelve months following the date these unaudited condensed consolidated financial statements are issued. The Company intends to obtain any additional funding it requires through strategic relationships, public or private equity or debt financings, grants or other arrangements. The Company cannot assure such funding will be available on reasonable terms, if at all. Market volatility, inflation or other factors, such as recently implemented tariffs or the imposition of modified or additional tariffs, trade wars, barriers or restrictions, or threats of such actions, could also adversely impact the Company’s ability to access capital when and as needed.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the Company is unable to secure additional sources of funding, it could be forced to reduce staff, delay, scale back or discontinue product development and clinical studies, forego business opportunities, cease operations entirely and sell, or otherwise transfer, all or substantially all of its remaining assets, which would likely have a material adverse impact on its business, results of operations, financial condition and share price.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2 - Summary of Significant Accounting Policies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include the accounts of the Company and its subsidiaries. All intercompany balances and transactions have been eliminated in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SEC. In management’s opinion, the unaudited condensed consolidated financial statements have been prepared on the same basis as the annual audited consolidated financial statements and include normal recurring adjustments necessary for the fair presentation of the Company’s financial position and its results of operations and comprehensive loss and its cash flows for the periods presented. These statements do not include all disclosures required by U.S. GAAP and should be read in conjunction with the Company’s audited consolidated financial statements and accompanying notes for the fiscal year ended December 31, 2024, which are contained in the 2024 Annual Report. The results for the three months ended March 31, 2025 are not necessarily indicative of results to be expected for the entire year ending December 31, 2025 or future operating periods.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preparation of the unaudited condensed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Significant estimates inherent in the preparation of the accompanying unaudited condensed consolidated financial statements include estimates for revenue recognition and costs incurred but not yet invoiced for research and development accruals.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estimates could be affected by external conditions, including those unique to the Company and general economic conditions. It is reasonably possible these external factors could have an effect on the Company’s estimates and could cause actual results to differ materially from those estimates and assumptions.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Other Risks and Uncertainties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U.S. and global financial markets have experienced and may continue to experience volatility and disruption due to macroeconomic and geopolitical events such as rising inflation, changes in interest rates to combat inflation, the war between Russia and Ukraine, the conflicts in the Middle East, tensions between China and Taiwan, as well as recently implemented tariffs or the imposition of modified or additional tariffs, trade wars, barriers or restrictions, or threats of such actions. The Company cannot predict at this time to what extent, if at all, it and its employees, contract research organizations, vendors and/or collaborators could potentially be negatively impacted by these events.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net loss per share of common stock excludes dilution and is computed by dividing net loss by the weighted average number of shares of common stock outstanding during the period. Diluted net loss per share of common stock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 Diluted net loss per share is the same as basic net loss per share, since the effects of potentially dilutive securities are antidilutive given the net loss for each period presented.</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A reconciliation of the numerators and the denominators of the basic and diluted net loss per common share computations is as follows (in thousands, except for share and per share amounts):</w:t>
      </w:r>
    </w:p>
    <w:tbl>
      <w:tblPr>
        <w:tblW w:w="8779" w:type="dxa"/>
        <w:jc w:val="left"/>
        <w:tblInd w:w="0" w:type="dxa"/>
        <w:tblLayout w:type="fixed"/>
        <w:tblCellMar>
          <w:top w:w="28" w:type="dxa"/>
          <w:left w:w="28" w:type="dxa"/>
          <w:bottom w:w="28" w:type="dxa"/>
          <w:right w:w="28" w:type="dxa"/>
        </w:tblCellMar>
      </w:tblPr>
      <w:tblGrid>
        <w:gridCol w:w="5646"/>
        <w:gridCol w:w="146"/>
        <w:gridCol w:w="211"/>
        <w:gridCol w:w="931"/>
        <w:gridCol w:w="166"/>
        <w:gridCol w:w="146"/>
        <w:gridCol w:w="211"/>
        <w:gridCol w:w="931"/>
        <w:gridCol w:w="391"/>
      </w:tblGrid>
      <w:tr>
        <w:trPr/>
        <w:tc>
          <w:tcPr>
            <w:tcW w:w="5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7,506,321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5,483,313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120"/>
        <w:jc w:val="both"/>
        <w:rPr>
          <w:rFonts w:ascii="Times New Roman" w:hAnsi="Times New Roman"/>
          <w:color w:val="000000"/>
          <w:sz w:val="20"/>
        </w:rPr>
      </w:pPr>
      <w:r>
        <w:rPr>
          <w:rFonts w:ascii="Times New Roman" w:hAnsi="Times New Roman"/>
          <w:color w:val="000000"/>
          <w:sz w:val="20"/>
        </w:rPr>
        <w:t>Securities excluded from the computation of diluted net loss per share because including them would have been antidilutive are as follows:</w:t>
      </w:r>
    </w:p>
    <w:tbl>
      <w:tblPr>
        <w:tblW w:w="6729" w:type="dxa"/>
        <w:jc w:val="left"/>
        <w:tblInd w:w="0" w:type="dxa"/>
        <w:tblLayout w:type="fixed"/>
        <w:tblCellMar>
          <w:top w:w="28" w:type="dxa"/>
          <w:left w:w="28" w:type="dxa"/>
          <w:bottom w:w="28" w:type="dxa"/>
          <w:right w:w="28" w:type="dxa"/>
        </w:tblCellMar>
      </w:tblPr>
      <w:tblGrid>
        <w:gridCol w:w="3946"/>
        <w:gridCol w:w="146"/>
        <w:gridCol w:w="146"/>
        <w:gridCol w:w="931"/>
        <w:gridCol w:w="146"/>
        <w:gridCol w:w="146"/>
        <w:gridCol w:w="146"/>
        <w:gridCol w:w="931"/>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subject to purchase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103,752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2,147,955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1,137,993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3 – Related Party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October 2023, the Company entered into an Option, License and Collaboration Agreement (the Gilead Collaboration Agreement), and a Common Stock Purchase Agreement and an Investor Rights Agreement (collectively, the Gilead Equity Agreements) with Gilead Sciences, Inc. (Gilead). The Gilead Equity Agreements were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amended in June 2024, and the parties entered into the First Amendment to the Gilead Collaboration Agreement in December 2024.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Following the Company entering into the Gilead Equity Agreements, and as of March 31, 2025, Gilead is considered a related party based on its ownership of the Company's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three months ended March 31, 2025 and 2024, the Company recognized $9.4 million and $5.8 million of collaboration revenue under the Gilead Collaboration Agreement, respectively (see Note 8 - Collaboration Agreement).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4 – Fair Value Measurements and Investments in Marketable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carrying amounts of cash equivalents and marketable securities approximate their fair value based upon quoted market prices. Certain of the Company’s financial instruments are not measured at fair value on a recurring basis, but are recorded at amounts that approximate their fair value due to their liquid or short-term nature, such as cash, accounts receivable, accounts payable and accrued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uses the following three-level hierarchy that maximizes the use of observable inputs and minimizes the use of unobservable inputs to value its financial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1: Observable inputs such as unadjusted quoted prices in active markets for identical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2: Quoted prices for similar instruments that are directly or indirectly observable in the marketplace.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3: Significant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Investments in marketable securities consisted of the following (in thousands):</w:t>
      </w:r>
    </w:p>
    <w:tbl>
      <w:tblPr>
        <w:tblW w:w="9030" w:type="dxa"/>
        <w:jc w:val="left"/>
        <w:tblInd w:w="0" w:type="dxa"/>
        <w:tblLayout w:type="fixed"/>
        <w:tblCellMar>
          <w:top w:w="28" w:type="dxa"/>
          <w:left w:w="28" w:type="dxa"/>
          <w:bottom w:w="28" w:type="dxa"/>
          <w:right w:w="28" w:type="dxa"/>
        </w:tblCellMar>
      </w:tblPr>
      <w:tblGrid>
        <w:gridCol w:w="4051"/>
        <w:gridCol w:w="146"/>
        <w:gridCol w:w="211"/>
        <w:gridCol w:w="676"/>
        <w:gridCol w:w="146"/>
        <w:gridCol w:w="146"/>
        <w:gridCol w:w="335"/>
        <w:gridCol w:w="551"/>
        <w:gridCol w:w="146"/>
        <w:gridCol w:w="146"/>
        <w:gridCol w:w="335"/>
        <w:gridCol w:w="551"/>
        <w:gridCol w:w="166"/>
        <w:gridCol w:w="146"/>
        <w:gridCol w:w="211"/>
        <w:gridCol w:w="676"/>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22,951</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22,951</w:t>
            </w:r>
          </w:p>
        </w:tc>
        <w:tc>
          <w:tcPr>
            <w:tcW w:w="3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240" w:type="dxa"/>
        <w:jc w:val="left"/>
        <w:tblInd w:w="0" w:type="dxa"/>
        <w:tblLayout w:type="fixed"/>
        <w:tblCellMar>
          <w:top w:w="28" w:type="dxa"/>
          <w:left w:w="28" w:type="dxa"/>
          <w:bottom w:w="28" w:type="dxa"/>
          <w:right w:w="28" w:type="dxa"/>
        </w:tblCellMar>
      </w:tblPr>
      <w:tblGrid>
        <w:gridCol w:w="4051"/>
        <w:gridCol w:w="146"/>
        <w:gridCol w:w="211"/>
        <w:gridCol w:w="781"/>
        <w:gridCol w:w="146"/>
        <w:gridCol w:w="146"/>
        <w:gridCol w:w="335"/>
        <w:gridCol w:w="551"/>
        <w:gridCol w:w="146"/>
        <w:gridCol w:w="146"/>
        <w:gridCol w:w="335"/>
        <w:gridCol w:w="551"/>
        <w:gridCol w:w="166"/>
        <w:gridCol w:w="146"/>
        <w:gridCol w:w="211"/>
        <w:gridCol w:w="781"/>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were no realized gains and losses for the three months ended March 31, 2025 and 2024. As of March 31, 2025 and December 31, 2024, investments which were in an unrealized loss position were not material and generally due to interest rate fluctuations, as opposed to declines in credit quality. The Company determined it has the intent and ability to hold all marketable securities that have been in a continuous loss position until recovery of their amortized cost basis, which may be until maturity. As a result, the Company did not recognize any credit losses related to its investments and all unrealized gains and losses on available-for-sale marketable securities are recorded in accumulated other comprehensive loss on the condensed consolidated balance sheets as of March 31, 2025 and December 31, 2024.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Accrued interest receivable was $0.4 million as of March 31, 2025 and December 31, 2024, and was recorded in prepaid expenses and other current assets on the condensed consolidated balance sheets. The Company did not write off any accrued interest receivable during the three months ended March 31, 2025 and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present the fair value of the Company’s financial assets measured at fair value on a recurring basis (in thousands):</w:t>
      </w:r>
    </w:p>
    <w:p>
      <w:pPr>
        <w:pStyle w:val="TextBody"/>
        <w:bidi w:val="0"/>
        <w:jc w:val="both"/>
        <w:rPr/>
      </w:pPr>
      <w:r>
        <w:rPr/>
        <w:t> </w:t>
      </w:r>
    </w:p>
    <w:tbl>
      <w:tblPr>
        <w:tblW w:w="7885" w:type="dxa"/>
        <w:jc w:val="left"/>
        <w:tblInd w:w="0" w:type="dxa"/>
        <w:tblLayout w:type="fixed"/>
        <w:tblCellMar>
          <w:top w:w="28" w:type="dxa"/>
          <w:left w:w="28" w:type="dxa"/>
          <w:bottom w:w="28" w:type="dxa"/>
          <w:right w:w="28" w:type="dxa"/>
        </w:tblCellMar>
      </w:tblPr>
      <w:tblGrid>
        <w:gridCol w:w="3181"/>
        <w:gridCol w:w="146"/>
        <w:gridCol w:w="211"/>
        <w:gridCol w:w="676"/>
        <w:gridCol w:w="146"/>
        <w:gridCol w:w="146"/>
        <w:gridCol w:w="211"/>
        <w:gridCol w:w="676"/>
        <w:gridCol w:w="146"/>
        <w:gridCol w:w="146"/>
        <w:gridCol w:w="239"/>
        <w:gridCol w:w="391"/>
        <w:gridCol w:w="146"/>
        <w:gridCol w:w="146"/>
        <w:gridCol w:w="211"/>
        <w:gridCol w:w="676"/>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22,951</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3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22,951</w:t>
            </w:r>
          </w:p>
        </w:tc>
        <w:tc>
          <w:tcPr>
            <w:tcW w:w="3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990" w:type="dxa"/>
        <w:jc w:val="left"/>
        <w:tblInd w:w="0" w:type="dxa"/>
        <w:tblLayout w:type="fixed"/>
        <w:tblCellMar>
          <w:top w:w="28" w:type="dxa"/>
          <w:left w:w="28" w:type="dxa"/>
          <w:bottom w:w="28" w:type="dxa"/>
          <w:right w:w="28" w:type="dxa"/>
        </w:tblCellMar>
      </w:tblPr>
      <w:tblGrid>
        <w:gridCol w:w="3181"/>
        <w:gridCol w:w="146"/>
        <w:gridCol w:w="211"/>
        <w:gridCol w:w="676"/>
        <w:gridCol w:w="146"/>
        <w:gridCol w:w="146"/>
        <w:gridCol w:w="211"/>
        <w:gridCol w:w="676"/>
        <w:gridCol w:w="146"/>
        <w:gridCol w:w="146"/>
        <w:gridCol w:w="239"/>
        <w:gridCol w:w="391"/>
        <w:gridCol w:w="146"/>
        <w:gridCol w:w="146"/>
        <w:gridCol w:w="211"/>
        <w:gridCol w:w="781"/>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estimates the fair value of its investments in marketable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transfers between Level 1, Level 2 or Level 3 investments during the periods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5 – Other Accrued Expenses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Other accrued expenses consist of the following (in thousands):</w:t>
      </w:r>
    </w:p>
    <w:tbl>
      <w:tblPr>
        <w:tblW w:w="5980" w:type="dxa"/>
        <w:jc w:val="left"/>
        <w:tblInd w:w="0" w:type="dxa"/>
        <w:tblLayout w:type="fixed"/>
        <w:tblCellMar>
          <w:top w:w="28" w:type="dxa"/>
          <w:left w:w="28" w:type="dxa"/>
          <w:bottom w:w="28" w:type="dxa"/>
          <w:right w:w="28" w:type="dxa"/>
        </w:tblCellMar>
      </w:tblPr>
      <w:tblGrid>
        <w:gridCol w:w="3201"/>
        <w:gridCol w:w="146"/>
        <w:gridCol w:w="230"/>
        <w:gridCol w:w="625"/>
        <w:gridCol w:w="146"/>
        <w:gridCol w:w="146"/>
        <w:gridCol w:w="294"/>
        <w:gridCol w:w="801"/>
        <w:gridCol w:w="39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professional fees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6 – Stockholders’ Equity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At-The-Market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November 2024, the Company entered into a sales agreement under which the Company may offer and sell shares of its common stock having an aggregate offering price of up to $75.0 million through "at-the-market" offerings (2024 ATM), pursuant to its shelf registration statement on Form S-3 (File No. 333-270760), which became effective in April 2023. During the three months ended March 31, 2025, the Company sold 161,645 shares of common stock under the 2024 ATM, for which the Company received net proceeds of $1.9 million, after deducting commissions, fees and expenses. The Company did not sell any shares of common stock during the three months ended March 31, 2024.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Warrants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warrants to purchase shares of the Company's common stock were issued and outstanding:</w:t>
      </w:r>
    </w:p>
    <w:tbl>
      <w:tblPr>
        <w:tblW w:w="7216" w:type="dxa"/>
        <w:jc w:val="left"/>
        <w:tblInd w:w="0" w:type="dxa"/>
        <w:tblLayout w:type="fixed"/>
        <w:tblCellMar>
          <w:top w:w="28" w:type="dxa"/>
          <w:left w:w="28" w:type="dxa"/>
          <w:bottom w:w="28" w:type="dxa"/>
          <w:right w:w="28" w:type="dxa"/>
        </w:tblCellMar>
      </w:tblPr>
      <w:tblGrid>
        <w:gridCol w:w="976"/>
        <w:gridCol w:w="146"/>
        <w:gridCol w:w="1276"/>
        <w:gridCol w:w="146"/>
        <w:gridCol w:w="506"/>
        <w:gridCol w:w="1369"/>
        <w:gridCol w:w="146"/>
        <w:gridCol w:w="146"/>
        <w:gridCol w:w="146"/>
        <w:gridCol w:w="781"/>
        <w:gridCol w:w="146"/>
        <w:gridCol w:w="146"/>
        <w:gridCol w:w="172"/>
        <w:gridCol w:w="923"/>
        <w:gridCol w:w="191"/>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6/18/2029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6/18/2029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warrants were classified as a component of permanent stockholders’ equity within additional paid-in-capital and were recorded at the issuance date. The warrants are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common shares upon exercise, are indexed to the Company’s common stock and meet the equity classification criteria. In addition, such warrants do not provide any guarantee of value or return.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warrants exercised during the three months ended March 31, 2025.</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7 – Stock-Based Compensation</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components of total stock-based compensation expense included in the condensed consolidated statements of operations and comprehensive loss (in thousands):</w:t>
      </w:r>
    </w:p>
    <w:tbl>
      <w:tblPr>
        <w:tblW w:w="6186" w:type="dxa"/>
        <w:jc w:val="left"/>
        <w:tblInd w:w="0" w:type="dxa"/>
        <w:tblLayout w:type="fixed"/>
        <w:tblCellMar>
          <w:top w:w="28" w:type="dxa"/>
          <w:left w:w="28" w:type="dxa"/>
          <w:bottom w:w="28" w:type="dxa"/>
          <w:right w:w="28" w:type="dxa"/>
        </w:tblCellMar>
      </w:tblPr>
      <w:tblGrid>
        <w:gridCol w:w="3451"/>
        <w:gridCol w:w="146"/>
        <w:gridCol w:w="325"/>
        <w:gridCol w:w="649"/>
        <w:gridCol w:w="225"/>
        <w:gridCol w:w="225"/>
        <w:gridCol w:w="325"/>
        <w:gridCol w:w="649"/>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2025, there was $4.2 million of total unrecognized stock-based compensation related to outstanding equity awards, which is expected to be recognized over a weighted average remaining amortization period of 2.0 years.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fair value of stock options granted during the periods indicated was estimated using the Black-Scholes option pricing model, based on the following assumptions:</w:t>
      </w:r>
    </w:p>
    <w:tbl>
      <w:tblPr>
        <w:tblW w:w="4900" w:type="dxa"/>
        <w:jc w:val="left"/>
        <w:tblInd w:w="0" w:type="dxa"/>
        <w:tblLayout w:type="fixed"/>
        <w:tblCellMar>
          <w:top w:w="28" w:type="dxa"/>
          <w:left w:w="28" w:type="dxa"/>
          <w:bottom w:w="28" w:type="dxa"/>
          <w:right w:w="28" w:type="dxa"/>
        </w:tblCellMar>
      </w:tblPr>
      <w:tblGrid>
        <w:gridCol w:w="2131"/>
        <w:gridCol w:w="146"/>
        <w:gridCol w:w="1246"/>
        <w:gridCol w:w="146"/>
        <w:gridCol w:w="123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$10.62</w:t>
            </w:r>
            <w:r>
              <w:rPr>
                <w:rFonts w:ascii="Times New Roman" w:hAnsi="Times New Roman"/>
                <w:color w:val="000000"/>
                <w:sz w:val="20"/>
              </w:rPr>
              <w:t> </w:t>
            </w:r>
            <w:r>
              <w:rPr>
                <w:rFonts w:ascii="Times New Roman" w:hAnsi="Times New Roman"/>
                <w:color w:val="000000"/>
                <w:sz w:val="18"/>
              </w:rPr>
              <w:t>- $17.15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81.9% - 86.4%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80.4% - 86.9%</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3.97% - 4.42%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4.16%</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5.5</w:t>
            </w:r>
            <w:r>
              <w:rPr>
                <w:rFonts w:ascii="Times New Roman" w:hAnsi="Times New Roman"/>
                <w:color w:val="000000"/>
                <w:sz w:val="20"/>
              </w:rPr>
              <w:t> </w:t>
            </w:r>
            <w:r>
              <w:rPr>
                <w:rFonts w:ascii="Times New Roman" w:hAnsi="Times New Roman"/>
                <w:color w:val="000000"/>
                <w:sz w:val="18"/>
              </w:rPr>
              <w:t>- 7.0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5.5</w:t>
            </w:r>
            <w:r>
              <w:rPr>
                <w:rFonts w:ascii="Times New Roman" w:hAnsi="Times New Roman"/>
                <w:color w:val="000000"/>
                <w:sz w:val="20"/>
              </w:rPr>
              <w:t> </w:t>
            </w:r>
            <w:r>
              <w:rPr>
                <w:rFonts w:ascii="Times New Roman" w:hAnsi="Times New Roman"/>
                <w:color w:val="000000"/>
                <w:sz w:val="18"/>
              </w:rPr>
              <w:t>- 7.0</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r>
    </w:tbl>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8 - Collaboration Agreement</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presents changes in the Company’s contract liabilities under the Gilead Collaboration Agreement (in thousands):</w:t>
      </w:r>
    </w:p>
    <w:tbl>
      <w:tblPr>
        <w:tblW w:w="9625" w:type="dxa"/>
        <w:jc w:val="left"/>
        <w:tblInd w:w="0" w:type="dxa"/>
        <w:tblLayout w:type="fixed"/>
        <w:tblCellMar>
          <w:top w:w="28" w:type="dxa"/>
          <w:left w:w="28" w:type="dxa"/>
          <w:bottom w:w="28" w:type="dxa"/>
          <w:right w:w="28" w:type="dxa"/>
        </w:tblCellMar>
      </w:tblPr>
      <w:tblGrid>
        <w:gridCol w:w="3321"/>
        <w:gridCol w:w="346"/>
        <w:gridCol w:w="211"/>
        <w:gridCol w:w="676"/>
        <w:gridCol w:w="346"/>
        <w:gridCol w:w="346"/>
        <w:gridCol w:w="301"/>
        <w:gridCol w:w="495"/>
        <w:gridCol w:w="346"/>
        <w:gridCol w:w="346"/>
        <w:gridCol w:w="225"/>
        <w:gridCol w:w="676"/>
        <w:gridCol w:w="366"/>
        <w:gridCol w:w="346"/>
        <w:gridCol w:w="211"/>
        <w:gridCol w:w="676"/>
        <w:gridCol w:w="391"/>
      </w:tblGrid>
      <w:tr>
        <w:trPr/>
        <w:tc>
          <w:tcPr>
            <w:tcW w:w="33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w:t>
              <w:br/>
              <w:t>of Period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End of</w:t>
              <w:br/>
              <w:t>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March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from a related party</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73,000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(9,419</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pPr>
      <w:r>
        <w:rPr/>
        <w:t> </w:t>
      </w:r>
    </w:p>
    <w:tbl>
      <w:tblPr>
        <w:tblW w:w="10039" w:type="dxa"/>
        <w:jc w:val="left"/>
        <w:tblInd w:w="0" w:type="dxa"/>
        <w:tblLayout w:type="fixed"/>
        <w:tblCellMar>
          <w:top w:w="28" w:type="dxa"/>
          <w:left w:w="28" w:type="dxa"/>
          <w:bottom w:w="28" w:type="dxa"/>
          <w:right w:w="28" w:type="dxa"/>
        </w:tblCellMar>
      </w:tblPr>
      <w:tblGrid>
        <w:gridCol w:w="7306"/>
        <w:gridCol w:w="146"/>
        <w:gridCol w:w="272"/>
        <w:gridCol w:w="738"/>
        <w:gridCol w:w="188"/>
        <w:gridCol w:w="188"/>
        <w:gridCol w:w="272"/>
        <w:gridCol w:w="738"/>
        <w:gridCol w:w="191"/>
      </w:tblGrid>
      <w:tr>
        <w:trPr/>
        <w:tc>
          <w:tcPr>
            <w:tcW w:w="7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Collaboration revenue from a related party recognized in the period from: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included in deferred revenue from a related party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obligations satisfied in previous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October 2023, the Company entered into the Gilead Collaboration Agreement and the Gilead Equity Agreements under which it received total proceeds of $100.0 million. Under the Gilead Collaboration Agreement, Gilead exclusively licensed to the Company its HPI program and NNPI program, while retaining opt-in rights to these programs and has an option to take an exclusive license, on a program-by-program basis, to all of the Company’s other current and future pipeline programs. During the 12-year collaboration term (subject to payment of certain extension fees) and for a specified period thereafter, Gilead may exercise its opt-in rights, on a program-by-program basis, at one of two timepoints—completion of a certain Phase 1 study or completion of a certain Phase 2 study for the first product within the program—upon payment of an opt-in fee ranging from $45.0 million to $125.0 million per program depending on the type of program and when the option is exercised.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December 2024, the Company and Gilead entered into the First Amendment to the Gilead Collaboration Agreement, which restructured the timing of specific options exercisable in the agreement and the fees payable to the Company to support an accelerated development plan for ABI-6250 (6250). To facilitate this development plan, the Company received a non-refundable payment of $10.0 million from Gilead and the opt-in fee payable by Gilead in connection with 6250 was restructured, though it remains in the range of opt-in fees detailed above. The $10.0 million payment received in connection with the First Amendment to the Gilead Collaboration Agreement is creditable towards future collaboration-related payments payable by Gilead.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Gilead exercises its opt-in right to any current or future program under the collaboration, the Company is eligible to receive up to $330.0 million in potential regulatory and commercial milestones on that program, in addition to royalties ranging from the high single-digits to high teens, depending on the clinical stage of the program at the time of the opt-in. Following Gilead’s exercise of its option for each program, the Company may opt in to cover 40% of the research and development costs in the United States and share 40% of the profits and operating loss in the United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States for products within the program in lieu of receiving milestones and royalties for that program in the United States, unless the Company later opts out of the cost/profit share for the program. Prior to Gilead’s potential exercise of its opt-in, the Company will be primarily responsible for all discovery, research and development on its programs and the two Gilead-contributed programs. Following Gilead’s opt-in, Gilead will control the further discovery, research, development, and commercialization on any optioned programs. During the term, Gilead will continue to support the collaboration through extension fees of $75.0 million in each of the third, fifth and seventh years of the collaboration.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Gilead Collaboration Agreement is subject to termination by either party for the other party’s uncured, material breach or insolvency. Subject to certain limitations, the Company and Gilead both have certain termination for convenience rights, upon sufficient prior written notice, with respect to programs that one party in-licenses from the other (subject to Gilead’s option rights), and with respect to Gilead, for programs it has option rights to (subject to certain time limitations with respect to existing Company programs). Gilead also has a right to terminate the collaborative activities under the Gilead Collaboration Agreement at certain specified points during the collaboration term. Other customary termination rights are further provided in the Gilead Collaboration Agreement.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the commencement of the arrangement, the Company concluded Gilead was a customer and accordingly, the Gilead Collaboration Agreement was within the scope of the revenue from contracts with customers guidance. The Company initially identified a single combined performance obligation for the discovery, research and development services (the R&amp;D Services) consisting of a series of distinct services that are substantially the same and have the same pattern of transfer. The Company concluded the R&amp;D Services were distinct from Gilead's right to obtain an exclusive license to any of the Company's programs as Gilead benefits from the knowledge and expertise gained from the R&amp;D Services and the Company's know-how is not highly specialized in nature. Gilead could perform the R&amp;D Services themselves, particularly considering Gilead contributed its HPI and NNPI programs and Gilead may continue to conduct development activities on programs being developed under the Gilead Collaboration Agreement. None of the options in the contract were deemed to be separate performance obligations as the options did not provide any discounts or other rights which would be considered a material right in the arrangement.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determined the Gilead Collaboration Agreement and Gilead Equity Agreements should be assessed as a single combined transaction because the agreements were negotiated and entered into together, with a single commercial objective. The Company accounted for the agreements based on the fair values of the assets and services exchanged. Of the $15.2 million in proceeds received under the Gilead Equity Agreements in October 2023, $5.9 million was determined to be a premium on the purchase of the Company’s common stock and allocated to the single combined performance obligation under the Gilead Collaboration Agreement. The value the Company received from the licenses Gilead contributed were not material within the context of the contract and accordingly, the Company made no adjustments to the transaction price for them at the commencement of the arrangement. In December 2024, Gilead exercised its right under the Gilead Equity Agreements to purchase additional shares of the Company's common stock for aggregate proceeds of $20.1 million, of which $5.2 million was determined to be a premium on the purchase of the Company’s common stock and allocated to the single combined performance obligation under the Gilead Collaboration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determined the First Amendment to the Gilead Collaboration Agreement represents a contract modification within the scope of the revenue from contracts with customers guidance. The Company concluded there continues to be a single combined performance obligation consisting of a series of distinct R&amp;D Services, and therefore, the remaining services under the First Amendment to the Gilead Collaboration Agreement are distinct from the R&amp;D Services already provided. Accordingly, the Company accounted for the First Amendment to the Gilead Collaboration Agreement as a termination of the existing contract and the creation of a new contract and is recognizing the revenue prospectively by reassessing the transaction price and allocating it to the remaining R&amp;D Services.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amended transaction price as a result of the modification and as of March 31, 2025, was determined to be $74.2 million, consisting of the unrecognized portion of the transaction price under the original contract, the premium of $5.2 million on Gilead's purchase of the Company's common stock in December 2024 and $10.0 million received from Gilead pursuant to the First Amendment to the Gilead Collaboration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variable consideration related to the regulatory and commercial milestones has not been included in the transaction price as of March 31, 2025, since Gilead has not opted in to take a license to any of the Company's programs. Any variable consideration related to sales-based milestones (including royalties) will be recognized when the related sales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occur pursuant to the Gilead Collaboration Agreement. The Company will reevaluate the transaction price in each reporting period as uncertain events are resolved or other changes in circumstances occur.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transaction price is reflected as collaboration revenue when realized in the Company’s condensed consolidated statements of operations. The Company recognizes revenue over time using a cost-based input method, based on internal and external labor cost effort to perform the services, over the initial non-cancellable term of three years since this method best reflects the transfer of services to Gilead. In applying a cost-based input method of revenue recognition, the Company uses actual costs incurred relative to estimated total costs to fulfill each performance obligation. A cost-based input method of revenue recognition requires the Company to make estimates of costs to complete the performance obligation. The cumulative effect of any revisions to estimated costs to complete the performance obligation and associated variable consideration will be recorded in the period in which changes are identified and amounts can be reasonably estimated. A significant change in these assumptions and estimates could have a material impact on the timing and amount of revenue recognized in future periods.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recognized $9.4 million and $5.8 million of collaboration revenue under the Gilead Collaboration Agreement during the three months ended March 31, 2025 and 2024, respectively. The transaction price for remaining collaborative activities was recorded as deferred revenue on the condensed consolidated balance sheet as of March 31, 2025, of which $40.8 million was short-term and $22.8 million was long-term. The Company incurred $0.1 million and $0.2 million in reimbursable expenses due to Gilead during the three months ended March 31, 2025 and 2024, respectively.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9 - Segment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operates as a single operating segment focusing on developing innovative therapeutics targeting serious viral diseases. The measure of segment profit or loss used by the Company's chief operating decision maker (CODM) to evaluate performance and allocate resources is consolidated net loss as reported in the Company's condensed consolidated statements of operations. This measure is used by the CODM to assess the Company's cash runway and make strategic decisions about resource allocation. The CODM does not use asset measures to evaluate segment performance or make resource allocation decisions.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presents the significant segment expenses and other segment items regularly reviewed by the Company's CODM: </w:t>
      </w:r>
    </w:p>
    <w:tbl>
      <w:tblPr>
        <w:tblW w:w="6802" w:type="dxa"/>
        <w:jc w:val="left"/>
        <w:tblInd w:w="0" w:type="dxa"/>
        <w:tblLayout w:type="fixed"/>
        <w:tblCellMar>
          <w:top w:w="28" w:type="dxa"/>
          <w:left w:w="28" w:type="dxa"/>
          <w:bottom w:w="28" w:type="dxa"/>
          <w:right w:w="28" w:type="dxa"/>
        </w:tblCellMar>
      </w:tblPr>
      <w:tblGrid>
        <w:gridCol w:w="3866"/>
        <w:gridCol w:w="146"/>
        <w:gridCol w:w="242"/>
        <w:gridCol w:w="778"/>
        <w:gridCol w:w="191"/>
        <w:gridCol w:w="168"/>
        <w:gridCol w:w="242"/>
        <w:gridCol w:w="778"/>
        <w:gridCol w:w="391"/>
      </w:tblGrid>
      <w:tr>
        <w:trPr/>
        <w:tc>
          <w:tcPr>
            <w:tcW w:w="3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 from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External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ABI-5366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ABI-1179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ABI-6250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ABI-4334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ABI-7423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discovery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external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Employee and contractor-related expenses </w:t>
            </w:r>
            <w:r>
              <w:rPr>
                <w:rFonts w:ascii="Times New Roman" w:hAnsi="Times New Roman"/>
                <w:color w:val="000000"/>
                <w:sz w:val="13"/>
              </w:rPr>
              <w:t>(1)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Facility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(8,818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stock-based compensation expense, see Note 7 - Stock-Based Compensation for further details.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The condensed consolidated financial statements and this Management’s Discussion and Analysis of Financial Condition and Results of Operations should be read in conjunction with the consolidated financial statements and notes thereto for the year ended December 31, 2024 and the related Management’s Discussion and Analysis of Financial Condition and Results of Operations, both of which are contained in our Annual Report on Form 10-K for the fiscal year ended December 31, 2024 filed with the U.S. Securities and Exchange Commission on March 20, 2025 (2024 Annual Report). In addition to historical information, this discussion and analysis contains forward-looking statements that involve risks and uncertainties. Our actual results could differ materially from those expressed or implied in any forward-looking statements as a result of various factors, including those set forth under “Part I. Item 1A. Risk Factors” in our 2024 Annual Report and “Part II. Item 1A. Risk Factors” in this report.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 biotechnology company developing innovative therapeutics targeting serious viral diseases with the potential to improve the lives of patients worldwide. Our pipeline includes multiple clinical-stage investigational therapies, including: (1) two helicase-primase inhibitors (HPIs) targeting recurrent genital herpes; (2) an orally bioavailable hepatitis delta virus (HDV) entry inhibitor; and (3) a highly potent next-generation capsid assembly modulator (CAM) designed to disrupt the replication cycle of hepatitis B virus (HBV) at several key points. Our pipeline also includes a novel, oral broad-spectrum non-nucleoside polymerase inhibitor (NNPI) targeting transplant-related herpesviruses, which is currently undergoing studies to enable a regulatory filing, and we have additional research programs against multiple antiviral targets.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Our Clinical Programs and Regulatory Filing-Enabling Program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the beginning of 2024, we have initiated: (1) both the Phase 1a and Phase 1b portions of a Phase 1a/b study of ABI-5366 (5366), a long-acting HPI for recurrent genital herpes; (2) the Phase 1a portion of a Phase 1a/b study of ABI-1179 (1179), also a long-acting HPI for recurrent genital herpes; (3) a Phase 1a study of ABI-6250 (6250), an orally bioavailable HDV entry inhibitor; and (4) a Phase 1b study of ABI-4334 (4334), a highly potent, next-generation CAM for chronic HBV infection. We expect to move into the Phase 1b portion of the Phase 1a/b study of 1179 in the first half of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announced interim results from the Phase 1a portion of the 5366 study in September 2024, interim results from the Phase 1b study of 4334 in December 2024 and interim results from the Phase 1a portion of the 1179 study in February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in December 2024, we identified a development candidate, ABI-7423 (7423), in our broad-spectrum NNPI program targeting transplant-associated herpesviruses.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Recurrent Genital Herpes/HSV-1 and HSV-2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Genital herpes can be caused by either herpes simplex virus type 1 (HSV-1) or herpes simplex virus type 2 (HSV-2). HSV-1 and HSV-2 are acquired by oral or genital contact either during symptomatic or asymptomatic reactivation of the virus. Both viruses replicate in neurons, where they can remain latent for the rest of the individual’s life and periodically reactivate, with the virus spreading, replicating and causing disease in epithelial tissues. Initial infection can be asymptomatic or can be marked by serious symptoms, including painful skin lesions, swelling of lymph nodes and urinary problems that can persist for two to three weeks. While genital herpes can be caused by either HSV-1 or HSV-2, recurrences are more likely to be experienced by individuals infected by HSV-2. Genital herpes recurrence can cause painful genital lesions that can lead to increased transmission and debilitate patients, and symptoms may become more serious with additional episodes. Additional complications include increased risk of HIV infection, as 30% of HIV infections acquired through sexual transmission are attributable to HSV-2 infection. In addition, people with recurrent genital herpes often experience associated psychosocial impacts, including anxiety, concerns about transmission, depression and social stigma. Immunocompromised individuals may experience more severe and prolonged symptoms due to increased recurrence rates.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HPIs are antiviral agents in development for the treatment of recurrent genital herpes, with a clinically-validated mechanism of action. HPIs inhibit the HSV helicase-primase complex, which is a unique viral enzyme complex without a human homolog, consisting of helicase, primase and cofactor subunits. These subunits have functions that are essential for viral DNA replication and are conserved across HSV-1 and HSV-2. Unlike nucleoside analogs, these compounds do not require phosphorylation by the HSV thymidine kinase (TK) and ongoing viral replication to become active drugs. As a result, HPIs are active immediately upon reactivation of latent HSV-1 and HSV-2. Furthermore,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HPIs are active against TK-deficient HSV-1 and HSV-2, which is a major mechanism of resistance to nucleoside analogs.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Most people with initial symptomatic genital herpes who are infected with HSV-2 have frequent recurrences, generally between three and 15 per year, including an estimated population of over four million people in the United States and France, Germany, Italy and Spain (collectively, the EU4) and the United Kingdom (UK). Currently, there are three antiviral drugs (all nucleoside analogs) that have been approved in the United States and the EU4/UK for the treatment of genital herpes. However, no new drugs have been approved in these regions to treat genital herpes for more than 25 years. In addition to the approved nucleoside analogs, agents such as local anesthetics or analgesics may be used to alleviate local symptoms of minor pain and discomfort. </w:t>
      </w:r>
    </w:p>
    <w:p>
      <w:pPr>
        <w:pStyle w:val="TextBody"/>
        <w:bidi w:val="0"/>
        <w:spacing w:before="200" w:after="283"/>
        <w:jc w:val="both"/>
        <w:rPr>
          <w:rFonts w:ascii="Times New Roman" w:hAnsi="Times New Roman"/>
          <w:sz w:val="20"/>
        </w:rPr>
      </w:pPr>
      <w:r>
        <w:rPr>
          <w:rFonts w:ascii="Times New Roman" w:hAnsi="Times New Roman"/>
          <w:color w:val="000000"/>
          <w:sz w:val="20"/>
        </w:rPr>
        <w:t>Nucleoside analogs can be administered as episodic therapy as individual outbreaks arise or daily as chronic suppressive therapy for those with high post-exposure recurrences. However, these agents are only partially effective at controlling the infection or reducing transmission risk. With current nucleoside analog therapies, only one out of three people with recurrent genital herpes with six or more recurrences per year are able to make it through a year of treatment without a recurrence. There are still high titer (greater than 10</w:t>
      </w:r>
      <w:r>
        <w:rPr>
          <w:rFonts w:ascii="Times New Roman" w:hAnsi="Times New Roman"/>
          <w:color w:val="000000"/>
          <w:sz w:val="13"/>
        </w:rPr>
        <w:t>4</w:t>
      </w:r>
      <w:r>
        <w:rPr>
          <w:rFonts w:ascii="Times New Roman" w:hAnsi="Times New Roman"/>
          <w:color w:val="000000"/>
          <w:sz w:val="20"/>
        </w:rPr>
        <w:t xml:space="preserve"> HSV-2 DNA copies/mL) shedding episodes under this current standard of care for recurrent genital herpes, which can lead to recurrent episodes and transmission of genital herpes. In addition, nucleoside analogs also carry a high pill burden as a lifelong daily treatment, with doses ranging from one to three times daily. There is also high treatment variability among those taking nucleoside analogs, as many seeking care may not consistently receive suppressive therapy.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the limitations of current therapies, we see a path to advancing the treatment paradigm for people suffering from recurrent genital herpes. To reach that goal, we discovered and are developing a novel, potent, long-acting HPI for recurrent genital herpes, 5366, which demonstrated low nanomolar potency in vitro against both HSV-1 and HSV-2 clinical isolates and a favorable nonclinical safety profile in the U.S. Food and Drug Administration's (FDA) Good Laboratory Practice (GLP) toxicology studies, with high safety margins and minimal potential for off-target effects. In addition, we are developing a second novel, potent, long-acting HPI for genital herpes, 1179, which was exclusively in-licensed to us as part of our collaboration with Gilead, and also has demonstrated low nanomolar potency in vitro against both HSV-1 and HSV-2 clinical isolates and a favorable nonclinical safety profile in the FDA's GLP toxicology studies, with high safety margins and minimal potential for off-target effects.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September 2024, we announced positive interim data for the Phase 1a portion of a Phase 1a/b clinical study of 5366, and in April 2025 we announced additional data for the Phase 1a portion of the study at the 2025 Congress of the European Society of Clinical Microbiology and Infectious Diseases. Interim results exceeded our objectives for this Phase 1a study and supported 5366’s progression into the Phase 1b portion of the study, which we initiated during the third quarter of 2024. Across the Part A (Phase 1a) cohorts evaluated, 5366 had a mean half-life of approximately 20 days when dosed orally, supporting once-weekly oral dosing, the target profile for 5366, as well as showing the potential for once-monthly oral dosing. We plan to explore both once-weekly and once-monthly oral dosing regimens in the Part B (Phase 1b) portion of the study.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Part A cohorts, 5366 has been well-tolerated with a favorable safety profile observed when administered orally up to 350 mg, with exposure of up to 70 days. Treatment-emergent adverse events (AEs) were all mild to moderate in intensity and all were considered not related to study treatment by the study investigators; there have been no serious AEs in any dose arm. There were no treatment-related Grade 3 or 4 laboratory abnormalities and no protocol-defined stopping criteria were met. There were no clinically significant electrocardiogram (ECG) abnormalities or patterns of AEs or laboratory abnormalities noted.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expect interim data from the Phase 1b portion of the 5366 study to be available in fall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to 5366, we are also advancing 1179, a structurally-differentiated HPI with single digit nanomolar potency against HSV-1 and HSV-2 and a nonclinical pharmacokinetic (PK) and safety profile to date that is supportive of a potential long-acting treatment by once-weekly oral administration. We submitted the Clinical Trial Application for a Phase 1a/b study of 1179 in September 2024, which was approved in October 2024. We dosed our first participant in the Phase 1a portion of this study during the fourth quarter of 2024.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February 2025, we announced positive interim data for the Phase 1a portion of the 1179 study. Interim results exceeded our objectives for this Phase 1a study and support 1179’s progression into Phase 1b, and we are moving directly into the Phase 1b study in participants with recurrent genital herpes.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all three single-dose cohorts completed to date (50 mg, 100 mg and 300 mg), 1179 has been well-tolerated with a favorable safety profile observed. Treatment-emergent AEs were generally Grade 1 in intensity and all were considered not related to study treatment by the study investigators; there have been no serious AEs in any dose cohort.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A single, self-limited Grade 2 alanine transaminase elevation was observed in a subject receiving the highest dose of 300 mg. There were no treatment-related Grade 3 or 4 laboratory abnormalities and no protocol-defined stopping criteria were met. Plasma concentrations exceeded necessary protein-adjusted EC</w:t>
      </w:r>
      <w:r>
        <w:rPr>
          <w:rFonts w:ascii="Times New Roman" w:hAnsi="Times New Roman"/>
          <w:color w:val="000000"/>
          <w:sz w:val="13"/>
        </w:rPr>
        <w:t xml:space="preserve">50 </w:t>
      </w:r>
      <w:r>
        <w:rPr>
          <w:rFonts w:ascii="Times New Roman" w:hAnsi="Times New Roman"/>
          <w:color w:val="000000"/>
          <w:sz w:val="20"/>
        </w:rPr>
        <w:t>for inhibition of HSV replication at all dose levels and the observed half-life of approximately four days supports weekly dosing, the target profile for 1179. There were no clinically significant ECG abnormalities or patterns of AEs or laboratory abnormalities noted. We expect interim data from the Phase 1b portion of the 1179 study to be available in fall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plan to conduct the Phase 1b study of 1179 concurrently with the ongoing Phase 1b evaluation of 5366, our other long-acting HPI candidate that began dosing in Phase 1b in the fourth quarter of 2024. The studies are anticipated to use equivalent eligibility criteria and outcome measures for both candidates. We plan to report interim data for both candidates together in fall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HBV and HDV Programs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World Health Organization (WHO) estimates that 254 million people worldwide are chronically infected with HBV as of 2022, and 1.2 million new infections occur each year. HBV is a leading global cause of chronic liver disease and liver transplants, and the WHO estimates that 1.1 million people died in 2022 from HBV, mostly due to cirrhosis and hepatocellular carcinoma. As of 2022, of the 254 million people living with chronic HBV infection, only approximately 33 million, or 13%, were aware of their infection, and only approximately 7 million, or 3%, of those diagnosed received treatment. HBV is a highly prevalent disease that infects almost three times the number of people infected with hepatitis C virus and HIV infections combined, according to the WHO.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current standard of care for chronic HBV infection, nucleos(t)ide analog reverse transcriptase inhibitors (NrtIs), are taken life-long and reduce, but do not eliminate, the virus and result in very low cure rates. No new mechanisms of action (MOA) have been approved for the treatment of chronic HBV infection in over 25 years. The focus of our HBV program is to improve outcomes and increase the number of patients diagnosed and treated through the development of finite and curative therapies targeting an orthogonal MOA.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HDV is a “satellite virus” of HBV because it can only infect people (1) who are already infected with HBV or (2) at the same time as a person is infected with HBV. HDV affects a subset of approximately 12 to 72 million HBV infected people. These individuals infected with HDV, which comprise an estimated 4.5% of hepatitis B surface antigen (HBsAg) positive individuals, experience a substantially increased disease burden, as they account for 18% of cirrhosis and 20% of hepatocellular carcinoma associated with HBV. HDV is considered the most severe form of hepatitis, as 70% of individuals infected with HDV progress to cirrhosis within ten years. While HDV is less prevalent in the United States, it is a significant and serious health problem with inadequate treatment in many parts of Europe, Africa, the Middle East, East Asia and parts of South America. HDV may be significantly underdiagnosed, because there were no HDV-targeted therapies approved until very recently, and the first therapy approved is only approved in Europe. HDV is known to accelerate disease progression and increase the incidence of liver cirrhosis and liver cancer, which results in higher morbidity and mortality rates than HBV alone.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current standard of care treatment for HDV is off-label pegylated interferon-α (IFN-α) injected weekly or, in Europe, a large, complex peptide inhibitor that requires daily injections, bulevirtide. There are no approved HDV treatments in the United States, and bulevirtide is the only approved HDV treatment in Europe. We believe a safe and effective oral small molecule entry inhibitor would be a significant innovation for people living with HDV, who face a significant and immediate disease burden.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HDV Entry Inhibitor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HDV is a small RNA virus that encodes just two viral proteins and relies on host enzymes as well as the HBsAg from HBV to replicate, which limits the number of HDV-specific antiviral targets. Similar to HBV, HDV utilizes HBsAg to enter hepatocytes by binding the cellular transmembrane protein sodium taurocholate co-transporting peptide (NTCP). NTCP is highly expressed on human hepatocytes, where it serves as one of several proteins involved in the transport of bile acids. The binding of specific small or large molecules to NTCP has been shown to effectively inhibit the interaction of HBsAg with NTCP, which prevents HBV and HDV from infecting hepatocytes.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inhibition of HBV and HDV infection by molecules that bind NTCP has been demonstrated in vitro, in animal models and clinically. Notably, bulevirtide, a peptide blocker of NTCP, is the only approved therapy for HDV (approved in Europe). 6250 uses the same clinically-validated MOA as bulevirtide. The binding of NTCP-targeted HBV/HDV entry inhibitors to NTCP has also been shown to inhibit the transport of certain bile acids into cells, which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results in plasma elevations of bile acids; this effect has been well-tolerated clinically and may serve as a biomarker of pharmacologically active concentrations of drug in the plasma. In nonclinical studies in non-human primates, clinically-relevant doses of 6250 elevated bile acids to levels similar to those seen in humans with bulevirtide.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a safe and effective oral small molecule entry inhibitor would be a significant innovation for people living with HDV and could significantly improve treatment uptake and diagnosis rates, especially when compared with currently available injectable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September 2023, we nominated 6250, a novel, orally bioavailable small molecule designed to inhibit entry of HBV and HDV by targeting NTCP. In nonclinical studies, 6250 demonstrated low nanomolar potency against all tested HBV/HDV genotypes, favorable selectivity for NTCP versus other bile acid transporters, good oral bioavailability and a PK profile in nonclinical species projected to support once-daily oral dosing. In GLP toxicology studies, 6250 demonstrated a favorable nonclinical safety profile with wide safety margins.</w:t>
      </w:r>
    </w:p>
    <w:p>
      <w:pPr>
        <w:pStyle w:val="TextBody"/>
        <w:bidi w:val="0"/>
        <w:spacing w:before="200" w:after="283"/>
        <w:jc w:val="both"/>
        <w:rPr>
          <w:rFonts w:ascii="Times New Roman" w:hAnsi="Times New Roman"/>
          <w:sz w:val="20"/>
        </w:rPr>
      </w:pPr>
      <w:r>
        <w:rPr>
          <w:rFonts w:ascii="Times New Roman" w:hAnsi="Times New Roman"/>
          <w:color w:val="000000"/>
          <w:sz w:val="20"/>
        </w:rPr>
        <w:t>At the European Association for the Study of the Liver's International Liver Congress</w:t>
      </w:r>
      <w:r>
        <w:rPr>
          <w:rFonts w:ascii="Times New Roman" w:hAnsi="Times New Roman"/>
          <w:color w:val="000000"/>
          <w:sz w:val="13"/>
        </w:rPr>
        <w:t>TM</w:t>
      </w:r>
      <w:r>
        <w:rPr>
          <w:rFonts w:ascii="Times New Roman" w:hAnsi="Times New Roman"/>
          <w:color w:val="000000"/>
          <w:sz w:val="20"/>
        </w:rPr>
        <w:t xml:space="preserve"> (EASL) in June 2024 and the International HBV Meeting in September 2024, we presented nonclinical profiling of 6250. In addition, 6250 was featured in an oral presentation at the Science of HBV Cure Meeting 2024. At EASL in June 2025, 6250 also will be featured in a poster presentation highlighting nonclinical data supporting the advancement of 6250 into an ongoing Phase 1a clinical study, which was initiated during the fourth quarter of 2024. We expect interim safety, PK and biomarker data from single-ascending and multiple-ascending doses cohorts in healthy participants in the third quarter of 2025.</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Capsid Assembly Modulator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HBV is a DNA virus that infects hepatocytes and establishes a reservoir of covalently closed circular DNA (cccDNA), a unique viral DNA moiety that resides in the nucleus of HBV-infected hepatocytes and is associated with viral persistence and chronic infection. No currently approved oral therapies target cccDNA activity directly. As a result, we have worked to discover and develop compounds targeting the core protein, a viral protein involved in numerous aspects of the HBV replication cycle, including the generation of HBV cccDNA.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benchmark for therapeutic agents aiming to decrease cccDNA levels is the use of several key viral antigens as surrogate biomarkers of active cccDNA. The same biomarkers can be used in both primary human hepatocytes and infected individuals. On this basis, our next-generation CAM, 4334, has shown nonclinical proof of principle. In a variety of cell culture models, 4334 has demonstrated the ability to reduce production of HBV DNA levels as well as the surrogate markers for cccDNA establishment: HBV e antigen (HBeAg), HBV core-related antigen (HBcrAg) and HBV pre-genomic RNA (pgRNA).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next-generation CAM, 4334 was optimized to potently disrupt viral replication (MOA #1) and prevent the establishment and replenishment of new cccDNA (MOA #2). In contrast, while they are active against MOA #1, first-generation CAMs have not demonstrated adequate potency to sufficiently block cccDNA formation (MOA #2). Further, the current standard of care, NrtIs, impacts the viral life cycle after establishment of cccDNA and can only inhibit production of new viral particles, and they do so incompletely. The chemical scaffold of 4334 is novel and distinct from all our prior CAM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believe that 4334 has a best-in-class nonclinical profile, with single-digit nanomolar potency against MOA #1 and MOA #2, pan-genotypic activity, an improved resistance profile and a favorable safety profile. Through mechanistic studies presented at multiple conferences, we have demonstrated that 4334 promotes the formation of empty capsids by acceleration of capsid assembly, prevents the formation of cccDNA by disrupting incoming capsids, and prematurely disrupts capsids containing duplex linear DNA, the precursor for integrated HBV DNA.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Phase 1a study demonstrated that 4334 was well-tolerated when administered orally as single or multiple doses. In addition, the PK data support 4334 as a once daily oral therapy and predicts best-in-class activity against both MOA #1 and MOA #2. During the second quarter of 2024, we dosed our first participant in a Phase 1b clinical study of 4334. We reported interim clinical results from the initial 150 mg cohort in December 2024, which indicated that 4334 maintained clinical exposures multiple folds above those anticipated to be required for potent viral activity and inhibition of cccDNA formation. A mean decline in HBV DNA of 2.9 log10 IU/mL was observed in a population of predominately HBeAg negative participants. Among the subset of participants with detectable HBV RNA at baseline, a mean decline of 2.5 log10 U/mL for HBV RNA was observed. As anticipated, limited changes in viral antigens were observed for the study population over the 28-day treatment period. These initial antiviral data are consistent with the high potency seen preclinically for 4334. The interim safety data also demonstrated that 4334 was well-tolerated with a favorable safety profile observed. Based on the strong antiviral activity observed in the first cohort, we expect that the 400 mg cohort will be the final cohort for this Phase 1b study. We anticipate releasing data from the 400 mg cohort.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first half of 2025. At EASL in June 2025, 4334 will be featured in a poster presentation evaluating multiple viral biomarkers of HBV infection, which showed durable reduction in HBV nucleic acids and antigens in human hepatocytes following a one-month course of treatment with ABI-4334.</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Transplant-Associated Herpesviruses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 transplant setting, when patients are experiencing immunosuppression, they are at high risk of uncontrolled viral replication and severe disease brought on by one or more herpesviruses, including cytomegalovirus (CMV), HSV-1, HSV-2, varicella zoster virus (VZV) and Epstein-Barr virus (EBV). Each of these herpesviruses are highly prevalent, as approximately (1) 60% of transplant patients are CMV-positive; (2) 60% of transplant patients are HSV-positive; (3) 80% of transplant patients are VZV-positive and (4) 45% of transplant patients are EBV-positive. These viruses establish lifelong latent infections and frequently reactivate in transplant patients due to the use of immunosuppressive drugs following transplantation. These uncontrolled viral infections increase the risk of severe disease and serious complications, including organ rejection, graft loss and death, and impacted approximately 95,000 people receiving transplants in 2021 in the United States and Europe.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While there are approved antivirals that are administered in a transplant setting, currently approved antivirals are only partially efficacious, not active against a broad spectrum of transplant-associated herpesviruses and pose the risk of potentially serious side effects and drug-drug interactions. As a result of these limitations, we identified an opportunity to develop an oral, broad-spectrum NNPI for transplant-associated herpesvirus infections, which could greatly improve efficacy and treatment.</w:t>
      </w:r>
    </w:p>
    <w:p>
      <w:pPr>
        <w:pStyle w:val="TextBody"/>
        <w:bidi w:val="0"/>
        <w:spacing w:before="200" w:after="283"/>
        <w:jc w:val="both"/>
        <w:rPr>
          <w:rFonts w:ascii="Times New Roman" w:hAnsi="Times New Roman"/>
          <w:sz w:val="20"/>
        </w:rPr>
      </w:pPr>
      <w:r>
        <w:rPr>
          <w:rFonts w:ascii="Times New Roman" w:hAnsi="Times New Roman"/>
          <w:color w:val="000000"/>
          <w:sz w:val="20"/>
        </w:rPr>
        <w:t>In December 2024, we nominated 7423 as our development candidate to undergo regulatory filing-enabling studies, which are ongoing</w:t>
      </w:r>
      <w:r>
        <w:rPr>
          <w:rFonts w:ascii="Times New Roman" w:hAnsi="Times New Roman"/>
          <w:color w:val="000000"/>
          <w:sz w:val="24"/>
        </w:rPr>
        <w: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Research Programs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to our investigational therapy programs that have nominated development candidates and have advanced into clinical studies or regulatory filing-enabling studies, our research team continues to actively focus on proprietary research to discover and develop novel antivirals to treat serious viral diseases.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Collaboration and License Agreement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Gilead Sciences,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October 2023, we entered into an Option, License and Collaboration agreement (the Gilead Collaboration Agreement) with Gilead pursuant to which Gilead (1) exclusively licensed to us its HPI program and its NNPI program, while retaining opt-in rights to these programs and (2) has an option to take an exclusive license, on a program-by-program basis, to all of our other current and future pipeline programs. During the 12-year collaboration term (subject to payment of certain extension fees) and for a specified period thereafter, Gilead may exercise its opt-in rights, on a program-by-program basis, at one of two timepoints—completion of a certain Phase 1 study or completion of a certain Phase 2 study for the first product within the program—upon payment of an opt-in fee ranging from $45.0 million to $125.0 million per program depending on the type of program and when the option is exercised. Pursuant to the Gilead Collaboration Agreement, Gilead made an $84.8 million upfront cash payment to us. In December 2024, we and Gilead entered into the First Amendment to the Gilead Collaboration Agreement, which restructured the timing of specific options exercisable and the fees payable to us under the terms of the Gilead Collaboration Agreement due to an agreed upon development plan for 6250. To facilitate this development plan, (1) we received a payment of $10.0 million from Gilead and (2) the opt-in fee payable by Gilead in connection with 6250 was restructured, though it remains in the range of opt-in fees detailed above. The $10.0 million payment received in connection with the First Amendment to the Gilead Collaboration Agreement is creditable towards future collaboration-related payments payable by Gilead.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Gilead exercises its opt-in right to any current or future program under the collaboration, we are eligible to receive up to $330.0 million in potential regulatory and commercial milestones on that program, in addition to royalties ranging from the high single-digits to high teens, depending on the clinical stage of the program at the time of the opt-in. Following Gilead’s exercise of its option for each program, we may opt in to cover 40% of the research and development costs in the United States and share 40% of the profits and operating loss in the United States for products within the program in lieu of receiving milestones and royalties for that program in the United States, unless we later opt out of the cost/profit share for the program. Prior to Gilead’s potential exercise of its opt-in, we are primarily responsible for all discovery, research and development on both our programs and the two Gilead-contributed programs. Following Gilead’s opt-in, Gilead will control the further discovery, research, development, and commercialization on any optioned programs. During the term, Gilead will continue to support the collaboration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through extension fees of $75.0 million in each of the third, fifth and seventh years of the collaboration.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Gilead Collaboration Agreement is subject to termination by either party for the other party’s uncured, material breach or insolvency. Subject to certain limitations, we and Gilead both have certain termination for convenience rights, upon sufficient prior written notice, with respect to programs that one party in-licenses from the other (subject to Gilead’s option rights), and with respect to Gilead, for programs it has option rights to (subject to certain time limitations with respect to existing Company programs). Gilead also has a right to terminate the collaborative activities under the Gilead Collaboration Agreement at certain specified points during the collaboration term. Other customary termination rights are further provided in the Gilead Collaboration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and Gilead also entered into a Common Stock Purchase Agreement and an Investor Rights Agreement (together, the Gilead Equity Agreements), which were both amended in June 2024 in connection with a financing transaction, in which a new investor purchased shares of common stock and was issued a warrant (the 2024 Financing Transaction). Pursuant to the Gilead Equity Agreements, Gilead made an upfront equity investment of $15.2 million by purchasing from us 1,089,472 shares of our common stock at a purchase price of $13.92 per share. The terms of the Gilead Equity Agreements provided Gilead the right to elect to purchase additional shares of common stock from us at a premium in an amount that results in Gilead owning 29.9% of our then-outstanding voting common stock. This right was exercised in December 2024, at a purchase price of $21.37 per share, which represents a 35% premium to the 30-trading day volume weighted average price immediately prior to the date of purchase. The Gilead Equity Agreements also include a three-year standstill provision and a two-year lockup provision, each with customary exceptions, and provide Gilead with certain other stock purchase rights and registration rights, as well as the right to designate two directors (or, alternatively, board observers at Gilead’s election) to our board of directors. In December 2023, Gilead designated Tomas Cihlar, Ph.D. to serve on our board of directors, and in March 2024, Gilead designated Robert D. Cook II to serve on our board of directors.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Gilead participated in the 2024 Financing Transaction on the same terms as the new investor pursuant to the anti-dilution provision in the Investor Rights Agreement. We and Gilead entered into a Securities Purchase Agreement for the issuance and sale, in a private placement, of 179,500 shares of our common stock and a warrant to purchase up to 179,500 shares of our common stock. The warrant sold to Gilead has an exercise price equal to $17.00 per share, became immediately exercisable on the date of issuance and will expire on June 18, 2029. Subject to certain exceptions, neither Gilead nor its affiliates may exercise any portion of the warrant to the extent that Gilead would own more than 19.9% of the number of our shares of common stock outstanding immediately after giving effect to such exercise.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currently have corporate and administrative offices and research laboratory space in South San Francisco, California.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our inception, we have had no revenue from product sales and have funded our operations principally through debt financings prior to our initial public offering in 2010 and through equity financings and collaborations since then. Our operations to date have been primarily limited to organizing and staffing our company, discovering and developing our product candidates, licensing our product candidates, maintaining and improving our patent portfolio and raising capital.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generated significant losses to date, and we expect to continue to generate losses as we develop our product candidates. As of March 31, 2025, we had an accumulated deficit of $834.7 million. Because we do not generate revenue from any of our product candidates, our losses will continue as we further develop and seek regulatory approval for, and commercialize, our product candidates. Additionally, we expect our research and development expenses to increase over the coming years as we continue the development of our product candidates. As a result, our operating losses are likely to be substantial over the next several years if none of our product candidates are approved or successfully launched. We are unable to predict the extent of any future losses or when we will become profitable, if at all.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condensed consolidated financial statements, which have been prepared in accordance with accounting principles generally accepted in the United States. The preparation of these condensed consolidated financial statements requires us to make estimates and assumptions that affect the reported amounts of assets, liabilities, revenues and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critical accounting policies and significant estimates are detailed in our 2024 Annual Report. Our critical accounting policies and significant estimates have not changed from those previously disclosed in our 2024 Annual Report.</w:t>
      </w:r>
    </w:p>
    <w:p>
      <w:pPr>
        <w:pStyle w:val="TextBody"/>
        <w:bidi w:val="0"/>
        <w:spacing w:before="200" w:after="283"/>
        <w:jc w:val="both"/>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Comparison of the Three Months Ended March 31, 2025 and 2024</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period-over-period changes in our collaboration revenue (in thousands, except for percentages):</w:t>
      </w:r>
    </w:p>
    <w:tbl>
      <w:tblPr>
        <w:tblW w:w="9233" w:type="dxa"/>
        <w:jc w:val="left"/>
        <w:tblInd w:w="0" w:type="dxa"/>
        <w:tblLayout w:type="fixed"/>
        <w:tblCellMar>
          <w:top w:w="28" w:type="dxa"/>
          <w:left w:w="28" w:type="dxa"/>
          <w:bottom w:w="28" w:type="dxa"/>
          <w:right w:w="28" w:type="dxa"/>
        </w:tblCellMar>
      </w:tblPr>
      <w:tblGrid>
        <w:gridCol w:w="3571"/>
        <w:gridCol w:w="146"/>
        <w:gridCol w:w="272"/>
        <w:gridCol w:w="738"/>
        <w:gridCol w:w="188"/>
        <w:gridCol w:w="188"/>
        <w:gridCol w:w="272"/>
        <w:gridCol w:w="738"/>
        <w:gridCol w:w="146"/>
        <w:gridCol w:w="146"/>
        <w:gridCol w:w="298"/>
        <w:gridCol w:w="812"/>
        <w:gridCol w:w="146"/>
        <w:gridCol w:w="146"/>
        <w:gridCol w:w="350"/>
        <w:gridCol w:w="760"/>
        <w:gridCol w:w="31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 from a related party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9,419</w:t>
            </w:r>
          </w:p>
        </w:tc>
        <w:tc>
          <w:tcPr>
            <w:tcW w:w="18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120"/>
        <w:jc w:val="both"/>
        <w:rPr>
          <w:rFonts w:ascii="Times New Roman" w:hAnsi="Times New Roman"/>
          <w:color w:val="000000"/>
          <w:sz w:val="20"/>
        </w:rPr>
      </w:pPr>
      <w:r>
        <w:rPr>
          <w:rFonts w:ascii="Times New Roman" w:hAnsi="Times New Roman"/>
          <w:color w:val="000000"/>
          <w:sz w:val="20"/>
        </w:rPr>
        <w:t>Collaboration revenue was $9.4 million for the three months ended March 31, 2025 compared to $5.8 million for the same period in 2024. The $3.6 million increase in collaboration revenue was due to more costs incurred under the Gilead Collaboration Agreement during the three months ended March 31, 2025, as well as an increase in the transaction price from additional funds received under the First Amendment to the Gilead Collaboration Agreement.</w:t>
      </w:r>
    </w:p>
    <w:p>
      <w:pPr>
        <w:pStyle w:val="TextBody"/>
        <w:bidi w:val="0"/>
        <w:spacing w:before="80" w:after="120"/>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consist primarily of employee-related expenses, fees paid to contract research organizations and contract manufacturing organizations, lab supplies and other third-party expenses that support our research and discovery, nonclinical and clinical activities. External costs represent a significant portion of our research and development expenses, which we track on a program-by-program basis following the nomination of a development candidate. We use our employee and infrastructure resources, as well as certain third-party costs, across multiple research and development programs, and we do not specifically allocate these costs to our programs.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 xml:space="preserve">The following table summarizes the period-over-period changes in our research and development expenses (in thousands, except for percentages): </w:t>
      </w:r>
    </w:p>
    <w:tbl>
      <w:tblPr>
        <w:tblW w:w="9500" w:type="dxa"/>
        <w:jc w:val="left"/>
        <w:tblInd w:w="0" w:type="dxa"/>
        <w:tblLayout w:type="fixed"/>
        <w:tblCellMar>
          <w:top w:w="28" w:type="dxa"/>
          <w:left w:w="28" w:type="dxa"/>
          <w:bottom w:w="28" w:type="dxa"/>
          <w:right w:w="28" w:type="dxa"/>
        </w:tblCellMar>
      </w:tblPr>
      <w:tblGrid>
        <w:gridCol w:w="3556"/>
        <w:gridCol w:w="146"/>
        <w:gridCol w:w="245"/>
        <w:gridCol w:w="785"/>
        <w:gridCol w:w="169"/>
        <w:gridCol w:w="169"/>
        <w:gridCol w:w="245"/>
        <w:gridCol w:w="785"/>
        <w:gridCol w:w="146"/>
        <w:gridCol w:w="146"/>
        <w:gridCol w:w="298"/>
        <w:gridCol w:w="812"/>
        <w:gridCol w:w="166"/>
        <w:gridCol w:w="146"/>
        <w:gridCol w:w="285"/>
        <w:gridCol w:w="825"/>
        <w:gridCol w:w="576"/>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program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1179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6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7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6250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4334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7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7423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discovery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external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and contractor-related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6,214</w:t>
            </w:r>
          </w:p>
        </w:tc>
        <w:tc>
          <w:tcPr>
            <w:tcW w:w="16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7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14,851</w:t>
            </w:r>
          </w:p>
        </w:tc>
        <w:tc>
          <w:tcPr>
            <w:tcW w:w="16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11,879</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120"/>
        <w:jc w:val="both"/>
        <w:rPr>
          <w:rFonts w:ascii="Times New Roman" w:hAnsi="Times New Roman"/>
          <w:color w:val="000000"/>
          <w:sz w:val="20"/>
        </w:rPr>
      </w:pPr>
      <w:r>
        <w:rPr>
          <w:rFonts w:ascii="Times New Roman" w:hAnsi="Times New Roman"/>
          <w:color w:val="000000"/>
          <w:sz w:val="20"/>
        </w:rPr>
        <w:t xml:space="preserve">Research and development expenses were $14.9 million for the three months ended March 31, 2025 compared to $11.9 million for the same period in 2024. The $3.0 million increase in research and development expenses was primarily driven by increases in external program expenses from the advancement of our pipeline, particularly a $1.4 million increase in 6250 and a $1.3 million increase in 5366.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expenses consist primarily of salaries and other related costs for personnel in executive, finance, accounting, business development, information technology, legal and human resources functions. Other significant costs include facility costs not otherwise included in research and development expenses, insurance costs, legal fees relating to patents and corporate matters and fees for accounting and consulting services.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period-over-period changes in our general and administrative expenses (in thousands, except for percentages):</w:t>
      </w:r>
    </w:p>
    <w:tbl>
      <w:tblPr>
        <w:tblW w:w="8833" w:type="dxa"/>
        <w:jc w:val="left"/>
        <w:tblInd w:w="0" w:type="dxa"/>
        <w:tblLayout w:type="fixed"/>
        <w:tblCellMar>
          <w:top w:w="28" w:type="dxa"/>
          <w:left w:w="28" w:type="dxa"/>
          <w:bottom w:w="28" w:type="dxa"/>
          <w:right w:w="28" w:type="dxa"/>
        </w:tblCellMar>
      </w:tblPr>
      <w:tblGrid>
        <w:gridCol w:w="3091"/>
        <w:gridCol w:w="146"/>
        <w:gridCol w:w="272"/>
        <w:gridCol w:w="738"/>
        <w:gridCol w:w="188"/>
        <w:gridCol w:w="188"/>
        <w:gridCol w:w="272"/>
        <w:gridCol w:w="738"/>
        <w:gridCol w:w="146"/>
        <w:gridCol w:w="146"/>
        <w:gridCol w:w="337"/>
        <w:gridCol w:w="773"/>
        <w:gridCol w:w="166"/>
        <w:gridCol w:w="146"/>
        <w:gridCol w:w="387"/>
        <w:gridCol w:w="723"/>
        <w:gridCol w:w="37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4,509</w:t>
            </w:r>
          </w:p>
        </w:tc>
        <w:tc>
          <w:tcPr>
            <w:tcW w:w="18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120"/>
        <w:jc w:val="both"/>
        <w:rPr>
          <w:rFonts w:ascii="Times New Roman" w:hAnsi="Times New Roman"/>
          <w:color w:val="000000"/>
          <w:sz w:val="20"/>
        </w:rPr>
      </w:pPr>
      <w:r>
        <w:rPr>
          <w:rFonts w:ascii="Times New Roman" w:hAnsi="Times New Roman"/>
          <w:color w:val="000000"/>
          <w:sz w:val="20"/>
        </w:rPr>
        <w:t xml:space="preserve">General and administrative expenses were $4.5 million for the three months ended March 31, 2025 compared to $4.6 million for the same period in 2024. The $0.1 million decrease was primarily due to cost savings in rent as a result of amending our corporate headquarters sublease at a reduced rate beginning in January 2025. </w:t>
      </w:r>
    </w:p>
    <w:p>
      <w:pPr>
        <w:pStyle w:val="TextBody"/>
        <w:bidi w:val="0"/>
        <w:spacing w:before="80" w:after="120"/>
        <w:jc w:val="both"/>
        <w:rPr>
          <w:rFonts w:ascii="Times New Roman" w:hAnsi="Times New Roman"/>
          <w:sz w:val="20"/>
        </w:rPr>
      </w:pPr>
      <w:r>
        <w:rPr>
          <w:rFonts w:ascii="Times New Roman" w:hAnsi="Times New Roman"/>
          <w:i/>
          <w:color w:val="000000"/>
          <w:sz w:val="20"/>
        </w:rPr>
        <w:t>Interest and Other Income, Net</w:t>
      </w:r>
      <w:r>
        <w:rPr>
          <w:rFonts w:ascii="Times New Roman" w:hAnsi="Times New Roman"/>
          <w:color w:val="000000"/>
          <w:sz w:val="20"/>
        </w:rPr>
        <w:t xml:space="preserve"> </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Interest income consists of interest earned on our cash and cash equivalents and available-for-sale marketable securities. The following table summarizes the period-over-period changes in our interest and other income, net (in thousands, except for percentages):</w:t>
      </w:r>
    </w:p>
    <w:tbl>
      <w:tblPr>
        <w:tblW w:w="8263" w:type="dxa"/>
        <w:jc w:val="left"/>
        <w:tblInd w:w="0" w:type="dxa"/>
        <w:tblLayout w:type="fixed"/>
        <w:tblCellMar>
          <w:top w:w="28" w:type="dxa"/>
          <w:left w:w="28" w:type="dxa"/>
          <w:bottom w:w="28" w:type="dxa"/>
          <w:right w:w="28" w:type="dxa"/>
        </w:tblCellMar>
      </w:tblPr>
      <w:tblGrid>
        <w:gridCol w:w="2521"/>
        <w:gridCol w:w="146"/>
        <w:gridCol w:w="272"/>
        <w:gridCol w:w="738"/>
        <w:gridCol w:w="188"/>
        <w:gridCol w:w="188"/>
        <w:gridCol w:w="272"/>
        <w:gridCol w:w="738"/>
        <w:gridCol w:w="146"/>
        <w:gridCol w:w="146"/>
        <w:gridCol w:w="337"/>
        <w:gridCol w:w="773"/>
        <w:gridCol w:w="166"/>
        <w:gridCol w:w="146"/>
        <w:gridCol w:w="309"/>
        <w:gridCol w:w="801"/>
        <w:gridCol w:w="37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w:t>
            </w:r>
          </w:p>
        </w:tc>
        <w:tc>
          <w:tcPr>
            <w:tcW w:w="18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7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and other income, net was $1.1 million for the three months ended March 31, 2025, compared to $1.7 million for the same period in 2024. The $0.5 million decrease was primarily due to having a smaller portfolio balance after using maturing investments to fund operations as well as a decline in interest rates for the three months ended March 31, 2025 as compared to the same period in 2024.</w:t>
      </w:r>
    </w:p>
    <w:p>
      <w:pPr>
        <w:pStyle w:val="TextBody"/>
        <w:bidi w:val="0"/>
        <w:spacing w:before="200" w:after="12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80" w:after="283"/>
        <w:jc w:val="both"/>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March 31, 2025 principally through equity financings, raising an aggregate of $649.9 million in net proceeds, and strategic collaborations, raising an aggregate of $200.9 million.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Cash Flows for the Three Months Ended March 31, 2025 and 2024</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our cash flow activities (in thousands):</w:t>
      </w:r>
    </w:p>
    <w:tbl>
      <w:tblPr>
        <w:tblW w:w="6631" w:type="dxa"/>
        <w:jc w:val="left"/>
        <w:tblInd w:w="0" w:type="dxa"/>
        <w:tblLayout w:type="fixed"/>
        <w:tblCellMar>
          <w:top w:w="28" w:type="dxa"/>
          <w:left w:w="28" w:type="dxa"/>
          <w:bottom w:w="28" w:type="dxa"/>
          <w:right w:w="28" w:type="dxa"/>
        </w:tblCellMar>
      </w:tblPr>
      <w:tblGrid>
        <w:gridCol w:w="3696"/>
        <w:gridCol w:w="146"/>
        <w:gridCol w:w="229"/>
        <w:gridCol w:w="801"/>
        <w:gridCol w:w="180"/>
        <w:gridCol w:w="158"/>
        <w:gridCol w:w="229"/>
        <w:gridCol w:w="801"/>
        <w:gridCol w:w="39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(23,439</w:t>
            </w:r>
          </w:p>
        </w:tc>
        <w:tc>
          <w:tcPr>
            <w:tcW w:w="18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(18,364</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w:t>
            </w:r>
          </w:p>
        </w:tc>
        <w:tc>
          <w:tcPr>
            <w:tcW w:w="18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(14,931</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Net cash used in operating activities for the three months ended March 31, 2025 was $23.4 million, compared to $18.4 million for the same period in 2024. The increase in cash used in operations was primarily attributable to increases in operating expenses from the advancement of our clinical pipeline, </w:t>
      </w:r>
      <w:r>
        <w:rPr>
          <w:rFonts w:ascii="Times New Roman" w:hAnsi="Times New Roman"/>
          <w:color w:val="242424"/>
          <w:sz w:val="20"/>
        </w:rPr>
        <w:t>and</w:t>
      </w:r>
      <w:r>
        <w:rPr>
          <w:rFonts w:ascii="Times New Roman" w:hAnsi="Times New Roman"/>
          <w:color w:val="000000"/>
          <w:sz w:val="20"/>
        </w:rPr>
        <w:t xml:space="preserve"> the timing of vendor invoicing and payments.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provided by investing activities for the three months ended March 31, 2025 was $6.6 million compared to $17.3 million for the same period in 2024. The decrease was primarily due to changes in the composition of our investment portfolio. A greater portion was held in cash equivalents at the beginning of the current year, which was largely sufficient to fund operations and enabled the reinvestment of proceeds from maturing securities, whereas in the prior year proceeds from maturities were primarily used to fund operations. The shift reflects a strategic decision in response to market conditions.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provided by financing activities for the three months ended March 31, 2025 was $1.9 million due to proceeds from the sale of shares of our common stock under "at-the-market" offerings during the three months ended March 31, 2025. We did not generate any cash flows from financing activities for the same period in 2024.</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expect our future operating expenses to increase over the coming years as we continue to advance our candidates. We expect our existing cash, cash equivalents and marketable securities will enable us to fund our operating expenses and capital expenditure requirements into the middle of 2026. We have based this estimate on assumptions that may may prove to be wrong, and we may utilize our available capital resources sooner than we currently expect.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capital requirements will depend on many factors, including: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raise capital despite macroeconomic and geopolitical events impacting financial markets, such as rising inflation, potential effects of changes in federal government regulation or policies, including recently implemented tariffs or the imposition of modified or additional tariffs, market volatility, and potential worsening global economic conditions or economic downturn;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realize future potential benefits pursuant to the Gilead Collaboration and maintain the collaboration;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scope, progress, results and costs of our ongoing drug discovery, nonclinical development, laboratory testing and clinical studies of our product candidates and any additional clinical studies we may conduct in the future;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manufacture, and to contract with third parties to manufacture, adequate supplies of our product candidates for our clinical studies and any eventual commercialization;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costs, timing and outcome of regulatory review of our product candidates;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costs of preparing, filing and prosecuting patent applications in the United States and abroad, maintaining and enforcing our intellectual property rights and defending intellectual property-related claims.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likely be derived from sales of medicines that we do not expect to be commercially available for years, if at all. Accordingly, we will need to continue to rely on additional financings to achieve our business objectives. Adequate additional financings may not be available to us on acceptable terms, or at all. To the extent that we raise additional capital through the sale of equity or convertible debt,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are unable to secure additional funding, we could be forced to reduce staff, delay, scale back or discontinue product development and clinical studies, forego business opportunities, cease operations entirely and sell, or otherwise transfer, all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substantially all of our remaining assets, which would likely have a material adverse impact on our business, results of operations, financial condition and share price.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00" w:after="283"/>
        <w:jc w:val="both"/>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maintain a system of disclosure controls and procedures, as defined in Rules 13a-15(e) and 15d-15(e) of the Exchange Act, that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Chief Executive Officer and President, who serves as our principal executive officer and principal financial officer, of the effectiveness of the design and operation of our disclosure controls and procedures pursuant to Exchange Act Rules 13a-15(b) and 15d-15(b) as of the end of the period covered by this report. Based upon that evaluation, our Chief Executive Officer and President concluded that our disclosure controls and procedures as of the end of the period covered by this report were effective at the reasonable assurance level.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in the quarter ended March 31, 2025 that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2" w:name="part_ii_or_information"/>
      <w:bookmarkEnd w:id="12"/>
      <w:r>
        <w:rPr>
          <w:rFonts w:ascii="Times New Roman" w:hAnsi="Times New Roman"/>
          <w:b/>
          <w:color w:val="000000"/>
          <w:sz w:val="20"/>
        </w:rPr>
        <w:t>PART II – OTHER INFORMATION</w:t>
      </w:r>
    </w:p>
    <w:p>
      <w:pPr>
        <w:pStyle w:val="TextBody"/>
        <w:bidi w:val="0"/>
        <w:spacing w:before="200" w:after="283"/>
        <w:jc w:val="both"/>
        <w:rPr>
          <w:rFonts w:ascii="Times New Roman" w:hAnsi="Times New Roman"/>
          <w:sz w:val="20"/>
        </w:rPr>
      </w:pPr>
      <w:bookmarkStart w:id="13" w:name="item_1_legal_proceedings"/>
      <w:bookmarkEnd w:id="13"/>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not a party to any material legal proceedings. In the future, we may from time to time become involved in litigation relating to claims arising from our ordinary course of business.</w:t>
      </w:r>
    </w:p>
    <w:p>
      <w:pPr>
        <w:pStyle w:val="TextBody"/>
        <w:bidi w:val="0"/>
        <w:spacing w:before="200" w:after="283"/>
        <w:jc w:val="both"/>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You should carefully consider the following risk factors, together with all other information in this report, including our condensed consolidated financial statements and notes thereto, and in our other filings with the SEC. If any of the following risks, or other risks not presently known to us or that we currently believe to not be material,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have no approved products and depend on the future success of the product candidates in our research and development pipeline. We cannot be certain that we or our collaborators will be able to obtain regulatory approval for, or successfully commercialize, product candidates from our current pipeline or any other product candidates that we may subsequently identify, license or otherwise acquire.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and our collaborators are not permitted to market or promote any products in the United States, Europe, China or other countries before we receive regulatory approval from the FDA or comparable foreign regulatory authorities, and we may never receive such regulatory approval for our current product candidates. We have not submitted a new drug application (NDA) to the FDA or comparable applications to other regulatory authorities and do not expect to be in a position to do so in the near future.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our product candidates are in clinical development or in varying stages of nonclinical development. Data supporting our clinical development programs are derived from nonclinical data that support our early stage clinical programs, which will determine whether pivotal studies are appropriate. These pivotal studies are necessary to support regulatory approval, and it may be years before these larger, pivotal studies are completed, if ever.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our current product pipeline, we may identify, license or otherwise acquire rights to other technologies or product candidates. Any such transactions would involve numerous risks, and we may be unsuccessful in entering into any such transactions or developing any such technologies or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these reasons, our drug discovery and development may not be successful, and we may be unable to continue clinical development of our product candidates and may not generate product approvals or product revenue, any of which could have a material adverse impact on our business, results of operations and financial condition. </w:t>
      </w:r>
    </w:p>
    <w:p>
      <w:pPr>
        <w:pStyle w:val="TextBody"/>
        <w:bidi w:val="0"/>
        <w:spacing w:before="200" w:after="283"/>
        <w:jc w:val="both"/>
        <w:rPr>
          <w:rFonts w:ascii="Times New Roman" w:hAnsi="Times New Roman"/>
          <w:sz w:val="20"/>
        </w:rPr>
      </w:pPr>
      <w:r>
        <w:rPr>
          <w:rFonts w:ascii="Times New Roman" w:hAnsi="Times New Roman"/>
          <w:b/>
          <w:i/>
          <w:color w:val="000000"/>
          <w:sz w:val="20"/>
        </w:rPr>
        <w:t>We are not currently profitable and might never become profitable, and we will need additional financing to complete the development of any product candidates and fund our activities into the future.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do not have any approved products, and we have a history of losses. We expect to continue to incur substantial operating and capital expenditures to advance our current product candidates through clinical development, continue research and discovery efforts to identify potential additional product candidates and seek regulatory approvals for our current and future product candidates. All operations and capital expenditures will be funded from cash on hand, securities offerings, debt financings and payments we may receive from out-licenses, collaborations or other strategic arrangements. Adverse geopolitical and macroeconomic developments, such as potential worsening global economic conditions or economic downturn, ongoing military conflicts, related sanctions, actual and anticipated changes in interest rates, economic inflation and the responses by central banking authorities to control such inflation, and recently implemented tariffs or the imposition of modified or additional tariffs, trade wars, barriers or restrictions, or threats of such actions, could affect our ability to access capital as and when needed.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is no assurance that we will be successful in raising any necessary additional capital on terms that are acceptable to us, or at all. If we are unable to develop and commercialize any product candidates and generate sufficient revenue or raise capital, we could be forced to reduce staff, delay, scale back or discontinue product development and clinical studies, forego business opportunities, cease operations entirely and sell, or otherwise transfer, all or substantially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of our remaining assets, which would likely have a material adverse impact on our business, results of operations, financial condition and share price. In addition, if we are unable to generate sufficient revenue or raise capital, we may conclude there is a substantial doubt about our ability to continue as a going concern, and future reports from our independent registered public accounting firm may also contain statements expressing substantial doubt about our ability to continue as a going concern.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expect our collaboration with Gilead to be a critical part of the development, manufacture and commercialization of our product candidates. If this collaboration is unsuccessful, our business could be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October 2023, we entered into the Gilead Collaboration Agreement with Gilead, whereby Gilead exclusively licensed to us its HPI program and NNPI program, while retaining opt-in rights to these programs, and has an option to take an exclusive license, on a program-by-program basis, to all of our other current and future pipeline programs during the collaboration term. In connection with the entry into the Gilead Collaboration Agreement, we and Gilead also entered into a common stock purchase agreement and an investor rights agreement, which were both amended in June 2024. Also in June 2024, we and Gilead subsequently entered into a securities purchase agreement and warrant agreement. In December 2024, Gilead purchased additional shares of our common stock at a premium pursuant to the terms of the common stock purchase agreement, and we amended the Gilead Collaboration Agreement in connection with an updated development plan for 6250. Our agreements and relationship with Gilead pose a number of risks, including, but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Conflicts may arise between us and Gilead, such as conflicts regarding the indications to pursue or concerning the clinical data supporting an opt-in decision, the commercial potential of any optioned investigational products, the interpretation of financial provisions or the ownership of intellectual property developed during the collaboration. Any such conflicts could slow or prevent the development or commercialization of our investigational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collaboration with Gilead does not result in the successful development and commercialization of products or if Gilead terminates the Gilead Collaboration Agreement with us, we may not receive any future research funding or milestone or royalty payments under the collaboration. If we do not receive the funding we expect under these agreements, development of our investigational products could be delayed and we may need additional resources to develop our investigational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be heavily dependent on Gilead for further development and commercialization of the investigational products from the programs that it opts into.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successful in this collaboration due to various other factors, including our ability to demonstrate proof of concept in one or more clinical studies so that Gilead will exercise its option to these programs. In addition, even if we demonstrate clinical proof of concept of a candidate, Gilead may choose not to exercise its option.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Gilead has the right to designate (and has designated) two directors for appointment to our board of directors pursuant to the terms of the investor rights agreement and owns approximately 29.9% of our outstanding common stock. Gilead also has the right to acquire additional shares in the open market, up to an amount resulting in Gilead owning a total of 35% of our outstanding common stock. As a result, Gilead may be able to exert significant influence over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Gilead could independently develop, or develop with third parties, products that compete directly or indirectly with our investigational products if Gilead believes that competitive products are more likely to be successfully developed or can be commercialized under terms that are more economically attractive than ours.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Gilead has an option to all our current, and future, pipeline programs during the collaboration term, it may be difficult for us to enter into new collaborations.</w:t>
      </w:r>
    </w:p>
    <w:p>
      <w:pPr>
        <w:pStyle w:val="TextBody"/>
        <w:bidi w:val="0"/>
        <w:spacing w:before="200" w:after="283"/>
        <w:jc w:val="both"/>
        <w:rPr>
          <w:rFonts w:ascii="Times New Roman" w:hAnsi="Times New Roman"/>
          <w:sz w:val="20"/>
        </w:rPr>
      </w:pPr>
      <w:r>
        <w:rPr>
          <w:rFonts w:ascii="Times New Roman" w:hAnsi="Times New Roman"/>
          <w:b/>
          <w:i/>
          <w:color w:val="000000"/>
          <w:sz w:val="20"/>
        </w:rPr>
        <w:t>Nonclinical and clinical studies required for our product candidates are expensive and time-consuming and may fail to demonstrate the level of safety and efficacy necessary for product approval.</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Before we or any commercial partners can obtain FDA approval (or other foreign approvals) necessary to sell any of our product candidates, we must show that each potential product is safe and effective. To meet these requirements, we must conduct extensive nonclinical and sufficient, well-controlled clinical studies.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results of nonclinical studies may not be representative of disease behavior in a clinical setting and may not be predictive of the outcomes of our clinical studies. In addition, the results of early clinical studies of product candidates may not be predictive of the results of later-stage clinical studies.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Conducting nonclinical and clinical studies is a lengthy, time consuming and expensive process. The length of time varies substantially according to the type, complexity, novelty, and intended use of the product candidate, and often can be several years or more. In addition, failure or delays can occur at any time during the nonclinical and clinical study process, resulting in additional operating expenses or harm to our business.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commencement and rate of completion of clinical studies might be delayed by many factors, including,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agreement with regulatory authorities on study design;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agreement on acceptable terms with prospective contract research organizations (CROs) and clinical study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demonstrate efficacy or the emergence of unforeseen safety issues;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insufficient quantities of qualified materials made using current good manufacturing practice (cGMP) for use in clinical studies due to manufacturing challenges, delays or interruptions in the supply chain;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slower than expected rates of participant recruitment or failure to recruit a sufficient number of eligible participants, which may be due to a number of reasons, including the size of the participant population, the proximity of participants to clinical sites, the eligibility criteria for the study, the design of the clinical study, and other potential drug candidates being studied;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fewer available study sites and academic lab facilities due to changes in government funding of clinical research;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participants completing participation in a study or return for post-treatment follow-up for any reason, including, product side effects or disease progression;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modification of clinical study protocols;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suspension, or termination of clinical studies by the institutional review board or ethics committee responsible for overseeing the study at a particular study site;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government or other regulatory agency delays or clinical holds requiring suspension or termination of our clinical studies due to safety, tolerability or other issues related to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failure of nonclinical and clinical studies to demonstrate safety and effectiveness of a product candidate for the desired indications, whether conducted by us or by a CRO, would harm the development of that product candidate and potentially other product candidates. This failure could cause us to abandon a product candidate and could delay development of other product candidates. Any delay in, or failure of, our nonclinical studies or clinical studies could delay, or preclude, the filing of our NDAs and comparable applications with the FDA and foreign regulatory agencies, as applicable, and materially harm our business, prospects, financial condition and 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rely on CROs to conduct some of our nonclinical and clinical studies due to our lack of suitable facilities and resources. In addition, parts of our business are reliant on CROs, vendors, suppliers and other service providers in locations outside of the United States, including China.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do not have sufficient facilities or resources to conduct all our anticipated nonclinical and clinical studies internally. As a result, we contract with CROs to conduct a significant portion of the nonclinical and clinical studies required for regulatory approval for our product candidates. Our reliance on CROs reduces our control over these activities but does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even if the study is conducted by a CRO. In the event CROs fail to perform their duties in such a fashion or we are unable to retain or continue with CROs on acceptable terms, we may be unable to complete our clinical studies and may fail to obtain regulatory approval for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these CROs may also have relationships with other entities, some of which may be our competitors. CRO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personnel are not our employees, and except for remedies available to us under our agreements with such third parties, we cannot control whether they devote sufficient time and resources to our clinical and nonclinical studies. If these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including good clinical practices, or for other reasons, our research, nonclinical or clinical studies may be extended, delayed or terminated and we may not be able to obtain, or may be delayed in obtaining, regulatory approvals for our product candidates, any of which could materially harm our business, prospects, financial condition and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Furthermore, we are exposed to a number of risks related to our CROs, vendors, suppliers and other service providers that are located outside of the United States, many of which may be beyond our control. These risks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interruptions resulting from geopolitical actions such as the war between Russia and Ukraine, the conflicts in the Middle East, tensions between China and Taiwan, as well as tariffs (including tariffs that have been or may bein the future imposed by the United States and other countries), other wars, acts of terrorism, natural disasters or outbreaks of disease;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regulatory requirements for drug approvals or increased scrutiny on CROs located in foreign countries, including China;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standards of care in various countries that could complicate the evaluation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U.S. and foreign drug import and export rules;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reimbursement systems and different competitive drugs indicated to treat the indication for which our product candidates are being developed;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protection for intellectual property rights in certain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trade, economic or other policies by the U.S. or foreign governments, which may result in new or unexpected changes in tariffs, trade wars, barriers or restrictions, or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the United States Foreign Corrupt Practices Act (the FCPA) and other anti-corruption and anti-bribery 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taxes, including withholding of payroll taxes;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currency fluctuations and compliance with foreign currency exchange rules, which could result in increased operating expenses and reduced revenues, and other obligations incident to doing business in another country.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Top-line, preliminary or interim data may not accurately reflect the final results of a particular study.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publicly disclose top-line, preliminary or interim data based on analysis of then-available efficacy, tolerability, PK and safety data, and the results and related findings and conclusions are subject to change following a more comprehensive data review related to the particular study. We also may make assumptions, estimates, calculations and conclusions as part of our data analyses, and we may not have received or had the opportunity to fully and carefully evaluate all data prior to release. As a result, the top-line, preliminary or interim results that we report may differ from final results of the same studies or different conclusions or considerations may qualify such results once additional data have been received and fully evaluated. Top-line, preliminary or interim data also remain subject to audit and verification procedures that may result in the final data differing materially from previously published top-line, preliminary or interim data. As a result, top-line, preliminary or interim data should be viewed with caution until the final data are available.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to top-line, preliminary or interim results, the information that we may publicly disclose regarding a particular nonclinical or clinical study is based on extensive information, and you or others may not agree with what we determine is the material or otherwise appropriate information to include in our disclosure. In addition, any information we determine not to disclose may ultimately be deemed significant with respect to future decisions, conclusions, views, activities or otherwise regarding a particular drug, drug candidate or our business. If the top-line, preliminary or interim data that we report differ from final results, or if others, including regulatory authorities,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disagree with, or do not accept, the data or conclusions reached, our ability to obtain approval for, and commercialize, our product candidates may be harmed or delayed, which could harm our business, financial condition, operating results or prospects.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rely on third-party manufacturers to supply the quantities of our investigational product candidates used in our clinical and nonclinical studies. If any product candidate we develop or acquire in the future receives FDA or other regulatory approval, we expect to continue our reliance on one or more third-party contractors to manufacture our products. If, for any reason, we are unable to rely on any third-party sources we have identified to manufacture our product candidates, we would need to identify and contract with additional or replacement third-party manufacturers to manufacture drug substance and drug product for nonclinical, clinical and commercial purposes. We may be unsuccessful in identifying additional or replacement third-party manufacturers, or in negotiating acceptable terms with any that we do identify. If we are unable to establish and maintain manufacturing capacity, the development and sales of our products and our financial performance may be materially and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exposed to the following risks with respect to the manufacture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need to identify manufacturers for commercial supply on acceptable terms, which we may be unable to do because the number of potential manufacturers is limited, and the FDA must evaluate and approve any new or replacement contractor.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third-party manufacturers with whom we contract might be unable to formulate and manufacture our product candidates in the volume and quality required to meet our nonclinical, clinical and, if approved, commercial needs in a timely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third-party manufacturers with whom we contract might not perform as agreed or might not remain in the contract manufacturing business for the time required to supply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One or more of any third-party manufacturers with whom we contract could be foreign, which increases the risk of shipping delays and adds the risk of import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have complete control over, and cannot ensure, any third-party manufacturers’ compliance with cGMP and other government regulations and corresponding foreign requirements, including periodic FDA and state regulatory inspections.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obtain intellectual property rights from third parties to manufacture our product candidates, and if any third-party manufacturer makes improvements in the manufacturing process for our product candidates, we may not own, or may have to share, the intellectual property rights to the innovation.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share our trade secrets and know-how with third parties, increasing risk of misappropriation or disclosure of our intellectual property by or to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When contracting with third-party manufacturers, we might compete with other companies for access to these manufacturers’ facilities and might be subject to manufacturing delays if the manufacturers give other clients higher priority than we are given.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of these risks could delay our development efforts, nonclinical studies and clinical studies or the approval, if any, of our product candidates by the FDA or applicable non-U.S. regulatory authorities and the commercialization of our product candidates. Furthermore, reductions in workforce at the FDA, such as those recently announced and any future reductions of staffing or other resources at the FDA, may lead to delays in inspecting facilities and, in turn, delayed FDA approvals for manufacturing changes. This could result in higher costs or deprive us of potential product revenues and materially harm our business, financial condition and 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lose key management personnel and cannot recruit and retain similarly qualified replacements, our business may materially suffer.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are highly dependent on the services of our executive officers. Our employment agreements with our executive officers do not ensure their retention. We do not currently maintain, nor do we intend to obtain in the future, “key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person” life insurance that would compensate us in the event of the death or disability of any of the members of our management team. Our executive officers are critical to our success, and unanticipated loss of any of these key employees could have a material adverse impact on our business, financial condition and results of operations.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collaboration partners might delay, prevent or undermine the success of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If a collaboration is terminated, replacement collaborators might not be available on attractive terms, or at all.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activities of any collaborator, including Gilead,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including the Gilead Collaboration, is unsuccessful, we might require substantially greater capital to undertake development and marketing of our proposed products and might not be able to develop and market these products effectively, if at all. In addition, if Gilead does not opt-in to a program, it might lead to significant delays in introducing proposed products into certain markets and/or reduced sales of proposed products in such markets.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not be successful in establishing and maintaining collaborations, which could adversely affect our ability to develop certain of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Developing pharmaceutical products, conducting clinical studies, obtaining regulatory approval and commercializing those products are expensive and lengthy undertakings that require significant resources and expertise. We may seek to enter into collaborations, including licensing or partnering arrangements, with other companies to support the development and commercialization of any or multiple of our programs that Gilead declines to opt into or to obtain financing or share costs on these programs. If we are unable to enter into such collaborations on acceptable terms, if at all, we may be unable to advance certain of our product candidates through further nonclinical or clinical development. We expect to face competition in seeking appropriate partners. Moreover, collaboration arrangements are complex and time consuming to negotiate, document and implement and they may require substantial resources to maintain. We may not be successful in our efforts to establish and implement collaborations or other alternative arrangements for the development of our product candidates that Gilead declines to opt into.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we are unable to reach agreement on favorable terms with a suitable collaboration partner for any of our product candidates that Gilead declines to opt into, we may need to limit the number of our product candidates to advance through further nonclinical or clinical development. Failure to achieve such successful collaborations would limit our options for support of the development and commercialization of our programs and for financing and would likely have a material adverse impact on our business, results of operations, financial condition and share price.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rely on data provided by third parties that has not been independently verified and could prove to be false, misleading, or incomplete.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and adversely affected.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Significant disruptions of information technology systems or breaches of data security, including cybersecurity incidents, could materially and adversely affect our business, results of operations and financial condition.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collect and maintain information in digital form and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system outages, terrorism, war, telecommunication and electrical failures, cyberattacks, cybersecurity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incidents or cyber intrusions over the Internet, attachments to emails, persons inside our organization, or persons with access to systems inside our organization.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risk of a cybersecurity incident or security breach or disruption, particularly through cyberattacks or cyber intrusion, has escalated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system outages and security vulnerabilities or incidents could be significant, and our efforts to address these problems may not be successful. If unsuccessful, these problems could cause interruptions, delays, cessation of service and other harm to our business and our competitive position, including material disruption of our product development programs. For example, any loss of clinical study data from completed or ongoing or planned clinical studies could result in delays in our regulatory approval efforts and significantly increase our costs to recover or reproduce the data.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and its implementing rules and regulations, as well as regulations promulgated by the Federal Trade Commission, state breach notification law and the European Union (EU) General Data Protection Regulation (EU GDPR). We would also be exposed to a risk of loss or litigation and potential liability, which could materially adversely affect our business, results of operations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Research, development and commercialization goals, including data releases, may not be achieved in the timeframes that we publicly estimate, which could have an adverse impact on our business and could cause our stock price to decline.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set goals and make public statements regarding our expectations on timing of certain accomplishments, developments and milestones under our research and development programs. The actual timing of these events can vary significantly due to a number of factors, including,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or Gilead does not opt-in to any of our programs, our business could be materially and adversely affected, and the price of our common stock could decline.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Developments by competitors might render our product candidates or technologies obsolete or non-competitive.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pharmaceutical and biotechnology industries are intensely competitive. In addition, the clinical and commercial landscapes for recurrent genital herpes, HDV, HBV and transplant-related herpesviruses are rapidly changing; we expect new data from commercial and clinical-stage products to continue to emerge. We compete with organizations, some with significantly more resources, who are developing competitive product candidates. If our competitors develop effective treatments for recurrent genital herpes, HDV, HBV and transplant-related herpesviruses or any other indication or field we might pursue, and successfully commercialize those treatments, our business and prospects could be materially harmed.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Other companies with products using the same or similar mechanisms of action as ours may produce negative clinical data, which would adversely affect public and clinical communities’ perceptions of our product candidates, and may negatively impact regulatory approval of, or demand for, our potential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Negative data from clinical studies using a competitor’s product candidates with the same or similar mechanisms of action (MOA) as ours could adversely impact the perception of the therapeutic use of our product candidates and our ability to enroll individuals in clinical studies.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 xml:space="preserve">The clinical and commercial success of our potential products will depend in part on the public and clinical communities’ acceptance of novel classes of product candidates. Moreover, our success depends upon physicians prescribing, and their patients being willing to receive, treatments that involve the use of our product candidates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may develop in lieu of, or in addition to, existing treatments with which they are already familiar and for which more clinical data may be available. Adverse events in our nonclinical or clinical studies or those of our competitors or of academic researchers utilizing the same MOA as our product candidates, even if not ultimately attributable to our product candidates, and any resulting publicity could result in increased governmental regulation, larger, more complex, or an increased number of clinical trial requirements, unfavorable public perception, potential regulatory delays in the testing or approval of our product candidates, stricter labeling requirements for our product candidates that are approved, if any, and a decrease in demand for any such products.</w:t>
      </w:r>
    </w:p>
    <w:p>
      <w:pPr>
        <w:pStyle w:val="TextBody"/>
        <w:bidi w:val="0"/>
        <w:jc w:val="left"/>
        <w:rPr>
          <w:rFonts w:ascii="Times New Roman" w:hAnsi="Times New Roman"/>
          <w:b/>
          <w:i/>
          <w:color w:val="000000"/>
          <w:sz w:val="20"/>
        </w:rPr>
      </w:pPr>
      <w:r>
        <w:rPr>
          <w:rFonts w:ascii="Times New Roman" w:hAnsi="Times New Roman"/>
          <w:b/>
          <w:i/>
          <w:color w:val="000000"/>
          <w:sz w:val="20"/>
        </w:rPr>
        <w:t>Our ability to use our net operating loss and credit carryforwards and certain other tax attributes may be limited.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net operating loss carryforwards due to prior period losses generated before January 1, 2024, which if not utilized, will begin to expire in 2029 for net operating loss carryforwards prior to 2018. If we are unable to generate sufficient taxable income to utilize our net operating loss carryforwards, pre-2018 carryforwards could expire unused and be unavailable to offset future income tax liabilities.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Under Sections 382 and 383 of the Internal Revenue Code of 1986, as amended (the Code), a corporation that undergoes an “ownership change” (generally defined as a greater than 50% change (by value) in its equity ownership over a three-year period) is subject to annual limitations on its ability to use its pre-change net operating loss carryforwards and other pre-change tax attributes (such as research tax credits) to offset its post-change income or taxes. We have experienced ownership changes in the past, and future equity issuances may result in additional ownership change. Accordingly, some of our net operating losses or credits could expire unutilized, and our ability to utilize our net operating losses or credits to offset U.S. federal taxable income could be limited, which would result in increased future tax liability to us. We may also be subject to similar limitations at the state level.</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Risks Related to Our Regulatory and Legal Environment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are and will be subject to extensive and costly government regulation, and the failure to comply with these regulations may have a material adverse effect on our operations and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product candidates are subject to extensive and rigorous domestic government regulation, including regulation by the FDA, the Centers for Medicare and Medicaid Services, other divisions of the U.S. Department of Health and Human Services (HHS),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or our collaborators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Once obtained, any approvals might be withdrawn, including, for example, if there is a later discovery of previously unknown problems with the product, such as a previously unknown safety issue. If we, our collaborators, our contractors or our contract manufacturers fail to comply with applicable regulatory requirements at any stage during the regulatory process, such noncompliance could result in delays in the approval of applications or supplements to approved applications, refusal by a regulatory authority (including the FDA) to review pending marketing authorization applications or supplements to approved applications, untitled letters or warning letters, fines, import and export restrictions, product recalls or seizures, injunctions, total or partial suspension of production, civil penalties, withdrawals of previously approved marketing authorizations, recommendations by the FDA or other regulatory authorities against governmental contracts, and/or criminal prosecutions.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applicable regulatory authorities in foreign jurisdictions to commercialize our product candidates in those jurisdictions. To obtain FDA approval of any product candidate, we must submit to the FDA an NDA demonstrating that the product candidate is safe and effective for its intended use. This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that the FDA considers safe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ability of the FDA to review and approve new products has been in the past and may in the future be affected by a variety of factors, including government budget and funding levels, authorization and payment of user fees, the ability to hire and retain key personnel, as well as other statutory, regulatory and policy changes. In addition, funding of other government agencies that support research and development activities that pertain to FDA review, such as research to understand new technologies or establish new standards, can shift in response to changing administrative policies and priorities. Such policy shifts, including, for example, the recent efforts to downsize the federal workforce by restructuring the HHS and eliminating positions at the FDA, including teams critical to the FDA's ability to conduct regular inspections, reviews and other regulatory activities, such as issuing guidance for industry and regulations, and other federal agencies, may affect the timelines, completeness or duration of the FDA review process. In addition, the HHS may change the user fee reauthorization process or fail to reauthorize user fee programs. As a result, average review times at the FDA may fluctuate, and the outcome of any such review process may be impacted. A prolonged government shutdown or a widespread freeze on federal funding could also significantly impact the ability of the FDA to timely review and process our regulatory submissions and the National Institutes of Health to conduct research or provide grants, or cause other agencies that support the FDA to slow their work. In addition, if future legislation or administrative action or changes in FDA policy prevent the FDA or other regulatory authorities from conducting routine inspections, reviews, or other regulatory activities, it could significantly impact the ability of the FDA to timely review and process our regulatory submissions, which could have a material adverse effect on our business. Delays in obtaining regulatory approvals might: delay commercialization of, and our ability to derive product revenues from, our product candidates; impose costly procedures on us; and diminish any competitive advantages that we might otherwise enjoy.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Even if we comply with all FDA requests, the FDA might ultimately reject one or more of our NDAs. We cannot be sure that we will ever obtain regulatory approval and commercialize any of our current or future product candidates. In foreign jurisdictions, we are subject to regulatory approval processes and risks similar to those associated with the FDA described above. We cannot assure you that we will receive the approvals necessary to commercialize our product candidates for sale outside the United States.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exclusion or suspension from federal and state healthcare programs, contractual damages, reputational harm and diminished profits and future earnings.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In addition, we may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subject to patient privacy regulation by both the federal government and the states and foreign jurisdictions in which we conduct our business. If we fail to comply with any applicable federal, state or foreign legal requirement, we could be subject to penalties.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Regulators globally are imposing greater monetary fines for privacy violations. The EU GDPR applies to any company established in the EU as well as to those outside the EU if they collect and use personal data in connection with the offering of goods or services to individuals in the EU or the monitoring of their behavior. The EU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EU GDPR may result in monetary penalties of up to €20 million or 4% of worldwide revenue, whichever is higher. The EU GDPR may increase our responsibility and liability in relation to personal data that we process and we may be required to put in place additional mechanisms to ensure compliance with the EU GDPR, including as implemented by individual countries. Compliance with the EU GDPR and other changes in laws or regulations associated with the enhanced protection of certain types of personal data, such as healthcare data or other sensitive information, could greatly increase our cost of developing our products or even prevent us from offering certain products in jurisdictions that we may operate in.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California Consumer Privacy Act (CCPA) also created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study regulations, as currently written, the CCPA may impact our business activities. The uncertainty surrounding the implementation of the CCPA exemplifies the vulnerability of our business to the evolving regulatory environment related to personal data and protected health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safe harbors available, it is possible that some of our business activities could be subject to challenge under one or more of such laws.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Violations of these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face the risk of product liability claims and might not be able to obtain insurance.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business exposes us to the risk of product liability claims that are inherent in drug development.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Any successful product liability claims brought against us would decrease our cash and may adversely affect our business, stock price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might be exposed to liability claims associated with the use of hazardous materials and chemicals.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research, development and manufacturing activities and/or those of our third-party contractors might involve the controlled use of hazardous materials and chemicals. Although we will strive to have our safety procedures, and those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of our contractors, comply with federal, state and local laws and regulations for using, storing, handling and disposing of these materials, we cannot completely eliminate the risk of accidental injury or contamination from these materials. In the event of such an accident, we could be held liable for any resulting damages, and any liability could materially and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and adversely affect our business, financial condition and results of operations.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employees, independent contractors, consultants, collaborators and CROs may engage in misconduct or other improper activities, including noncompliance with regulatory standards and requirements, which could result in significant liability for us and harm our reputation.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exposed to the risk of fraud or other misconduct, including failure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comply with applicable regulations of, and provide accurate information to, the FDA or comparable foreign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comply with federal and state healthcare fraud and abuse laws and regulations and similar laws and regulations established and enforced by comparable foreign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comply with the FCPA, the U.K. Bribery Act 2010, the PRC Criminal Law, the PRC Anti-unfair Competition Law and other anti-bribery and trade 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report financial information and data accurately;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 unauthorized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Misconduct could also involve the improper use or misrepresentation of information obtained during clinical studies, creating fraudulent data in our nonclinical studies or clinical studies or illegal misappropriation of product materials, which could result in regulatory sanctions, delays in clinical studies, or serious harm to our reputation.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It is not always possible to identify and deter misconduct.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business depends on protecting our intellectual property.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our licensors and our collaborators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positions allow us to do so. We cannot be certain that we will secure any rights to any issued patents with claims that cover any of our proprietary product candidates and technologies. The patent prosecution process is expensive and time-consuming, and we may be unable to file and prosecute all necessary or desirable patent applications at a reasonable cost or in a timely manner. We could fail to identify patentable aspects of our research and development output before it is too late to obtain patent protection or before our competitors secure patents covering such discoveries. The patent process also is subject to numerous risks and uncertainties, and there can be no assurance that we will be successful in protecting our products by obtaining and defending patents.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Composition-of-matter patents relating to the active pharmaceutical ingredient are generally considered to be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Formulation patents protect the formulation of a product and do not prevent a competitor from making and marketing a product that has an identical active pharmaceutical ingredient to our product if the product is formulated differently than the patented formulation. We rely on a combination of these and other types of patents to protect our product candidates, and there can be no assurance that our intellectual property will create and sustain the competitive position of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Biotechnology and pharmaceutical product patents involve highly complex legal and scientific questions. Any patent applications that we own or license may fail to result in issued patents. In addition, the U.S. Patent and Trademark Office (USPTO) and patent offices in other jurisdictions often require that patent applications concerning pharmaceutical and/or biotechnology-related inventions are limited or narrowed substantially to cover only the specific innovations exemplified in the patent application, thereby limiting the scope of protection against competitive challenges. As a result, even if we or our licensors obtain patents, the patents might be substantially narrower than anticipated.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patents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Patent and other intellectual property protection is crucial to the success of our business and prospects, and there is a substantial risk that such protections, if obtained, will prove inadequate. The legal systems of certain countries, including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Beyond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collaborators, contractors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incur substantial costs as a result of litigation or other proceedings relating to our patents and other intellectual property rights.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in the future be involved in legal or administrative proceedings involving our intellectual property, including infringement of our intellectual property by third parties. These lawsuits or proceedings likely would be expensive, consume time and resources and divert the attention of managerial and scientific personnel, even if we were successful in stopping the infringement of such patents. There is a risk that these proceedings will decide that such patents or other intellectual property rights are not valid and that we do not have the right to stop the other party from using our inventions. There is also the risk that, even if the validity of such patents is upheld, the court or administrative agency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infringe the intellectual property rights of others, which may prevent or delay our product development efforts and stop us from commercializing or increase the costs of commercializing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obtain rights from third parties to issued patents covering such products and technologies. We cannot guarantee that the manufacture, use or marketing of any product candidates that we develop will not infringe third-party patents.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costs and monetary damages, encounter significant delays in bringing our product candidates to market and be precluded from manufacturing or selling our product candidates, any of which could harm our business significantly.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cost of maintaining our patent protection globally is high and requires continuous review and compliance. We may not be able to effectively maintain our intellectual property position throughout the major markets of the world.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USPTO and foreign patent authorities require maintenance fees, payments and continued compliance with a number of procedural and documentary requirements. Noncompliance may result in abandonment or lapse of patents or patent applications and a partial or complete loss of patent rights in the relevant jurisdiction. Such a loss could reduce royalty payments for lack of patent coverage from our collaboration partners or may result in competition, either of which could have a material adverse effect on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made, and will continue to make, certain strategic decisions in balancing the costs and the potential protections afforded by the patent laws of certain countries. As a result, we may not be able to prevent third parties from practicing our inventions in all countries, or from selling or importing products made using our inventions in and into the United States or other countries. Third parties may use our technologies in territories in which we have not obtained patent protection to develop their own products and may infringe our patents in territories which provide inadequate enforcement mechanisms. Such third-party products may compete with our product candidates, and our patents or other intellectual property rights may not be effective or sufficient to prevent them from competing. Such competition could materially and adversely affect our business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Intellectual property rights do not address all potential threats to any competitive advantage we may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make compounds that are the same as, or similar to, our current or future product candidates but that are not covered by the claims of the patents that we own or have exclusively licensed.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any of our licensors or strategic partners might not have been the first to make the inventions covered by the issued patents or pending patent applications that we own or have exclusively licensed.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any of our licensors or strategic partners might not have been the first to file patent applications covering certain of our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prosecution of our pending patent applications may not result in granted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Granted patents that we own or have exclusively licensed may not provide us with any competitive advantages, or may be held invalid or unenforceable, because of legal challenges by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 protection on our product candidates may expire before we are able to develop and commercialize the product, or before we are able to recover our investment in the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price of our common stock has in the past and may continue to fluctuate significantly, and you could lose all or part of your investment.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price of our common stock fluctuates widely. Continued volatility in the market price of our common stock might prevent a stockholder from being able to sell shares of our common stock at or above the price paid for such shares. The trading price of our common stock has in the past and may continue to be volatile and subject to wide price fluctuations in response to various factors, many of which are beyond our control, such as the progress, results and timing of our clinical and nonclinical studies and other studies involving our product candidates, the success or failure of our product candidates, the receipt or loss of required regulatory approvals for our product candidates, the availability of capital or the other risks discussed in this “Risk Factors” section.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amended and restated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 for disputes with us or our directors, officers or other employees.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amended and restated bylaws provide that, with certain limited exceptions,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current or former directors, officers or other employees to us or to our stockholders; (3) any action asserting a claim arising pursuant to the Delaware General Corporation Law, or our certificate of incorporation or bylaws (as each may be amended from time to time); or (4) any action asserting a claim governed by the internal affairs doctrine. Alternatively, if such court does not have jurisdiction, the Superior Court of Delaware, or, if such other court does not have jurisdiction, the United States District Court for the District of Delaware, will be the sole and exclusive forum for such actions and proceedings.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 material adverse impact on our business. The choice of forum provision in our amended and restated bylaws will not preclude or contract the scope of exclusive federal or concurrent jurisdiction for actions brought under the federal securities laws, including the Exchange Act or the Securities Act, or the respective rules and regulations promulgated thereunder.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both"/>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 xml:space="preserve">Exhibits. </w:t>
      </w:r>
      <w:r>
        <w:rPr>
          <w:rFonts w:ascii="Times New Roman" w:hAnsi="Times New Roman"/>
          <w:color w:val="000000"/>
          <w:sz w:val="20"/>
        </w:rPr>
        <w:t>The following exhibits are filed or furnished, as applicable, as part of this quarterly report on Form 10-Q:</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87"/>
        <w:gridCol w:w="146"/>
        <w:gridCol w:w="5653"/>
        <w:gridCol w:w="146"/>
        <w:gridCol w:w="781"/>
        <w:gridCol w:w="146"/>
        <w:gridCol w:w="1066"/>
        <w:gridCol w:w="146"/>
        <w:gridCol w:w="451"/>
        <w:gridCol w:w="146"/>
        <w:gridCol w:w="737"/>
      </w:tblGrid>
      <w:tr>
        <w:trPr/>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78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7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3" w:type="dxa"/>
            <w:tcBorders/>
            <w:tcMar>
              <w:top w:w="0" w:type="dxa"/>
              <w:left w:w="0" w:type="dxa"/>
              <w:bottom w:w="0" w:type="dxa"/>
              <w:right w:w="0" w:type="dxa"/>
            </w:tcMar>
            <w:vAlign w:val="center"/>
          </w:tcPr>
          <w:p>
            <w:pPr>
              <w:pStyle w:val="TableContents"/>
              <w:bidi w:val="0"/>
              <w:spacing w:before="0" w:after="283"/>
              <w:jc w:val="left"/>
              <w:rPr/>
            </w:pPr>
            <w:hyperlink w:anchor="asmb-ex31_1.htm">
              <w:r>
                <w:rPr>
                  <w:rStyle w:val="InternetLink"/>
                  <w:rFonts w:ascii="Times New Roman" w:hAnsi="Times New Roman"/>
                  <w:color w:val="0000FF"/>
                  <w:sz w:val="20"/>
                  <w:u w:val="single"/>
                </w:rPr>
                <w:t>Certification of Chief Executive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3" w:type="dxa"/>
            <w:tcBorders/>
            <w:tcMar>
              <w:top w:w="0" w:type="dxa"/>
              <w:left w:w="0" w:type="dxa"/>
              <w:bottom w:w="0" w:type="dxa"/>
              <w:right w:w="0" w:type="dxa"/>
            </w:tcMar>
            <w:vAlign w:val="center"/>
          </w:tcPr>
          <w:p>
            <w:pPr>
              <w:pStyle w:val="TableContents"/>
              <w:bidi w:val="0"/>
              <w:spacing w:before="0" w:after="283"/>
              <w:jc w:val="left"/>
              <w:rPr/>
            </w:pPr>
            <w:hyperlink w:anchor="asmb-ex32_1.htm">
              <w:r>
                <w:rPr>
                  <w:rStyle w:val="InternetLink"/>
                  <w:rFonts w:ascii="Times New Roman" w:hAnsi="Times New Roman"/>
                  <w:color w:val="0000FF"/>
                  <w:sz w:val="20"/>
                  <w:u w:val="single"/>
                </w:rPr>
                <w:t>Certification of Chief Executive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Exhibits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The certification attached as Exhibit 32.1 that accompanies this Quarterly Report on Form 10-Q is to be deemed furnished and shall not be deemed “filed” with the SEC and is not to be incorporated by reference into any filing of Assembly Biosciences,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bookmarkStart w:id="20" w:name="signathure"/>
      <w:bookmarkEnd w:id="20"/>
      <w:r>
        <w:rPr/>
        <w:t> </w:t>
      </w:r>
    </w:p>
    <w:p>
      <w:pPr>
        <w:pStyle w:val="TextBody"/>
        <w:bidi w:val="0"/>
        <w:jc w:val="both"/>
        <w:rPr>
          <w:rFonts w:ascii="Times New Roman" w:hAnsi="Times New Roman"/>
          <w:color w:val="000000"/>
          <w:sz w:val="20"/>
        </w:rPr>
      </w:pPr>
      <w:r>
        <w:rPr>
          <w:rFonts w:ascii="Times New Roman" w:hAnsi="Times New Roman"/>
          <w:color w:val="000000"/>
          <w:sz w:val="20"/>
        </w:rPr>
        <w:t>In accordance with the requirements of the Securities Exchange Act of 1934, the registrant caused this report to be signed on its behalf by the undersigned, thereunto duly authorized.</w:t>
      </w:r>
    </w:p>
    <w:p>
      <w:pPr>
        <w:pStyle w:val="TextBody"/>
        <w:bidi w:val="0"/>
        <w:jc w:val="both"/>
        <w:rPr/>
      </w:pPr>
      <w:r>
        <w:rPr/>
        <w:t> </w:t>
      </w:r>
    </w:p>
    <w:tbl>
      <w:tblPr>
        <w:tblW w:w="7053" w:type="dxa"/>
        <w:jc w:val="left"/>
        <w:tblInd w:w="0" w:type="dxa"/>
        <w:tblLayout w:type="fixed"/>
        <w:tblCellMar>
          <w:top w:w="28" w:type="dxa"/>
          <w:left w:w="28" w:type="dxa"/>
          <w:bottom w:w="28" w:type="dxa"/>
          <w:right w:w="28" w:type="dxa"/>
        </w:tblCellMar>
      </w:tblPr>
      <w:tblGrid>
        <w:gridCol w:w="1636"/>
        <w:gridCol w:w="406"/>
        <w:gridCol w:w="501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Assembly Biosciences, Inc.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A. Okazaki</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A. Okazaki</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 and Principal Financial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bookmarkStart w:id="21" w:name="asmb-ex31_1.htm"/>
      <w:bookmarkStart w:id="22" w:name="ksasmb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Jason A. Okazaki,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Quarterly Report on Form 10</w:t>
        <w:noBreakHyphen/>
        <w:t xml:space="preserve">Q of Assembly Biosciences, Inc.;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 xml:space="preserve">15(f)) for the registrant and have: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both"/>
        <w:rPr/>
      </w:pPr>
      <w:r>
        <w:rPr/>
        <w:t> </w:t>
      </w:r>
    </w:p>
    <w:tbl>
      <w:tblPr>
        <w:tblW w:w="7053" w:type="dxa"/>
        <w:jc w:val="left"/>
        <w:tblInd w:w="0" w:type="dxa"/>
        <w:tblLayout w:type="fixed"/>
        <w:tblCellMar>
          <w:top w:w="28" w:type="dxa"/>
          <w:left w:w="28" w:type="dxa"/>
          <w:bottom w:w="28" w:type="dxa"/>
          <w:right w:w="28" w:type="dxa"/>
        </w:tblCellMar>
      </w:tblPr>
      <w:tblGrid>
        <w:gridCol w:w="1636"/>
        <w:gridCol w:w="406"/>
        <w:gridCol w:w="501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A. Okazaki</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A. Okazaki</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 and 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3" w:name="asmb-ex32_1.htm"/>
      <w:bookmarkStart w:id="24" w:name="ksasmbex32_1"/>
      <w:bookmarkEnd w:id="23"/>
      <w:bookmarkEnd w:id="24"/>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CERTIFICATION PURSUANT TO 18 U.S.C. SECTION 1350, AS ADOPTED PURSUANT TO </w:t>
      </w:r>
    </w:p>
    <w:p>
      <w:pPr>
        <w:pStyle w:val="TextBody"/>
        <w:bidi w:val="0"/>
        <w:jc w:val="center"/>
        <w:rPr>
          <w:rFonts w:ascii="Times New Roman" w:hAnsi="Times New Roman"/>
          <w:color w:val="000000"/>
          <w:sz w:val="20"/>
        </w:rPr>
      </w:pPr>
      <w:r>
        <w:rPr>
          <w:rFonts w:ascii="Times New Roman" w:hAnsi="Times New Roman"/>
          <w:color w:val="000000"/>
          <w:sz w:val="20"/>
        </w:rPr>
        <w:t xml:space="preserve">SECTION 906 OF THE SARBANES-OXLEY ACT OF 2002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Quarterly Report on Form 10</w:t>
        <w:noBreakHyphen/>
        <w:t xml:space="preserve">Q of Assembly Biosciences, Inc. (the Company) for the period ended March 31, 2025 as filed with the Securities and Exchange Commission on or about the date hereof (the Report), I, Jason A. Okazaki, Chief Executive Officer and President, hereby certify, pursuant to 18 U.S.C. Section 1350, as adopted pursuant to Section 906 of the Sarbanes-Oxley Act of 2002, that, to my knowledge: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 as of, and for, the periods presented in the Report.</w:t>
      </w:r>
    </w:p>
    <w:p>
      <w:pPr>
        <w:pStyle w:val="TextBody"/>
        <w:bidi w:val="0"/>
        <w:jc w:val="left"/>
        <w:rPr/>
      </w:pPr>
      <w:r>
        <w:rPr/>
        <w:t> </w:t>
      </w:r>
    </w:p>
    <w:tbl>
      <w:tblPr>
        <w:tblW w:w="5172" w:type="dxa"/>
        <w:jc w:val="left"/>
        <w:tblInd w:w="0" w:type="dxa"/>
        <w:tblLayout w:type="fixed"/>
        <w:tblCellMar>
          <w:top w:w="28" w:type="dxa"/>
          <w:left w:w="28" w:type="dxa"/>
          <w:bottom w:w="28" w:type="dxa"/>
          <w:right w:w="28" w:type="dxa"/>
        </w:tblCellMar>
      </w:tblPr>
      <w:tblGrid>
        <w:gridCol w:w="161"/>
        <w:gridCol w:w="5011"/>
      </w:tblGrid>
      <w:tr>
        <w:trPr/>
        <w:tc>
          <w:tcPr>
            <w:tcW w:w="161"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A. Okazaki</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A. Okazaki</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 and Principal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May 8, 2025</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24362</Words>
  <Characters>136066</Characters>
  <CharactersWithSpaces>160961</CharactersWithSpaces>
  <Paragraphs>3594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