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900" w:right="1940" w:hanging="3892"/>
        <w:spacing w:after="0" w:line="501" w:lineRule="auto"/>
        <w:tabs>
          <w:tab w:leader="none" w:pos="3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40" w:right="1920" w:hanging="3432"/>
        <w:spacing w:after="0" w:line="501" w:lineRule="auto"/>
        <w:tabs>
          <w:tab w:leader="none" w:pos="33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___________to___________.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001-35005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ASSEMBLY BIOSCIENCES,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20-8729264</w:t>
            </w: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3"/>
              </w:rPr>
              <w:t>(State or other jurisdiction of</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3"/>
              </w:rPr>
              <w:t>incorporation or organization)</w:t>
            </w:r>
          </w:p>
        </w:tc>
        <w:tc>
          <w:tcPr>
            <w:tcW w:w="4160" w:type="dxa"/>
            <w:vAlign w:val="bottom"/>
          </w:tcPr>
          <w:p>
            <w:pPr>
              <w:spacing w:after="0"/>
              <w:rPr>
                <w:sz w:val="20"/>
                <w:szCs w:val="20"/>
                <w:color w:val="auto"/>
              </w:rPr>
            </w:pP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11711 N. Meridian St., Suite 310</w:t>
            </w:r>
          </w:p>
        </w:tc>
        <w:tc>
          <w:tcPr>
            <w:tcW w:w="4160" w:type="dxa"/>
            <w:vAlign w:val="bottom"/>
          </w:tcPr>
          <w:p>
            <w:pPr>
              <w:spacing w:after="0"/>
              <w:rPr>
                <w:sz w:val="24"/>
                <w:szCs w:val="24"/>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Carmel, Indiana</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46032</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210-9311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sectPr>
      </w:pPr>
    </w:p>
    <w:p>
      <w:pPr>
        <w:spacing w:after="0" w:line="181"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Large Accelerated Filer Non-accelerated Filer Emerging growth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tabs>
          <w:tab w:leader="none" w:pos="6920" w:val="left"/>
          <w:tab w:leader="none" w:pos="90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69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3" w:lineRule="exact"/>
        <w:rPr>
          <w:sz w:val="24"/>
          <w:szCs w:val="24"/>
          <w:color w:val="auto"/>
        </w:rPr>
      </w:pPr>
    </w:p>
    <w:p>
      <w:pPr>
        <w:sectPr>
          <w:pgSz w:w="11900" w:h="16838" w:orient="portrait"/>
          <w:cols w:equalWidth="0" w:num="2">
            <w:col w:w="1980" w:space="180"/>
            <w:col w:w="9260"/>
          </w:cols>
          <w:pgMar w:left="240" w:top="783" w:right="2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760" w:val="left"/>
        </w:tabs>
        <w:rPr>
          <w:sz w:val="20"/>
          <w:szCs w:val="20"/>
          <w:color w:val="auto"/>
        </w:rPr>
      </w:pPr>
      <w:r>
        <w:rPr>
          <w:rFonts w:ascii="Arial" w:cs="Arial" w:eastAsia="Arial" w:hAnsi="Arial"/>
          <w:sz w:val="17"/>
          <w:szCs w:val="17"/>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2018, there were 20,550,718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 Legal Proceedings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 Risk Factors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2. Unregistered Sales of Equity Securities and Use of Proceeds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3.</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4.</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5.</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ind w:left="4340"/>
              <w:spacing w:after="0"/>
              <w:rPr>
                <w:sz w:val="20"/>
                <w:szCs w:val="20"/>
                <w:color w:val="auto"/>
              </w:rPr>
            </w:pPr>
            <w:r>
              <w:rPr>
                <w:rFonts w:ascii="Arial" w:cs="Arial" w:eastAsia="Arial" w:hAnsi="Arial"/>
                <w:sz w:val="18"/>
                <w:szCs w:val="18"/>
                <w:b w:val="1"/>
                <w:bCs w:val="1"/>
                <w:color w:val="auto"/>
              </w:rPr>
              <w:t>ASSEMBLY BIOSCIENCES, INC.</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ind w:left="3540"/>
              <w:spacing w:after="0"/>
              <w:rPr>
                <w:sz w:val="20"/>
                <w:szCs w:val="20"/>
                <w:color w:val="auto"/>
              </w:rPr>
            </w:pPr>
            <w:r>
              <w:rPr>
                <w:rFonts w:ascii="Arial" w:cs="Arial" w:eastAsia="Arial" w:hAnsi="Arial"/>
                <w:sz w:val="18"/>
                <w:szCs w:val="18"/>
                <w:b w:val="1"/>
                <w:bCs w:val="1"/>
                <w:color w:val="auto"/>
              </w:rPr>
              <w:t>CONDENSED CONSOLIDATED BALANCE SHEETS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66,926,630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82,033,209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Marketable securities,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42,232,348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37,914,482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from collaboration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2,263,556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1,803,066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897,400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113,225,600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123,118,512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Marketable securities,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3,347,213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Security deposits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425,592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339,558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12,638,136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12,638,136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42,795,228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46,184,933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156,020,828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169,303,445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2,372,874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2,123,939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4,647,472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revenue - short-term</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5,159,587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5,229,227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12,179,933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13,492,166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2,135,802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2,135,802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 long-term</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39,323,844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40,555,708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41,459,646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42,691,510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53,639,579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56,183,676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$0.001 par value; 50,000,000 shares authorized; 20,386,736 and 20,137,974 shares issued and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March 31, 2018 and December 31, 2017, respectively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370,104,986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364,528,037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(459,350)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(267,284,774)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(251,036,015)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102,381,249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113,119,769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156,020,828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169,303,445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3,565,060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14,541,174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10,573,739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5,696,035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4,040,459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20,237,209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14,614,198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(16,672,149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(13,929,829</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446,406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loss from marketable securities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(23,016)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9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423,390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(16,248,759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(13,930,593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Unrealized loss recognized in accumulated other comprehensive loss before reclassification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(89,975)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(61,156)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adjustment of unrealized loss included in net loss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w:t>
            </w:r>
          </w:p>
        </w:tc>
        <w:tc>
          <w:tcPr>
            <w:tcW w:w="9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(16,315,718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(13,854,501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20,231,804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17,268,280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(16,248,759)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(13,930,593)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168,086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4,082,767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Realized loss from marketable securities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23,016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Accounts receivable from collaboration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9,865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(905,666)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248,935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(1,491,528)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(1,301,504)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49,315,631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Security deposits</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(86,034)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(15,500,822)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34,944,909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fixed assets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(13,031,628)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Redemptions of marketable securities</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11,971,000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(1,100,188)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stock options</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1,494,431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1,494,431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7"/>
          <w:szCs w:val="17"/>
          <w:color w:val="auto"/>
        </w:rPr>
        <w:t>Net (decrease) increase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00"/>
        <w:spacing w:after="0"/>
        <w:tabs>
          <w:tab w:leader="none" w:pos="1900" w:val="left"/>
        </w:tabs>
        <w:rPr>
          <w:sz w:val="20"/>
          <w:szCs w:val="20"/>
          <w:color w:val="auto"/>
        </w:rPr>
      </w:pPr>
      <w:r>
        <w:rPr>
          <w:rFonts w:ascii="Arial" w:cs="Arial" w:eastAsia="Arial" w:hAnsi="Arial"/>
          <w:sz w:val="18"/>
          <w:szCs w:val="18"/>
          <w:color w:val="auto"/>
        </w:rPr>
        <w:t>(15,106,579)</w:t>
      </w:r>
      <w:r>
        <w:rPr>
          <w:sz w:val="20"/>
          <w:szCs w:val="20"/>
          <w:color w:val="auto"/>
        </w:rPr>
        <w:tab/>
      </w:r>
      <w:r>
        <w:rPr>
          <w:rFonts w:ascii="Arial" w:cs="Arial" w:eastAsia="Arial" w:hAnsi="Arial"/>
          <w:sz w:val="18"/>
          <w:szCs w:val="18"/>
          <w:color w:val="auto"/>
        </w:rPr>
        <w:t>42,242,926</w:t>
      </w:r>
    </w:p>
    <w:p>
      <w:pPr>
        <w:spacing w:after="0" w:line="9"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82,033,209</w:t>
      </w:r>
      <w:r>
        <w:rPr>
          <w:sz w:val="20"/>
          <w:szCs w:val="20"/>
          <w:color w:val="auto"/>
        </w:rPr>
        <w:tab/>
      </w:r>
      <w:r>
        <w:rPr>
          <w:rFonts w:ascii="Arial" w:cs="Arial" w:eastAsia="Arial" w:hAnsi="Arial"/>
          <w:sz w:val="18"/>
          <w:szCs w:val="18"/>
          <w:color w:val="auto"/>
        </w:rPr>
        <w:t>28,575,085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 w:lineRule="exact"/>
        <w:rPr>
          <w:sz w:val="20"/>
          <w:szCs w:val="20"/>
          <w:color w:val="auto"/>
        </w:rPr>
      </w:pPr>
    </w:p>
    <w:p>
      <w:pPr>
        <w:spacing w:after="0"/>
        <w:tabs>
          <w:tab w:leader="none" w:pos="440" w:val="left"/>
          <w:tab w:leader="none" w:pos="1460" w:val="left"/>
          <w:tab w:leader="none" w:pos="19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66,926,630</w:t>
        <w:tab/>
        <w:t>$</w:t>
      </w:r>
      <w:r>
        <w:rPr>
          <w:sz w:val="20"/>
          <w:szCs w:val="20"/>
          <w:color w:val="auto"/>
        </w:rPr>
        <w:tab/>
      </w:r>
      <w:r>
        <w:rPr>
          <w:rFonts w:ascii="Arial" w:cs="Arial" w:eastAsia="Arial" w:hAnsi="Arial"/>
          <w:sz w:val="15"/>
          <w:szCs w:val="15"/>
          <w:b w:val="1"/>
          <w:bCs w:val="1"/>
          <w:color w:val="auto"/>
        </w:rPr>
        <w:t>70,818,011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732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Change in unrealized (loss) gain on marketable securities available-for-sale</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(66,959)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340" w:type="dxa"/>
            <w:vAlign w:val="bottom"/>
          </w:tcPr>
          <w:p>
            <w:pPr>
              <w:spacing w:after="0"/>
              <w:rPr>
                <w:sz w:val="20"/>
                <w:szCs w:val="20"/>
                <w:color w:val="auto"/>
              </w:rPr>
            </w:pPr>
          </w:p>
        </w:tc>
        <w:tc>
          <w:tcPr>
            <w:tcW w:w="262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5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Comprehensive</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20" w:type="dxa"/>
            <w:vAlign w:val="bottom"/>
          </w:tcPr>
          <w:p>
            <w:pPr>
              <w:spacing w:after="0"/>
              <w:rPr>
                <w:sz w:val="20"/>
                <w:szCs w:val="20"/>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334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20,137,974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364,528,037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(392,391)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(251,036,015)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113,119,769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5"/>
              </w:rPr>
              <w:t>Proceeds from the exercise of stock options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248,762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1,494,182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1,494,431</w:t>
            </w:r>
          </w:p>
        </w:tc>
        <w:tc>
          <w:tcPr>
            <w:tcW w:w="80" w:type="dxa"/>
            <w:vAlign w:val="bottom"/>
          </w:tcPr>
          <w:p>
            <w:pPr>
              <w:spacing w:after="0"/>
              <w:rPr>
                <w:sz w:val="18"/>
                <w:szCs w:val="18"/>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loss on marketable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(66,959)</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(66,959)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4,082,767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4,082,767</w:t>
            </w:r>
          </w:p>
        </w:tc>
        <w:tc>
          <w:tcPr>
            <w:tcW w:w="80" w:type="dxa"/>
            <w:vAlign w:val="bottom"/>
          </w:tcPr>
          <w:p>
            <w:pPr>
              <w:spacing w:after="0"/>
              <w:rPr>
                <w:sz w:val="18"/>
                <w:szCs w:val="18"/>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(16,248,759)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(16,248,759)</w:t>
            </w:r>
          </w:p>
        </w:tc>
      </w:tr>
      <w:tr>
        <w:trPr>
          <w:trHeight w:val="223"/>
        </w:trPr>
        <w:tc>
          <w:tcPr>
            <w:tcW w:w="3340" w:type="dxa"/>
            <w:vAlign w:val="bottom"/>
          </w:tcPr>
          <w:p>
            <w:pPr>
              <w:spacing w:after="0"/>
              <w:rPr>
                <w:sz w:val="20"/>
                <w:szCs w:val="20"/>
                <w:color w:val="auto"/>
              </w:rPr>
            </w:pPr>
            <w:r>
              <w:rPr>
                <w:rFonts w:ascii="Arial" w:cs="Arial" w:eastAsia="Arial" w:hAnsi="Arial"/>
                <w:sz w:val="18"/>
                <w:szCs w:val="18"/>
                <w:b w:val="1"/>
                <w:bCs w:val="1"/>
                <w:color w:val="auto"/>
              </w:rPr>
              <w:t>Balance as of March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20,386,736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370,104,986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(459,350</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(267,284,774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102,381,249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Assembly Biosciences, Inc., together with its subsidiaries (Assembly or the Company), is a clinical stage biotechnology company advancing two innovative platform programs: a new class of oral therapeutic candidates for the treatment of hepatitis B virus (HBV) infection and a novel class of oral synthetic live biotherapeutic candidates, which are designed to treat disorders associated with the microbiome.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250 million people worldwide are chronically infected with HBV. The Company’s HBV-cure program is pursuing multiple drug candidates that inhibit the HBV lifecycle and block the generation of covalently closed circular DNA (cccDNA), with the aim of increasing the current low cure rates for patients with HBV. Assembly has discovered multiple novel core protein Allosteric Modifiers (CpAMs), which are small molecules that directly target and allosterically modify the HBV core (HBc) protein.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Microbiome program consists of a fully integrated platform that includes a disease targeted strain identification and selection process, methods for strain isolation and growth under current Good Manufacturing Practices (cGMP) conditions, and a patented delivery system that we call GEMICEL®, which is designed to allow for targeted oral delivery of live biologic and conventional therapies to the lower gastrointestinal (GI) tract. Using its microbiome platform, the Company is developing product candidates for various disease indications, including ulcerative colitis, Crohn’s disease, irritable bowel syndrome, non-alcoholic steatohepatitis (NASH), immuno-oncology and Clostridium difficile infections (CDI), which the Company intends to develop either internally or in collaboration with partners.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6, 2017, the Company entered into a Research, Development, Collaboration and License Agreement (the Collaboration Agreement) with Allergan Pharmaceuticals International Limited (Allergan) to develop and commercialize select microbiome gastrointestinal programs. Pursuant to the terms of the Collaboration Agreement, in connection with the closing of the transaction on February 10, 2017, Allergan paid the Company an upfront payment of $50 million. Additionally, the Company is eligible to receive up to approximately $630 million in payments related to seven development milestones and up to approximately $2.15 billion in payments related to 12 commercial development and sales milestones in connection with the successful development and commercialization of licensed compounds for up to six different indications (see Note 7). Allergan and the Company have agreed to share development costs up to an aggregate of $75 million through proof-of-concept (POC) studies on a ⅔, ⅓ basis, respectively, and Allergan has agreed to assume all post-POC development costs. Additionally, the Company has an option to co-promote the licensed programs in the United States and China, subject to certain conditions set forth in the Collaboration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an up-front payment related to the Collaboration Agreement. The Company has incurred losses from operations and negative cash flows from operating activities since inception and expects to continue to incur substantial losses for the next several years as it continues its product development efforts. Management believes the Company currently has sufficient funds to meet its operating requirements for at least the next twelve months.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 unable to generate enough revenue from the Collaboration Agreement when needed or to secure additional sources of funding and receive related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condensed consolidated interim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and on the same basis as the Company prepares its annual audited consolidated financial statements. The condensed consolidated balance sheet at March 31, 2018, condensed consolidated statements of operations and comprehensive loss for the three months ended March 31, 2018 and 2017, condensed consolidated statements of cash flows for the three months ended March 31, 2018 and 2017, and condensed consolidated statement of changes in stockholders’ equity for the three months ended March 31, 2018 are unaudited, but include all adjustments, consisting only of normal recurring adjustments, that the Company considers necessary for a fair presentation of the financial position, operating results and cash flows for the periods presented. The results for the three months ended March 31, 2018 are not necessarily indicative of results to be expected for the year ending December 31, 2018 or for any future interim period. The consolidated balance sheet at December 31, 2017 has been derived from audited financial statements; however, it does not include all of the information and notes required by U.S. GAAP for complete financial statements. The accompanying condensed consolidated financial statements should be read in conjunction with the audited consolidated financial statements for the year ended December 31, 2017 and notes thereto included in the Company’s Annual Report on Form 10-K for the fiscal year ended December 31, 2017 filed with the SEC on March 8, 2018 (the 2017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preparation of the condensed consolidated financial statements in conformity with the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estimates inherent in the preparation of the accompanying condensed consolidated financial statements include recoverability and useful lives (indefinite or finite) of intangible assets, assessment of impairment of goodwill, provisions for income taxes, timing of revenue recognition and allocation of the transaction price to performance obligations, and the fair value of stock options and warrants granted to employees, consultants, directors, investors, licensors, placement agents and underwriters.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There have been no material changes in the Company’s significant accounting policies to those previously disclosed in the 2017 Annual Report other than the adoption of the Financial Accounting Standards Board (FASB) Accounting Standard Updates (ASU)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(see Note 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of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 Securities that could potentially result in diluted loss per share in the future that were not included in the computation of diluted loss per share at March 31, 2018 and 2017 are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Options to purchase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586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7" w:lineRule="exact"/>
        <w:rPr>
          <w:sz w:val="20"/>
          <w:szCs w:val="20"/>
          <w:color w:val="auto"/>
        </w:rPr>
      </w:pPr>
    </w:p>
    <w:p>
      <w:pPr>
        <w:jc w:val="both"/>
        <w:ind w:left="260"/>
        <w:spacing w:after="0"/>
        <w:tabs>
          <w:tab w:leader="none" w:pos="1600" w:val="left"/>
        </w:tabs>
        <w:rPr>
          <w:sz w:val="20"/>
          <w:szCs w:val="20"/>
          <w:color w:val="auto"/>
        </w:rPr>
      </w:pPr>
      <w:r>
        <w:rPr>
          <w:rFonts w:ascii="Arial" w:cs="Arial" w:eastAsia="Arial" w:hAnsi="Arial"/>
          <w:sz w:val="18"/>
          <w:szCs w:val="18"/>
          <w:color w:val="auto"/>
        </w:rPr>
        <w:t>15,296</w:t>
      </w:r>
      <w:r>
        <w:rPr>
          <w:sz w:val="20"/>
          <w:szCs w:val="20"/>
          <w:color w:val="auto"/>
        </w:rPr>
        <w:tab/>
      </w:r>
      <w:r>
        <w:rPr>
          <w:rFonts w:ascii="Arial" w:cs="Arial" w:eastAsia="Arial" w:hAnsi="Arial"/>
          <w:sz w:val="18"/>
          <w:szCs w:val="18"/>
          <w:color w:val="auto"/>
        </w:rPr>
        <w:t>16,909</w:t>
      </w:r>
    </w:p>
    <w:p>
      <w:pPr>
        <w:spacing w:after="0" w:line="23"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6"/>
          <w:szCs w:val="16"/>
          <w:color w:val="auto"/>
        </w:rPr>
        <w:t>4,826,361</w:t>
      </w:r>
      <w:r>
        <w:rPr>
          <w:sz w:val="20"/>
          <w:szCs w:val="20"/>
          <w:color w:val="auto"/>
        </w:rPr>
        <w:tab/>
      </w:r>
      <w:r>
        <w:rPr>
          <w:rFonts w:ascii="Arial" w:cs="Arial" w:eastAsia="Arial" w:hAnsi="Arial"/>
          <w:sz w:val="16"/>
          <w:szCs w:val="16"/>
          <w:color w:val="auto"/>
        </w:rPr>
        <w:t>4,816,126</w:t>
      </w:r>
    </w:p>
    <w:p>
      <w:pPr>
        <w:spacing w:after="0" w:line="32" w:lineRule="exact"/>
        <w:rPr>
          <w:sz w:val="20"/>
          <w:szCs w:val="20"/>
          <w:color w:val="auto"/>
        </w:rPr>
      </w:pPr>
    </w:p>
    <w:p>
      <w:pPr>
        <w:ind w:left="180"/>
        <w:spacing w:after="0"/>
        <w:tabs>
          <w:tab w:leader="none" w:pos="2040" w:val="left"/>
        </w:tabs>
        <w:rPr>
          <w:sz w:val="20"/>
          <w:szCs w:val="20"/>
          <w:color w:val="auto"/>
        </w:rPr>
      </w:pPr>
      <w:r>
        <w:rPr>
          <w:rFonts w:ascii="Arial" w:cs="Arial" w:eastAsia="Arial" w:hAnsi="Arial"/>
          <w:sz w:val="18"/>
          <w:szCs w:val="18"/>
          <w:color w:val="auto"/>
        </w:rPr>
        <w:t>251,559</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586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6"/>
          <w:szCs w:val="16"/>
          <w:b w:val="1"/>
          <w:bCs w:val="1"/>
          <w:color w:val="auto"/>
        </w:rPr>
        <w:t>5,093,216</w:t>
      </w:r>
      <w:r>
        <w:rPr>
          <w:sz w:val="20"/>
          <w:szCs w:val="20"/>
          <w:color w:val="auto"/>
        </w:rPr>
        <w:tab/>
      </w:r>
      <w:r>
        <w:rPr>
          <w:rFonts w:ascii="Arial" w:cs="Arial" w:eastAsia="Arial" w:hAnsi="Arial"/>
          <w:sz w:val="16"/>
          <w:szCs w:val="16"/>
          <w:b w:val="1"/>
          <w:bCs w:val="1"/>
          <w:color w:val="auto"/>
        </w:rPr>
        <w:t>4,833,035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31750</wp:posOffset>
            </wp:positionV>
            <wp:extent cx="15862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8480" w:space="720"/>
            <w:col w:w="2220"/>
          </w:cols>
          <w:pgMar w:left="240" w:top="904" w:right="239" w:bottom="1440" w:gutter="0" w:footer="0" w:header="0"/>
          <w:type w:val="continuous"/>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recognizes revenue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core principle of the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1" w:lineRule="exact"/>
        <w:rPr>
          <w:sz w:val="20"/>
          <w:szCs w:val="20"/>
          <w:color w:val="auto"/>
        </w:rPr>
      </w:pPr>
    </w:p>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When determining the transaction price, an entity must consider the effects of all of the following:</w:t>
      </w:r>
    </w:p>
    <w:p>
      <w:pPr>
        <w:spacing w:after="0" w:line="14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consideration;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existence of a significant financing component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consideration;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price is allocated to each performance obligation on a relative standalone selling price basis.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price allocated to each performance obligation is recognized when that performance obligation is satisfied, at a point in time or over time as appropriate.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for a sales-based or usage-based royalty promised in exchange for a license of intellectual property is recognized only when (or as) the later of the following events occurs:</w:t>
      </w:r>
    </w:p>
    <w:p>
      <w:pPr>
        <w:spacing w:after="0" w:line="17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subsequent sale or usage occurs;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performance obligation to which some or all of the sales-based or usage-based royalty has been allocated has been satisfied (or partially satisfied).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modified by ASU 2015-14,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 Deferral of the Effective Date</w:t>
      </w:r>
      <w:r>
        <w:rPr>
          <w:rFonts w:ascii="Arial" w:cs="Arial" w:eastAsia="Arial" w:hAnsi="Arial"/>
          <w:sz w:val="16"/>
          <w:szCs w:val="16"/>
          <w:color w:val="auto"/>
        </w:rPr>
        <w:t>, ASU 2016-08,</w:t>
      </w:r>
      <w:r>
        <w:rPr>
          <w:rFonts w:ascii="Arial" w:cs="Arial" w:eastAsia="Arial" w:hAnsi="Arial"/>
          <w:sz w:val="16"/>
          <w:szCs w:val="16"/>
          <w:i w:val="1"/>
          <w:iCs w:val="1"/>
          <w:color w:val="auto"/>
        </w:rPr>
        <w:t xml:space="preserve"> Revenue from Contracts with Customers (Topic 606): Principal versus Agent Considerations (Reporting Revenue Gross versus Net), </w:t>
      </w:r>
      <w:r>
        <w:rPr>
          <w:rFonts w:ascii="Arial" w:cs="Arial" w:eastAsia="Arial" w:hAnsi="Arial"/>
          <w:sz w:val="16"/>
          <w:szCs w:val="16"/>
          <w:color w:val="auto"/>
        </w:rPr>
        <w:t>ASU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adopted the new standard on January 1, 2018 using the modified retrospective approach. The Collaboration Agreement is the Company’s only revenue contract, and adoption of ASU 2014-09 did not have any impact on the Company’s accounting for this agreement in the accompanying condensed consolidated financial statements.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ASU 2016-01 requires equity investments to be measured at fair value with changes in fair value recognized in net income; simplifies the impairment assessment of equity investments without readily determinable fair values by requiring a qualitative assessment to identify impairment; eliminates the requirement for public business entities to disclose the method(s) and significant assumptions used to estimate the fair value that is required to be disclosed for financial instruments measured at amortized cost on the balance sheet; requires public business entities to use the exit price notion when measuring the fair value of financial instruments for disclosure purposes;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ASU 2016-01 is effective for financial statements issued for fiscal years beginning after December 15, 2017, and interim periods within those fiscal years. On January 1, 2018, the Company implemented ASU 2016-01 without any impact on the Company’s condensed consolidated financial statements and related disclosures.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xml:space="preserve"> which addresses eight specific cash flow issues with the objective of reducing the existing diversity in practice in how certain cash receipts and cash payments are presented and classified in the statement of cash flows. On January 1, 2018, the Company implemented ASU 2016-15 without any material impact on the Company’s condensed consolidated statement of cash flows and related disclosures.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ASU 2017-09 provides clarity and reduces both (1) diversity in practice and (2) cost and complexity when applying the guidance in Topic 718, to a change to the terms or conditions of a share-based payment award. The amendments in ASU 2017-09 should be applied prospectively to an award modified on or after the adoption date. On January 1, 2018, the Company implemented ASU 2017-09 without any material impact on the Company’s condensed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Topic 840, </w:t>
      </w:r>
      <w:r>
        <w:rPr>
          <w:rFonts w:ascii="Arial" w:cs="Arial" w:eastAsia="Arial" w:hAnsi="Arial"/>
          <w:sz w:val="17"/>
          <w:szCs w:val="17"/>
          <w:i w:val="1"/>
          <w:iCs w:val="1"/>
          <w:color w:val="auto"/>
        </w:rPr>
        <w:t>Leases (Topic 840)</w:t>
      </w:r>
      <w:r>
        <w:rPr>
          <w:rFonts w:ascii="Arial" w:cs="Arial" w:eastAsia="Arial" w:hAnsi="Arial"/>
          <w:sz w:val="17"/>
          <w:szCs w:val="17"/>
          <w:color w:val="auto"/>
        </w:rPr>
        <w:t xml:space="preserve">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 to existing guidance for operating leases. In January 2018, the FASB issued ASU 2018-01, </w:t>
      </w:r>
      <w:r>
        <w:rPr>
          <w:rFonts w:ascii="Arial" w:cs="Arial" w:eastAsia="Arial" w:hAnsi="Arial"/>
          <w:sz w:val="17"/>
          <w:szCs w:val="17"/>
          <w:i w:val="1"/>
          <w:iCs w:val="1"/>
          <w:color w:val="auto"/>
        </w:rPr>
        <w:t>Leases (Topic 842) Land Easement Practical Expedient for Transition to Topic 842</w:t>
      </w:r>
      <w:r>
        <w:rPr>
          <w:rFonts w:ascii="Arial" w:cs="Arial" w:eastAsia="Arial" w:hAnsi="Arial"/>
          <w:sz w:val="17"/>
          <w:szCs w:val="17"/>
          <w:color w:val="auto"/>
        </w:rPr>
        <w:t>, which amends ASU 2016-02 to provide entities an optional transition practical expedient to not evaluate under Topic 842 existing or expired land easements that were not previously accounted for as leases under the current leases guidance in Topic 842. An entity that elects this practical expedient should evaluate new or modified land easements under Topic 842 beginning at the date that the entity adopts Topic 842. The standard will be effective for annual and interim periods beginning after December 15, 2018, with early adoption permitted upon issuance. The Company is currently evaluating the effect that the updated standard will have on its condensed consolidated financial statements and related disclosures.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ASU 2016-13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The new standard will be effective on January 1, 2020. Early adoption will be available on January 1, 2019. The Company is currently evaluating the effect that the updated standard will have on its condensed consolidated financial statements and related disclosures.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Accumulated Other Comprehensive Income, </w:t>
      </w:r>
      <w:r>
        <w:rPr>
          <w:rFonts w:ascii="Arial" w:cs="Arial" w:eastAsia="Arial" w:hAnsi="Arial"/>
          <w:sz w:val="16"/>
          <w:szCs w:val="16"/>
          <w:color w:val="auto"/>
        </w:rPr>
        <w:t>which allows a reclassification from accumulated other comprehensive income to retained earnings for</w:t>
      </w:r>
      <w:r>
        <w:rPr>
          <w:rFonts w:ascii="Arial" w:cs="Arial" w:eastAsia="Arial" w:hAnsi="Arial"/>
          <w:sz w:val="16"/>
          <w:szCs w:val="16"/>
          <w:i w:val="1"/>
          <w:iCs w:val="1"/>
          <w:color w:val="auto"/>
        </w:rPr>
        <w:t xml:space="preserve"> </w:t>
      </w:r>
      <w:r>
        <w:rPr>
          <w:rFonts w:ascii="Arial" w:cs="Arial" w:eastAsia="Arial" w:hAnsi="Arial"/>
          <w:sz w:val="16"/>
          <w:szCs w:val="16"/>
          <w:color w:val="auto"/>
        </w:rPr>
        <w:t>stranded tax effects resulting from the newly enacted federal corporate income tax rate under the Tax Cuts and Jobs Act. The amount of the reclassification would be the difference between the historical corporate income tax rate and the newly enacted 21% corporate income tax rate. The new standard is effective for fiscal years, including interim periods within those fiscal years, beginning after December 15, 2018 with early adoption in any interim period permitted. The Company is currently evaluating the effect that the updated standard will have on its condensed consolidated financial statements and related disclosures.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consist of the following as of March 31,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9"/>
              </w:rPr>
              <w:t>Unrealized Gain</w:t>
            </w:r>
          </w:p>
        </w:tc>
        <w:tc>
          <w:tcPr>
            <w:tcW w:w="120" w:type="dxa"/>
            <w:vAlign w:val="bottom"/>
          </w:tcPr>
          <w:p>
            <w:pPr>
              <w:spacing w:after="0"/>
              <w:rPr>
                <w:sz w:val="20"/>
                <w:szCs w:val="20"/>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Unrealized Loss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securities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39,411,091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(260,507)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39,153,919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998,672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998,560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available-for-sale securities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42,487,975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(260,619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42,232,348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42,487,975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42,232,348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86"/>
              </w:rPr>
              <w:t xml:space="preserve">Gain </w:t>
            </w:r>
            <w:r>
              <w:rPr>
                <w:rFonts w:ascii="Arial" w:cs="Arial" w:eastAsia="Arial" w:hAnsi="Arial"/>
                <w:sz w:val="30"/>
                <w:szCs w:val="30"/>
                <w:b w:val="1"/>
                <w:bCs w:val="1"/>
                <w:color w:val="auto"/>
                <w:w w:val="86"/>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1"/>
              </w:rPr>
              <w:t xml:space="preserve">Loss </w:t>
            </w:r>
            <w:r>
              <w:rPr>
                <w:rFonts w:ascii="Arial" w:cs="Arial" w:eastAsia="Arial" w:hAnsi="Arial"/>
                <w:sz w:val="30"/>
                <w:szCs w:val="30"/>
                <w:b w:val="1"/>
                <w:bCs w:val="1"/>
                <w:color w:val="auto"/>
                <w:w w:val="81"/>
                <w:vertAlign w:val="superscript"/>
              </w:rPr>
              <w:t>(1)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securities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38,092,585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(183,738)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37,914,482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Long-term available-for-sale securities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3,357,778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3,347,213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41,450,363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41,261,695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Gross unrealized gain (loss) is pre-tax.</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term to maturity of short-term marketable securities held by the Company as of March 31, 2018 is less than one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marketable securities was classified into fair value measurement categories as of March 31, 2018 and December 31, 2017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Quoted prices in active markets for identical assets (Level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similar assets observable in the marketplace (Level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42,232,348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41,261,695</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42,232,348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41,261,695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marketable securities are determined using quoted market prices from daily exchange traded markets based on the closing prices as of March 31,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marketable securities between Levels 1, 2 or 3 for the three months ended March 31, 2018 and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Company’s investments’ gross unrealized losses and fair value, aggregated by investment category and length of time that individual securities have been in a continuous unrealized loss position, at March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6"/>
                <w:szCs w:val="16"/>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Losses</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35,407,491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35,407,491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998,560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998,560</w:t>
            </w: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36,406,051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(260,619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36,406,051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(260,619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determined that the unrealized losses are deemed to be temporary as of March 31, 2018. The Company believes that the unrealized losses generally are caused by increases in the risk premiums required by market participants rather than an adverse change in cash flows or a fundamental weakness in the credit quality of the issuer or underlying assets. Because the Company has the ability and intent to hold these investments until a recovery of fair value, which may be maturity, it does not consider the investment in corporate bonds to be other-than-temporarily impaired at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10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w:t>
            </w:r>
          </w:p>
        </w:tc>
        <w:tc>
          <w:tcPr>
            <w:tcW w:w="16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0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7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Computer hardware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Lab equipment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 to 5</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369,827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369,827</w:t>
            </w: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25,354</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Leasehold improvement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 to 3.25</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773,700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773,700</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(581,909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731,500</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three months ended March 31, 2018 and 2017 was $168,086 and $31,916, respectively, and was recorded in both research and development expense and general and administrative expense in the condensed consolidated statements of operations.</w:t>
      </w:r>
    </w:p>
    <w:p>
      <w:pPr>
        <w:sectPr>
          <w:pgSz w:w="11900" w:h="16838" w:orient="portrait"/>
          <w:cols w:equalWidth="0" w:num="1">
            <w:col w:w="11420"/>
          </w:cols>
          <w:pgMar w:left="240" w:top="90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Salaries, bonuses and employee benefits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General and administrative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411"/>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1,307,440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4,518,128</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2,310,505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674,686</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1,029,527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946,186</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4,647,472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6,139,000</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2018, the Company issued an aggregate of 248,762 shares of common stock, and received gross proceeds of approximately $1.5 million from the exercise of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2018, the Board authorized the filing of a Certificate of Elimination with the Secretary of State of the State of Delaware to remove the Certificate of Designation of Series A Non-Voting Convertible Preferred Stock (the Series A Preferred Stock) from the Company’s Third Amended and Restated Certificate of Incorporation, as amended, because no shares of the Series A Preferred Stock were outstanding and no shares were available to be 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2010, the Company’s stockholders approved the 2010 Equity Incentive Plan (the 2010 Plan) and on May 19, 2011, the Company’s stockholders approved an amendment to the 2010 Plan increasing the authorized shares thereunder to 793,440, on a post-Split Effective Time basis. As of March 31, 2018, there were outstanding options to purchase an aggregate of 585,584 shares of common stock. Effective on June 2, 2016, the 2010 Plan was frozen and no further grants will be made under the 2010 Plan. Shares that are forfeited under the 2010 Plan on or after June 2, 2016 will become available for issuance under the Amended and Restated 2014 Plan (as defined below).</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2014, the Company’s stockholders approved the 2014 Stock Incentive Plan (the 2014 Plan). On June 2, 2016, at the 2016 Annual Meeting of Stockholders, the Company’s stockholders approved the amendment and restatement of the Company’s 2014 Plan (the Amended and Restated 2014 Plan). Pursuant to the terms of the Amended and Restated 2014 Plan, the maximum number of shares reserved for issuance thereunder is 4,160,000. As of March 31, 2018, there were outstanding options to purchase an aggregate of 3,336,988 shares of common stock and 251,559 shares of common stock underlying outstanding restricted stock units (RSUs), and 181,078 shares available for grant under the Amended and Restated 2014 Plan.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 2017, the Company’s Board of Directors adopted the Assembly Biosciences, Inc. 2017 Inducement Award Plan (the Inducement Plan) pursuant to which the Company reserved 800,000 shares of common stock for issuance under the Inducement Plan. The only persons eligible to receive grants of awards under the Inducement Plan are individuals who satisfy the standards for inducement grants under Nasdaq Marketplace Rule 5635(c)(4) and the related guidance under Nasdaq IM-5635-1. An “Award” is any right to receive Assembly common stock pursuant to the Inducement Plan, consisting of nonstatutory stock options, stock appreciation rights, dividend equivalent rights, restricted stock awards, restricted stock unit awards, or any other stock award. As of March 31, 2018, there were outstanding options to purchase an aggregate of 437,550 shares of common stock and 362,450 shares available for grant under the Inducement Plan.</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8, 2018, the Company appointed Graham Cooper as the Company’s Chief Financial Officer and Chief Operating Officer. Mr. Cooper will also serve as the Company’s principal financial officer and principal accounting officer. In connection with his appointment, Mr. Cooper also was granted a non-qualified stock option to purchase 220,000 shares of the Company’s common stock. The option vests over three years as follows: one-third will vest on the first anniversary of the date of grant, March 8, 2019; and the remaining two-thirds will vest in 24 equal monthly installments, with the option becoming fully vested on March 8, 2021. The option is subject to Mr. Cooper’s continued service with Assembly through the applicable vesting dates and to acceleration upon the occurrence of certain events as set forth in the option agreement and his employment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6"/>
          </w:tcPr>
          <w:p>
            <w:pPr>
              <w:spacing w:after="0"/>
              <w:rPr>
                <w:sz w:val="20"/>
                <w:szCs w:val="20"/>
                <w:color w:val="auto"/>
              </w:rPr>
            </w:pPr>
            <w:r>
              <w:rPr>
                <w:rFonts w:ascii="Arial" w:cs="Arial" w:eastAsia="Arial" w:hAnsi="Arial"/>
                <w:sz w:val="18"/>
                <w:szCs w:val="18"/>
                <w:color w:val="auto"/>
                <w:w w:val="96"/>
              </w:rPr>
              <w:t>A summary of the Company’s option activity and related information for the three-month period ended March 31, 2018 is as follows: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7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4,551,819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162,002,439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534,804</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53.06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(248,762)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4,826,361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168,652,906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Options vested and exercisable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3,150,559</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130,548,017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options granted for the three months ended March 31, 2018 and 2017, were based on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gridSpan w:val="8"/>
          </w:tcPr>
          <w:p>
            <w:pPr>
              <w:ind w:left="18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43"/>
        </w:trPr>
        <w:tc>
          <w:tcPr>
            <w:tcW w:w="85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$45.80 - $57.53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$25.34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77.0% - 86.1%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85.4%</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- 87.0%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2.57% - 2.79%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2.19%</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Term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5.5 - 7.0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ind w:left="20"/>
              <w:spacing w:after="0"/>
              <w:rPr>
                <w:sz w:val="20"/>
                <w:szCs w:val="20"/>
                <w:color w:val="auto"/>
              </w:rPr>
            </w:pPr>
            <w:r>
              <w:rPr>
                <w:rFonts w:ascii="Arial" w:cs="Arial" w:eastAsia="Arial" w:hAnsi="Arial"/>
                <w:sz w:val="18"/>
                <w:szCs w:val="18"/>
                <w:color w:val="auto"/>
              </w:rPr>
              <w:t>- 7.0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580" w:type="dxa"/>
            <w:vAlign w:val="bottom"/>
          </w:tcPr>
          <w:p>
            <w:pPr>
              <w:spacing w:after="0"/>
              <w:rPr>
                <w:sz w:val="20"/>
                <w:szCs w:val="20"/>
                <w:color w:val="auto"/>
              </w:rPr>
            </w:pPr>
            <w:r>
              <w:rPr>
                <w:rFonts w:ascii="Arial" w:cs="Arial" w:eastAsia="Arial" w:hAnsi="Arial"/>
                <w:sz w:val="18"/>
                <w:szCs w:val="18"/>
                <w:color w:val="auto"/>
              </w:rPr>
              <w:t>Estimated future stock-based compensation expense relating to unvested stock options is as follows: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6"/>
              </w:rPr>
              <w:t>Future</w:t>
            </w:r>
          </w:p>
        </w:tc>
      </w:tr>
      <w:tr>
        <w:trPr>
          <w:trHeight w:val="216"/>
        </w:trPr>
        <w:tc>
          <w:tcPr>
            <w:tcW w:w="8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Stock Option</w:t>
            </w:r>
          </w:p>
        </w:tc>
      </w:tr>
      <w:tr>
        <w:trPr>
          <w:trHeight w:val="216"/>
        </w:trPr>
        <w:tc>
          <w:tcPr>
            <w:tcW w:w="8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r>
      <w:tr>
        <w:trPr>
          <w:trHeight w:val="234"/>
        </w:trPr>
        <w:tc>
          <w:tcPr>
            <w:tcW w:w="8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3"/>
              </w:rPr>
              <w:t>Expenses</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 Months Ending December 31, 2018</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12,899,608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Year Ending December 31, 2019</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8,690,702</w:t>
            </w: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2020</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3,254,762</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Year Ending December 31, 2021</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676,700</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2022</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25,487</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25,547,259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term of exercisable options is approximately 6.7 years at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warrant activity during the three months ended March 31, 2018. The weighted average remaining contractual life of outstanding warrants to purchase 15,296 shares of common stock at March 31, 2018 is approximately 2.4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2017, the Company issued 120,000 RSUs to its Chief Scientific Officer, Richard Colonno. The RSUs will vest upon the occurrence of specified performance milestones; provided that none of these RSUs will vest prior to August 1, 2018. On March 29, 2018, the Company issued 131,559 RSUs to employees as annual performance awards, which RSUs will vest over four years assuming continuous service by the applicable employees through the vesting dates.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A summary of the Company's restricted stock units and related information is as follows: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r>
      <w:tr>
        <w:trPr>
          <w:trHeight w:val="234"/>
        </w:trPr>
        <w:tc>
          <w:tcPr>
            <w:tcW w:w="85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Number of units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grant price</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131,559</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49.14</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March 31,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the Company had unrecognized stock-based compensation expense related to all unvested restricted stock units of $10.1 million. The weighted average remaining contractual term of unvested RSUs is approximately 9.9 years at March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Stock-based compensation expense for the three months ended March 31, 2018 and 2017 is as follows: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5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2,524,108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951,926</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1,558,659</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272,721</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4,082,767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Collaboration Agreement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6, 2017, the Company entered into the Collaboration Agreement with Allergan to develop and commercialize select microbiome gastrointestinal programs. Pursuant to the Collaboration Agreement, the Company granted Allergan an exclusive worldwide license to certain of its intellectual property, including its intellectual property arising under the Collaboration Agreement, to develop and commercialize licensed compounds for ulcerative colitis (UC), Crohn’s disease, and irritable bowel syndrome (IBS). Allergan and the Company will collaborate on research and development activities with respect to the licensed compounds in accordance with a mutually agreed upon research and development plan.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closing of the transaction on February 10, 2017, Allergan paid the Company an upfront payment of $50 million. Additionally, the Company is eligible to receive variable consideration in the form of cost-sharing reimbursements, up to approximately $630 million in related to seven development milestones and up to approximately $2.15 billion in related to 12 commercial development and sales milestones in connection with the successful development and commercialization of licensed compounds for up to six different indications. There is significant uncertainty as to whether the stated milestones will be achieved, and the Company has not included the associated variable consideration in the transaction price as it is not probable that a significant reversal in the amount of cumulative revenue recognized would not occur.</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Company is eligible to receive tiered royalties at rates ranging from the mid-single digits to the mid-teens based on net sales. Allergan and the Company have agreed to share development costs up to an aggregate of $75 million through proof-of-concept (POC) studies on a ⅔, ⅓ basis, respectively, and Allergan has agreed to assume all post-POC development costs. In the event any pre-POC development costs exceed $75 million in the aggregate, the Company may elect either (a) to fund ⅓ of such costs in excess of $75 million or (b) to allow Allergan to deduct from future development milestone payments ⅓ of the development costs funded by Allergan in excess of $75 million plus a premium of 25%. The Company has an option to co-promote the licensed programs in the U.S. and China, subject to certain conditions set forth in the Collaboration Agreement. Allergan may terminate the Collaboration Agreement for convenience at any time upon either 90 days’ (prior to the initiation of the first POC trial of a licensed product) or 120 days’ (after the initiation of the first POC trial of a licensed product), as applicable, advance written notice to the Company. The Collaboration Agreement also contains customary provisions for termination by either party, including in the event of breach of the Collaboration Agreement, subject to cure.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determined that it has four performance obligations under the Collaboration Agreement associated with the transfer of the license and the performance of the research and development services combined for each of the four indications; the license is not distinct because Allergan cannot obtain value from the license without the research and development services that the Company is uniquely able to perform. The deferred revenue associated with the $50 million upfront payment will be recorded proportionally over a ten-year service period as the research and development services are expected to be performed. As such, the Company recognized the upfront payment received of $50.0 million as approximately $5.0 million in short-term deferred revenue and $45.0 million in long-term deferred revenue as of the closing date. Given the early stage of development, the Company has determined the relative selling price for each of the four indications to be $12.5 million. For the three months ended March 31, 2018 and 2017, the Company recorded approximately $1.3 million and approximately $0.7 million, respectively, in revenue related to the amortization of deferred revenue. Short-term and long-term deferred revenue contract liabilities related to the Collaboration Agreement were approximately $5.2 million and approximately $39.3 million at March 31, 2018 and approximately $5.2 million and approximately $40.6 million at December 31, 2017.</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 reimbursements will be recognized as collaboration revenue when the related expenses are incurred. The reimbursable expenses incurred in connection with the Collaboration Agreement during the three months ended March 31, 2018 and 2017 were approximately $2.3 million and nil, respectively, and recorded in collaboration revenue on the condensed consolidated statement of operations. In the condensed consolidated balance sheets, contract balances of approximately $2.3 million and approximately $2.3 million were recorded as accounts receivable from collaboration as of March 31, 2018 and December 31, 2017, respectively. As of January 1, 2018 and March 31, 2018, the Company had a contract liability balance of $0.2 million related to expense reimbursement performance obligations that were not satisfied.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Leases and Equipment 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office space for corporate functions in Carmel, Indiana under a lease agreement that expires in August 2023. The leased location in Carmel, Indiana supports both the HBV-cure and Microbiome programs. The Company leases office and laboratory space in San Francisco, California under a sublease that expires in December 2018 unless the Company requests a six-month extension. The leased location in San Francisco, California supports both the HBV-cure and Microbiome programs. The Company also conducts research activities for the Microbiome program at office and laboratory space in Groton, Connecticut under a lease that expires in March 2019.</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total leasing expenses for the three months ended March 31, 2018 and 2017 were approximately $0.4 million and $0.3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Lease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 Master Lease agreement dated November 25, 2014, the Company leases certain equipment. The equipment lease expense for the three months ended March 31, 2018 and 2017 amounted to approximately $304,000 and $182,000, respectively. These equipment leases began to expire in 2017, with the final lease expiring in 2021. The sum of all future payments through termination is approximately $2.6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material legal proceedings. From time to time, the Company may be subject to various legal proceedings and claims that arise in the ordinary course of its business activities.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interim financial statements and this Management’s Discussion and Analysis of Financial Condition and Results of Operations should be read in conjunction with the financial statements and notes thereto for the year ended December 31, 2017, and the related Management’s Discussion and Analysis of Financial Condition and Results of Operations, both of which are contained in our Annual Report on Form 10-K for the fiscal year ended December 31, 2017 filed with the SEC on March 8, 2018 (2017 Annual Report). In addition to historical information, this discussion and analysis contains forward-looking statements within the meaning of Section 27A of the Securities Act of 1933, as amended and Section 21E of the Securities Exchange Act of 1934, as amended. These forward-looking statements are subject to risks and uncertainties, including those set forth under “Part I. Item 1A. Risk Factors” in our 2017 Annual Report, “Part II. Item 1A. Risk Factors” in this report, and elsewhere in this report, that could cause actual results to differ materially from historical results or anticipated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clinical stage biotechnology company advancing two innovative platform programs: a new class of oral therapeutic candidates for the treatment of hepatitis B virus (HBV) infection and a novel class of oral synthetic live biotherapeutic candidates, which are designed to treat disorders associated with the microbiome.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HBV-cure Program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 250 million people worldwide are chronically infected with HBV. Our HBV-cure program is pursuing multiple drug candidates that inhibit the HBV lifecycle and block the generation of covalently closed circular DNA (cccDNA), with the aim of increasing the current low cure rate for patients with HBV. We have discovered multiple novel Core protein Allosteric Modifiers (CpAMs), which are small molecules that directly target and allosterically modulate the HBV core (HBc) protein. The lead product candidate from this program, ABI-H0731, has completed the Phase 1a portion of a Phase 1a/1b human clinical trial in New Zealand and as of April 2018, all HBV patients have completed dosing in the Phase 1b portion of the clinical trial (ABI-H0731-101b) in New Zealand and other countries outside the United States. We have also completed an additional Phase 1a (ABI-H0731-102) pharmacokinetic (PK), safety and tolerability study of ABI-H0731 in healthy volunteers in the United States.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interim data from our completed Phase 1a (ABI-H0731-102) safety and PK study and Phase1b (ABI-H0731-101b) study of antiviral effects was presented as a poster at The International Liver Congress™, the Annual Meeting of the European Association for the Study of the Liver (EASL) on April 12, 2018. The poster presented data for two cohorts (100 mg and 200 mg) of HBV patients that had completed dosing in the Phase 1b trial. Initial results from two incomplete patient cohorts (300 mg and 400 mg) were also reported. The poster also presented the safety and PK from three additional cohorts (100 mg, 200 mg and 300 mg) from a Phase 1a study in healthy volunteers.</w:t>
      </w:r>
    </w:p>
    <w:p>
      <w:pPr>
        <w:spacing w:after="0" w:line="188"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 Phase 1b (ABI-H0731-101b) patient study enrolled both HBV e-antigen (HBeAg) positive and negative patients. Potent antiviral activity was observed across patient cohorts in a dose dependent manner. Specifically, in the ongoing 300 mg dose cohort, the mean overall decline from baseline was reported as ≥2.8 log</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with ≥2.9 and 2.5 log</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mean declines in HBeAg positive and negative patients, respectively. Maximal viral load declines of 3.6 to 4.0 log</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were observed in HBeAg negative patients treated at all dose levels (100 mg to 400 mg). We intend to report complete results from this study at a scientific conference later in 2018.</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Across all cohorts in the Phase 1a and Phase 1b studies, ABI-H0731 was generally well tolerated. No serious adverse effects or dose-limiting toxicities were identified, and there was no pattern of treatment emergent clinical or laboratory abnormalities observed. Among the 62 patients and volunteers treated for 14-28 days, all treatment emergent adverse events were observed to be minor (Grade 1), with the exception of an isolated Grade 3 rash at the 400 mg dose that resolved with no intervention required other than treatment discontinuation. No other treatment discontinuations have occurred in these studies.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7"/>
          <w:szCs w:val="17"/>
          <w:color w:val="auto"/>
        </w:rPr>
        <w:t>The interim study results from our Phase 1a (ABI-H0731-102) and 1b (ABI-H0731-101b) clinical studies support the advancement of ABI-H0731 into Phase 2a combination studies using the 300 mg dose. The Phase 2a clinical studies are expected to begin in mid-2018. The first study will enroll HBeAg positive patients on standard of care nucleos(t)ide therapy with suppressed viral loads. Patients will continue their nucleos(t)ide therapy and be randomized to either placebo or ABI-H0731 for six months. This study is designed to evaluate if adjunctive ABI-H0731 therapy can inhibit the generation of cccDNA molecules as compared to treatment with standard of care alone. We anticipate that a successful study will show a greater decline of HBV surface Antigen (a surrogate marker of cccDNA activity) in the combination therapy arm of the study as compared to the monotherapy arm of the study. A second Phase 2a study will enroll treatment naïve HBeAg positive patients and is designed to compare the antiviral activity of entecavir (standard of care nucleoside analogue inhibitor of the HBV polymerase) therapy alone compared to entecavir in combination with ABI-H0731 for six months. We anticipate that a successful study will show a greater decline in viral load per unit time in the combination therapy arm as compared to the monotherapy arm. We anticipate initial results from these studies during the first half of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Product Candidates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fourth quarter of 2017, we announced the selection of our second product candidate from this program, ABI-H2158, which is currently undergoing investigational new drug (IND) enabling studies. Pending the successful completion of IND-enabling studies and clearance of an IND, ABI-H2158 is expected to begin a Phase 1a human clinical trial in the fourth quarter of 2018. ABI-H2158 is an internally discovered and developed drug product candidate that is chemically distinct from ABI-H0731. We anticipate the selection of a third CpAM product candidate for this program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Microbiome program consists of a fully integrated platform that includes a disease targeted strain identification and selection process, methods for strain isolation and growth under current Good Manufacturing Practice (cGMP) conditions, and a patented delivery system that we call GEMICEL®, which is designed to allow for targeted oral delivery of live biologic and conventional therapies to the lower gastrointestinal (GI) tract. The Microbiome program is prioritizing efforts on optimizing our lead product candidates, ABI-M201 (Ulcerative Colitis) and ABI-M301 (Crohn’s disease), in preparation for studies to support potential INDs. Using our microbiome platform, we are exploring additional product candidates for other disease indications, including irritable bowel syndrome, non-alcoholic steatohepatitis (NASH), immuno-oncology and Clostridium difficile infections (CDI), which indications we may pursue either internally or in collaboration with partners.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6, 2017, we entered into the Research, Development, Collaboration and License Agreement (the Collaboration Agreement) with Allergan Pharmaceuticals International Limited (Allergan) to develop and commercialize select microbiome gastrointestinal programs. Pursuant to the terms of the Collaboration Agreement, in connection with the closing of the transaction on February 10, 2017, Allergan paid us an upfront payment of $50 million. Additionally, we are eligible to receive up to approximately $630 million in payments related to seven development milestones and up to approximately $2.15 billion in payments related to 12 commercial development and sales milestones in connection with the successful development and commercialization of licensed compounds for up to six different indications. We have agreed with Allergan to share development costs up to an aggregate of $75 million through proof-of-concept (POC) studies on a ⅔, ⅓ basis, respectively, and Allergan has agreed to assume all post-POC development costs. Additionally, we have an option to co-promote the licensed programs in the United States and China, subject to certain conditions set forth in the Collaboration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corporate and administrative offices in Carmel, Indiana and research facilities in Groton, Connecticut and San Francisco, California.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GAAP. The preparation of these financial statements requires us to make estimates and assumptions that affect the reported amounts of assets, liabilities, revenues, and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critical accounting policies and significant estimates are detailed in our 2017 Annual Report. Our critical accounting policies and significant estimates have not changed from those previously disclosed in our 2017 Annual Report, except for those accounting subjects mentioned in the section of the notes to the condensed consolidated financial statements titled Adoption of Recent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2018 and 2017, collaboration revenue was approximately $3.6 million and $0.7 million, respectively, which included the amortization of deferred revenue and reimbursement revenue in each case incurred under the Collaboration Agreement. This increase is the result of ramp-up in activities under the Collaboration Agreement and related reimbursements received from Allergan.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excluding stock-based compensation expense, was approximately $12.0 million for the three months ended March 31, 2018, an increase of approximately $2.4 million from approximately $9.6 million for the same period in 2017. The increase was primarily due to an increase of approximately $0.9 million in research expenses for our Microbiome program and an increase of approximately $1.6 million in research expenses for our HBV-cure program, which were offset by a decrease of $0.1 million in research expenses for outsourced chemistry.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$2.5 million for the three months ended March 31, 2018, an increase of approximately $1.5 million from approximately $1.0 million for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and accounting services, insurance and travel expenses, as well as the stock-based compensation expense associated with equity awards to our employees, consultants, and directors.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 excluding stock-based compensation expense, was approximately $4.1 million for the three months ended March 31, 2018, an increase of approximately $0.3 million from approximately $3.8 million for the same period in 2017. The increase was primarily due to an increase of approximately $1.1 million in salary and benefits expenses due to additional employees in Legal, IT, HR and Finance and $0.1 million of franchise tax expense, which were offset by a decrease of $0.6 million in legal expenses and $0.4 million in professional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$1.6 million for the three months ended March 31, 2018, an increase of approximately $1.3 million from approximately $0.3 million for the same period in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2018 principally through equity financing, raising an aggregate of approximately $257.4 million in net proceeds, and a strategic partnership raising an aggregate of $50 million in upfront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approximately $15.5 million for the three months ended March 31, 2018. It was primarily driven by a $16.2 million net loss and a decrease of $3.5 million of operating assets and liabilities, and offset by a $4.1 million non-cash expense recorded for the stock-based compensation and $0.2 million of depreciation and amortization expense.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approximately $35.0 million for the three months ended March 31, 2017 and funded our research and development program activities and general and administrative expenses. It was primarily driven by $49.3 million of deferred revenue related to the Collaboration Agreement and $1.2 million of non-cash stock-based compensation expense, which were offset by a $13.9 million net loss, an increase of $0.7 million of operating assets and a decrease of $1.2 million in operating liabilities, excluding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investing activities from continuing operations for the three months ended March 31, 2018 was $1.1 million due to the purchase of approximately $13.0 million of marketable securities and $40,000 of fixed assets, which were offset by a $12.0 million redemption of marketable securities.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from continuing operations for the three months ended March 31, 2017 was $6.7 million due to the redemption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three months ended March 31, 2018 was $1.5 million, resulting from the exercise of stock options to purchase 248,762 shares of common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three months ended March 31, 2017 was $0.6 million, resulting from the exercise of stock options to purchase 71,290 shares of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development and clinical trials of our product candidates.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our research and development programs or future commercialization efforts.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multiple times since our initial public offering by issuing equity securities, most recently in November 2017. We expect to continue to raise capital when and as needed and at the time and in the manner most advantageous to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our cash position as of March 31, 2018, 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81" w:lineRule="exact"/>
        <w:rPr>
          <w:sz w:val="20"/>
          <w:szCs w:val="20"/>
          <w:color w:val="auto"/>
        </w:rPr>
      </w:pPr>
    </w:p>
    <w:p>
      <w:pPr>
        <w:ind w:left="34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scope, progress, timing, results and costs of our ongoing discovery, nonclinical development, laboratory testing and clinical trials of our product candidates and any additional clinical trials we may conduct in the future;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medicines and technologies;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 in preclinical and clinical development;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trials and any eventual commercialization;</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the holders of our common stock. Debt financing, if available, may involve agreements that include covenants limiting or restricting our ability to take specific actions, such as incurring additional debt, making capital expenditures or declaring dividends.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2017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2017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Securities Exchange Act of 1934, as amended (the Exchange Act), which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Based upon that evaluation, our Chief Executive Officer and Chief Financial Officer concluded that our disclosure controls and procedures as of the end of the period covered by this report were effective at the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March 31, 2018 that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carefully consider the following risk factors, together with all other information in this report, including our financial statements and notes thereto, and in our other filings with the SEC.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HBV-cure and Microbiome programs.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HBV-cure and Microbiome programs, we will be unable to generate revenues or build a sustainable or profitable business.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or Phase 1a/1b clinical data. We cannot predict when or if any one of our product candidates will prove safe and effective in humans or will receive regulatory approval. 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or other countries before we receive regulatory approval from the FDA or comparable foreign regulatory authorities, and we may never receive such regulatory approval for our current product candidates. We have not submitted a biologics license application (BLA) or new drug application (NDA) to the FDA or comparable applications to other regulatory authorities and do not expect to be in a position to do so in the foreseeable future.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5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demonstrating through clinical trials that the product candidate is safe and effective in patients for the intended indication;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and at acceptable prices.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or build a sustainable or profitable business.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Nonclinical studies may not be representative of disease behavior in clinical trials. The outcomes of nonclinical testing and clinical trials are uncertain, and results of earlier nonclinical studies and clinical trials may not be predictive of future clinical trial results.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nonclinical studies may not be representative of disease behavior in a clinical setting and thus may not be predictive of the outcomes of our clinical trials. In addition, the results of nonclinical studies and early clinical trials of product candidates may not be predictive of the results of later-stage clinical trials, and the results of any study or trial for any of our product candidates may not be as positive as the results for any prior studies or trials, if at all.</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Nonclinical studies and clinical testing are expensive, can take many years to complete and their outcomes are highly uncertain. Failure can occur at any time during the nonclinical study and clinical trial processes due to inadequate performance of a drug candidate or inadequate adherence by patients or investigators to clinical trial protocols. Further, clinical trials might not provide statistically significant data supporting a product candidate’s safety and effectiveness to obtain the requisite regulatory approvals. In addition, there is a high failure rate for drugs and biologics proceeding through clinical trials. Our failure to replicate earlier positive results in later-stage clinical trials or otherwise demonstrate the required characteristics to support marketing approval for any of our product candidates would substantially harm our business, prospects,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interim data may not accurately reflect the complete results of a particular study or trial.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interim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evaluate fully and carefully all data. As a result, the top-line or interim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interim or preliminary data we previously published. As a result, top-line and interim data should be viewed with caution until the final data are available.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interim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result in delays or may fail to demonstrate safety and efficacy for desired indications.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obtain FDA approval to market a new drug product, we must demonstrate safety and effectiveness in humans. To meet these requirements, we must conduct extensive nonclinical testing and sufficient adequate and well-controlled clinical trials. Conducting clinical trials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trials might cause us to incur additional operating expenses. The commencement and rate of completion of clinical trials might be delayed by many factors, including, for example:</w:t>
      </w:r>
    </w:p>
    <w:p>
      <w:pPr>
        <w:spacing w:after="0" w:line="19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efficiency during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recruit a sufficient number of patients;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modification of clinical trial protocols;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suspension, or termination of clinical trials by the institutional review board or ethics committee responsible for overseeing the study at a particular study site; and</w:t>
      </w: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government, institutional review board, ethics committee, or other regulatory delays or clinical holds requiring suspension or termination of the trials.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trials.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trials and may fail to obtain regulatory approval for any of our product candidates.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studies and clinical trials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trials would delay the filing of our NDAs or BLAs with the FDA and, ultimately, our ability to commercialize our product candidates and generate product revenues. Any change in, or termination of, our clinical trials could materially harm our business, financial condition, and results of operation.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trials or in the future, could cause us or regulatory authorities to interrupt, restrict, delay, or halt clinical trials.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 In the Phase 1a portion of the trial recently completed in New Zealand and the Phase 1b interim data recently reported, the most common treatment-emergent adverse events that we observed were headaches and rashes, which were among the only adverse events deemed by clinical investigators to be probably or possibly related to the study drug, with the exception of a single isolated Grade 3 rash that resolved rapidly without intervention other than treatment discontinuation, which is the only study discontinuation to 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them off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Strategies (REMS) plan to ensure that the benefits of the product outweigh its risks;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operating losses and expect to incur significant additional operating losses.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were established in October 2005, began active operations in the spring of 2007, terminated programs related to three prior product candidates, then merged with Assembly Pharmaceuticals, Inc. (Assembly Pharmaceuticals), a private company, in July 2014. We have only a limited operating history since the merger.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and Assembly Pharmaceuticals prior to our merger, have generated losses since we began operations and as of March 31, 2018 and December 31, 2017, the combined company had an accumulated deficit of approximately $267.3 million and $251.0 million, respectively, and net losses of approximately $42.8 million, $44.3 million and $28.5 million for the years ended December 31, 2017, 2016 and 2015, respectively. These net losses have had, and will continue to have, an adverse effect on our stockholders’ equity and working capital. We expect to incur substantial additional losses over the next several years as we continue to pursue our research, development, nonclinical studies and clinical trial activities. Further, since our initial public offering, we have incurred and will continue to incur as a public company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The amount of future losses and when, if ever, we will achieve profitability are uncertain and will depend, in part, on the rate of increase in our expenses, our ability to generate revenues and our ability to raise additional capital. We have no products that have generated any commercial revenue, do not expect to generate revenues from the commercial sale of products unless and until our HBV or microbiome therapies or any other product candidate is approved by the FDA for sale, and we might never generate revenues from the sale of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or microbiome programs. We might never achieve or maintain profitability. We anticipate that our expenses will continue to be substantial in the foreseeable future as we:</w:t>
      </w:r>
    </w:p>
    <w:p>
      <w:pPr>
        <w:spacing w:after="0" w:line="147"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ABI-H0731, our first HBV-cure candidate, through clinical development and conduct nonclinical studies and clinical trials of ABI-H2158, our second HBV-cure product candidate;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ABI-M201 and ABI-M301, the lead candidates from our Microbiome program, toward potential INDs;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to undertake research and development to identify potential additional product candidates in both our HBV-cure and Microbiome programs;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or the development of any of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and achieve profitability will depend on, among other things:</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trials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4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failure to commercialize successfully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product candidates is subject to risks and delays.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development of our product candidates is subject to the risks of failure and delay inherent in the development of new pharmaceutical products and products based on new technologies, including:</w:t>
      </w:r>
    </w:p>
    <w:p>
      <w:pPr>
        <w:spacing w:after="0" w:line="17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product development, nonclinical and clinical testing;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unplanned expenditures in product development, nonclinical and clinical testing;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 product candidate to demonstrate acceptable safety and efficacy;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receive regulatory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emergence of superior or equivalent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manufacture and sell on our own, or through any others, product candidates on a commercial scale or at a financially viable cost;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achieve market acceptance.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risks, our research and development efforts might not result in any commercially viable products. If we do not successfully complete a significant portion of these development efforts, obtain required regulatory approvals, and have commercial success with any approved products, our business, financial condition and results of operations will be materially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develop successfully products for commercial use.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requires significant amounts of capital and takes a long time to reach commercial viability, if it can be achieved at all. To date, our research and development projects have not produced commercially viable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HBV therapy research and development efforts involve therapeutics based on modulating forms of HBV core proteins with Core protein Allosteric Modifiers (CpAMS). The development of our CpAM technology is in early stages, and the commercial feasibility and acceptance of our CpAMs technology is unknown. More specifically, the theory that treatment with CpAMs may result in the loss of covalently closed circular DNA (cccDNA) compared to conventional (standard of care) therapies is unproven. It is also unknown if the biomarkers assumed to be indicators of active cccDNA (serum viral antigen levels in HBV patients) will be meaningfully altered in patients on treatment with CpAMS. Additionally, even if CpAM technology is successful at targeting the HBV core protein and treatment is successful at reducing cccDNA levels in HBV patients, it may not result in a commercially viable drug if there is not a corresponding medical benefit related to the underlying HBV infection.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The technology for our microbiome therapy is in nonclinical development and our GEMICEL® dual-targeted release capsule formulation is novel and has not yet shown to deliver successfully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develop successfully commercial products, we will be unable to generate revenue or build a sustainable or profitable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anticipate that we will incur operating losses for the next several years as we continue to develop our HBV product candidates and our microbiome platform as well as initiate any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If that happens, we may need additional financing to continue the development of our HBV product candidates and our Microbiome program. There is no assurance that we will be able to generate sufficient revenue from our Collaboration Agreement with Allergan when needed to or that we will be successful in raising any necessary additional capital on terms that are acceptable to us, or at all. If such event or other unforeseen circumstances occurred and we were unable to generate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face significant development and regulatory hurdles prior to marketing, which could delay or prevent our receipt of licensing, sales and/or milestone revenue.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Before we or any commercial partners obtain the approvals necessary to sell any of our product candidates, we must show through nonclinical studies and human testing in clinical trials that each potential product is safe and effective. The rates at which we complete our scientific studies and clinical trials depend on many factors, including, but not limited to, our ability to obtain adequate supplies of the products to be tested and patient enrollment. Patient enrollment is a function of many factors, including the size of the patient population, the proximity of patients to clinical sites, the eligibility criteria for the trial, the design of the clinical trial, and other potential drug candidates being studied. Delays in patient enrollment for our trials may result in increased costs and longer development times. In addition, we will need additional financing to develop our product candidates, which we might seek and receive from third-party commercial partners. Further, 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our Collaboration Agreement with Allergan, which may be terminated or may not be successful due to a number of factors, which could have a material adverse effect on our business and operating results.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6, 2017, we entered into the Collaboration Agreement with Allergan for the development and commercialization of select microbiome gastrointestinal programs in ulcerative colitis, Crohn’s disease and irritable bowel syndromes. Our collaboration with Allergan may be terminated, or may not be successful, due to a number of factors. In particular, Allergan may terminate the Collaboration Agreement for convenience at any time upon either 90 days’ (prior to the initiation of the first proof of concept (POC) trial of a licensed product) or 120 days’ (after the initiation of the first POC trial of a licensed product), as applicable,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Any of the foregoing could result in a material adverse effect on our business, results of operations and prospects and would likely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license relationship for each of our HBV-cure program and our Microbiome program.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license agreement with Indiana University Research and Technology Corporation (IURTC) from whom we have licensed ABI-H0731 and certain other HBV therapies, requires us to make milestone payments based upon the successful accomplishment of clinical and regulatory milestones related to ABI-H0731 and certain other HBV therapies. The aggregate amount of all performance milestone payments under the IURTC License Agreement, should all performance milestones through development be met, is $825,000. As of March 31, 2018, no performance milestone payments have been made. We also are obligated to pay IURTC royalty payments based on net sales of the licensed technology. We are also obligated to pay diligence maintenance fees ($25,000-$100,000) each year to the extent that the royalty, sublicensing, and milestone payments to IURTC are less than the diligence maintenance fee for that year. Our license with Therabiome, LLC (Therabiome), from whom we have licensed our delivery platform of our Microbiome program, also requires us to pay regulatory and clinical milestones as well as royalty payments to Therabiome. If we breach any of these obligations, we could lose our rights to the targeted delivery mechanism of our Microbiome program. If we fail to comply with similar obligations to any other licensor, then that licensor would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data provided by our collaborators and others that has not been independently verified and could prove to be false, misleading, or incomplete.</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third-party vendors, scientists, and collaborators to provide us with significant data and other information related to our projects, nonclinical studies and clinical trials, and our business. If these third parties provide inaccurate, misleading, or incomplete data, our business, prospects, and results of operations could be materially adversely affected.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trials, and those third parties may not perform satisfactorily, including failing to meet deadlines for the completion of such research, testing or trials.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will be reliant on the services of third parties to conduct studies on our behalf. If we are unable to retain or continue with third parties for these purposes on acceptable terms, we may be unable to develop successfully our product candidates. In addition, any failures by third parties to perform adequately their responsibilities may delay the submission of our product candidates for regulatory approval, which would impair our financial condition and business prospects.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trials, good clinical practices, and our reliance on third parties does not relieve us of our regulatory responsibilities. Furthermore, these third parties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trials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could be delayed.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and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do not have our own manufacturing facilities and rely on third-party manufacturers to supply the quantities of ABI-H0731 used in our clinical trials, the quantities of ABI-H2158 used in our nonclinical studies and drug substance and drug product for our Microbiome program. In the past, we have relied exclusively on third-party manufacturers to supply drug substance and drug product materials for our Microbiome program. We are currently transitioning some of the third-party manufacturing to a small scale internal manufacturing facility to supply quantities of our microbiome drug substance and drug product for use in our planned nonclinical studies and early phase clinical trials.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trials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cGMPs and applicable non-U.S. regulatory requirements. The cGMP requirements govern quality control and documentation policies and procedures. Complying with cGMP and non-U.S. regulatory requirements will require that we expend time, money, and effort in production, recordkeeping, and quality control to assure that the product meets applicable specifications and other requirements. Any manufacturing facility must also pass a pre-approval inspection prior to FDA approval. Failure to pass a pre-approval inspection might significantly delay FDA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establish our own manufacturing capabilities, we will need to identify manufacturers for commercial supply on acceptable terms, which we may not be able to do because the number of potential manufacturers is limited, and the FDA must approve any new or replacement contractor. This approval would generally require compliance inspections. In addition, a new manufacturer would have to be educated in, or develop substantially equivalent processes for, production of our products after receipt of FDA approval, if any.</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trials or to produce, store and distribute successfully our products.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70"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46" w:lineRule="exact"/>
        <w:rPr>
          <w:rFonts w:ascii="Arial" w:cs="Arial" w:eastAsia="Arial" w:hAnsi="Arial"/>
          <w:sz w:val="16"/>
          <w:szCs w:val="16"/>
          <w:color w:val="auto"/>
        </w:rPr>
      </w:pPr>
    </w:p>
    <w:p>
      <w:pPr>
        <w:jc w:val="both"/>
        <w:ind w:left="340" w:right="2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these risks could delay our development efforts, nonclinical studies and clinical trials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collaborators cannot compete successfully for market share against other companies, we might not achieve sufficient product revenues and our business will suffer.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product candidates receive approval from the FDA or applicable non-U.S. regulatory authorities, they will compete with a number of existing and future drugs and biologics developed, manufactured and marketed by others. Existing or future competing drugs might provide greater therapeutic convenience or clinical or other benefits for a specific indication than our product candidates or might offer comparable performance at a lower cost. If our product candidates fail to capture and maintain market share, we might not achieve sufficient product revenues and our business will suffer.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We might compete against fully integrated pharmaceutical or biotechnology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8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undertaking nonclinical testing and human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have or be able to obtain the same resources and experience as our competitors. If we are unable to perform these tasks effectively and efficiently, our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pharmaceutical and biotechnology industries are intensely competitive. In addition, the clinical and commercial landscape for HBV, ulcerative colitis (UC), inflammatory bowel disease (IBD), including Crohn’s disease, irritable bowel syndrome (IBS), nonalcoholic steatohepatitis disease (NASH), immuno-oncology and C. difficile infections (CDI)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NASH, immuno-oncology and CDI or any other indication or field we might pursue, and successfully commercialize those treatments, our business and prospects might be materially harmed, due to intense competition in these markets.</w:t>
      </w:r>
    </w:p>
    <w:p>
      <w:pPr>
        <w:spacing w:after="0" w:line="16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product candidates under development in our Microbiome program will be subject to regulation as biologics. These candidates, and any other future product candidates for which we or our collaborators intend to seek approval as biologic products, may face competition sooner than anticipated.</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Patient Protection and Affordable Care Act (ACA)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93" w:lineRule="auto"/>
        <w:rPr>
          <w:sz w:val="20"/>
          <w:szCs w:val="20"/>
          <w:color w:val="auto"/>
        </w:rPr>
      </w:pPr>
      <w:r>
        <w:rPr>
          <w:rFonts w:ascii="Arial" w:cs="Arial" w:eastAsia="Arial" w:hAnsi="Arial"/>
          <w:sz w:val="16"/>
          <w:szCs w:val="16"/>
          <w:color w:val="auto"/>
        </w:rPr>
        <w:t>We believe that if product candidates from our Microbiome program are approved as biological products under a BLA, they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not able to develop collaborative marketing relationships with licensees or partners, or create effective internal sales, marketing, and distribution capability, we might be unable to market our products successfully.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market our product candidates, if approved,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 candidates.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payors and others in the medical community.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payors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18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actual or perceived safety and efficacy of the products, and advantages over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pricing and cost-effectiveness of our products relative to competing products or therapies, including generic drugs or biosimilars, if available;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or governmental reimbursement.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Even if a potential product displays a favorable efficacy and safety profile in nonclinical studies and clinical trials, market acceptance of the product will not be known until after it is launched. Any failure to achieve market acceptance for our product candidates will harm our business, results and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might materially suffer.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and our ability to replace our management team members in the event any leave us for any reason.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failure by us to retain, attract and motivate executives and other key employees could have a material adverse impact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might be harmed.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2018, we had 85 employees and contracts with a number of temporary contractors, consultants and contract research organizations.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8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assimilating the purchased technologies, products or business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develop successfully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Regulatory and Legal Environment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trials,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product recall; product seizure; interruption of manufacturing or clinical trials;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and clinical trials of each product candidate, is lengthy, expensive, and uncertain. We or our collaborators must obtain and maintain regulatory authorization to conduct clinical trials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7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Once a product candidate is approved, numerous post-approval requirements apply. Among other things, we and our collaborators will be subject to requirements regarding testing, manufacturing, quality control, clinical trials,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trials. The FDA also has the authority to require changes in the labeling of approved drug products and to require post-marketing studies. The FDA can also impose distribution and use restrictions under a REMS.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91"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or refusal to allow us to enter into supply contracts, including government contracts. In addition, even if we comply with FDA and other requirements, new information regarding the safety or effectiveness of a product could lead the FDA to modify or withdraw product approval.</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current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an Executive Order was issued directing all executive agencies, including the FDA, that, for each notice of proposed rulemaking or final regulation to be issued in fiscal years 2018 and beyond, the agencies must identify regulations to offset any incremental cost of a new regulation.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89"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commercialize successfully any product candidate for which we obtain marketing approval.</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Patient Protection and Affordable Care Act and its amendment, the Health Care and Education Reconciliation Act (the ACA).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In 2012, the U.S. Supreme Court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as a result of tax reform legislation passed in late December 2017, the individual mandate has been eliminated. The long ranging effects of the elimination of the individual mandate on the viability of the ACA are unknown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The full impact of the ACA, any law repealing and/or replacing elements of it, and the political uncertainty surrounding any repeal or replacement legislation on our business remains unclear.</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starting in 2013.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and to achieve and maintain profitability.</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which could expose us or them to criminal sanctions, civil penalties, contractual damages, reputational harm and diminished profits and future earnings.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w:t>
      </w:r>
    </w:p>
    <w:p>
      <w:pPr>
        <w:spacing w:after="0" w:line="186"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4"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9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 and the Public Health Service Act (PHSA), which prohibits, among other things, the introduction into interstate commerce of a biological product unless a biologics license is in effect for that product;</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and the listing standards of NASDAQ, the exchange on which our common stock is listed.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trial participants, consumers, health care providers, pharmaceutical companies or others selling our products. Our inability to obtain sufficient product liability/clinical trial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anti-bribery laws, the China anti-bribery laws and other anti-bribery laws;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trials, creating fraudulent data in our nonclinical studies or clinical trials or illegal misappropriation of product materials, which could result in regulatory sanctions, delays in clinical trials,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engage third parties for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establishing international operations and conducting clinical trials outside of the United States, including in China, and a number of risks associated with international operations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23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different reimbursement systems and different competitive drugs indicated to treat the indication for which our product candidates are being developed;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although our licensors have filed patent applications, we do not own or have any rights to any issued patents that cover any of our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7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23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8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customers and other parties, and the breach of these agreements could adversely affect our business and prospects.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maintain effectively our intellectual property position throughout the major markets of the world.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enforce effectively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24"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file patent applications covering certain of our inventions.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trials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Capital Market.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Capital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Capital Market. A delisting of our common stock from The NASDAQ Capital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merger with Assembly Pharmaceuticals on July 11, 2014 through March 31, 2018, the closing price of our common stock has fluctuated between $4.54 and $64.16.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8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progress, results and timing of our clinical trials and nonclinical studies and other studies involving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or the announcement of any changes to our credit rating;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2018, our executive officers and directors owned approximately 7.9% of our outstanding voting common stock, and this group together with other stockholders holding beneficially 5% of more of our outstanding voting common stock, owned approximately 60.2% of our outstanding voting common stock. Therefore, these stockholders, if acting together, have the ability to influence us through their ownership position. These stockholders may be able to determine the outcome of certain significant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2017, we had potentially utilizable gross Federal net operating loss carryforwards of approximately $153.2 million, State net operating loss carry-forwards of approximately $165.0 million and research and development credit carry forward of approximately $5.6 million, all of which expire between 2027 and 2037.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 on a rolling basis). We may have experienced such ownership changes in the past, and we may experience ownership changes in the future, some of which are outside our control. These ownership changes may subject our existing net operating losses or credits to substantial limitations under Sections 382 and 383.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U.S. federal net operating losses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the Tax Cuts and Jobs Act (the Tax Act), the amount of post 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 2017 unused NOLs to be carried forward indefinitely. There is a risk that due to changes under the Tax Act, regulatory changes or other unforeseen reasons, our existing NOLs could expire or otherwise be unavailable to offset future income tax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public company, we face increased legal, accounting, administrative and other costs and expenses not faced by private companies. We are subject to the reporting requirements of the Exchange Act, which requires that we file annual, quarterly and current reports with respect to our business and financial condition, and the rules and regulations implemented by the SEC, the Sarbanes-Oxley Act, and The NASDAQ Capital Market, each of which imposes additional reporting and other obligations on public companies. These rules and regulations increase our legal and financial compliance costs and make some activities more time-consuming and costly, although we are currently unable to estimate these costs with any degree of certainty. Complying with these requirements might divert management’s attention from other business concerns, which could have a material adverse effect on our prospects, business,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Additionally, the expenses incurred by public companies generally for reporting and corporate governance purposes have been increasing. These increased costs will require us to divert a significant amount of money that we could otherwise use to develop our product candidates or otherwise expand our business. If we are unable to satisfy our obligations as a public company, we could be subject to delisting of our common stock, fines, sanctions and other regulatory action and potentially civil litigation.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47"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would likely decline rapidly. If one or more analysts cease coverage of our company, we could lose visibility in the market, which in turn could cause our stock price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Incorporated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280" w:type="dxa"/>
            <w:vAlign w:val="bottom"/>
            <w:gridSpan w:val="4"/>
          </w:tcPr>
          <w:p>
            <w:pPr>
              <w:ind w:left="300"/>
              <w:spacing w:after="0"/>
              <w:rPr>
                <w:sz w:val="20"/>
                <w:szCs w:val="20"/>
                <w:color w:val="auto"/>
              </w:rPr>
            </w:pPr>
            <w:r>
              <w:rPr>
                <w:rFonts w:ascii="Arial" w:cs="Arial" w:eastAsia="Arial" w:hAnsi="Arial"/>
                <w:sz w:val="18"/>
                <w:szCs w:val="18"/>
                <w:b w:val="1"/>
                <w:bCs w:val="1"/>
                <w:color w:val="auto"/>
              </w:rPr>
              <w:t>Exhibit</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5"/>
              </w:rPr>
              <w:t>Filed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by Reference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1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600" w:type="dxa"/>
            <w:vAlign w:val="bottom"/>
            <w:tcBorders>
              <w:bottom w:val="single" w:sz="8" w:color="auto"/>
            </w:tcBorders>
            <w:gridSpan w:val="7"/>
          </w:tcPr>
          <w:p>
            <w:pPr>
              <w:ind w:left="1840"/>
              <w:spacing w:after="0"/>
              <w:rPr>
                <w:sz w:val="20"/>
                <w:szCs w:val="20"/>
                <w:color w:val="auto"/>
              </w:rPr>
            </w:pPr>
            <w:r>
              <w:rPr>
                <w:rFonts w:ascii="Arial" w:cs="Arial" w:eastAsia="Arial" w:hAnsi="Arial"/>
                <w:sz w:val="18"/>
                <w:szCs w:val="18"/>
                <w:b w:val="1"/>
                <w:bCs w:val="1"/>
                <w:color w:val="auto"/>
              </w:rPr>
              <w:t>Description of Document</w:t>
            </w: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from</w:t>
            </w:r>
          </w:p>
        </w:tc>
        <w:tc>
          <w:tcPr>
            <w:tcW w:w="100" w:type="dxa"/>
            <w:vAlign w:val="bottom"/>
          </w:tcPr>
          <w:p>
            <w:pPr>
              <w:spacing w:after="0"/>
              <w:rPr>
                <w:sz w:val="20"/>
                <w:szCs w:val="20"/>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r>
      <w:tr>
        <w:trPr>
          <w:trHeight w:val="385"/>
        </w:trPr>
        <w:tc>
          <w:tcPr>
            <w:tcW w:w="420" w:type="dxa"/>
            <w:vAlign w:val="bottom"/>
            <w:gridSpan w:val="2"/>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Employment Agreement, dated March 8, 2018, by and between Assembly</w:t>
              </w:r>
            </w:hyperlink>
          </w:p>
        </w:tc>
        <w:tc>
          <w:tcPr>
            <w:tcW w:w="3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gridSpan w:val="3"/>
          </w:tcPr>
          <w:p>
            <w:pPr>
              <w:jc w:val="center"/>
              <w:ind w:right="500"/>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X</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Biosciences, Inc. and Graham Cooper.</w:t>
              </w:r>
            </w:hyperlink>
          </w:p>
        </w:tc>
        <w:tc>
          <w:tcPr>
            <w:tcW w:w="3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Certification of Chief Executive Officer Pursuant to Section 302 of the</w:t>
              </w:r>
            </w:hyperlink>
          </w:p>
        </w:tc>
        <w:tc>
          <w:tcPr>
            <w:tcW w:w="400" w:type="dxa"/>
            <w:vAlign w:val="bottom"/>
          </w:tcPr>
          <w:p>
            <w:pPr>
              <w:spacing w:after="0"/>
              <w:rPr>
                <w:sz w:val="24"/>
                <w:szCs w:val="24"/>
                <w:color w:val="auto"/>
              </w:rPr>
            </w:pPr>
          </w:p>
        </w:tc>
        <w:tc>
          <w:tcPr>
            <w:tcW w:w="620" w:type="dxa"/>
            <w:vAlign w:val="bottom"/>
            <w:gridSpan w:val="3"/>
          </w:tcPr>
          <w:p>
            <w:pPr>
              <w:jc w:val="center"/>
              <w:ind w:right="500"/>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X</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Sarbanes-Oxley Act of 2002.</w:t>
              </w:r>
            </w:hyperlink>
          </w:p>
        </w:tc>
        <w:tc>
          <w:tcPr>
            <w:tcW w:w="2980" w:type="dxa"/>
            <w:vAlign w:val="bottom"/>
            <w:tcBorders>
              <w:top w:val="single" w:sz="8" w:color="0000EE"/>
            </w:tcBorders>
            <w:gridSpan w:val="3"/>
          </w:tcPr>
          <w:p>
            <w:pPr>
              <w:spacing w:after="0"/>
              <w:rPr>
                <w:sz w:val="17"/>
                <w:szCs w:val="17"/>
                <w:color w:val="auto"/>
              </w:rPr>
            </w:pPr>
          </w:p>
        </w:tc>
        <w:tc>
          <w:tcPr>
            <w:tcW w:w="6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Certification of Chief Financial Officer Pursuant to Section 302 of the</w:t>
              </w:r>
            </w:hyperlink>
          </w:p>
        </w:tc>
        <w:tc>
          <w:tcPr>
            <w:tcW w:w="400" w:type="dxa"/>
            <w:vAlign w:val="bottom"/>
          </w:tcPr>
          <w:p>
            <w:pPr>
              <w:spacing w:after="0"/>
              <w:rPr>
                <w:sz w:val="24"/>
                <w:szCs w:val="24"/>
                <w:color w:val="auto"/>
              </w:rPr>
            </w:pPr>
          </w:p>
        </w:tc>
        <w:tc>
          <w:tcPr>
            <w:tcW w:w="620" w:type="dxa"/>
            <w:vAlign w:val="bottom"/>
            <w:gridSpan w:val="3"/>
          </w:tcPr>
          <w:p>
            <w:pPr>
              <w:jc w:val="center"/>
              <w:ind w:right="500"/>
              <w:spacing w:after="0"/>
              <w:rPr>
                <w:rFonts w:ascii="Arial" w:cs="Arial" w:eastAsia="Arial" w:hAnsi="Arial"/>
                <w:sz w:val="18"/>
                <w:szCs w:val="18"/>
                <w:color w:val="0000EE"/>
                <w:w w:val="99"/>
              </w:rPr>
            </w:pPr>
            <w:hyperlink w:anchor="page76">
              <w:r>
                <w:rPr>
                  <w:rFonts w:ascii="Arial" w:cs="Arial" w:eastAsia="Arial" w:hAnsi="Arial"/>
                  <w:sz w:val="18"/>
                  <w:szCs w:val="18"/>
                  <w:color w:val="0000EE"/>
                  <w:w w:val="99"/>
                </w:rPr>
                <w:t>X</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Sarbanes-Oxley Act of 2002.</w:t>
              </w:r>
            </w:hyperlink>
          </w:p>
        </w:tc>
        <w:tc>
          <w:tcPr>
            <w:tcW w:w="2920" w:type="dxa"/>
            <w:vAlign w:val="bottom"/>
            <w:tcBorders>
              <w:top w:val="single" w:sz="8" w:color="0000EE"/>
            </w:tcBorders>
            <w:gridSpan w:val="2"/>
          </w:tcPr>
          <w:p>
            <w:pPr>
              <w:spacing w:after="0"/>
              <w:rPr>
                <w:sz w:val="17"/>
                <w:szCs w:val="17"/>
                <w:color w:val="auto"/>
              </w:rPr>
            </w:pPr>
          </w:p>
        </w:tc>
        <w:tc>
          <w:tcPr>
            <w:tcW w:w="6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5"/>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Certification of Chief Executive Officer Pursuant to Section 906 of the</w:t>
              </w:r>
            </w:hyperlink>
          </w:p>
        </w:tc>
        <w:tc>
          <w:tcPr>
            <w:tcW w:w="62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gridSpan w:val="3"/>
          </w:tcPr>
          <w:p>
            <w:pPr>
              <w:jc w:val="center"/>
              <w:ind w:right="500"/>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X</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Sarbanes-Oxley Act of 2002.</w:t>
              </w:r>
            </w:hyperlink>
          </w:p>
        </w:tc>
        <w:tc>
          <w:tcPr>
            <w:tcW w:w="2980" w:type="dxa"/>
            <w:vAlign w:val="bottom"/>
            <w:tcBorders>
              <w:top w:val="single" w:sz="8" w:color="0000EE"/>
            </w:tcBorders>
            <w:gridSpan w:val="3"/>
          </w:tcPr>
          <w:p>
            <w:pPr>
              <w:spacing w:after="0"/>
              <w:rPr>
                <w:sz w:val="17"/>
                <w:szCs w:val="17"/>
                <w:color w:val="auto"/>
              </w:rPr>
            </w:pPr>
          </w:p>
        </w:tc>
        <w:tc>
          <w:tcPr>
            <w:tcW w:w="6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Certification of Chief Financial Officer Pursuant to Section 906 of the</w:t>
              </w:r>
            </w:hyperlink>
          </w:p>
        </w:tc>
        <w:tc>
          <w:tcPr>
            <w:tcW w:w="400" w:type="dxa"/>
            <w:vAlign w:val="bottom"/>
          </w:tcPr>
          <w:p>
            <w:pPr>
              <w:spacing w:after="0"/>
              <w:rPr>
                <w:sz w:val="24"/>
                <w:szCs w:val="24"/>
                <w:color w:val="auto"/>
              </w:rPr>
            </w:pPr>
          </w:p>
        </w:tc>
        <w:tc>
          <w:tcPr>
            <w:tcW w:w="620" w:type="dxa"/>
            <w:vAlign w:val="bottom"/>
            <w:gridSpan w:val="3"/>
          </w:tcPr>
          <w:p>
            <w:pPr>
              <w:jc w:val="center"/>
              <w:ind w:right="500"/>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X</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Sarbanes-Oxley Act of 2002.</w:t>
              </w:r>
            </w:hyperlink>
          </w:p>
        </w:tc>
        <w:tc>
          <w:tcPr>
            <w:tcW w:w="2940" w:type="dxa"/>
            <w:vAlign w:val="bottom"/>
            <w:tcBorders>
              <w:top w:val="single" w:sz="8" w:color="0000EE"/>
            </w:tcBorders>
            <w:gridSpan w:val="3"/>
          </w:tcPr>
          <w:p>
            <w:pPr>
              <w:spacing w:after="0"/>
              <w:rPr>
                <w:sz w:val="17"/>
                <w:szCs w:val="17"/>
                <w:color w:val="auto"/>
              </w:rPr>
            </w:pPr>
          </w:p>
        </w:tc>
        <w:tc>
          <w:tcPr>
            <w:tcW w:w="6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8"/>
          </w:tcPr>
          <w:p>
            <w:pPr>
              <w:spacing w:after="0"/>
              <w:rPr>
                <w:sz w:val="20"/>
                <w:szCs w:val="20"/>
                <w:color w:val="auto"/>
              </w:rPr>
            </w:pPr>
            <w:r>
              <w:rPr>
                <w:rFonts w:ascii="Arial" w:cs="Arial" w:eastAsia="Arial" w:hAnsi="Arial"/>
                <w:sz w:val="18"/>
                <w:szCs w:val="18"/>
                <w:color w:val="auto"/>
              </w:rPr>
              <w:t>Financials in XBRL format.</w:t>
            </w:r>
          </w:p>
        </w:tc>
        <w:tc>
          <w:tcPr>
            <w:tcW w:w="400" w:type="dxa"/>
            <w:vAlign w:val="bottom"/>
          </w:tcPr>
          <w:p>
            <w:pPr>
              <w:spacing w:after="0"/>
              <w:rPr>
                <w:sz w:val="24"/>
                <w:szCs w:val="24"/>
                <w:color w:val="auto"/>
              </w:rPr>
            </w:pPr>
          </w:p>
        </w:tc>
        <w:tc>
          <w:tcPr>
            <w:tcW w:w="62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2"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jc w:val="both"/>
        <w:ind w:left="360" w:hanging="352"/>
        <w:spacing w:after="0" w:line="254"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 and are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7, 2018</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7, 2018</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Cooper</w:t>
            </w:r>
          </w:p>
        </w:tc>
      </w:tr>
      <w:tr>
        <w:trPr>
          <w:trHeight w:val="211"/>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Graham Cooper</w:t>
            </w:r>
          </w:p>
        </w:tc>
      </w:tr>
    </w:tbl>
    <w:p>
      <w:pPr>
        <w:ind w:left="6280"/>
        <w:spacing w:after="0"/>
        <w:rPr>
          <w:sz w:val="20"/>
          <w:szCs w:val="20"/>
          <w:color w:val="auto"/>
        </w:rPr>
      </w:pPr>
      <w:r>
        <w:rPr>
          <w:rFonts w:ascii="Arial" w:cs="Arial" w:eastAsia="Arial" w:hAnsi="Arial"/>
          <w:sz w:val="18"/>
          <w:szCs w:val="18"/>
          <w:color w:val="auto"/>
        </w:rPr>
        <w:t>Chief Financial Officer and Chief Operating Officer</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March 8,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Assembly Biosciences, Inc., a Delaware corporation with principal executive offices at 11711 N. Meridian Street, Suite 310, Carmel, IN 46032 (the “</w:t>
      </w:r>
      <w:r>
        <w:rPr>
          <w:rFonts w:ascii="Arial" w:cs="Arial" w:eastAsia="Arial" w:hAnsi="Arial"/>
          <w:sz w:val="18"/>
          <w:szCs w:val="18"/>
          <w:b w:val="1"/>
          <w:bCs w:val="1"/>
          <w:color w:val="auto"/>
        </w:rPr>
        <w:t>Company</w:t>
      </w:r>
      <w:r>
        <w:rPr>
          <w:rFonts w:ascii="Arial" w:cs="Arial" w:eastAsia="Arial" w:hAnsi="Arial"/>
          <w:sz w:val="18"/>
          <w:szCs w:val="18"/>
          <w:color w:val="auto"/>
        </w:rPr>
        <w:t>”), and Graham Cooper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desires to employ the Executive as Chief Operating Officer and Chief Financial Officer as of the Effective Date, and the Executive desires to accept employment by the Company as of the Effective Date;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desire to enter into this Agreement, setting forth the terms and conditions of the Executive’s employment with the Company;</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NOW, THEREFORE, in consideration of the mutual covenants and agreements herein contained, the parties hereto hereby agree as follows:</w:t>
      </w:r>
    </w:p>
    <w:p>
      <w:pPr>
        <w:spacing w:after="0" w:line="225" w:lineRule="exact"/>
        <w:rPr>
          <w:sz w:val="20"/>
          <w:szCs w:val="20"/>
          <w:color w:val="auto"/>
        </w:rPr>
      </w:pPr>
    </w:p>
    <w:p>
      <w:pPr>
        <w:ind w:left="1380" w:hanging="724"/>
        <w:spacing w:after="0"/>
        <w:tabs>
          <w:tab w:leader="none" w:pos="1380" w:val="left"/>
        </w:tabs>
        <w:numPr>
          <w:ilvl w:val="0"/>
          <w:numId w:val="34"/>
        </w:numPr>
        <w:rPr>
          <w:rFonts w:ascii="Arial" w:cs="Arial" w:eastAsia="Arial" w:hAnsi="Arial"/>
          <w:sz w:val="18"/>
          <w:szCs w:val="18"/>
          <w:color w:val="010000"/>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1305"/>
        <w:spacing w:after="0" w:line="271" w:lineRule="auto"/>
        <w:tabs>
          <w:tab w:leader="none" w:pos="2068" w:val="left"/>
        </w:tabs>
        <w:numPr>
          <w:ilvl w:val="1"/>
          <w:numId w:val="34"/>
        </w:numPr>
        <w:rPr>
          <w:rFonts w:ascii="Arial" w:cs="Arial" w:eastAsia="Arial" w:hAnsi="Arial"/>
          <w:sz w:val="17"/>
          <w:szCs w:val="17"/>
          <w:color w:val="010000"/>
        </w:rPr>
      </w:pPr>
      <w:r>
        <w:rPr>
          <w:rFonts w:ascii="Arial" w:cs="Arial" w:eastAsia="Arial" w:hAnsi="Arial"/>
          <w:sz w:val="17"/>
          <w:szCs w:val="17"/>
          <w:u w:val="single" w:color="auto"/>
          <w:color w:val="auto"/>
        </w:rPr>
        <w:t>Services</w:t>
      </w:r>
      <w:r>
        <w:rPr>
          <w:rFonts w:ascii="Arial" w:cs="Arial" w:eastAsia="Arial" w:hAnsi="Arial"/>
          <w:sz w:val="17"/>
          <w:szCs w:val="17"/>
          <w:color w:val="auto"/>
        </w:rPr>
        <w:t>. The Executive will be employed by the Company initially as its Chief Operating Officer and Chief Financial Officer, reporting to the Company’s Chief Executive Officer, and shall perform such duties as are consistent with a position as Chief Operating Officer and Chief Financial Officer (the “</w:t>
      </w:r>
      <w:r>
        <w:rPr>
          <w:rFonts w:ascii="Arial" w:cs="Arial" w:eastAsia="Arial" w:hAnsi="Arial"/>
          <w:sz w:val="17"/>
          <w:szCs w:val="17"/>
          <w:b w:val="1"/>
          <w:bCs w:val="1"/>
          <w:color w:val="auto"/>
        </w:rPr>
        <w:t>Services</w:t>
      </w:r>
      <w:r>
        <w:rPr>
          <w:rFonts w:ascii="Arial" w:cs="Arial" w:eastAsia="Arial" w:hAnsi="Arial"/>
          <w:sz w:val="17"/>
          <w:szCs w:val="17"/>
          <w:color w:val="auto"/>
        </w:rPr>
        <w:t>”). The Executive agrees to perform such Services faithfully, to devote his full working time, attention and energies to the business of the Company and, while he remains employed and subject to the terms of this Agreement, not to engage in any other business activity that is in conflict with his duties and obligations to the Company. For avoidance of doubt, the Executive may engage in consulting and board activities for businesses that are not competitive with the Company so long as such activities do not interfere with his duties and obligations to the Company and otherwise comply with the Company’s Code of Conduct. Commencing as of the Effective Date, the Executive shall not join any board of directors of any for profit entity or engage in outside consulting without the prior written consent of the Chief Executive Officer or the Company’s Board of Directors.</w:t>
      </w:r>
    </w:p>
    <w:p>
      <w:pPr>
        <w:spacing w:after="0" w:line="178" w:lineRule="exact"/>
        <w:rPr>
          <w:rFonts w:ascii="Arial" w:cs="Arial" w:eastAsia="Arial" w:hAnsi="Arial"/>
          <w:sz w:val="17"/>
          <w:szCs w:val="17"/>
          <w:color w:val="010000"/>
        </w:rPr>
      </w:pPr>
    </w:p>
    <w:p>
      <w:pPr>
        <w:ind w:left="1960" w:hanging="655"/>
        <w:spacing w:after="0"/>
        <w:tabs>
          <w:tab w:leader="none" w:pos="1960" w:val="left"/>
        </w:tabs>
        <w:numPr>
          <w:ilvl w:val="1"/>
          <w:numId w:val="34"/>
        </w:numPr>
        <w:rPr>
          <w:rFonts w:ascii="Arial" w:cs="Arial" w:eastAsia="Arial" w:hAnsi="Arial"/>
          <w:sz w:val="18"/>
          <w:szCs w:val="18"/>
          <w:color w:val="010000"/>
        </w:rPr>
      </w:pPr>
      <w:r>
        <w:rPr>
          <w:rFonts w:ascii="Arial" w:cs="Arial" w:eastAsia="Arial" w:hAnsi="Arial"/>
          <w:sz w:val="18"/>
          <w:szCs w:val="18"/>
          <w:u w:val="single" w:color="auto"/>
          <w:color w:val="auto"/>
        </w:rPr>
        <w:t>Acceptance</w:t>
      </w:r>
      <w:r>
        <w:rPr>
          <w:rFonts w:ascii="Arial" w:cs="Arial" w:eastAsia="Arial" w:hAnsi="Arial"/>
          <w:sz w:val="18"/>
          <w:szCs w:val="18"/>
          <w:color w:val="auto"/>
        </w:rPr>
        <w:t>. Executive hereby accepts such employment and agrees to render the Services.</w:t>
      </w:r>
    </w:p>
    <w:p>
      <w:pPr>
        <w:spacing w:after="0" w:line="225" w:lineRule="exact"/>
        <w:rPr>
          <w:rFonts w:ascii="Arial" w:cs="Arial" w:eastAsia="Arial" w:hAnsi="Arial"/>
          <w:sz w:val="18"/>
          <w:szCs w:val="18"/>
          <w:color w:val="010000"/>
        </w:rPr>
      </w:pPr>
    </w:p>
    <w:p>
      <w:pPr>
        <w:ind w:firstLine="656"/>
        <w:spacing w:after="0" w:line="277" w:lineRule="auto"/>
        <w:tabs>
          <w:tab w:leader="none" w:pos="1382" w:val="left"/>
        </w:tabs>
        <w:numPr>
          <w:ilvl w:val="0"/>
          <w:numId w:val="34"/>
        </w:numPr>
        <w:rPr>
          <w:rFonts w:ascii="Arial" w:cs="Arial" w:eastAsia="Arial" w:hAnsi="Arial"/>
          <w:sz w:val="18"/>
          <w:szCs w:val="18"/>
          <w:color w:val="010000"/>
        </w:rPr>
      </w:pPr>
      <w:r>
        <w:rPr>
          <w:rFonts w:ascii="Arial" w:cs="Arial" w:eastAsia="Arial" w:hAnsi="Arial"/>
          <w:sz w:val="18"/>
          <w:szCs w:val="18"/>
          <w:u w:val="single" w:color="auto"/>
          <w:color w:val="auto"/>
        </w:rPr>
        <w:t>Term</w:t>
      </w:r>
      <w:r>
        <w:rPr>
          <w:rFonts w:ascii="Arial" w:cs="Arial" w:eastAsia="Arial" w:hAnsi="Arial"/>
          <w:sz w:val="18"/>
          <w:szCs w:val="18"/>
          <w:color w:val="auto"/>
        </w:rPr>
        <w:t>. The Executive's employment under this Agreement shall commence as of the Effective Date and shall continue on an “at-will” basis until terminated pursuant to Section 8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656"/>
        <w:spacing w:after="0" w:line="257" w:lineRule="auto"/>
        <w:tabs>
          <w:tab w:leader="none" w:pos="1449" w:val="left"/>
        </w:tabs>
        <w:numPr>
          <w:ilvl w:val="0"/>
          <w:numId w:val="34"/>
        </w:numPr>
        <w:rPr>
          <w:rFonts w:ascii="Arial" w:cs="Arial" w:eastAsia="Arial" w:hAnsi="Arial"/>
          <w:sz w:val="18"/>
          <w:szCs w:val="18"/>
          <w:color w:val="010000"/>
        </w:rPr>
      </w:pPr>
      <w:r>
        <w:rPr>
          <w:rFonts w:ascii="Arial" w:cs="Arial" w:eastAsia="Arial" w:hAnsi="Arial"/>
          <w:sz w:val="18"/>
          <w:szCs w:val="18"/>
          <w:u w:val="single" w:color="auto"/>
          <w:color w:val="auto"/>
        </w:rPr>
        <w:t>Best Efforts</w:t>
      </w:r>
      <w:r>
        <w:rPr>
          <w:rFonts w:ascii="Arial" w:cs="Arial" w:eastAsia="Arial" w:hAnsi="Arial"/>
          <w:sz w:val="18"/>
          <w:szCs w:val="18"/>
          <w:color w:val="auto"/>
        </w:rPr>
        <w:t>. The Executive shall devote his full business time, attention and energies (recognizing the exception described in 1(a) above for consulting and board work) to the business and affairs of the Company and shall use his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his duties hereunder or the Executive’s availability to perform such duties or that will adversely affect, or negatively reflect upon,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8" w:name="page59"/>
    <w:bookmarkEnd w:id="58"/>
    <w:p>
      <w:pPr>
        <w:ind w:left="-20" w:firstLine="656"/>
        <w:spacing w:after="0" w:line="277" w:lineRule="auto"/>
        <w:tabs>
          <w:tab w:leader="none" w:pos="1578" w:val="left"/>
        </w:tabs>
        <w:numPr>
          <w:ilvl w:val="0"/>
          <w:numId w:val="35"/>
        </w:numPr>
        <w:rPr>
          <w:rFonts w:ascii="Arial" w:cs="Arial" w:eastAsia="Arial" w:hAnsi="Arial"/>
          <w:sz w:val="18"/>
          <w:szCs w:val="18"/>
          <w:color w:val="010000"/>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Term, as full compensation for the performance by the Executive of his duties under this Agreement, the Company shall pay the Executive as follows:</w:t>
      </w:r>
    </w:p>
    <w:p>
      <w:pPr>
        <w:spacing w:after="0" w:line="166" w:lineRule="exact"/>
        <w:rPr>
          <w:rFonts w:ascii="Arial" w:cs="Arial" w:eastAsia="Arial" w:hAnsi="Arial"/>
          <w:sz w:val="18"/>
          <w:szCs w:val="18"/>
          <w:color w:val="010000"/>
        </w:rPr>
      </w:pPr>
    </w:p>
    <w:p>
      <w:pPr>
        <w:jc w:val="both"/>
        <w:ind w:left="-20" w:firstLine="1305"/>
        <w:spacing w:after="0" w:line="261" w:lineRule="auto"/>
        <w:tabs>
          <w:tab w:leader="none" w:pos="1980" w:val="left"/>
        </w:tabs>
        <w:numPr>
          <w:ilvl w:val="1"/>
          <w:numId w:val="35"/>
        </w:numPr>
        <w:rPr>
          <w:rFonts w:ascii="Arial" w:cs="Arial" w:eastAsia="Arial" w:hAnsi="Arial"/>
          <w:sz w:val="18"/>
          <w:szCs w:val="18"/>
          <w:color w:val="010000"/>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Executive an annual base salary (the “</w:t>
      </w:r>
      <w:r>
        <w:rPr>
          <w:rFonts w:ascii="Arial" w:cs="Arial" w:eastAsia="Arial" w:hAnsi="Arial"/>
          <w:sz w:val="18"/>
          <w:szCs w:val="18"/>
          <w:b w:val="1"/>
          <w:bCs w:val="1"/>
          <w:color w:val="auto"/>
        </w:rPr>
        <w:t>Base Salary</w:t>
      </w:r>
      <w:r>
        <w:rPr>
          <w:rFonts w:ascii="Arial" w:cs="Arial" w:eastAsia="Arial" w:hAnsi="Arial"/>
          <w:sz w:val="18"/>
          <w:szCs w:val="18"/>
          <w:color w:val="auto"/>
        </w:rPr>
        <w:t>”) initially equal to four hundred twenty-five thousand dollars ($425,000). Payment shall be made in accordance with the Company’s normal payroll practices, as they may be changed from time to time. The Base Salary will be reviewed by the Chief Executive Officer and the Board of Directors (the “Board”), or a committee thereof, no less frequently than annually.</w:t>
      </w:r>
    </w:p>
    <w:p>
      <w:pPr>
        <w:spacing w:after="0" w:line="184" w:lineRule="exact"/>
        <w:rPr>
          <w:rFonts w:ascii="Arial" w:cs="Arial" w:eastAsia="Arial" w:hAnsi="Arial"/>
          <w:sz w:val="18"/>
          <w:szCs w:val="18"/>
          <w:color w:val="010000"/>
        </w:rPr>
      </w:pPr>
    </w:p>
    <w:p>
      <w:pPr>
        <w:jc w:val="both"/>
        <w:ind w:left="-20" w:firstLine="1305"/>
        <w:spacing w:after="0" w:line="253" w:lineRule="auto"/>
        <w:tabs>
          <w:tab w:leader="none" w:pos="1950" w:val="left"/>
        </w:tabs>
        <w:numPr>
          <w:ilvl w:val="1"/>
          <w:numId w:val="35"/>
        </w:numPr>
        <w:rPr>
          <w:rFonts w:ascii="Arial" w:cs="Arial" w:eastAsia="Arial" w:hAnsi="Arial"/>
          <w:sz w:val="18"/>
          <w:szCs w:val="18"/>
          <w:color w:val="010000"/>
        </w:rPr>
      </w:pPr>
      <w:r>
        <w:rPr>
          <w:rFonts w:ascii="Arial" w:cs="Arial" w:eastAsia="Arial" w:hAnsi="Arial"/>
          <w:sz w:val="18"/>
          <w:szCs w:val="18"/>
          <w:u w:val="single" w:color="auto"/>
          <w:color w:val="auto"/>
        </w:rPr>
        <w:t>Annual Performance Bonus</w:t>
      </w:r>
      <w:r>
        <w:rPr>
          <w:rFonts w:ascii="Arial" w:cs="Arial" w:eastAsia="Arial" w:hAnsi="Arial"/>
          <w:sz w:val="18"/>
          <w:szCs w:val="18"/>
          <w:color w:val="auto"/>
        </w:rPr>
        <w:t>. At the sole discretion of the Board (or a committee thereof), the Executive shall be eligible to receive an annual performance-based bonus during the Term (the “</w:t>
      </w:r>
      <w:r>
        <w:rPr>
          <w:rFonts w:ascii="Arial" w:cs="Arial" w:eastAsia="Arial" w:hAnsi="Arial"/>
          <w:sz w:val="18"/>
          <w:szCs w:val="18"/>
          <w:b w:val="1"/>
          <w:bCs w:val="1"/>
          <w:color w:val="auto"/>
        </w:rPr>
        <w:t>Annual Performance Bonus</w:t>
      </w:r>
      <w:r>
        <w:rPr>
          <w:rFonts w:ascii="Arial" w:cs="Arial" w:eastAsia="Arial" w:hAnsi="Arial"/>
          <w:sz w:val="18"/>
          <w:szCs w:val="18"/>
          <w:color w:val="auto"/>
        </w:rPr>
        <w:t xml:space="preserve">”) targeted at forty percent (40%) of his then current Base Salary based on the attainment by the Executive of certain financial, clinical development and business objectives as established annually by the Board (or a committee thereof). Any Annual Performance Bonus earned with respect to the 2018 fiscal year will be prorated based upon the number of days the Executive is employed in the 2018 fiscal year. The Annual Performance Bonus shall be payable as a lump-sum payment as determined by the Board (or a committee thereof) in its sole discretion. Except as otherwise provided in this Agreement, to earn any particular Annual Performance Bonus or installment thereof, the Executive must, in additional to satisfying the performance objectives, remain employed on the date the Annual Performance Bonus is paid;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Annual Performance Bonus will be paid no later than seventy-five (75) days after the end of the period to which the Annual Performance Bonus pertains.</w:t>
      </w:r>
    </w:p>
    <w:p>
      <w:pPr>
        <w:spacing w:after="0" w:line="197" w:lineRule="exact"/>
        <w:rPr>
          <w:rFonts w:ascii="Arial" w:cs="Arial" w:eastAsia="Arial" w:hAnsi="Arial"/>
          <w:sz w:val="18"/>
          <w:szCs w:val="18"/>
          <w:color w:val="010000"/>
        </w:rPr>
      </w:pPr>
    </w:p>
    <w:p>
      <w:pPr>
        <w:ind w:left="-20" w:firstLine="1305"/>
        <w:spacing w:after="0" w:line="277" w:lineRule="auto"/>
        <w:tabs>
          <w:tab w:leader="none" w:pos="1994" w:val="left"/>
        </w:tabs>
        <w:numPr>
          <w:ilvl w:val="1"/>
          <w:numId w:val="35"/>
        </w:numPr>
        <w:rPr>
          <w:rFonts w:ascii="Arial" w:cs="Arial" w:eastAsia="Arial" w:hAnsi="Arial"/>
          <w:sz w:val="18"/>
          <w:szCs w:val="18"/>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withhold all applicable federal, state and local taxes, social security and such other amounts as may be required by law from all amounts payable to the Executive under this Agreement, including Section 4 and Section 9.</w:t>
      </w:r>
    </w:p>
    <w:p>
      <w:pPr>
        <w:spacing w:after="0" w:line="170" w:lineRule="exact"/>
        <w:rPr>
          <w:rFonts w:ascii="Arial" w:cs="Arial" w:eastAsia="Arial" w:hAnsi="Arial"/>
          <w:sz w:val="18"/>
          <w:szCs w:val="18"/>
          <w:color w:val="010000"/>
        </w:rPr>
      </w:pPr>
    </w:p>
    <w:p>
      <w:pPr>
        <w:jc w:val="both"/>
        <w:ind w:left="-20" w:firstLine="1305"/>
        <w:spacing w:after="0" w:line="270" w:lineRule="auto"/>
        <w:tabs>
          <w:tab w:leader="none" w:pos="1963"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Equity</w:t>
      </w:r>
      <w:r>
        <w:rPr>
          <w:rFonts w:ascii="Arial" w:cs="Arial" w:eastAsia="Arial" w:hAnsi="Arial"/>
          <w:sz w:val="17"/>
          <w:szCs w:val="17"/>
          <w:color w:val="auto"/>
        </w:rPr>
        <w:t>. As a material inducement to accept the Company’s offer of employment, the Company will recommend to the Board (or a committee thereof) that the Executive be granted, subject to the Executive’s acceptance of this Agreement and commencement of employment, an option to purchase 220,000 shares of common stock of the Company (the “</w:t>
      </w:r>
      <w:r>
        <w:rPr>
          <w:rFonts w:ascii="Arial" w:cs="Arial" w:eastAsia="Arial" w:hAnsi="Arial"/>
          <w:sz w:val="17"/>
          <w:szCs w:val="17"/>
          <w:b w:val="1"/>
          <w:bCs w:val="1"/>
          <w:color w:val="auto"/>
        </w:rPr>
        <w:t>New Hire Stock Option</w:t>
      </w:r>
      <w:r>
        <w:rPr>
          <w:rFonts w:ascii="Arial" w:cs="Arial" w:eastAsia="Arial" w:hAnsi="Arial"/>
          <w:sz w:val="17"/>
          <w:szCs w:val="17"/>
          <w:color w:val="auto"/>
        </w:rPr>
        <w:t>”). Subject to the Executive’s continued employment and the terms of the Company’s 2017 Inducement Award Plan (the “</w:t>
      </w:r>
      <w:r>
        <w:rPr>
          <w:rFonts w:ascii="Arial" w:cs="Arial" w:eastAsia="Arial" w:hAnsi="Arial"/>
          <w:sz w:val="17"/>
          <w:szCs w:val="17"/>
          <w:b w:val="1"/>
          <w:bCs w:val="1"/>
          <w:color w:val="auto"/>
        </w:rPr>
        <w:t>Inducement Plan</w:t>
      </w:r>
      <w:r>
        <w:rPr>
          <w:rFonts w:ascii="Arial" w:cs="Arial" w:eastAsia="Arial" w:hAnsi="Arial"/>
          <w:sz w:val="17"/>
          <w:szCs w:val="17"/>
          <w:color w:val="auto"/>
        </w:rPr>
        <w:t>”) and the applicable non-qualified stock option agreement entered into by the Executive and the Company pursuant to the Inducement Plan, the option will have a term of ten years and the shares underlying the New Hire Stock Option shall vest in installments over three years with the first installment (representing approximately 33-1/3% of the shares) vesting on the first anniversary of grant date and the balance vesting over the next two years thereafter in approximately equal monthly installments. The New Hire Stock Option shall be subject to accelerated vesting in connection with a Change of Control as provided in Section 9(c). The New Hire Stock Option and any subsequently granted equity or stock-based awards under the Company’s equity incentive plans, including stock options and restricted stock unit awards, will be collectively referred to in this Agreement as the “</w:t>
      </w:r>
      <w:r>
        <w:rPr>
          <w:rFonts w:ascii="Arial" w:cs="Arial" w:eastAsia="Arial" w:hAnsi="Arial"/>
          <w:sz w:val="17"/>
          <w:szCs w:val="17"/>
          <w:b w:val="1"/>
          <w:bCs w:val="1"/>
          <w:color w:val="auto"/>
        </w:rPr>
        <w:t>Equity Awards</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9" w:name="page60"/>
    <w:bookmarkEnd w:id="59"/>
    <w:p>
      <w:pPr>
        <w:jc w:val="both"/>
        <w:ind w:firstLine="1305"/>
        <w:spacing w:after="0" w:line="279" w:lineRule="auto"/>
        <w:tabs>
          <w:tab w:leader="none" w:pos="2189" w:val="left"/>
        </w:tabs>
        <w:numPr>
          <w:ilvl w:val="1"/>
          <w:numId w:val="36"/>
        </w:numPr>
        <w:rPr>
          <w:rFonts w:ascii="Arial" w:cs="Arial" w:eastAsia="Arial" w:hAnsi="Arial"/>
          <w:sz w:val="17"/>
          <w:szCs w:val="17"/>
          <w:color w:val="010000"/>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71" w:lineRule="exact"/>
        <w:rPr>
          <w:rFonts w:ascii="Arial" w:cs="Arial" w:eastAsia="Arial" w:hAnsi="Arial"/>
          <w:sz w:val="17"/>
          <w:szCs w:val="17"/>
          <w:color w:val="010000"/>
        </w:rPr>
      </w:pPr>
    </w:p>
    <w:p>
      <w:pPr>
        <w:jc w:val="both"/>
        <w:ind w:firstLine="1305"/>
        <w:spacing w:after="0" w:line="272" w:lineRule="auto"/>
        <w:tabs>
          <w:tab w:leader="none" w:pos="2007" w:val="left"/>
        </w:tabs>
        <w:numPr>
          <w:ilvl w:val="1"/>
          <w:numId w:val="36"/>
        </w:numPr>
        <w:rPr>
          <w:rFonts w:ascii="Arial" w:cs="Arial" w:eastAsia="Arial" w:hAnsi="Arial"/>
          <w:sz w:val="17"/>
          <w:szCs w:val="17"/>
          <w:color w:val="010000"/>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Executive shall be entitled to all rights and benefits for which he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17"/>
          <w:szCs w:val="17"/>
          <w:b w:val="1"/>
          <w:bCs w:val="1"/>
          <w:color w:val="auto"/>
        </w:rPr>
        <w:t>Fringe Benefits</w:t>
      </w:r>
      <w:r>
        <w:rPr>
          <w:rFonts w:ascii="Arial" w:cs="Arial" w:eastAsia="Arial" w:hAnsi="Arial"/>
          <w:sz w:val="17"/>
          <w:szCs w:val="17"/>
          <w:color w:val="auto"/>
        </w:rPr>
        <w:t>”) as the Company shall make available to its senior executives from time to time, subject to the terms of such plans. In addition, if applicable, the Company shall reimburse the Executive for his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77" w:lineRule="exact"/>
        <w:rPr>
          <w:rFonts w:ascii="Arial" w:cs="Arial" w:eastAsia="Arial" w:hAnsi="Arial"/>
          <w:sz w:val="17"/>
          <w:szCs w:val="17"/>
          <w:color w:val="010000"/>
        </w:rPr>
      </w:pPr>
    </w:p>
    <w:p>
      <w:pPr>
        <w:ind w:left="1980" w:hanging="675"/>
        <w:spacing w:after="0"/>
        <w:tabs>
          <w:tab w:leader="none" w:pos="1980" w:val="left"/>
        </w:tabs>
        <w:numPr>
          <w:ilvl w:val="1"/>
          <w:numId w:val="36"/>
        </w:numPr>
        <w:rPr>
          <w:rFonts w:ascii="Arial" w:cs="Arial" w:eastAsia="Arial" w:hAnsi="Arial"/>
          <w:sz w:val="16"/>
          <w:szCs w:val="16"/>
          <w:color w:val="010000"/>
        </w:rPr>
      </w:pPr>
      <w:r>
        <w:rPr>
          <w:rFonts w:ascii="Arial" w:cs="Arial" w:eastAsia="Arial" w:hAnsi="Arial"/>
          <w:sz w:val="16"/>
          <w:szCs w:val="16"/>
          <w:u w:val="single" w:color="auto"/>
          <w:color w:val="auto"/>
        </w:rPr>
        <w:t>Vacation</w:t>
      </w:r>
      <w:r>
        <w:rPr>
          <w:rFonts w:ascii="Arial" w:cs="Arial" w:eastAsia="Arial" w:hAnsi="Arial"/>
          <w:sz w:val="16"/>
          <w:szCs w:val="16"/>
          <w:color w:val="auto"/>
        </w:rPr>
        <w:t>. The Executive will be entitled to paid vacation in accordance with the Company’s vacation policy, as in effect from time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to time.</w:t>
      </w:r>
    </w:p>
    <w:p>
      <w:pPr>
        <w:spacing w:after="0" w:line="210" w:lineRule="exact"/>
        <w:rPr>
          <w:rFonts w:ascii="Arial" w:cs="Arial" w:eastAsia="Arial" w:hAnsi="Arial"/>
          <w:sz w:val="16"/>
          <w:szCs w:val="16"/>
          <w:color w:val="010000"/>
        </w:rPr>
      </w:pPr>
    </w:p>
    <w:p>
      <w:pPr>
        <w:ind w:left="1380" w:hanging="724"/>
        <w:spacing w:after="0"/>
        <w:tabs>
          <w:tab w:leader="none" w:pos="1380"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Confidential Information and 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1305"/>
        <w:spacing w:after="0" w:line="285" w:lineRule="auto"/>
        <w:tabs>
          <w:tab w:leader="none" w:pos="2108" w:val="left"/>
        </w:tabs>
        <w:numPr>
          <w:ilvl w:val="1"/>
          <w:numId w:val="37"/>
        </w:numPr>
        <w:rPr>
          <w:rFonts w:ascii="Arial" w:cs="Arial" w:eastAsia="Arial" w:hAnsi="Arial"/>
          <w:sz w:val="16"/>
          <w:szCs w:val="16"/>
          <w:color w:val="010000"/>
        </w:rPr>
      </w:pPr>
      <w:r>
        <w:rPr>
          <w:rFonts w:ascii="Arial" w:cs="Arial" w:eastAsia="Arial" w:hAnsi="Arial"/>
          <w:sz w:val="16"/>
          <w:szCs w:val="16"/>
          <w:color w:val="auto"/>
        </w:rPr>
        <w:t>The Executive recognizes and acknowledges that in the course of his duties he is likely to receive confidential or proprietary information owned by the Company or third parties with whom the Company has an obligation of confidentiality, relating to and used in the Company’s business (collectively, “</w:t>
      </w:r>
      <w:r>
        <w:rPr>
          <w:rFonts w:ascii="Arial" w:cs="Arial" w:eastAsia="Arial" w:hAnsi="Arial"/>
          <w:sz w:val="16"/>
          <w:szCs w:val="16"/>
          <w:b w:val="1"/>
          <w:bCs w:val="1"/>
          <w:color w:val="auto"/>
        </w:rPr>
        <w:t>Confidential and Proprietary Information</w:t>
      </w:r>
      <w:r>
        <w:rPr>
          <w:rFonts w:ascii="Arial" w:cs="Arial" w:eastAsia="Arial" w:hAnsi="Arial"/>
          <w:sz w:val="16"/>
          <w:szCs w:val="16"/>
          <w:color w:val="auto"/>
        </w:rPr>
        <w:t>”). Confidential and Proprietary Information shall include, but shall not be limited to, confidential or proprietary scientific or technical information, data, formulas and related concepts, business plans (both current and under development), client lists, promotion and marketing programs, trade secrets, or any other confidential or proprietary business information relating to development programs, costs, revenues, marketing, investments, sales activities, promotions, credit and financial data, manufacturing processes, financing methods, plans or the business and affairs of the Company or of any affiliate, client or service provider of the Company, and any and all information relating to the operation of the Company’s business which the Company may from time to time designate as confidential or proprietary or that the Executive reasonably knows should be, or has been, treated by the Company as confidential or proprietary. The Executive expressly acknowledges that the Confidential and Proprietary Information constitutes a protectable business interest of the Company. The Executive further agrees that if any information that the Company deems to be a trade secret is found by a court of competent jurisdiction not to be a trade secret, such information will, nevertheless, be considered Confidential and Proprietary Information for purposes of this Agreement. Confidential and Proprietary Information does not include any information that: (i) at the time of disclosure is generally known to, or readily ascertainable by, the public; (ii) becomes known to the public through no fault of the Executive or other violation of this Agreement; or (iii) is disclosed to the Executive by a third party under no obligation to maintain the confidentiality of the information. The Executive agrees, during and after the Term, except as reasonably necessary for the fulfillment of his duties under this Agreement: (i) not to use any such Confidential and Proprietary Information for himself or others; and (ii) to keep confidential and not disclose or make accessible to any other person or entity any Confidential and Proprietary Information. The Executive agrees to return immediately all Confidential and Proprietary Information and Company material and reproductions (including but not limited, to writings, correspondence, notes, drafts, records, invoices, technical and business policies, computer programs or disks) thereof in his possession to the Company upon termination of employment, or at any time upon the Company’s request.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1305"/>
        <w:spacing w:after="0" w:line="255" w:lineRule="auto"/>
        <w:tabs>
          <w:tab w:leader="none" w:pos="2082"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 xml:space="preserve">Except with prior written authorization by the Company, the Executive agrees not to disclose or publish any of the Confidential and Proprietary Information, or any confidential, scientific, technical or business information of any other party to whom the Company owes an obligation of confidence, at any time during or after his employment with the Company. The restrictions in this Section 5(b) and in Section 5(a) above will not apply to any information that the Executive is required to disclose by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Executive (i) notifies the Company of the existence and terms of such obligation, (ii) gives the Company a reasonable opportunity to seek a protective or similar order to prevent or limit such disclosure, and (iii) only discloses that information actually required to be disclosed.</w:t>
      </w:r>
    </w:p>
    <w:p>
      <w:pPr>
        <w:spacing w:after="0" w:line="193" w:lineRule="exact"/>
        <w:rPr>
          <w:rFonts w:ascii="Arial" w:cs="Arial" w:eastAsia="Arial" w:hAnsi="Arial"/>
          <w:sz w:val="18"/>
          <w:szCs w:val="18"/>
          <w:color w:val="010000"/>
        </w:rPr>
      </w:pPr>
    </w:p>
    <w:p>
      <w:pPr>
        <w:jc w:val="both"/>
        <w:ind w:firstLine="1305"/>
        <w:spacing w:after="0" w:line="290" w:lineRule="auto"/>
        <w:tabs>
          <w:tab w:leader="none" w:pos="2221"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The Executive agrees that any and all inventions (whether or not patentable), discoveries, improvements, know-how, ideas, information and patentable or copyrightable works (“</w:t>
      </w:r>
      <w:r>
        <w:rPr>
          <w:rFonts w:ascii="Arial" w:cs="Arial" w:eastAsia="Arial" w:hAnsi="Arial"/>
          <w:sz w:val="16"/>
          <w:szCs w:val="16"/>
          <w:b w:val="1"/>
          <w:bCs w:val="1"/>
          <w:color w:val="auto"/>
        </w:rPr>
        <w:t>Inventions</w:t>
      </w:r>
      <w:r>
        <w:rPr>
          <w:rFonts w:ascii="Arial" w:cs="Arial" w:eastAsia="Arial" w:hAnsi="Arial"/>
          <w:sz w:val="16"/>
          <w:szCs w:val="16"/>
          <w:color w:val="auto"/>
        </w:rPr>
        <w:t>”) initiated, conceived or made by him, either alone or in conjunction with others, during the course of his employment by the Company or that result from work performed by the Executive for the Company, shall be the sole property of the Company to the maximum extent permitted by applicable law and, to the extent permitted by law, shall be “works made for hire” as that term is defined in the United States Copyright Act (17 U.S.C.A., Section 101). The Company shall be the sole owner of all patents, copyrights, trade secret rights, and other intellectual property or other rights in connection therewith. The Executive hereby assigns to the Company all right, title and interest he may have or acquire in all such Inventions. The Executive further agrees to assist the Company in every proper way (but at the Company’s expense) to obtain and from time to time enforce patents, copyrights or other rights on such Inventions in any and all countries, and to that end the Executive will execute all documents necessary:</w:t>
      </w:r>
    </w:p>
    <w:p>
      <w:pPr>
        <w:spacing w:after="0" w:line="166" w:lineRule="exact"/>
        <w:rPr>
          <w:sz w:val="20"/>
          <w:szCs w:val="20"/>
          <w:color w:val="auto"/>
        </w:rPr>
      </w:pPr>
    </w:p>
    <w:p>
      <w:pPr>
        <w:ind w:firstLine="1305"/>
        <w:spacing w:after="0" w:line="308" w:lineRule="auto"/>
        <w:tabs>
          <w:tab w:leader="none" w:pos="20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146" w:lineRule="exact"/>
        <w:rPr>
          <w:rFonts w:ascii="Arial" w:cs="Arial" w:eastAsia="Arial" w:hAnsi="Arial"/>
          <w:sz w:val="17"/>
          <w:szCs w:val="17"/>
          <w:color w:val="auto"/>
        </w:rPr>
      </w:pPr>
    </w:p>
    <w:p>
      <w:pPr>
        <w:ind w:right="20" w:firstLine="1305"/>
        <w:spacing w:after="0" w:line="277" w:lineRule="auto"/>
        <w:tabs>
          <w:tab w:leader="none" w:pos="21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defend any opposition proceedings in respect of such applications and any opposition proceedings or petitions or applications for revocation of such letters patent, copyright or other analogous protection.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this Agreement is required to be construed in accordance with the laws of any state which precludes a requirement to assign certain classes of inventions made by an employee, this Section 5 will be interpreted not to apply to any invention which a court rules and/or the Company agrees falls within such classes. As required pursuant to Section 2872 of the California Labor Code, Executive acknowledges that the Company has notified the Executive that the provisions of this Section 5 do not apply to an invention that qualified fully under the provisions of Section 2870 of the California Labor Code (attached hereto as Exhibit 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left="-20" w:firstLine="1305"/>
        <w:spacing w:after="0" w:line="272" w:lineRule="auto"/>
        <w:tabs>
          <w:tab w:leader="none" w:pos="2053" w:val="left"/>
        </w:tabs>
        <w:numPr>
          <w:ilvl w:val="1"/>
          <w:numId w:val="40"/>
        </w:numPr>
        <w:rPr>
          <w:rFonts w:ascii="Arial" w:cs="Arial" w:eastAsia="Arial" w:hAnsi="Arial"/>
          <w:sz w:val="17"/>
          <w:szCs w:val="17"/>
          <w:color w:val="010000"/>
        </w:rPr>
      </w:pPr>
      <w:r>
        <w:rPr>
          <w:rFonts w:ascii="Arial" w:cs="Arial" w:eastAsia="Arial" w:hAnsi="Arial"/>
          <w:sz w:val="17"/>
          <w:szCs w:val="17"/>
          <w:color w:val="auto"/>
        </w:rPr>
        <w:t>The Executive acknowledges that, while performing the services under this Agreement the Executive may locate, identify and/or evaluate patented or patentable inventions having commercial potential in the fields of pharmacy, pharmaceutical, biotechnology, healthcare, technology and other fields that may be of potential interest to the Company (the “</w:t>
      </w:r>
      <w:r>
        <w:rPr>
          <w:rFonts w:ascii="Arial" w:cs="Arial" w:eastAsia="Arial" w:hAnsi="Arial"/>
          <w:sz w:val="17"/>
          <w:szCs w:val="17"/>
          <w:b w:val="1"/>
          <w:bCs w:val="1"/>
          <w:color w:val="auto"/>
        </w:rPr>
        <w:t>Third-Party Inventions</w:t>
      </w:r>
      <w:r>
        <w:rPr>
          <w:rFonts w:ascii="Arial" w:cs="Arial" w:eastAsia="Arial" w:hAnsi="Arial"/>
          <w:sz w:val="17"/>
          <w:szCs w:val="17"/>
          <w:color w:val="auto"/>
        </w:rPr>
        <w:t>”). The Executive understands, acknowledges and agrees that all rights to, interests in or opportunities regarding, all Third-Party Inventions identified by the Company or its affiliates or either of the foregoing Persons’ officers, directors, employees (including the Executive), agents or consultants during the Term shall be and remain the sole and exclusive property of the Company or such affiliate and the Executive shall have no rights whatsoever to such Third-Party Inventions and will not pursue for himself or for others any transaction relating to the Third-Party Inventions which is not on behalf of the Company.</w:t>
      </w:r>
    </w:p>
    <w:p>
      <w:pPr>
        <w:spacing w:after="0" w:line="177" w:lineRule="exact"/>
        <w:rPr>
          <w:rFonts w:ascii="Arial" w:cs="Arial" w:eastAsia="Arial" w:hAnsi="Arial"/>
          <w:sz w:val="17"/>
          <w:szCs w:val="17"/>
          <w:color w:val="010000"/>
        </w:rPr>
      </w:pPr>
    </w:p>
    <w:p>
      <w:pPr>
        <w:ind w:left="2020" w:hanging="735"/>
        <w:spacing w:after="0"/>
        <w:tabs>
          <w:tab w:leader="none" w:pos="2020"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The provisions of this Section 5 shall survive any termination or expiration of this Agreement.</w:t>
      </w:r>
    </w:p>
    <w:p>
      <w:pPr>
        <w:spacing w:after="0" w:line="225" w:lineRule="exact"/>
        <w:rPr>
          <w:rFonts w:ascii="Arial" w:cs="Arial" w:eastAsia="Arial" w:hAnsi="Arial"/>
          <w:sz w:val="18"/>
          <w:szCs w:val="18"/>
          <w:color w:val="010000"/>
        </w:rPr>
      </w:pPr>
    </w:p>
    <w:p>
      <w:pPr>
        <w:jc w:val="both"/>
        <w:ind w:left="-20" w:firstLine="656"/>
        <w:spacing w:after="0" w:line="291" w:lineRule="auto"/>
        <w:tabs>
          <w:tab w:leader="none" w:pos="1362" w:val="left"/>
        </w:tabs>
        <w:numPr>
          <w:ilvl w:val="0"/>
          <w:numId w:val="41"/>
        </w:numPr>
        <w:rPr>
          <w:rFonts w:ascii="Arial" w:cs="Arial" w:eastAsia="Arial" w:hAnsi="Arial"/>
          <w:sz w:val="16"/>
          <w:szCs w:val="16"/>
          <w:color w:val="010000"/>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The Executive understands and recognizes that his services to the Company are special and unique and that in the course of performing such services the Executive will have access to and knowledge of Confidential and Proprietary Information (as defined in Section 5) and will become knowledgeable of and familiar with the Company’s customers and service providers as well as the Company’s business. The Executive acknowledges that, due to the unique nature of the Company’s business, the loss of any of its clients, service providers or business flow or the improper use of its Confidential and Proprietary Information could create significant instability and cause substantial damage to the Company and therefore the Company has a strong legitimate business interest in protecting the continuity of its business interests and the restrictions herein agreed to by the Executive narrowly and fairly serve such an important and critical business interest of the Company. Therefore, the Executive covenants and agrees as follows:</w:t>
      </w:r>
    </w:p>
    <w:p>
      <w:pPr>
        <w:spacing w:after="0" w:line="167" w:lineRule="exact"/>
        <w:rPr>
          <w:rFonts w:ascii="Arial" w:cs="Arial" w:eastAsia="Arial" w:hAnsi="Arial"/>
          <w:sz w:val="16"/>
          <w:szCs w:val="16"/>
          <w:color w:val="010000"/>
        </w:rPr>
      </w:pPr>
    </w:p>
    <w:p>
      <w:pPr>
        <w:ind w:left="1980" w:hanging="695"/>
        <w:spacing w:after="0"/>
        <w:tabs>
          <w:tab w:leader="none" w:pos="1980" w:val="left"/>
        </w:tabs>
        <w:numPr>
          <w:ilvl w:val="1"/>
          <w:numId w:val="41"/>
        </w:numPr>
        <w:rPr>
          <w:rFonts w:ascii="Arial" w:cs="Arial" w:eastAsia="Arial" w:hAnsi="Arial"/>
          <w:sz w:val="18"/>
          <w:szCs w:val="18"/>
          <w:color w:val="010000"/>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meanings given to such terms below:</w:t>
      </w:r>
    </w:p>
    <w:p>
      <w:pPr>
        <w:spacing w:after="0" w:line="221" w:lineRule="exact"/>
        <w:rPr>
          <w:rFonts w:ascii="Arial" w:cs="Arial" w:eastAsia="Arial" w:hAnsi="Arial"/>
          <w:sz w:val="18"/>
          <w:szCs w:val="18"/>
          <w:color w:val="010000"/>
        </w:rPr>
      </w:pPr>
    </w:p>
    <w:p>
      <w:pPr>
        <w:jc w:val="both"/>
        <w:ind w:left="-20" w:firstLine="1953"/>
        <w:spacing w:after="0" w:line="266" w:lineRule="auto"/>
        <w:tabs>
          <w:tab w:leader="none" w:pos="2788" w:val="left"/>
        </w:tabs>
        <w:numPr>
          <w:ilvl w:val="2"/>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w:t>
      </w:r>
      <w:r>
        <w:rPr>
          <w:rFonts w:ascii="Arial" w:cs="Arial" w:eastAsia="Arial" w:hAnsi="Arial"/>
          <w:sz w:val="18"/>
          <w:szCs w:val="18"/>
          <w:color w:val="auto"/>
        </w:rPr>
        <w:t>” means (A) any person who is an employee of the Company at the time of the date of the Executive’s termination of employment, and (B) any person who was an employee of the Company at any point during the six (6) month period prior to, the termination of the Executive’s employment.</w:t>
      </w:r>
    </w:p>
    <w:p>
      <w:pPr>
        <w:spacing w:after="0" w:line="176" w:lineRule="exact"/>
        <w:rPr>
          <w:rFonts w:ascii="Arial" w:cs="Arial" w:eastAsia="Arial" w:hAnsi="Arial"/>
          <w:sz w:val="18"/>
          <w:szCs w:val="18"/>
          <w:color w:val="auto"/>
        </w:rPr>
      </w:pPr>
    </w:p>
    <w:p>
      <w:pPr>
        <w:ind w:left="2560" w:hanging="627"/>
        <w:spacing w:after="0"/>
        <w:tabs>
          <w:tab w:leader="none" w:pos="25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person, firm, partnership, joint venture, corporation or other business entity.</w:t>
      </w:r>
    </w:p>
    <w:p>
      <w:pPr>
        <w:spacing w:after="0" w:line="225" w:lineRule="exact"/>
        <w:rPr>
          <w:rFonts w:ascii="Arial" w:cs="Arial" w:eastAsia="Arial" w:hAnsi="Arial"/>
          <w:sz w:val="18"/>
          <w:szCs w:val="18"/>
          <w:color w:val="auto"/>
        </w:rPr>
      </w:pPr>
    </w:p>
    <w:p>
      <w:pPr>
        <w:jc w:val="both"/>
        <w:ind w:left="-20" w:firstLine="1953"/>
        <w:spacing w:after="0" w:line="314" w:lineRule="auto"/>
        <w:tabs>
          <w:tab w:leader="none" w:pos="2568" w:val="left"/>
        </w:tabs>
        <w:numPr>
          <w:ilvl w:val="2"/>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xml:space="preserve">” means the period commencing on the date of the Executive’s termination of employment and ending twelve (12) months thereafter;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period will be tolled and will not run during any time Executive is in violation of this Section 6, it being the intent of the parties that the Restricted Period will be extended for any period of time in which the Executive is in violation of this Section 6.</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2" w:name="page63"/>
    <w:bookmarkEnd w:id="62"/>
    <w:p>
      <w:pPr>
        <w:jc w:val="both"/>
        <w:ind w:left="-20" w:firstLine="1305"/>
        <w:spacing w:after="0" w:line="279" w:lineRule="auto"/>
        <w:tabs>
          <w:tab w:leader="none" w:pos="2058"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During his employment with the Company and during the Restricted Period (other than for the benefit of the Company), the Executive will not, directly or indirectly, on the Executive’s own behalf or on behalf of any other Person, solicit, induce, or attempt to solicit or induce any Company Employee or any independent contractor (who is then engaged by the Company or was engaged by the Company in the prior six (6) months) to terminate his or her employment or engagement with the Company or to accept employment or engagement with any Person.</w:t>
      </w:r>
    </w:p>
    <w:p>
      <w:pPr>
        <w:spacing w:after="0" w:line="171" w:lineRule="exact"/>
        <w:rPr>
          <w:rFonts w:ascii="Arial" w:cs="Arial" w:eastAsia="Arial" w:hAnsi="Arial"/>
          <w:sz w:val="17"/>
          <w:szCs w:val="17"/>
          <w:color w:val="010000"/>
        </w:rPr>
      </w:pPr>
    </w:p>
    <w:p>
      <w:pPr>
        <w:jc w:val="both"/>
        <w:ind w:left="-20" w:firstLine="1305"/>
        <w:spacing w:after="0" w:line="273" w:lineRule="auto"/>
        <w:tabs>
          <w:tab w:leader="none" w:pos="1940"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Enforcement</w:t>
      </w:r>
      <w:r>
        <w:rPr>
          <w:rFonts w:ascii="Arial" w:cs="Arial" w:eastAsia="Arial" w:hAnsi="Arial"/>
          <w:sz w:val="17"/>
          <w:szCs w:val="17"/>
          <w:color w:val="auto"/>
        </w:rPr>
        <w:t>. In the event that the Executive breaches or threatens to breach any provisions of Section 5 or this Section 6, then the Company will suffer irreparable harm and monetary damages would be inadequate to compensate the Company. Accordingly, in addition to any other rights which the Company may have, the Company shall (i) be entitled, without the posting of bond or other security, to seek injunctive relief to enforce the restrictions contained in such Sections and (ii) have the right to require the Executive to account for and pay over to the Company all compensation, profits, monies, accruals, increments and other benefits derived or received by the Executive as a result of any transaction constituting a breach of any of the provisions of Sections 5 or 6, to the maximum extent permitted by law.</w:t>
      </w:r>
    </w:p>
    <w:p>
      <w:pPr>
        <w:spacing w:after="0" w:line="178" w:lineRule="exact"/>
        <w:rPr>
          <w:rFonts w:ascii="Arial" w:cs="Arial" w:eastAsia="Arial" w:hAnsi="Arial"/>
          <w:sz w:val="17"/>
          <w:szCs w:val="17"/>
          <w:color w:val="010000"/>
        </w:rPr>
      </w:pPr>
    </w:p>
    <w:p>
      <w:pPr>
        <w:jc w:val="both"/>
        <w:ind w:left="-20" w:firstLine="1305"/>
        <w:spacing w:after="0" w:line="287" w:lineRule="auto"/>
        <w:tabs>
          <w:tab w:leader="none" w:pos="2031" w:val="left"/>
        </w:tabs>
        <w:numPr>
          <w:ilvl w:val="0"/>
          <w:numId w:val="42"/>
        </w:numPr>
        <w:rPr>
          <w:rFonts w:ascii="Arial" w:cs="Arial" w:eastAsia="Arial" w:hAnsi="Arial"/>
          <w:sz w:val="16"/>
          <w:szCs w:val="16"/>
          <w:color w:val="010000"/>
        </w:rPr>
      </w:pPr>
      <w:r>
        <w:rPr>
          <w:rFonts w:ascii="Arial" w:cs="Arial" w:eastAsia="Arial" w:hAnsi="Arial"/>
          <w:sz w:val="16"/>
          <w:szCs w:val="16"/>
          <w:u w:val="single" w:color="auto"/>
          <w:color w:val="auto"/>
        </w:rPr>
        <w:t>Reasonableness and Severability</w:t>
      </w:r>
      <w:r>
        <w:rPr>
          <w:rFonts w:ascii="Arial" w:cs="Arial" w:eastAsia="Arial" w:hAnsi="Arial"/>
          <w:sz w:val="16"/>
          <w:szCs w:val="16"/>
          <w:color w:val="auto"/>
        </w:rPr>
        <w:t>. Each of the rights and remedies enumerated in Section 6(c) shall be independent of the others and shall be in addition to and not in lieu of any other rights and remedies available to the Company at law or in equity. The Executive hereby acknowledges and agrees that the covenants provided for pursuant to Section 6 are essential elements of Executive’s employment by the Company and are reasonable with respect to their duration, geographic area and scope and in all other respects. If, at the time of enforcement of this Section 6, a court of competent jurisdiction holds that the restrictions stated herein are unreasonable under the circumstances then existing, the parties hereto agree that the maximum duration, scope or geographic area legally permissible under such circumstances will be substituted for the duration, scope or area stated herein. If any of the covenants contained in this Section 6, or any part of any of them, is hereafter construed or adjudicated to be invalid or unenforceable, the same shall not affect the remainder of the covenant or covenants or rights or remedies which shall be given full effect without regard to the invalid portions. No such holding of invalidity or unenforceability in one jurisdiction shall bar or in any way affect the Company’s right to the relief provided in this Section 6 or otherwise in the courts of any other state or jurisdiction within the geographical scope of such covenants as to breaches of such covenants in such other respective states or jurisdictions, such covenants being, for this purpose, severable into diverse and independent covenants.</w:t>
      </w:r>
    </w:p>
    <w:p>
      <w:pPr>
        <w:spacing w:after="0" w:line="172" w:lineRule="exact"/>
        <w:rPr>
          <w:rFonts w:ascii="Arial" w:cs="Arial" w:eastAsia="Arial" w:hAnsi="Arial"/>
          <w:sz w:val="16"/>
          <w:szCs w:val="16"/>
          <w:color w:val="010000"/>
        </w:rPr>
      </w:pPr>
    </w:p>
    <w:p>
      <w:pPr>
        <w:jc w:val="both"/>
        <w:ind w:left="-20" w:firstLine="1305"/>
        <w:spacing w:after="0" w:line="257" w:lineRule="auto"/>
        <w:tabs>
          <w:tab w:leader="none" w:pos="1980" w:val="left"/>
        </w:tabs>
        <w:numPr>
          <w:ilvl w:val="0"/>
          <w:numId w:val="42"/>
        </w:numPr>
        <w:rPr>
          <w:rFonts w:ascii="Arial" w:cs="Arial" w:eastAsia="Arial" w:hAnsi="Arial"/>
          <w:sz w:val="18"/>
          <w:szCs w:val="18"/>
          <w:color w:val="010000"/>
        </w:rPr>
      </w:pPr>
      <w:r>
        <w:rPr>
          <w:rFonts w:ascii="Arial" w:cs="Arial" w:eastAsia="Arial" w:hAnsi="Arial"/>
          <w:sz w:val="18"/>
          <w:szCs w:val="18"/>
          <w:u w:val="single" w:color="auto"/>
          <w:color w:val="auto"/>
        </w:rPr>
        <w:t>Defend Trade Secrets Act of 2016</w:t>
      </w:r>
      <w:r>
        <w:rPr>
          <w:rFonts w:ascii="Arial" w:cs="Arial" w:eastAsia="Arial" w:hAnsi="Arial"/>
          <w:sz w:val="18"/>
          <w:szCs w:val="18"/>
          <w:color w:val="auto"/>
        </w:rPr>
        <w:t>. The Executive understands that pursuant to the federal Defend Trade Secrets Act of 2016, the Executive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3" w:name="page64"/>
    <w:bookmarkEnd w:id="63"/>
    <w:p>
      <w:pPr>
        <w:jc w:val="both"/>
        <w:ind w:left="-20" w:firstLine="1305"/>
        <w:spacing w:after="0" w:line="257" w:lineRule="auto"/>
        <w:tabs>
          <w:tab w:leader="none" w:pos="2136" w:val="left"/>
        </w:tabs>
        <w:numPr>
          <w:ilvl w:val="1"/>
          <w:numId w:val="43"/>
        </w:numPr>
        <w:rPr>
          <w:rFonts w:ascii="Arial" w:cs="Arial" w:eastAsia="Arial" w:hAnsi="Arial"/>
          <w:sz w:val="18"/>
          <w:szCs w:val="18"/>
          <w:color w:val="010000"/>
        </w:rPr>
      </w:pPr>
      <w:r>
        <w:rPr>
          <w:rFonts w:ascii="Arial" w:cs="Arial" w:eastAsia="Arial" w:hAnsi="Arial"/>
          <w:sz w:val="18"/>
          <w:szCs w:val="18"/>
          <w:u w:val="single" w:color="auto"/>
          <w:color w:val="auto"/>
        </w:rPr>
        <w:t>Protected Disclosures</w:t>
      </w:r>
      <w:r>
        <w:rPr>
          <w:rFonts w:ascii="Arial" w:cs="Arial" w:eastAsia="Arial" w:hAnsi="Arial"/>
          <w:sz w:val="18"/>
          <w:szCs w:val="18"/>
          <w:color w:val="auto"/>
        </w:rPr>
        <w:t>. The Executive understands that nothing contained in this Agreement limits the Executive’s ability to communicate with any federal, state or local governmental agency or commission, including to provide documents or other information, without notice to the Company. The Executive also understands that nothing in this Agreement limits the Executive’s ability to share compensation information concerning the Executive or others, except that this does not permit the Executive to disclose compensation information concerning others that the Executive obtain because the Executive’s job responsibilities require or allow access to such information.</w:t>
      </w:r>
    </w:p>
    <w:p>
      <w:pPr>
        <w:spacing w:after="0" w:line="188" w:lineRule="exact"/>
        <w:rPr>
          <w:rFonts w:ascii="Arial" w:cs="Arial" w:eastAsia="Arial" w:hAnsi="Arial"/>
          <w:sz w:val="18"/>
          <w:szCs w:val="18"/>
          <w:color w:val="010000"/>
        </w:rPr>
      </w:pPr>
    </w:p>
    <w:p>
      <w:pPr>
        <w:jc w:val="both"/>
        <w:ind w:left="-20" w:firstLine="1305"/>
        <w:spacing w:after="0" w:line="259" w:lineRule="auto"/>
        <w:tabs>
          <w:tab w:leader="none" w:pos="2004" w:val="left"/>
        </w:tabs>
        <w:numPr>
          <w:ilvl w:val="1"/>
          <w:numId w:val="43"/>
        </w:numPr>
        <w:rPr>
          <w:rFonts w:ascii="Arial" w:cs="Arial" w:eastAsia="Arial" w:hAnsi="Arial"/>
          <w:sz w:val="18"/>
          <w:szCs w:val="18"/>
          <w:color w:val="010000"/>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that an actual proceeding is brought in equity to enforce the provisions of Section 5 or this Section 6, the Executive shall not urge as a defense that there is an adequate remedy at law nor shall the Company be prevented from seeking any other remedies which may be available. The Executive agrees that he shall not raise in any proceeding brought to enforce the provisions of Section 5 or this Section 6 that the covenants contained in such Sections limit his ability to earn a living.</w:t>
      </w:r>
    </w:p>
    <w:p>
      <w:pPr>
        <w:spacing w:after="0" w:line="186" w:lineRule="exact"/>
        <w:rPr>
          <w:rFonts w:ascii="Arial" w:cs="Arial" w:eastAsia="Arial" w:hAnsi="Arial"/>
          <w:sz w:val="18"/>
          <w:szCs w:val="18"/>
          <w:color w:val="010000"/>
        </w:rPr>
      </w:pPr>
    </w:p>
    <w:p>
      <w:pPr>
        <w:ind w:left="1940" w:hanging="655"/>
        <w:spacing w:after="0"/>
        <w:tabs>
          <w:tab w:leader="none" w:pos="1940" w:val="left"/>
        </w:tabs>
        <w:numPr>
          <w:ilvl w:val="1"/>
          <w:numId w:val="43"/>
        </w:numPr>
        <w:rPr>
          <w:rFonts w:ascii="Arial" w:cs="Arial" w:eastAsia="Arial" w:hAnsi="Arial"/>
          <w:sz w:val="18"/>
          <w:szCs w:val="18"/>
          <w:color w:val="010000"/>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 6 shall survive any termination of this Agreement.</w:t>
      </w:r>
    </w:p>
    <w:p>
      <w:pPr>
        <w:spacing w:after="0" w:line="225" w:lineRule="exact"/>
        <w:rPr>
          <w:rFonts w:ascii="Arial" w:cs="Arial" w:eastAsia="Arial" w:hAnsi="Arial"/>
          <w:sz w:val="18"/>
          <w:szCs w:val="18"/>
          <w:color w:val="010000"/>
        </w:rPr>
      </w:pPr>
    </w:p>
    <w:p>
      <w:pPr>
        <w:ind w:left="1360" w:hanging="724"/>
        <w:spacing w:after="0"/>
        <w:tabs>
          <w:tab w:leader="none" w:pos="1360"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2020" w:hanging="735"/>
        <w:spacing w:after="0"/>
        <w:tabs>
          <w:tab w:leader="none" w:pos="2020"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The Executive hereby represents and warrants to the Company as follows:</w:t>
      </w:r>
    </w:p>
    <w:p>
      <w:pPr>
        <w:spacing w:after="0" w:line="225" w:lineRule="exact"/>
        <w:rPr>
          <w:rFonts w:ascii="Arial" w:cs="Arial" w:eastAsia="Arial" w:hAnsi="Arial"/>
          <w:sz w:val="18"/>
          <w:szCs w:val="18"/>
          <w:color w:val="010000"/>
        </w:rPr>
      </w:pPr>
    </w:p>
    <w:p>
      <w:pPr>
        <w:jc w:val="both"/>
        <w:ind w:left="-20" w:firstLine="1953"/>
        <w:spacing w:after="0" w:line="259" w:lineRule="auto"/>
        <w:tabs>
          <w:tab w:leader="none" w:pos="28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Neither the execution or delivery of this Agreement nor the performance by the Executive of his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86" w:lineRule="exact"/>
        <w:rPr>
          <w:rFonts w:ascii="Arial" w:cs="Arial" w:eastAsia="Arial" w:hAnsi="Arial"/>
          <w:sz w:val="18"/>
          <w:szCs w:val="18"/>
          <w:color w:val="auto"/>
        </w:rPr>
      </w:pPr>
    </w:p>
    <w:p>
      <w:pPr>
        <w:jc w:val="both"/>
        <w:ind w:left="-20" w:firstLine="1953"/>
        <w:spacing w:after="0" w:line="259" w:lineRule="auto"/>
        <w:tabs>
          <w:tab w:leader="none" w:pos="262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Executive has the full right, power and legal capacity to enter and deliver this Agreement and to perform his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his duties and other obligations hereunder.</w:t>
      </w:r>
    </w:p>
    <w:p>
      <w:pPr>
        <w:spacing w:after="0" w:line="186" w:lineRule="exact"/>
        <w:rPr>
          <w:rFonts w:ascii="Arial" w:cs="Arial" w:eastAsia="Arial" w:hAnsi="Arial"/>
          <w:sz w:val="18"/>
          <w:szCs w:val="18"/>
          <w:color w:val="auto"/>
        </w:rPr>
      </w:pPr>
    </w:p>
    <w:p>
      <w:pPr>
        <w:ind w:left="-20" w:firstLine="1305"/>
        <w:spacing w:after="0" w:line="308" w:lineRule="auto"/>
        <w:tabs>
          <w:tab w:leader="none" w:pos="2283"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146" w:lineRule="exact"/>
        <w:rPr>
          <w:rFonts w:ascii="Arial" w:cs="Arial" w:eastAsia="Arial" w:hAnsi="Arial"/>
          <w:sz w:val="17"/>
          <w:szCs w:val="17"/>
          <w:color w:val="010000"/>
        </w:rPr>
      </w:pPr>
    </w:p>
    <w:p>
      <w:pPr>
        <w:ind w:left="-20" w:firstLine="656"/>
        <w:spacing w:after="0" w:line="277" w:lineRule="auto"/>
        <w:tabs>
          <w:tab w:leader="none" w:pos="1474"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shall be terminated immediately upon the Executive’s death and may be otherwise terminated as follows:</w:t>
      </w:r>
    </w:p>
    <w:p>
      <w:pPr>
        <w:spacing w:after="0" w:line="170" w:lineRule="exact"/>
        <w:rPr>
          <w:rFonts w:ascii="Arial" w:cs="Arial" w:eastAsia="Arial" w:hAnsi="Arial"/>
          <w:sz w:val="18"/>
          <w:szCs w:val="18"/>
          <w:color w:val="010000"/>
        </w:rPr>
      </w:pPr>
    </w:p>
    <w:p>
      <w:pPr>
        <w:ind w:left="-20" w:firstLine="1305"/>
        <w:spacing w:after="0" w:line="277" w:lineRule="auto"/>
        <w:tabs>
          <w:tab w:leader="none" w:pos="2111"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The Executive’s employment hereunder may be terminated by the Company for Cause as determined by the Board. Any of the following actions by the Executive shall constitute “</w:t>
      </w:r>
      <w:r>
        <w:rPr>
          <w:rFonts w:ascii="Arial" w:cs="Arial" w:eastAsia="Arial" w:hAnsi="Arial"/>
          <w:sz w:val="18"/>
          <w:szCs w:val="18"/>
          <w:b w:val="1"/>
          <w:bCs w:val="1"/>
          <w:color w:val="auto"/>
        </w:rPr>
        <w:t>Cause</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left="2540" w:hanging="607"/>
        <w:spacing w:after="0"/>
        <w:tabs>
          <w:tab w:leader="none" w:pos="25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willful failure, disregard or continuing refusal by the Executive to perform his duties 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4" w:name="page65"/>
    <w:bookmarkEnd w:id="64"/>
    <w:p>
      <w:pPr>
        <w:jc w:val="both"/>
        <w:ind w:firstLine="1953"/>
        <w:spacing w:after="0" w:line="264" w:lineRule="auto"/>
        <w:tabs>
          <w:tab w:leader="none" w:pos="25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act of willful or intentional misconduct, or a grossly negligent act by the Executive having the effect of injuring, in a material way (as determined in good-faith by the Board of Directors), the business or reputation of the Company, including but not limited to, any officer, director, or executive of the Company;</w:t>
      </w:r>
    </w:p>
    <w:p>
      <w:pPr>
        <w:spacing w:after="0" w:line="181" w:lineRule="exact"/>
        <w:rPr>
          <w:rFonts w:ascii="Arial" w:cs="Arial" w:eastAsia="Arial" w:hAnsi="Arial"/>
          <w:sz w:val="18"/>
          <w:szCs w:val="18"/>
          <w:color w:val="auto"/>
        </w:rPr>
      </w:pPr>
    </w:p>
    <w:p>
      <w:pPr>
        <w:ind w:right="20" w:firstLine="1953"/>
        <w:spacing w:after="0" w:line="277" w:lineRule="auto"/>
        <w:tabs>
          <w:tab w:leader="none" w:pos="26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Willful misconduct by the Executive in carrying out his duties or obligations under this Agreement, including, without limitation, insubordination with respect to lawful directions received by the Executive from the Chief Executive Officer or from the Board;</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Executive’s indictment of any felony or a misdemeanor involving moral turpitude (including entry of a nolo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contendere plea);</w:t>
      </w:r>
    </w:p>
    <w:p>
      <w:pPr>
        <w:spacing w:after="0" w:line="210" w:lineRule="exact"/>
        <w:rPr>
          <w:rFonts w:ascii="Arial" w:cs="Arial" w:eastAsia="Arial" w:hAnsi="Arial"/>
          <w:sz w:val="17"/>
          <w:szCs w:val="17"/>
          <w:color w:val="auto"/>
        </w:rPr>
      </w:pPr>
    </w:p>
    <w:p>
      <w:pPr>
        <w:jc w:val="both"/>
        <w:ind w:firstLine="1953"/>
        <w:spacing w:after="0" w:line="264" w:lineRule="auto"/>
        <w:tabs>
          <w:tab w:leader="none" w:pos="2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determination by the Company, based upon clear and convincing evidence, after a reasonable and good-faith investigation by the Company following a written allegation by another employee of the Company, that the Executive engaged in some form of harassment prohibited by law (including, without limitation, age, sex or race discrimination);</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intentional misappropriation of the property of the Company, or embezzlement of its funds or assets (whether or not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misdemeanor or felony);</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Breach by the Executive of any of the provisions of Sections 5, 6, or 7 of this Agreement; and</w:t>
      </w:r>
    </w:p>
    <w:p>
      <w:pPr>
        <w:spacing w:after="0" w:line="225" w:lineRule="exact"/>
        <w:rPr>
          <w:rFonts w:ascii="Arial" w:cs="Arial" w:eastAsia="Arial" w:hAnsi="Arial"/>
          <w:sz w:val="18"/>
          <w:szCs w:val="18"/>
          <w:color w:val="auto"/>
        </w:rPr>
      </w:pPr>
    </w:p>
    <w:p>
      <w:pPr>
        <w:ind w:firstLine="1953"/>
        <w:spacing w:after="0" w:line="277" w:lineRule="auto"/>
        <w:tabs>
          <w:tab w:leader="none" w:pos="25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Breach by the Executive of any provision of this Agreement other than those contained in Sections 5, 6, or 7 which is not cured by the Executive within thirty (30) business days after notice thereof is given to the Executive by the Company.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73" w:lineRule="exact"/>
        <w:rPr>
          <w:sz w:val="20"/>
          <w:szCs w:val="20"/>
          <w:color w:val="auto"/>
        </w:rPr>
      </w:pPr>
    </w:p>
    <w:p>
      <w:pPr>
        <w:jc w:val="both"/>
        <w:ind w:firstLine="1305"/>
        <w:spacing w:after="0" w:line="268" w:lineRule="auto"/>
        <w:tabs>
          <w:tab w:leader="none" w:pos="2127"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The Executive’s employment hereunder may be terminated by the Board due to the Executive’s Disability. For purposes of this Agreement, a termination for “</w:t>
      </w:r>
      <w:r>
        <w:rPr>
          <w:rFonts w:ascii="Arial" w:cs="Arial" w:eastAsia="Arial" w:hAnsi="Arial"/>
          <w:sz w:val="17"/>
          <w:szCs w:val="17"/>
          <w:b w:val="1"/>
          <w:bCs w:val="1"/>
          <w:color w:val="auto"/>
        </w:rPr>
        <w:t>Disability</w:t>
      </w:r>
      <w:r>
        <w:rPr>
          <w:rFonts w:ascii="Arial" w:cs="Arial" w:eastAsia="Arial" w:hAnsi="Arial"/>
          <w:sz w:val="17"/>
          <w:szCs w:val="17"/>
          <w:color w:val="auto"/>
        </w:rPr>
        <w:t>” shall occur (i) when the Board has provided a written termination notice to the Executive supported by a written statement from a reputable independent physician mutually selected by the Company and the Executive, or the Executive’s legal representatives in the event he is unable to make such selection due to mental incapacity, to the effect that the Executive shall have become so physically or mentally incapacitated as to be unable to resume, even with reasonable accommodation as may be required under the Americans With Disabilities Act, within the ensuing twelve (12) months, his employment hereunder by reason of physical or mental illness or injury, or (ii) upon rendering of a written termination notice by the Company after the Executive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month period, by reason of any physical or mental illness or injury. For purposes of this Section 8(b), the Executive agrees to make himself available and to cooperate in any reasonable examination by a reputable independent physician mutually selected by the Company and the Executive, and paid for by the Company.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the Executive for his actual cost of maintaining a supplementary long-term disability insurance policy during the Term up to a maximum reimbursement of $10,000 per year.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left="-20" w:firstLine="1305"/>
        <w:spacing w:after="0" w:line="268" w:lineRule="auto"/>
        <w:tabs>
          <w:tab w:leader="none" w:pos="207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17"/>
          <w:szCs w:val="17"/>
          <w:b w:val="1"/>
          <w:bCs w:val="1"/>
          <w:color w:val="auto"/>
        </w:rPr>
        <w:t>Change of Control</w:t>
      </w:r>
      <w:r>
        <w:rPr>
          <w:rFonts w:ascii="Arial" w:cs="Arial" w:eastAsia="Arial" w:hAnsi="Arial"/>
          <w:sz w:val="17"/>
          <w:szCs w:val="17"/>
          <w:color w:val="auto"/>
        </w:rPr>
        <w:t>” means (i) the acquisition, directly or indirectly, following the Effective Date by any person (as such term is defined in 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Notwithstanding the foregoing, if the Change of Control does not constitute a change in the ownership or effective control of the Company, or in the ownership of a substantial portion of the assets of the Company, within the meaning of Section 409A of the Internal Revenue Code of 1986, as amended (the “</w:t>
      </w:r>
      <w:r>
        <w:rPr>
          <w:rFonts w:ascii="Arial" w:cs="Arial" w:eastAsia="Arial" w:hAnsi="Arial"/>
          <w:sz w:val="17"/>
          <w:szCs w:val="17"/>
          <w:b w:val="1"/>
          <w:bCs w:val="1"/>
          <w:color w:val="auto"/>
        </w:rPr>
        <w:t>Cod</w:t>
      </w:r>
      <w:r>
        <w:rPr>
          <w:rFonts w:ascii="Arial" w:cs="Arial" w:eastAsia="Arial" w:hAnsi="Arial"/>
          <w:sz w:val="17"/>
          <w:szCs w:val="17"/>
          <w:color w:val="auto"/>
        </w:rPr>
        <w:t>e”), the amount of cash severance payable pursuant to Section 9(b), if any, shall be paid in equal installments in accordance with the Company’s then payroll practice over a 18-month period. Solely for purposes of Section 409A of the Code, each installment payment is considered a separate payment.</w:t>
      </w:r>
    </w:p>
    <w:p>
      <w:pPr>
        <w:spacing w:after="0" w:line="187" w:lineRule="exact"/>
        <w:rPr>
          <w:rFonts w:ascii="Arial" w:cs="Arial" w:eastAsia="Arial" w:hAnsi="Arial"/>
          <w:sz w:val="17"/>
          <w:szCs w:val="17"/>
          <w:color w:val="010000"/>
        </w:rPr>
      </w:pPr>
    </w:p>
    <w:p>
      <w:pPr>
        <w:jc w:val="both"/>
        <w:ind w:left="-20" w:firstLine="1305"/>
        <w:spacing w:after="0" w:line="268" w:lineRule="auto"/>
        <w:tabs>
          <w:tab w:leader="none" w:pos="2107"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The Executive’s employment hereunder may be voluntarily terminated by the Executive for Good Reason. For purposes of this Agreement, “</w:t>
      </w:r>
      <w:r>
        <w:rPr>
          <w:rFonts w:ascii="Arial" w:cs="Arial" w:eastAsia="Arial" w:hAnsi="Arial"/>
          <w:sz w:val="17"/>
          <w:szCs w:val="17"/>
          <w:b w:val="1"/>
          <w:bCs w:val="1"/>
          <w:color w:val="auto"/>
        </w:rPr>
        <w:t>Good Reason</w:t>
      </w:r>
      <w:r>
        <w:rPr>
          <w:rFonts w:ascii="Arial" w:cs="Arial" w:eastAsia="Arial" w:hAnsi="Arial"/>
          <w:sz w:val="17"/>
          <w:szCs w:val="17"/>
          <w:color w:val="auto"/>
        </w:rPr>
        <w:t>” shall mean any of the following: (i) any material reduction by the Company of the Executive’s duties, or responsibilities or authority; (ii) any material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the Executive no longer reports to the Chief Executive Officer or Board of Directors of the Company or its successor; (iv) any requirement by the Company, without the Executive’s prior written consent, that the Executive locate the Executive’s residence or primary place of employment to a location outside a 50-mile radius of such location mutually agreed upon between the Company and the Executive as of the Effective Date, or such other location that the Company and the Executive may mutually agree upon and designate from time to time during the Term; or (v) a material breach by the Company of Section 7(b) of this Agreement which is not cured by the Company within 30 days after written notice thereof is given to the Company by the Executive. However, notwithstanding the above, Good Reason shall not exist unless: (x) the Executive notifies the Board within thirty (30) days of the initial existence of one of the adverse events described above, and (y) the Company fails to correct the adverse event within thirty (30) days of such notice, and (z) the Executive’s voluntary termination because of the existence of one or more of the adverse events described above occurs within two hundred seventy (270) days of the initial existence of the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6" w:name="page67"/>
    <w:bookmarkEnd w:id="66"/>
    <w:p>
      <w:pPr>
        <w:jc w:val="both"/>
        <w:ind w:left="-20" w:firstLine="1305"/>
        <w:spacing w:after="0" w:line="264" w:lineRule="auto"/>
        <w:tabs>
          <w:tab w:leader="none" w:pos="2111"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spacing w:after="0" w:line="181" w:lineRule="exact"/>
        <w:rPr>
          <w:rFonts w:ascii="Arial" w:cs="Arial" w:eastAsia="Arial" w:hAnsi="Arial"/>
          <w:sz w:val="18"/>
          <w:szCs w:val="18"/>
          <w:color w:val="010000"/>
        </w:rPr>
      </w:pPr>
    </w:p>
    <w:p>
      <w:pPr>
        <w:ind w:left="-20" w:firstLine="1305"/>
        <w:spacing w:after="0" w:line="277" w:lineRule="auto"/>
        <w:tabs>
          <w:tab w:leader="none" w:pos="2023"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The Executive’s employment may be terminated by the Executive in the absence of Good Reason by delivery of written notice to the Company effective fifteen (15) days after the date of delivery of such notice.</w:t>
      </w:r>
    </w:p>
    <w:p>
      <w:pPr>
        <w:spacing w:after="0" w:line="170" w:lineRule="exact"/>
        <w:rPr>
          <w:rFonts w:ascii="Arial" w:cs="Arial" w:eastAsia="Arial" w:hAnsi="Arial"/>
          <w:sz w:val="18"/>
          <w:szCs w:val="18"/>
          <w:color w:val="010000"/>
        </w:rPr>
      </w:pPr>
    </w:p>
    <w:p>
      <w:pPr>
        <w:ind w:left="1360" w:hanging="724"/>
        <w:spacing w:after="0"/>
        <w:tabs>
          <w:tab w:leader="none" w:pos="1360"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20" w:firstLine="1305"/>
        <w:spacing w:after="0" w:line="271" w:lineRule="auto"/>
        <w:tabs>
          <w:tab w:leader="none" w:pos="2286" w:val="left"/>
        </w:tabs>
        <w:numPr>
          <w:ilvl w:val="1"/>
          <w:numId w:val="49"/>
        </w:numPr>
        <w:rPr>
          <w:rFonts w:ascii="Arial" w:cs="Arial" w:eastAsia="Arial" w:hAnsi="Arial"/>
          <w:sz w:val="17"/>
          <w:szCs w:val="17"/>
          <w:color w:val="010000"/>
        </w:rPr>
      </w:pPr>
      <w:r>
        <w:rPr>
          <w:rFonts w:ascii="Arial" w:cs="Arial" w:eastAsia="Arial" w:hAnsi="Arial"/>
          <w:sz w:val="17"/>
          <w:szCs w:val="17"/>
          <w:u w:val="single" w:color="auto"/>
          <w:color w:val="auto"/>
        </w:rPr>
        <w:t>Accrued Benefits</w:t>
      </w:r>
      <w:r>
        <w:rPr>
          <w:rFonts w:ascii="Arial" w:cs="Arial" w:eastAsia="Arial" w:hAnsi="Arial"/>
          <w:sz w:val="17"/>
          <w:szCs w:val="17"/>
          <w:color w:val="auto"/>
        </w:rPr>
        <w:t>. Upon termination of the Executive’s employment by either party regardless of the cause or reason, the Executive shall be entitled to the following, referred to herein as the “</w:t>
      </w:r>
      <w:r>
        <w:rPr>
          <w:rFonts w:ascii="Arial" w:cs="Arial" w:eastAsia="Arial" w:hAnsi="Arial"/>
          <w:sz w:val="17"/>
          <w:szCs w:val="17"/>
          <w:b w:val="1"/>
          <w:bCs w:val="1"/>
          <w:color w:val="auto"/>
        </w:rPr>
        <w:t>Accrued Benefits</w:t>
      </w:r>
      <w:r>
        <w:rPr>
          <w:rFonts w:ascii="Arial" w:cs="Arial" w:eastAsia="Arial" w:hAnsi="Arial"/>
          <w:sz w:val="17"/>
          <w:szCs w:val="17"/>
          <w:color w:val="auto"/>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9, the vested portion of any stock options held by the Executive as of the Executive’s termination date shall remain exercisable for ninety (90) days following such termination.</w:t>
      </w:r>
    </w:p>
    <w:p>
      <w:pPr>
        <w:spacing w:after="0" w:line="178" w:lineRule="exact"/>
        <w:rPr>
          <w:rFonts w:ascii="Arial" w:cs="Arial" w:eastAsia="Arial" w:hAnsi="Arial"/>
          <w:sz w:val="17"/>
          <w:szCs w:val="17"/>
          <w:color w:val="010000"/>
        </w:rPr>
      </w:pPr>
    </w:p>
    <w:p>
      <w:pPr>
        <w:jc w:val="both"/>
        <w:ind w:left="-20" w:firstLine="1305"/>
        <w:spacing w:after="0" w:line="284" w:lineRule="auto"/>
        <w:tabs>
          <w:tab w:leader="none" w:pos="2166" w:val="left"/>
        </w:tabs>
        <w:numPr>
          <w:ilvl w:val="1"/>
          <w:numId w:val="49"/>
        </w:numPr>
        <w:rPr>
          <w:rFonts w:ascii="Arial" w:cs="Arial" w:eastAsia="Arial" w:hAnsi="Arial"/>
          <w:sz w:val="16"/>
          <w:szCs w:val="16"/>
          <w:color w:val="010000"/>
        </w:rPr>
      </w:pPr>
      <w:r>
        <w:rPr>
          <w:rFonts w:ascii="Arial" w:cs="Arial" w:eastAsia="Arial" w:hAnsi="Arial"/>
          <w:sz w:val="16"/>
          <w:szCs w:val="16"/>
          <w:u w:val="single" w:color="auto"/>
          <w:color w:val="auto"/>
        </w:rPr>
        <w:t>Change of Control Separation Benefits</w:t>
      </w:r>
      <w:r>
        <w:rPr>
          <w:rFonts w:ascii="Arial" w:cs="Arial" w:eastAsia="Arial" w:hAnsi="Arial"/>
          <w:sz w:val="16"/>
          <w:szCs w:val="16"/>
          <w:color w:val="auto"/>
        </w:rPr>
        <w:t>. If the Executive’s employment is terminated due to death, by the Company due to Disability pursuant to Section 8(b), by the Company without Cause pursuant to Section 8(e) or by the Executive for Good Reason pursuant to Section 8(d) and such termination occurs during the period beginning one (1) month immediately preceding the Change of Control and ending twelve (12) months immediately following such Change of Control (the “</w:t>
      </w:r>
      <w:r>
        <w:rPr>
          <w:rFonts w:ascii="Arial" w:cs="Arial" w:eastAsia="Arial" w:hAnsi="Arial"/>
          <w:sz w:val="16"/>
          <w:szCs w:val="16"/>
          <w:b w:val="1"/>
          <w:bCs w:val="1"/>
          <w:color w:val="auto"/>
        </w:rPr>
        <w:t>COC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Executive signs and does not revoke a general release of claims against the Company within the time period specified therein (which time period shall not exceed sixty (60) days), in form and substance satisfactory to the Company (the “</w:t>
      </w:r>
      <w:r>
        <w:rPr>
          <w:rFonts w:ascii="Arial" w:cs="Arial" w:eastAsia="Arial" w:hAnsi="Arial"/>
          <w:sz w:val="16"/>
          <w:szCs w:val="16"/>
          <w:b w:val="1"/>
          <w:bCs w:val="1"/>
          <w:color w:val="auto"/>
        </w:rPr>
        <w:t>Release</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termination is a “separation from service” within the meaning of Treasury Regulation § 1.409A-1(h), then the Company shall provide the following benefits to the Executive, referred to herein as the “</w:t>
      </w:r>
      <w:r>
        <w:rPr>
          <w:rFonts w:ascii="Arial" w:cs="Arial" w:eastAsia="Arial" w:hAnsi="Arial"/>
          <w:sz w:val="16"/>
          <w:szCs w:val="16"/>
          <w:b w:val="1"/>
          <w:bCs w:val="1"/>
          <w:color w:val="auto"/>
        </w:rPr>
        <w:t>Change of Control Separation Benefits</w:t>
      </w:r>
      <w:r>
        <w:rPr>
          <w:rFonts w:ascii="Arial" w:cs="Arial" w:eastAsia="Arial" w:hAnsi="Arial"/>
          <w:sz w:val="16"/>
          <w:szCs w:val="16"/>
          <w:color w:val="auto"/>
        </w:rPr>
        <w:t>”: (i) a lump sum payment equal to eighteen (18) months of the Executive’s then-current Base Salary; (ii) the full Annual Performance Bonus for the year in which such termination occurs multiplied by 1.5, less any installments paid in advance (items (i) and (ii) being the “</w:t>
      </w:r>
      <w:r>
        <w:rPr>
          <w:rFonts w:ascii="Arial" w:cs="Arial" w:eastAsia="Arial" w:hAnsi="Arial"/>
          <w:sz w:val="16"/>
          <w:szCs w:val="16"/>
          <w:b w:val="1"/>
          <w:bCs w:val="1"/>
          <w:color w:val="auto"/>
        </w:rPr>
        <w:t>Change of Control Separation Pay</w:t>
      </w:r>
      <w:r>
        <w:rPr>
          <w:rFonts w:ascii="Arial" w:cs="Arial" w:eastAsia="Arial" w:hAnsi="Arial"/>
          <w:sz w:val="16"/>
          <w:szCs w:val="16"/>
          <w:color w:val="auto"/>
        </w:rPr>
        <w:t>”); (iii) immediate vesting in full of all Equity Awards; provided, however, that (A) in the event that a termination without Cause or termination for Good Reason or termination due to death or Disability occurs during the one (1) month immediately preceding a Change of Control (i.e., the first month of a COC Period), any Equity Awards outstanding as of the Executive’s termination shall not accelerate in connection with such termination but instead will remain outstanding and eligible to vest pursuant to this provision immediately prior to the consummation of such Change of Control (assuming the timely execution and non-revocation of a Release) and (B) in the event that Termination without Cause or a Termination for Good Reason occurs prior to a Change of Control and such Change of Control is not consummated on or prior to the one (1) month anniversary of such termination, no vesting shall occur pursuant to this provision and any Equity Awards outstanding as of the Executive’s termination shall terminate in accordance with its terms; (iv) extension of the exercise period for all vested stock options held by the Executive as of the termination date until the end of their term; and (v)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eighteen (18) month period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Change of Control Separation Pay will be paid within sixty (60) days after the termination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7" w:name="page68"/>
    <w:bookmarkEnd w:id="67"/>
    <w:p>
      <w:pPr>
        <w:jc w:val="both"/>
        <w:ind w:left="-20" w:firstLine="1305"/>
        <w:spacing w:after="0" w:line="284" w:lineRule="auto"/>
        <w:tabs>
          <w:tab w:leader="none" w:pos="1967" w:val="left"/>
        </w:tabs>
        <w:numPr>
          <w:ilvl w:val="0"/>
          <w:numId w:val="50"/>
        </w:numPr>
        <w:rPr>
          <w:rFonts w:ascii="Arial" w:cs="Arial" w:eastAsia="Arial" w:hAnsi="Arial"/>
          <w:sz w:val="16"/>
          <w:szCs w:val="16"/>
          <w:color w:val="010000"/>
        </w:rPr>
      </w:pPr>
      <w:r>
        <w:rPr>
          <w:rFonts w:ascii="Arial" w:cs="Arial" w:eastAsia="Arial" w:hAnsi="Arial"/>
          <w:sz w:val="16"/>
          <w:szCs w:val="16"/>
          <w:u w:val="single" w:color="auto"/>
          <w:color w:val="auto"/>
        </w:rPr>
        <w:t>Base Separation Benefits</w:t>
      </w:r>
      <w:r>
        <w:rPr>
          <w:rFonts w:ascii="Arial" w:cs="Arial" w:eastAsia="Arial" w:hAnsi="Arial"/>
          <w:sz w:val="16"/>
          <w:szCs w:val="16"/>
          <w:color w:val="auto"/>
        </w:rPr>
        <w:t xml:space="preserve">. If the Executive’s employment is terminated during the Term and outside of the COC Period as a result of the Executive’s Disability pursuant to Section 8(b), by the Company without Cause pursuant to Section 8(e), or by the Executive for Good Reason pursuant to Section 8(d),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Executive signs and does not revoke the Release within the time period specified therein (which time period shall not exceed sixty (60) days),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termination is a “separation from service” within the meaning of Treasury Regulation § 1.409A-1(h), then the Company shall provide the following benefits to the Executive, referred to herein as the “Base </w:t>
      </w:r>
      <w:r>
        <w:rPr>
          <w:rFonts w:ascii="Arial" w:cs="Arial" w:eastAsia="Arial" w:hAnsi="Arial"/>
          <w:sz w:val="16"/>
          <w:szCs w:val="16"/>
          <w:b w:val="1"/>
          <w:bCs w:val="1"/>
          <w:color w:val="auto"/>
        </w:rPr>
        <w:t>Separation Benefits</w:t>
      </w:r>
      <w:r>
        <w:rPr>
          <w:rFonts w:ascii="Arial" w:cs="Arial" w:eastAsia="Arial" w:hAnsi="Arial"/>
          <w:sz w:val="16"/>
          <w:szCs w:val="16"/>
          <w:color w:val="auto"/>
        </w:rPr>
        <w:t>”: (i) the continued payment in installments of the Executive’s then-current Base Salary for a period of twelve (12) months following the termination date (the “</w:t>
      </w:r>
      <w:r>
        <w:rPr>
          <w:rFonts w:ascii="Arial" w:cs="Arial" w:eastAsia="Arial" w:hAnsi="Arial"/>
          <w:sz w:val="16"/>
          <w:szCs w:val="16"/>
          <w:b w:val="1"/>
          <w:bCs w:val="1"/>
          <w:color w:val="auto"/>
        </w:rPr>
        <w:t>Base Separation Pay</w:t>
      </w:r>
      <w:r>
        <w:rPr>
          <w:rFonts w:ascii="Arial" w:cs="Arial" w:eastAsia="Arial" w:hAnsi="Arial"/>
          <w:sz w:val="16"/>
          <w:szCs w:val="16"/>
          <w:color w:val="auto"/>
        </w:rPr>
        <w:t>”) ; (ii) all Equity Awards which would have time vested during the twelve (12) months following the termination date shall accelerate and vest; (iii) extension of the exercise period for all vested stock options held by the Executive as of the termination date until the first anniversary of the termination date; and (iv)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twelve (12) month period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he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The Executive understands that if he is eligible to receive the Base Separation Benefits, such Base Separation Benefits shall be in lieu of and not in addition to the Change of Control Separation Benefits described in Section 9(b) of this Agreement. Notwithstanding the foregoing, if the Executive is entitled to receive the Base Separation Benefits but violates any provisions of this Agreement or any other agreement entered into by the Executive and the Company after termination of employment, the Company will be entitled to immediately stop paying any further installments of the Base Separation Benefits. If the Executive’s employment is terminated during the Term as a result of the Executive’s death, then the Company shall provide to the Executive’s estate the continued payment of Executive’s then-current Base Salary for a period of twelve (12) months following the termination date, beginning on the Company’s first regular payday following the such termination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8" w:name="page69"/>
    <w:bookmarkEnd w:id="68"/>
    <w:p>
      <w:pPr>
        <w:jc w:val="both"/>
        <w:ind w:left="-20" w:firstLine="1305"/>
        <w:spacing w:after="0" w:line="264" w:lineRule="auto"/>
        <w:tabs>
          <w:tab w:leader="none" w:pos="2040"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This Section 9 sets forth the only obligations of the Company with respect to the termination of the Executive’s employment with the Company, except as otherwise required by law, and the Executive acknowledges that, upon the termination of his employment, he shall not be entitled to any payments or benefits which are not explicitly provided in Section 9.</w:t>
      </w:r>
    </w:p>
    <w:p>
      <w:pPr>
        <w:spacing w:after="0" w:line="181" w:lineRule="exact"/>
        <w:rPr>
          <w:rFonts w:ascii="Arial" w:cs="Arial" w:eastAsia="Arial" w:hAnsi="Arial"/>
          <w:sz w:val="18"/>
          <w:szCs w:val="18"/>
          <w:color w:val="010000"/>
        </w:rPr>
      </w:pPr>
    </w:p>
    <w:p>
      <w:pPr>
        <w:ind w:left="-20" w:firstLine="1305"/>
        <w:spacing w:after="0" w:line="342" w:lineRule="auto"/>
        <w:tabs>
          <w:tab w:leader="none" w:pos="2124" w:val="left"/>
        </w:tabs>
        <w:numPr>
          <w:ilvl w:val="1"/>
          <w:numId w:val="51"/>
        </w:numPr>
        <w:rPr>
          <w:rFonts w:ascii="Arial" w:cs="Arial" w:eastAsia="Arial" w:hAnsi="Arial"/>
          <w:sz w:val="16"/>
          <w:szCs w:val="16"/>
          <w:color w:val="010000"/>
        </w:rPr>
      </w:pPr>
      <w:r>
        <w:rPr>
          <w:rFonts w:ascii="Arial" w:cs="Arial" w:eastAsia="Arial" w:hAnsi="Arial"/>
          <w:sz w:val="16"/>
          <w:szCs w:val="16"/>
          <w:color w:val="auto"/>
        </w:rPr>
        <w:t>Upon termination of the Executive’s employment hereunder for any reason, the Executive shall be deemed to have resigned as director and or officer of the Company, to the extent applicable, effective as of the date of such termination, unless otherwise requested by the Board.</w:t>
      </w:r>
    </w:p>
    <w:p>
      <w:pPr>
        <w:spacing w:after="0" w:line="123" w:lineRule="exact"/>
        <w:rPr>
          <w:rFonts w:ascii="Arial" w:cs="Arial" w:eastAsia="Arial" w:hAnsi="Arial"/>
          <w:sz w:val="16"/>
          <w:szCs w:val="16"/>
          <w:color w:val="010000"/>
        </w:rPr>
      </w:pPr>
    </w:p>
    <w:p>
      <w:pPr>
        <w:ind w:left="2000" w:hanging="715"/>
        <w:spacing w:after="0"/>
        <w:tabs>
          <w:tab w:leader="none" w:pos="2000"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The provisions of this Section 9 shall survive any termination of this Agreement.</w:t>
      </w:r>
    </w:p>
    <w:p>
      <w:pPr>
        <w:spacing w:after="0" w:line="225" w:lineRule="exact"/>
        <w:rPr>
          <w:rFonts w:ascii="Arial" w:cs="Arial" w:eastAsia="Arial" w:hAnsi="Arial"/>
          <w:sz w:val="18"/>
          <w:szCs w:val="18"/>
          <w:color w:val="010000"/>
        </w:rPr>
      </w:pPr>
    </w:p>
    <w:p>
      <w:pPr>
        <w:jc w:val="both"/>
        <w:ind w:left="-20" w:firstLine="656"/>
        <w:spacing w:after="0" w:line="264" w:lineRule="auto"/>
        <w:tabs>
          <w:tab w:leader="none" w:pos="1348" w:val="left"/>
        </w:tabs>
        <w:numPr>
          <w:ilvl w:val="0"/>
          <w:numId w:val="52"/>
        </w:numPr>
        <w:rPr>
          <w:rFonts w:ascii="Arial" w:cs="Arial" w:eastAsia="Arial" w:hAnsi="Arial"/>
          <w:sz w:val="18"/>
          <w:szCs w:val="18"/>
          <w:color w:val="010000"/>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18"/>
          <w:szCs w:val="18"/>
          <w:b w:val="1"/>
          <w:bCs w:val="1"/>
          <w:color w:val="auto"/>
        </w:rPr>
        <w:t>Section 409A</w:t>
      </w:r>
      <w:r>
        <w:rPr>
          <w:rFonts w:ascii="Arial" w:cs="Arial" w:eastAsia="Arial" w:hAnsi="Arial"/>
          <w:sz w:val="18"/>
          <w:szCs w:val="18"/>
          <w:color w:val="auto"/>
        </w:rPr>
        <w:t>”) and, in this connection, the following shall be applicable:</w:t>
      </w:r>
    </w:p>
    <w:p>
      <w:pPr>
        <w:spacing w:after="0" w:line="181" w:lineRule="exact"/>
        <w:rPr>
          <w:rFonts w:ascii="Arial" w:cs="Arial" w:eastAsia="Arial" w:hAnsi="Arial"/>
          <w:sz w:val="18"/>
          <w:szCs w:val="18"/>
          <w:color w:val="010000"/>
        </w:rPr>
      </w:pPr>
    </w:p>
    <w:p>
      <w:pPr>
        <w:ind w:left="2020" w:hanging="735"/>
        <w:spacing w:after="0"/>
        <w:tabs>
          <w:tab w:leader="none" w:pos="2020" w:val="left"/>
        </w:tabs>
        <w:numPr>
          <w:ilvl w:val="1"/>
          <w:numId w:val="52"/>
        </w:numPr>
        <w:rPr>
          <w:rFonts w:ascii="Arial" w:cs="Arial" w:eastAsia="Arial" w:hAnsi="Arial"/>
          <w:sz w:val="17"/>
          <w:szCs w:val="17"/>
          <w:color w:val="010000"/>
        </w:rPr>
      </w:pPr>
      <w:r>
        <w:rPr>
          <w:rFonts w:ascii="Arial" w:cs="Arial" w:eastAsia="Arial" w:hAnsi="Arial"/>
          <w:sz w:val="17"/>
          <w:szCs w:val="17"/>
          <w:color w:val="auto"/>
        </w:rPr>
        <w:t>To the greatest extent possible, this Agreement shall be interpreted to be exempt from or in compliance with Section 409A.</w:t>
      </w:r>
    </w:p>
    <w:p>
      <w:pPr>
        <w:spacing w:after="0" w:line="236" w:lineRule="exact"/>
        <w:rPr>
          <w:rFonts w:ascii="Arial" w:cs="Arial" w:eastAsia="Arial" w:hAnsi="Arial"/>
          <w:sz w:val="17"/>
          <w:szCs w:val="17"/>
          <w:color w:val="010000"/>
        </w:rPr>
      </w:pPr>
    </w:p>
    <w:p>
      <w:pPr>
        <w:ind w:left="-20" w:firstLine="1305"/>
        <w:spacing w:after="0" w:line="277" w:lineRule="auto"/>
        <w:tabs>
          <w:tab w:leader="none" w:pos="2175" w:val="left"/>
        </w:tabs>
        <w:numPr>
          <w:ilvl w:val="1"/>
          <w:numId w:val="52"/>
        </w:numPr>
        <w:rPr>
          <w:rFonts w:ascii="Arial" w:cs="Arial" w:eastAsia="Arial" w:hAnsi="Arial"/>
          <w:sz w:val="18"/>
          <w:szCs w:val="18"/>
          <w:color w:val="010000"/>
        </w:rPr>
      </w:pPr>
      <w:r>
        <w:rPr>
          <w:rFonts w:ascii="Arial" w:cs="Arial" w:eastAsia="Arial" w:hAnsi="Arial"/>
          <w:sz w:val="18"/>
          <w:szCs w:val="18"/>
          <w:color w:val="auto"/>
        </w:rPr>
        <w:t>If any severance, compensation, or benefit required by this Agreement is to be paid in a series of installment payments, each individual payment in the series shall be considered a separate payment for purposes of Section 409A.</w:t>
      </w:r>
    </w:p>
    <w:p>
      <w:pPr>
        <w:spacing w:after="0" w:line="170" w:lineRule="exact"/>
        <w:rPr>
          <w:rFonts w:ascii="Arial" w:cs="Arial" w:eastAsia="Arial" w:hAnsi="Arial"/>
          <w:sz w:val="18"/>
          <w:szCs w:val="18"/>
          <w:color w:val="010000"/>
        </w:rPr>
      </w:pPr>
    </w:p>
    <w:p>
      <w:pPr>
        <w:jc w:val="both"/>
        <w:ind w:left="-20" w:firstLine="1305"/>
        <w:spacing w:after="0" w:line="271" w:lineRule="auto"/>
        <w:tabs>
          <w:tab w:leader="none" w:pos="2178" w:val="left"/>
        </w:tabs>
        <w:numPr>
          <w:ilvl w:val="1"/>
          <w:numId w:val="52"/>
        </w:numPr>
        <w:rPr>
          <w:rFonts w:ascii="Arial" w:cs="Arial" w:eastAsia="Arial" w:hAnsi="Arial"/>
          <w:sz w:val="17"/>
          <w:szCs w:val="17"/>
          <w:color w:val="010000"/>
        </w:rPr>
      </w:pPr>
      <w:r>
        <w:rPr>
          <w:rFonts w:ascii="Arial" w:cs="Arial" w:eastAsia="Arial" w:hAnsi="Arial"/>
          <w:sz w:val="17"/>
          <w:szCs w:val="17"/>
          <w:color w:val="auto"/>
        </w:rPr>
        <w:t>If any severance, compensation, or benefit required by this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 (1) day after such separation from service or the Executive’s death (the “</w:t>
      </w:r>
      <w:r>
        <w:rPr>
          <w:rFonts w:ascii="Arial" w:cs="Arial" w:eastAsia="Arial" w:hAnsi="Arial"/>
          <w:sz w:val="17"/>
          <w:szCs w:val="17"/>
          <w:b w:val="1"/>
          <w:bCs w:val="1"/>
          <w:color w:val="auto"/>
        </w:rPr>
        <w:t>New Payment Date</w:t>
      </w:r>
      <w:r>
        <w:rPr>
          <w:rFonts w:ascii="Arial" w:cs="Arial" w:eastAsia="Arial" w:hAnsi="Arial"/>
          <w:sz w:val="17"/>
          <w:szCs w:val="17"/>
          <w:color w:val="auto"/>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9" w:name="page70"/>
    <w:bookmarkEnd w:id="69"/>
    <w:p>
      <w:pPr>
        <w:ind w:left="1980" w:hanging="695"/>
        <w:spacing w:after="0"/>
        <w:tabs>
          <w:tab w:leader="none" w:pos="1980"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The provisions of this Section 10 shall survive any termination of this Agreement.</w:t>
      </w:r>
    </w:p>
    <w:p>
      <w:pPr>
        <w:spacing w:after="0" w:line="225" w:lineRule="exact"/>
        <w:rPr>
          <w:rFonts w:ascii="Arial" w:cs="Arial" w:eastAsia="Arial" w:hAnsi="Arial"/>
          <w:sz w:val="18"/>
          <w:szCs w:val="18"/>
          <w:color w:val="010000"/>
        </w:rPr>
      </w:pPr>
    </w:p>
    <w:p>
      <w:pPr>
        <w:ind w:left="1340" w:hanging="704"/>
        <w:spacing w:after="0"/>
        <w:tabs>
          <w:tab w:leader="none" w:pos="1340"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Section 280G.</w:t>
      </w:r>
    </w:p>
    <w:p>
      <w:pPr>
        <w:spacing w:after="0" w:line="225" w:lineRule="exact"/>
        <w:rPr>
          <w:rFonts w:ascii="Arial" w:cs="Arial" w:eastAsia="Arial" w:hAnsi="Arial"/>
          <w:sz w:val="18"/>
          <w:szCs w:val="18"/>
          <w:color w:val="010000"/>
        </w:rPr>
      </w:pPr>
    </w:p>
    <w:p>
      <w:pPr>
        <w:jc w:val="both"/>
        <w:ind w:left="-20" w:firstLine="1305"/>
        <w:spacing w:after="0" w:line="288" w:lineRule="auto"/>
        <w:tabs>
          <w:tab w:leader="none" w:pos="2043"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6"/>
          <w:szCs w:val="16"/>
          <w:b w:val="1"/>
          <w:bCs w:val="1"/>
          <w:color w:val="auto"/>
        </w:rPr>
        <w:t>Covered Payments</w:t>
      </w:r>
      <w:r>
        <w:rPr>
          <w:rFonts w:ascii="Arial" w:cs="Arial" w:eastAsia="Arial" w:hAnsi="Arial"/>
          <w:sz w:val="16"/>
          <w:szCs w:val="16"/>
          <w:color w:val="auto"/>
        </w:rPr>
        <w:t>”) constitute parachute payments (“</w:t>
      </w:r>
      <w:r>
        <w:rPr>
          <w:rFonts w:ascii="Arial" w:cs="Arial" w:eastAsia="Arial" w:hAnsi="Arial"/>
          <w:sz w:val="16"/>
          <w:szCs w:val="16"/>
          <w:b w:val="1"/>
          <w:bCs w:val="1"/>
          <w:color w:val="auto"/>
        </w:rPr>
        <w:t>Parachute Payments</w:t>
      </w:r>
      <w:r>
        <w:rPr>
          <w:rFonts w:ascii="Arial" w:cs="Arial" w:eastAsia="Arial" w:hAnsi="Arial"/>
          <w:sz w:val="16"/>
          <w:szCs w:val="16"/>
          <w:color w:val="auto"/>
        </w:rPr>
        <w:t>”) within the meaning of Section 280G of the Code and would, but for this Section 11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6"/>
          <w:szCs w:val="16"/>
          <w:b w:val="1"/>
          <w:bCs w:val="1"/>
          <w:color w:val="auto"/>
        </w:rPr>
        <w:t>Excise Tax</w:t>
      </w:r>
      <w:r>
        <w:rPr>
          <w:rFonts w:ascii="Arial" w:cs="Arial" w:eastAsia="Arial" w:hAnsi="Arial"/>
          <w:sz w:val="16"/>
          <w:szCs w:val="16"/>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6"/>
          <w:szCs w:val="16"/>
          <w:b w:val="1"/>
          <w:bCs w:val="1"/>
          <w:color w:val="auto"/>
        </w:rPr>
        <w:t>Reduced Amount</w:t>
      </w:r>
      <w:r>
        <w:rPr>
          <w:rFonts w:ascii="Arial" w:cs="Arial" w:eastAsia="Arial" w:hAnsi="Arial"/>
          <w:sz w:val="16"/>
          <w:szCs w:val="16"/>
          <w:color w:val="auto"/>
        </w:rPr>
        <w:t>”). “</w:t>
      </w:r>
      <w:r>
        <w:rPr>
          <w:rFonts w:ascii="Arial" w:cs="Arial" w:eastAsia="Arial" w:hAnsi="Arial"/>
          <w:sz w:val="16"/>
          <w:szCs w:val="16"/>
          <w:b w:val="1"/>
          <w:bCs w:val="1"/>
          <w:color w:val="auto"/>
        </w:rPr>
        <w:t>Net Benefit</w:t>
      </w:r>
      <w:r>
        <w:rPr>
          <w:rFonts w:ascii="Arial" w:cs="Arial" w:eastAsia="Arial" w:hAnsi="Arial"/>
          <w:sz w:val="16"/>
          <w:szCs w:val="16"/>
          <w:color w:val="auto"/>
        </w:rPr>
        <w:t>” shall mean the present value of the Covered Payments net of all federal, state, local, foreign income, employment and excise taxes.</w:t>
      </w:r>
    </w:p>
    <w:p>
      <w:pPr>
        <w:spacing w:after="0" w:line="169" w:lineRule="exact"/>
        <w:rPr>
          <w:rFonts w:ascii="Arial" w:cs="Arial" w:eastAsia="Arial" w:hAnsi="Arial"/>
          <w:sz w:val="16"/>
          <w:szCs w:val="16"/>
          <w:color w:val="010000"/>
        </w:rPr>
      </w:pPr>
    </w:p>
    <w:p>
      <w:pPr>
        <w:jc w:val="both"/>
        <w:ind w:left="-20" w:firstLine="1305"/>
        <w:spacing w:after="0" w:line="259" w:lineRule="auto"/>
        <w:tabs>
          <w:tab w:leader="none" w:pos="2148"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86" w:lineRule="exact"/>
        <w:rPr>
          <w:rFonts w:ascii="Arial" w:cs="Arial" w:eastAsia="Arial" w:hAnsi="Arial"/>
          <w:sz w:val="18"/>
          <w:szCs w:val="18"/>
          <w:color w:val="010000"/>
        </w:rPr>
      </w:pPr>
    </w:p>
    <w:p>
      <w:pPr>
        <w:jc w:val="both"/>
        <w:ind w:left="-20" w:firstLine="1305"/>
        <w:spacing w:after="0" w:line="254" w:lineRule="auto"/>
        <w:tabs>
          <w:tab w:leader="none" w:pos="2178"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Any determination required under this Section 11 shall be made in writing in good faith by the accounting firm that was the Company’s independent auditor immediately before the Change of Control (the “</w:t>
      </w:r>
      <w:r>
        <w:rPr>
          <w:rFonts w:ascii="Arial" w:cs="Arial" w:eastAsia="Arial" w:hAnsi="Arial"/>
          <w:sz w:val="18"/>
          <w:szCs w:val="18"/>
          <w:b w:val="1"/>
          <w:bCs w:val="1"/>
          <w:color w:val="auto"/>
        </w:rPr>
        <w:t>Accounting Firm</w:t>
      </w:r>
      <w:r>
        <w:rPr>
          <w:rFonts w:ascii="Arial" w:cs="Arial" w:eastAsia="Arial" w:hAnsi="Arial"/>
          <w:sz w:val="18"/>
          <w:szCs w:val="18"/>
          <w:color w:val="auto"/>
        </w:rPr>
        <w:t>”). The Accounting Firm shall provide detailed supporting calculations to the Company and the Executive as requested by the Company or the Executive. The Company and the Executive shall provide the Accounting Firm with such information and documents as the Accounting Firm may reasonably request in order to make a determination under this Section 11. For purposes of making the calculations and determinations required by this Section 11,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0" w:name="page71"/>
    <w:bookmarkEnd w:id="70"/>
    <w:p>
      <w:pPr>
        <w:jc w:val="both"/>
        <w:ind w:firstLine="1305"/>
        <w:spacing w:after="0" w:line="264" w:lineRule="auto"/>
        <w:tabs>
          <w:tab w:leader="none" w:pos="2181"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It is possible that after the determinations and selections made pursuant to this Section 11 the Executive will receive Covered Payments that are in the aggregate more than the amount provided under this Section 11 (“</w:t>
      </w:r>
      <w:r>
        <w:rPr>
          <w:rFonts w:ascii="Arial" w:cs="Arial" w:eastAsia="Arial" w:hAnsi="Arial"/>
          <w:sz w:val="18"/>
          <w:szCs w:val="18"/>
          <w:b w:val="1"/>
          <w:bCs w:val="1"/>
          <w:color w:val="auto"/>
        </w:rPr>
        <w:t>Overpaymen</w:t>
      </w:r>
      <w:r>
        <w:rPr>
          <w:rFonts w:ascii="Arial" w:cs="Arial" w:eastAsia="Arial" w:hAnsi="Arial"/>
          <w:sz w:val="18"/>
          <w:szCs w:val="18"/>
          <w:color w:val="auto"/>
        </w:rPr>
        <w:t>t”) or less than the amount provided under this Section 11 (“</w:t>
      </w:r>
      <w:r>
        <w:rPr>
          <w:rFonts w:ascii="Arial" w:cs="Arial" w:eastAsia="Arial" w:hAnsi="Arial"/>
          <w:sz w:val="18"/>
          <w:szCs w:val="18"/>
          <w:b w:val="1"/>
          <w:bCs w:val="1"/>
          <w:color w:val="auto"/>
        </w:rPr>
        <w:t>Underpayment</w:t>
      </w:r>
      <w:r>
        <w:rPr>
          <w:rFonts w:ascii="Arial" w:cs="Arial" w:eastAsia="Arial" w:hAnsi="Arial"/>
          <w:sz w:val="18"/>
          <w:szCs w:val="18"/>
          <w:color w:val="auto"/>
        </w:rPr>
        <w:t>”).</w:t>
      </w:r>
    </w:p>
    <w:p>
      <w:pPr>
        <w:spacing w:after="0" w:line="181" w:lineRule="exact"/>
        <w:rPr>
          <w:rFonts w:ascii="Arial" w:cs="Arial" w:eastAsia="Arial" w:hAnsi="Arial"/>
          <w:sz w:val="18"/>
          <w:szCs w:val="18"/>
          <w:color w:val="010000"/>
        </w:rPr>
      </w:pPr>
    </w:p>
    <w:p>
      <w:pPr>
        <w:jc w:val="both"/>
        <w:ind w:firstLine="1953"/>
        <w:spacing w:after="0" w:line="279" w:lineRule="auto"/>
        <w:tabs>
          <w:tab w:leader="none" w:pos="2632" w:val="left"/>
        </w:tabs>
        <w:numPr>
          <w:ilvl w:val="2"/>
          <w:numId w:val="55"/>
        </w:numPr>
        <w:rPr>
          <w:rFonts w:ascii="Arial" w:cs="Arial" w:eastAsia="Arial" w:hAnsi="Arial"/>
          <w:sz w:val="17"/>
          <w:szCs w:val="17"/>
          <w:color w:val="010000"/>
        </w:rPr>
      </w:pPr>
      <w:r>
        <w:rPr>
          <w:rFonts w:ascii="Arial" w:cs="Arial" w:eastAsia="Arial" w:hAnsi="Arial"/>
          <w:sz w:val="17"/>
          <w:szCs w:val="17"/>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71" w:lineRule="exact"/>
        <w:rPr>
          <w:rFonts w:ascii="Arial" w:cs="Arial" w:eastAsia="Arial" w:hAnsi="Arial"/>
          <w:sz w:val="17"/>
          <w:szCs w:val="17"/>
          <w:color w:val="010000"/>
        </w:rPr>
      </w:pPr>
    </w:p>
    <w:p>
      <w:pPr>
        <w:jc w:val="both"/>
        <w:ind w:firstLine="1953"/>
        <w:spacing w:after="0" w:line="264" w:lineRule="auto"/>
        <w:tabs>
          <w:tab w:leader="none" w:pos="2651" w:val="left"/>
        </w:tabs>
        <w:numPr>
          <w:ilvl w:val="2"/>
          <w:numId w:val="55"/>
        </w:numPr>
        <w:rPr>
          <w:rFonts w:ascii="Arial" w:cs="Arial" w:eastAsia="Arial" w:hAnsi="Arial"/>
          <w:sz w:val="18"/>
          <w:szCs w:val="18"/>
          <w:color w:val="010000"/>
        </w:rPr>
      </w:pPr>
      <w:r>
        <w:rPr>
          <w:rFonts w:ascii="Arial" w:cs="Arial" w:eastAsia="Arial" w:hAnsi="Arial"/>
          <w:sz w:val="18"/>
          <w:szCs w:val="18"/>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81" w:lineRule="exact"/>
        <w:rPr>
          <w:rFonts w:ascii="Arial" w:cs="Arial" w:eastAsia="Arial" w:hAnsi="Arial"/>
          <w:sz w:val="18"/>
          <w:szCs w:val="18"/>
          <w:color w:val="010000"/>
        </w:rPr>
      </w:pPr>
    </w:p>
    <w:p>
      <w:pPr>
        <w:ind w:left="1380" w:hanging="724"/>
        <w:spacing w:after="0"/>
        <w:tabs>
          <w:tab w:leader="none" w:pos="1380" w:val="left"/>
        </w:tabs>
        <w:numPr>
          <w:ilvl w:val="0"/>
          <w:numId w:val="56"/>
        </w:numPr>
        <w:rPr>
          <w:rFonts w:ascii="Arial" w:cs="Arial" w:eastAsia="Arial" w:hAnsi="Arial"/>
          <w:sz w:val="18"/>
          <w:szCs w:val="18"/>
          <w:color w:val="010000"/>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firstLine="1305"/>
        <w:spacing w:after="0" w:line="277" w:lineRule="auto"/>
        <w:tabs>
          <w:tab w:leader="none" w:pos="2225"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This Agreement shall be governed by, and construed and interpreted in accordance with, the laws of the State of California, without giving effect to its principles of conflicts of laws.</w:t>
      </w:r>
    </w:p>
    <w:p>
      <w:pPr>
        <w:spacing w:after="0" w:line="170" w:lineRule="exact"/>
        <w:rPr>
          <w:rFonts w:ascii="Arial" w:cs="Arial" w:eastAsia="Arial" w:hAnsi="Arial"/>
          <w:sz w:val="18"/>
          <w:szCs w:val="18"/>
          <w:color w:val="010000"/>
        </w:rPr>
      </w:pPr>
    </w:p>
    <w:p>
      <w:pPr>
        <w:jc w:val="both"/>
        <w:ind w:firstLine="1305"/>
        <w:spacing w:after="0" w:line="257" w:lineRule="auto"/>
        <w:tabs>
          <w:tab w:leader="none" w:pos="2087"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In the event of any dispute arising out of, or relating to, this Agreement or the breach thereof (other than Sections 5 or 6 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12(g) below.</w:t>
      </w:r>
    </w:p>
    <w:p>
      <w:pPr>
        <w:spacing w:after="0" w:line="188" w:lineRule="exact"/>
        <w:rPr>
          <w:rFonts w:ascii="Arial" w:cs="Arial" w:eastAsia="Arial" w:hAnsi="Arial"/>
          <w:sz w:val="18"/>
          <w:szCs w:val="18"/>
          <w:color w:val="010000"/>
        </w:rPr>
      </w:pPr>
    </w:p>
    <w:p>
      <w:pPr>
        <w:ind w:right="20" w:firstLine="1305"/>
        <w:spacing w:after="0" w:line="277" w:lineRule="auto"/>
        <w:tabs>
          <w:tab w:leader="none" w:pos="2455"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This Agreement shall be binding upon and inure to the benefit of the parties hereto, and their respective heirs, legal representatives, successors and permitted assigns.</w:t>
      </w:r>
    </w:p>
    <w:p>
      <w:pPr>
        <w:spacing w:after="0" w:line="170" w:lineRule="exact"/>
        <w:rPr>
          <w:rFonts w:ascii="Arial" w:cs="Arial" w:eastAsia="Arial" w:hAnsi="Arial"/>
          <w:sz w:val="18"/>
          <w:szCs w:val="18"/>
          <w:color w:val="010000"/>
        </w:rPr>
      </w:pPr>
    </w:p>
    <w:p>
      <w:pPr>
        <w:jc w:val="both"/>
        <w:ind w:firstLine="1305"/>
        <w:spacing w:after="0" w:line="312" w:lineRule="auto"/>
        <w:tabs>
          <w:tab w:leader="none" w:pos="2208" w:val="left"/>
        </w:tabs>
        <w:numPr>
          <w:ilvl w:val="1"/>
          <w:numId w:val="56"/>
        </w:numPr>
        <w:rPr>
          <w:rFonts w:ascii="Arial" w:cs="Arial" w:eastAsia="Arial" w:hAnsi="Arial"/>
          <w:sz w:val="16"/>
          <w:szCs w:val="16"/>
          <w:color w:val="010000"/>
        </w:rPr>
      </w:pPr>
      <w:r>
        <w:rPr>
          <w:rFonts w:ascii="Arial" w:cs="Arial" w:eastAsia="Arial" w:hAnsi="Arial"/>
          <w:sz w:val="16"/>
          <w:szCs w:val="16"/>
          <w:color w:val="auto"/>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46" w:lineRule="exact"/>
        <w:rPr>
          <w:rFonts w:ascii="Arial" w:cs="Arial" w:eastAsia="Arial" w:hAnsi="Arial"/>
          <w:sz w:val="16"/>
          <w:szCs w:val="16"/>
          <w:color w:val="010000"/>
        </w:rPr>
      </w:pPr>
    </w:p>
    <w:p>
      <w:pPr>
        <w:ind w:left="2080" w:hanging="775"/>
        <w:spacing w:after="0"/>
        <w:tabs>
          <w:tab w:leader="none" w:pos="2080" w:val="left"/>
        </w:tabs>
        <w:numPr>
          <w:ilvl w:val="1"/>
          <w:numId w:val="56"/>
        </w:numPr>
        <w:rPr>
          <w:rFonts w:ascii="Arial" w:cs="Arial" w:eastAsia="Arial" w:hAnsi="Arial"/>
          <w:sz w:val="16"/>
          <w:szCs w:val="16"/>
          <w:color w:val="010000"/>
        </w:rPr>
      </w:pPr>
      <w:r>
        <w:rPr>
          <w:rFonts w:ascii="Arial" w:cs="Arial" w:eastAsia="Arial" w:hAnsi="Arial"/>
          <w:sz w:val="16"/>
          <w:szCs w:val="16"/>
          <w:color w:val="auto"/>
        </w:rPr>
        <w:t>This Agreement cannot be amended orally, or by any course of conduct or dealing, but only by a written agreement signed by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parties hereto.</w:t>
      </w:r>
    </w:p>
    <w:p>
      <w:pPr>
        <w:spacing w:after="0" w:line="210" w:lineRule="exact"/>
        <w:rPr>
          <w:rFonts w:ascii="Arial" w:cs="Arial" w:eastAsia="Arial" w:hAnsi="Arial"/>
          <w:sz w:val="16"/>
          <w:szCs w:val="16"/>
          <w:color w:val="010000"/>
        </w:rPr>
      </w:pPr>
    </w:p>
    <w:p>
      <w:pPr>
        <w:jc w:val="both"/>
        <w:ind w:firstLine="1305"/>
        <w:spacing w:after="0" w:line="259" w:lineRule="auto"/>
        <w:tabs>
          <w:tab w:leader="none" w:pos="2084"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1305"/>
        <w:spacing w:after="0" w:line="257" w:lineRule="auto"/>
        <w:tabs>
          <w:tab w:leader="none" w:pos="2168"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All notices, requests, consents and other communications, required or permitted to be given hereunder, shall be in writing and shall be delivered personally or by an overnight courier service or sent by registered or certified mail, postage prepaid, return receipt requested, to the parties at the addresses set forth on the first page of this Agreement,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12(g).</w:t>
      </w:r>
    </w:p>
    <w:p>
      <w:pPr>
        <w:spacing w:after="0" w:line="188" w:lineRule="exact"/>
        <w:rPr>
          <w:rFonts w:ascii="Arial" w:cs="Arial" w:eastAsia="Arial" w:hAnsi="Arial"/>
          <w:sz w:val="18"/>
          <w:szCs w:val="18"/>
          <w:color w:val="010000"/>
        </w:rPr>
      </w:pPr>
    </w:p>
    <w:p>
      <w:pPr>
        <w:jc w:val="both"/>
        <w:ind w:firstLine="1305"/>
        <w:spacing w:after="0" w:line="259" w:lineRule="auto"/>
        <w:tabs>
          <w:tab w:leader="none" w:pos="2303"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186" w:lineRule="exact"/>
        <w:rPr>
          <w:rFonts w:ascii="Arial" w:cs="Arial" w:eastAsia="Arial" w:hAnsi="Arial"/>
          <w:sz w:val="18"/>
          <w:szCs w:val="18"/>
          <w:color w:val="010000"/>
        </w:rPr>
      </w:pPr>
    </w:p>
    <w:p>
      <w:pPr>
        <w:ind w:firstLine="1305"/>
        <w:spacing w:after="0" w:line="277" w:lineRule="auto"/>
        <w:tabs>
          <w:tab w:leader="none" w:pos="2168"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As used in this Agreement, “affiliate” of a specified person or entity shall mean and include any person or entity controlling, controlled by or under common control with the specified person or entity.</w:t>
      </w:r>
    </w:p>
    <w:p>
      <w:pPr>
        <w:spacing w:after="0" w:line="170" w:lineRule="exact"/>
        <w:rPr>
          <w:rFonts w:ascii="Arial" w:cs="Arial" w:eastAsia="Arial" w:hAnsi="Arial"/>
          <w:sz w:val="18"/>
          <w:szCs w:val="18"/>
          <w:color w:val="010000"/>
        </w:rPr>
      </w:pPr>
    </w:p>
    <w:p>
      <w:pPr>
        <w:ind w:left="2400" w:hanging="1095"/>
        <w:spacing w:after="0"/>
        <w:tabs>
          <w:tab w:leader="none" w:pos="2400"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The section headings contained herein are for reference purposes only and shall not in any way affect the meaning or</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interpretation of this Agreement.</w:t>
      </w:r>
    </w:p>
    <w:p>
      <w:pPr>
        <w:spacing w:after="0" w:line="210" w:lineRule="exact"/>
        <w:rPr>
          <w:rFonts w:ascii="Arial" w:cs="Arial" w:eastAsia="Arial" w:hAnsi="Arial"/>
          <w:sz w:val="17"/>
          <w:szCs w:val="17"/>
          <w:color w:val="010000"/>
        </w:rPr>
      </w:pPr>
    </w:p>
    <w:p>
      <w:pPr>
        <w:ind w:firstLine="1305"/>
        <w:spacing w:after="0" w:line="277" w:lineRule="auto"/>
        <w:tabs>
          <w:tab w:leader="none" w:pos="2222"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This Agreement may be executed in any number of counterparts, each of which shall constitute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and intend it to be effective as of the Effective Date by proper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ASSEMBLY BIOSCIENCES,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Small</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Derek Small</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Graham Cooper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Graham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Graham Cooper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Labor Code Section 2870. Application of provision providing that employee shall assign or offer to assign rights in invention to employer.</w:t>
      </w:r>
    </w:p>
    <w:p>
      <w:pPr>
        <w:spacing w:after="0" w:line="252" w:lineRule="exact"/>
        <w:rPr>
          <w:sz w:val="20"/>
          <w:szCs w:val="20"/>
          <w:color w:val="auto"/>
        </w:rPr>
      </w:pPr>
    </w:p>
    <w:p>
      <w:pPr>
        <w:ind w:left="660" w:right="120" w:hanging="4"/>
        <w:spacing w:after="0" w:line="286"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65" w:lineRule="exact"/>
        <w:rPr>
          <w:rFonts w:ascii="Arial" w:cs="Arial" w:eastAsia="Arial" w:hAnsi="Arial"/>
          <w:sz w:val="17"/>
          <w:szCs w:val="17"/>
          <w:color w:val="auto"/>
        </w:rPr>
      </w:pPr>
    </w:p>
    <w:p>
      <w:pPr>
        <w:ind w:left="1960" w:right="700" w:hanging="7"/>
        <w:spacing w:after="0" w:line="277" w:lineRule="auto"/>
        <w:tabs>
          <w:tab w:leader="none" w:pos="25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70" w:lineRule="exact"/>
        <w:rPr>
          <w:rFonts w:ascii="Arial" w:cs="Arial" w:eastAsia="Arial" w:hAnsi="Arial"/>
          <w:sz w:val="18"/>
          <w:szCs w:val="18"/>
          <w:color w:val="auto"/>
        </w:rPr>
      </w:pPr>
    </w:p>
    <w:p>
      <w:pPr>
        <w:ind w:left="2560" w:hanging="607"/>
        <w:spacing w:after="0"/>
        <w:tabs>
          <w:tab w:leader="none" w:pos="25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his employer.</w:t>
      </w:r>
    </w:p>
    <w:p>
      <w:pPr>
        <w:spacing w:after="0" w:line="225" w:lineRule="exact"/>
        <w:rPr>
          <w:rFonts w:ascii="Arial" w:cs="Arial" w:eastAsia="Arial" w:hAnsi="Arial"/>
          <w:sz w:val="18"/>
          <w:szCs w:val="18"/>
          <w:color w:val="auto"/>
        </w:rPr>
      </w:pPr>
    </w:p>
    <w:p>
      <w:pPr>
        <w:ind w:left="660" w:right="300" w:hanging="4"/>
        <w:spacing w:after="0" w:line="342" w:lineRule="auto"/>
        <w:tabs>
          <w:tab w:leader="none" w:pos="131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A. Small, certify that:</w:t>
      </w:r>
    </w:p>
    <w:p>
      <w:pPr>
        <w:spacing w:after="0" w:line="225"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Assembly Biosciences,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00"/>
        <w:spacing w:after="0" w:line="264" w:lineRule="auto"/>
        <w:tabs>
          <w:tab w:leader="none" w:pos="10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spacing w:after="0" w:line="264" w:lineRule="auto"/>
        <w:tabs>
          <w:tab w:leader="none" w:pos="114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00"/>
        <w:spacing w:after="0" w:line="308" w:lineRule="auto"/>
        <w:tabs>
          <w:tab w:leader="none" w:pos="1153"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00"/>
        <w:spacing w:after="0" w:line="264" w:lineRule="auto"/>
        <w:tabs>
          <w:tab w:leader="none" w:pos="1086"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3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00"/>
        <w:spacing w:after="0" w:line="277" w:lineRule="auto"/>
        <w:tabs>
          <w:tab w:leader="none" w:pos="10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0"/>
        <w:spacing w:after="0" w:line="277"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Graham Cooper, certify that:</w:t>
      </w:r>
    </w:p>
    <w:p>
      <w:pPr>
        <w:spacing w:after="0" w:line="225"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Assembly Biosciences,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00"/>
        <w:spacing w:after="0" w:line="264" w:lineRule="auto"/>
        <w:tabs>
          <w:tab w:leader="none" w:pos="107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spacing w:after="0" w:line="264" w:lineRule="auto"/>
        <w:tabs>
          <w:tab w:leader="none" w:pos="1142"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00"/>
        <w:spacing w:after="0" w:line="308" w:lineRule="auto"/>
        <w:tabs>
          <w:tab w:leader="none" w:pos="1153"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00"/>
        <w:spacing w:after="0" w:line="264" w:lineRule="auto"/>
        <w:tabs>
          <w:tab w:leader="none" w:pos="10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3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00"/>
        <w:spacing w:after="0" w:line="277" w:lineRule="auto"/>
        <w:tabs>
          <w:tab w:leader="none" w:pos="10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0"/>
        <w:spacing w:after="0" w:line="277"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Graham Cooper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Graham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Assembly Biosciences, Inc. (the Company) for the period ended March 31, 2018 as filed with the Securities and Exchange Commission on or about the date hereof (the Report), I, Derek A. Small, Chief Executive Officer, hereby certify, pursuant to 18 U.S.C. Section 1350, as adopted pursuant to Section 906 of the Sarbanes-Oxley Act of 2002, that, to my knowledge:</w:t>
      </w:r>
    </w:p>
    <w:p>
      <w:pPr>
        <w:spacing w:after="0" w:line="181" w:lineRule="exact"/>
        <w:rPr>
          <w:sz w:val="20"/>
          <w:szCs w:val="20"/>
          <w:color w:val="auto"/>
        </w:rPr>
      </w:pPr>
    </w:p>
    <w:p>
      <w:pPr>
        <w:ind w:left="1200" w:hanging="400"/>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spacing w:after="0" w:line="277" w:lineRule="auto"/>
        <w:tabs>
          <w:tab w:leader="none" w:pos="12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Derek A. Small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Assembly Biosciences, Inc. (the Company) for the period ended March 31, 2018 as filed with the Securities and Exchange Commission on or about the date hereof (the Report), I, Graham Cooper, Chief Financial Officer, hereby certify, pursuant to 18 U.S.C. Section 1350, as adopted pursuant to Section 906 of the Sarbanes-Oxley Act of 2002, that, to my knowledge:</w:t>
      </w:r>
    </w:p>
    <w:p>
      <w:pPr>
        <w:spacing w:after="0" w:line="181" w:lineRule="exact"/>
        <w:rPr>
          <w:sz w:val="20"/>
          <w:szCs w:val="20"/>
          <w:color w:val="auto"/>
        </w:rPr>
      </w:pPr>
    </w:p>
    <w:p>
      <w:pPr>
        <w:ind w:left="1200" w:hanging="400"/>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spacing w:after="0" w:line="277" w:lineRule="auto"/>
        <w:tabs>
          <w:tab w:leader="none" w:pos="128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Graham Cooper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lvl w:ilvl="1">
      <w:lvlJc w:val="left"/>
      <w:lvlText w:val="(%2)"/>
      <w:numFmt w:val="lowerLetter"/>
      <w:start w:val="1"/>
    </w:lvl>
  </w:abstractNum>
  <w:abstractNum w:abstractNumId="34">
    <w:nsid w:val="32FFF902"/>
    <w:multiLevelType w:val="hybridMultilevel"/>
    <w:lvl w:ilvl="0">
      <w:lvlJc w:val="left"/>
      <w:lvlText w:val="%1."/>
      <w:numFmt w:val="decimal"/>
      <w:start w:val="4"/>
    </w:lvl>
    <w:lvl w:ilvl="1">
      <w:lvlJc w:val="left"/>
      <w:lvlText w:val="(%2)"/>
      <w:numFmt w:val="lowerLetter"/>
      <w:start w:val="1"/>
    </w:lvl>
  </w:abstractNum>
  <w:abstractNum w:abstractNumId="35">
    <w:nsid w:val="684A481A"/>
    <w:multiLevelType w:val="hybridMultilevel"/>
    <w:lvl w:ilvl="0">
      <w:lvlJc w:val="left"/>
      <w:lvlText w:val="%1"/>
      <w:numFmt w:val="decimal"/>
      <w:start w:val="1"/>
    </w:lvl>
    <w:lvl w:ilvl="1">
      <w:lvlJc w:val="left"/>
      <w:lvlText w:val="(%2)"/>
      <w:numFmt w:val="lowerLetter"/>
      <w:start w:val="5"/>
    </w:lvl>
  </w:abstractNum>
  <w:abstractNum w:abstractNumId="36">
    <w:nsid w:val="579478FE"/>
    <w:multiLevelType w:val="hybridMultilevel"/>
    <w:lvl w:ilvl="0">
      <w:lvlJc w:val="left"/>
      <w:lvlText w:val="%1."/>
      <w:numFmt w:val="decimal"/>
      <w:start w:val="5"/>
    </w:lvl>
    <w:lvl w:ilvl="1">
      <w:lvlJc w:val="left"/>
      <w:lvlText w:val="(%2)"/>
      <w:numFmt w:val="lowerLetter"/>
      <w:start w:val="1"/>
    </w:lvl>
  </w:abstractNum>
  <w:abstractNum w:abstractNumId="37">
    <w:nsid w:val="749ABB43"/>
    <w:multiLevelType w:val="hybridMultilevel"/>
    <w:lvl w:ilvl="0">
      <w:lvlJc w:val="left"/>
      <w:lvlText w:val="(%1)"/>
      <w:numFmt w:val="lowerLetter"/>
      <w:start w:val="2"/>
    </w:lvl>
  </w:abstractNum>
  <w:abstractNum w:abstractNumId="38">
    <w:nsid w:val="3DC240FB"/>
    <w:multiLevelType w:val="hybridMultilevel"/>
    <w:lvl w:ilvl="0">
      <w:lvlJc w:val="left"/>
      <w:lvlText w:val="(%1)"/>
      <w:numFmt w:val="lowerRoman"/>
      <w:start w:val="1"/>
    </w:lvl>
  </w:abstractNum>
  <w:abstractNum w:abstractNumId="39">
    <w:nsid w:val="1BA026F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0">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1">
    <w:nsid w:val="75C6C33A"/>
    <w:multiLevelType w:val="hybridMultilevel"/>
    <w:lvl w:ilvl="0">
      <w:lvlJc w:val="left"/>
      <w:lvlText w:val="(%1)"/>
      <w:numFmt w:val="lowerLetter"/>
      <w:start w:val="2"/>
    </w:lvl>
  </w:abstractNum>
  <w:abstractNum w:abstractNumId="42">
    <w:nsid w:val="12E685F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3">
    <w:nsid w:val="70C6A52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4">
    <w:nsid w:val="520EEDD1"/>
    <w:multiLevelType w:val="hybridMultilevel"/>
    <w:lvl w:ilvl="0">
      <w:lvlJc w:val="left"/>
      <w:lvlText w:val="(%1)"/>
      <w:numFmt w:val="lowerRoman"/>
      <w:start w:val="2"/>
    </w:lvl>
  </w:abstractNum>
  <w:abstractNum w:abstractNumId="45">
    <w:nsid w:val="374A3FE6"/>
    <w:multiLevelType w:val="hybridMultilevel"/>
    <w:lvl w:ilvl="0">
      <w:lvlJc w:val="left"/>
      <w:lvlText w:val="(%1)"/>
      <w:numFmt w:val="lowerLetter"/>
      <w:start w:val="2"/>
    </w:lvl>
  </w:abstractNum>
  <w:abstractNum w:abstractNumId="46">
    <w:nsid w:val="4F4EF005"/>
    <w:multiLevelType w:val="hybridMultilevel"/>
    <w:lvl w:ilvl="0">
      <w:lvlJc w:val="left"/>
      <w:lvlText w:val="(%1)"/>
      <w:numFmt w:val="lowerLetter"/>
      <w:start w:val="3"/>
    </w:lvl>
  </w:abstractNum>
  <w:abstractNum w:abstractNumId="47">
    <w:nsid w:val="23F9C13C"/>
    <w:multiLevelType w:val="hybridMultilevel"/>
    <w:lvl w:ilvl="0">
      <w:lvlJc w:val="left"/>
      <w:lvlText w:val="%1"/>
      <w:numFmt w:val="decimal"/>
      <w:start w:val="1"/>
    </w:lvl>
    <w:lvl w:ilvl="1">
      <w:lvlJc w:val="left"/>
      <w:lvlText w:val="(%2)"/>
      <w:numFmt w:val="lowerLetter"/>
      <w:start w:val="5"/>
    </w:lvl>
  </w:abstractNum>
  <w:abstractNum w:abstractNumId="48">
    <w:nsid w:val="649BB77C"/>
    <w:multiLevelType w:val="hybridMultilevel"/>
    <w:lvl w:ilvl="0">
      <w:lvlJc w:val="left"/>
      <w:lvlText w:val="%1."/>
      <w:numFmt w:val="decimal"/>
      <w:start w:val="9"/>
    </w:lvl>
    <w:lvl w:ilvl="1">
      <w:lvlJc w:val="left"/>
      <w:lvlText w:val="(%2)"/>
      <w:numFmt w:val="lowerLetter"/>
      <w:start w:val="1"/>
    </w:lvl>
  </w:abstractNum>
  <w:abstractNum w:abstractNumId="49">
    <w:nsid w:val="275AC794"/>
    <w:multiLevelType w:val="hybridMultilevel"/>
    <w:lvl w:ilvl="0">
      <w:lvlJc w:val="left"/>
      <w:lvlText w:val="(%1)"/>
      <w:numFmt w:val="lowerLetter"/>
      <w:start w:val="3"/>
    </w:lvl>
  </w:abstractNum>
  <w:abstractNum w:abstractNumId="50">
    <w:nsid w:val="39386575"/>
    <w:multiLevelType w:val="hybridMultilevel"/>
    <w:lvl w:ilvl="0">
      <w:lvlJc w:val="left"/>
      <w:lvlText w:val="%1"/>
      <w:numFmt w:val="decimal"/>
      <w:start w:val="1"/>
    </w:lvl>
    <w:lvl w:ilvl="1">
      <w:lvlJc w:val="left"/>
      <w:lvlText w:val="(%2)"/>
      <w:numFmt w:val="lowerLetter"/>
      <w:start w:val="4"/>
    </w:lvl>
  </w:abstractNum>
  <w:abstractNum w:abstractNumId="51">
    <w:nsid w:val="1CF10FD8"/>
    <w:multiLevelType w:val="hybridMultilevel"/>
    <w:lvl w:ilvl="0">
      <w:lvlJc w:val="left"/>
      <w:lvlText w:val="%1."/>
      <w:numFmt w:val="decimal"/>
      <w:start w:val="10"/>
    </w:lvl>
    <w:lvl w:ilvl="1">
      <w:lvlJc w:val="left"/>
      <w:lvlText w:val="(%2)"/>
      <w:numFmt w:val="lowerLetter"/>
      <w:start w:val="1"/>
    </w:lvl>
  </w:abstractNum>
  <w:abstractNum w:abstractNumId="52">
    <w:nsid w:val="180115BE"/>
    <w:multiLevelType w:val="hybridMultilevel"/>
    <w:lvl w:ilvl="0">
      <w:lvlJc w:val="left"/>
      <w:lvlText w:val="%1"/>
      <w:numFmt w:val="decimal"/>
      <w:start w:val="1"/>
    </w:lvl>
    <w:lvl w:ilvl="1">
      <w:lvlJc w:val="left"/>
      <w:lvlText w:val="(%2)"/>
      <w:numFmt w:val="lowerLetter"/>
      <w:start w:val="4"/>
    </w:lvl>
  </w:abstractNum>
  <w:abstractNum w:abstractNumId="53">
    <w:nsid w:val="235BA861"/>
    <w:multiLevelType w:val="hybridMultilevel"/>
    <w:lvl w:ilvl="0">
      <w:lvlJc w:val="left"/>
      <w:lvlText w:val="%1."/>
      <w:numFmt w:val="decimal"/>
      <w:start w:val="11"/>
    </w:lvl>
    <w:lvl w:ilvl="1">
      <w:lvlJc w:val="left"/>
      <w:lvlText w:val="(%2)"/>
      <w:numFmt w:val="lowerLetter"/>
      <w:start w:val="1"/>
    </w:lvl>
  </w:abstractNum>
  <w:abstractNum w:abstractNumId="54">
    <w:nsid w:val="47398C8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5">
    <w:nsid w:val="354FE9F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6">
    <w:nsid w:val="15B5AF5C"/>
    <w:multiLevelType w:val="hybridMultilevel"/>
    <w:lvl w:ilvl="0">
      <w:lvlJc w:val="left"/>
      <w:lvlText w:val="(%1)"/>
      <w:numFmt w:val="lowerLetter"/>
      <w:start w:val="7"/>
    </w:lvl>
  </w:abstractNum>
  <w:abstractNum w:abstractNumId="57">
    <w:nsid w:val="741226BB"/>
    <w:multiLevelType w:val="hybridMultilevel"/>
    <w:lvl w:ilvl="0">
      <w:lvlJc w:val="left"/>
      <w:lvlText w:val="(%1)"/>
      <w:numFmt w:val="lowerLetter"/>
      <w:start w:val="1"/>
    </w:lvl>
    <w:lvl w:ilvl="1">
      <w:lvlJc w:val="left"/>
      <w:lvlText w:val="(%2)"/>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2019-12-28T22:35:57Z</dcterms:created>
  <dcterms:modified xsi:type="dcterms:W3CDTF">2019-12-28T22:35:57Z</dcterms:modified>
</cp:coreProperties>
</file>