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701040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25" w:lineRule="exact"/>
        <w:rPr>
          <w:sz w:val="24"/>
          <w:szCs w:val="24"/>
          <w:color w:val="auto"/>
        </w:rPr>
      </w:pPr>
    </w:p>
    <w:p>
      <w:pPr>
        <w:jc w:val="center"/>
        <w:ind w:left="2960" w:right="500" w:hanging="2951"/>
        <w:spacing w:after="0" w:line="417" w:lineRule="auto"/>
        <w:tabs>
          <w:tab w:leader="none" w:pos="312"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2019</w:t>
      </w:r>
    </w:p>
    <w:p>
      <w:pPr>
        <w:spacing w:after="0" w:line="280" w:lineRule="exact"/>
        <w:rPr>
          <w:sz w:val="24"/>
          <w:szCs w:val="24"/>
          <w:color w:val="auto"/>
        </w:rPr>
      </w:pPr>
    </w:p>
    <w:p>
      <w:pPr>
        <w:jc w:val="center"/>
        <w:ind w:left="2480" w:right="500" w:hanging="2471"/>
        <w:spacing w:after="0" w:line="390" w:lineRule="auto"/>
        <w:tabs>
          <w:tab w:leader="none" w:pos="31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3280"/>
        <w:spacing w:after="0"/>
        <w:rPr>
          <w:rFonts w:ascii="Arial" w:cs="Arial" w:eastAsia="Arial" w:hAnsi="Arial"/>
          <w:sz w:val="16"/>
          <w:szCs w:val="16"/>
          <w:color w:val="auto"/>
        </w:rPr>
      </w:pPr>
      <w:r>
        <w:rPr>
          <w:rFonts w:ascii="Arial" w:cs="Arial" w:eastAsia="Arial" w:hAnsi="Arial"/>
          <w:sz w:val="16"/>
          <w:szCs w:val="16"/>
          <w:b w:val="1"/>
          <w:bCs w:val="1"/>
          <w:color w:val="auto"/>
        </w:rPr>
        <w:t>Commission file number: 001-35005</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2"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600" w:type="dxa"/>
            <w:vAlign w:val="bottom"/>
          </w:tcPr>
          <w:p>
            <w:pPr>
              <w:jc w:val="center"/>
              <w:ind w:right="939"/>
              <w:spacing w:after="0"/>
              <w:rPr>
                <w:sz w:val="20"/>
                <w:szCs w:val="20"/>
                <w:color w:val="auto"/>
              </w:rPr>
            </w:pPr>
            <w:r>
              <w:rPr>
                <w:rFonts w:ascii="Arial" w:cs="Arial" w:eastAsia="Arial" w:hAnsi="Arial"/>
                <w:sz w:val="16"/>
                <w:szCs w:val="16"/>
                <w:b w:val="1"/>
                <w:bCs w:val="1"/>
                <w:color w:val="auto"/>
                <w:w w:val="93"/>
              </w:rPr>
              <w:t>Delaware</w:t>
            </w:r>
          </w:p>
        </w:tc>
        <w:tc>
          <w:tcPr>
            <w:tcW w:w="3400" w:type="dxa"/>
            <w:vAlign w:val="bottom"/>
          </w:tcPr>
          <w:p>
            <w:pPr>
              <w:jc w:val="right"/>
              <w:ind w:right="719"/>
              <w:spacing w:after="0"/>
              <w:rPr>
                <w:sz w:val="20"/>
                <w:szCs w:val="20"/>
                <w:color w:val="auto"/>
              </w:rPr>
            </w:pPr>
            <w:r>
              <w:rPr>
                <w:rFonts w:ascii="Arial" w:cs="Arial" w:eastAsia="Arial" w:hAnsi="Arial"/>
                <w:sz w:val="16"/>
                <w:szCs w:val="16"/>
                <w:b w:val="1"/>
                <w:bCs w:val="1"/>
                <w:color w:val="auto"/>
              </w:rPr>
              <w:t>20-8729264</w:t>
            </w:r>
          </w:p>
        </w:tc>
      </w:tr>
      <w:tr>
        <w:trPr>
          <w:trHeight w:val="203"/>
        </w:trPr>
        <w:tc>
          <w:tcPr>
            <w:tcW w:w="3600" w:type="dxa"/>
            <w:vAlign w:val="bottom"/>
          </w:tcPr>
          <w:p>
            <w:pPr>
              <w:jc w:val="center"/>
              <w:ind w:right="919"/>
              <w:spacing w:after="0"/>
              <w:rPr>
                <w:sz w:val="20"/>
                <w:szCs w:val="20"/>
                <w:color w:val="auto"/>
              </w:rPr>
            </w:pPr>
            <w:r>
              <w:rPr>
                <w:rFonts w:ascii="Arial" w:cs="Arial" w:eastAsia="Arial" w:hAnsi="Arial"/>
                <w:sz w:val="16"/>
                <w:szCs w:val="16"/>
                <w:color w:val="auto"/>
                <w:w w:val="93"/>
              </w:rPr>
              <w:t>(State or other jurisdiction of</w:t>
            </w:r>
          </w:p>
        </w:tc>
        <w:tc>
          <w:tcPr>
            <w:tcW w:w="3400" w:type="dxa"/>
            <w:vAlign w:val="bottom"/>
          </w:tcPr>
          <w:p>
            <w:pPr>
              <w:jc w:val="center"/>
              <w:ind w:left="95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600" w:type="dxa"/>
            <w:vAlign w:val="bottom"/>
          </w:tcPr>
          <w:p>
            <w:pPr>
              <w:jc w:val="center"/>
              <w:ind w:right="939"/>
              <w:spacing w:after="0"/>
              <w:rPr>
                <w:sz w:val="20"/>
                <w:szCs w:val="20"/>
                <w:color w:val="auto"/>
              </w:rPr>
            </w:pPr>
            <w:r>
              <w:rPr>
                <w:rFonts w:ascii="Arial" w:cs="Arial" w:eastAsia="Arial" w:hAnsi="Arial"/>
                <w:sz w:val="16"/>
                <w:szCs w:val="16"/>
                <w:color w:val="auto"/>
                <w:w w:val="93"/>
              </w:rPr>
              <w:t>incorporation or organization)</w:t>
            </w:r>
          </w:p>
        </w:tc>
        <w:tc>
          <w:tcPr>
            <w:tcW w:w="3400" w:type="dxa"/>
            <w:vAlign w:val="bottom"/>
          </w:tcPr>
          <w:p>
            <w:pPr>
              <w:spacing w:after="0"/>
              <w:rPr>
                <w:sz w:val="17"/>
                <w:szCs w:val="17"/>
                <w:color w:val="auto"/>
              </w:rPr>
            </w:pPr>
          </w:p>
        </w:tc>
      </w:tr>
      <w:tr>
        <w:trPr>
          <w:trHeight w:val="316"/>
        </w:trPr>
        <w:tc>
          <w:tcPr>
            <w:tcW w:w="3600" w:type="dxa"/>
            <w:vAlign w:val="bottom"/>
          </w:tcPr>
          <w:p>
            <w:pPr>
              <w:jc w:val="center"/>
              <w:ind w:right="939"/>
              <w:spacing w:after="0"/>
              <w:rPr>
                <w:sz w:val="20"/>
                <w:szCs w:val="20"/>
                <w:color w:val="auto"/>
              </w:rPr>
            </w:pPr>
            <w:r>
              <w:rPr>
                <w:rFonts w:ascii="Arial" w:cs="Arial" w:eastAsia="Arial" w:hAnsi="Arial"/>
                <w:sz w:val="16"/>
                <w:szCs w:val="16"/>
                <w:b w:val="1"/>
                <w:bCs w:val="1"/>
                <w:color w:val="auto"/>
                <w:w w:val="92"/>
              </w:rPr>
              <w:t>11711 N. Meridian St., Suite 310</w:t>
            </w:r>
          </w:p>
        </w:tc>
        <w:tc>
          <w:tcPr>
            <w:tcW w:w="3400" w:type="dxa"/>
            <w:vAlign w:val="bottom"/>
          </w:tcPr>
          <w:p>
            <w:pPr>
              <w:spacing w:after="0"/>
              <w:rPr>
                <w:sz w:val="24"/>
                <w:szCs w:val="24"/>
                <w:color w:val="auto"/>
              </w:rPr>
            </w:pPr>
          </w:p>
        </w:tc>
      </w:tr>
      <w:tr>
        <w:trPr>
          <w:trHeight w:val="207"/>
        </w:trPr>
        <w:tc>
          <w:tcPr>
            <w:tcW w:w="3600" w:type="dxa"/>
            <w:vAlign w:val="bottom"/>
          </w:tcPr>
          <w:p>
            <w:pPr>
              <w:jc w:val="center"/>
              <w:ind w:right="939"/>
              <w:spacing w:after="0"/>
              <w:rPr>
                <w:sz w:val="20"/>
                <w:szCs w:val="20"/>
                <w:color w:val="auto"/>
              </w:rPr>
            </w:pPr>
            <w:r>
              <w:rPr>
                <w:rFonts w:ascii="Arial" w:cs="Arial" w:eastAsia="Arial" w:hAnsi="Arial"/>
                <w:sz w:val="16"/>
                <w:szCs w:val="16"/>
                <w:b w:val="1"/>
                <w:bCs w:val="1"/>
                <w:color w:val="auto"/>
                <w:w w:val="95"/>
              </w:rPr>
              <w:t>Carmel, Indiana</w:t>
            </w:r>
          </w:p>
        </w:tc>
        <w:tc>
          <w:tcPr>
            <w:tcW w:w="3400" w:type="dxa"/>
            <w:vAlign w:val="bottom"/>
          </w:tcPr>
          <w:p>
            <w:pPr>
              <w:jc w:val="right"/>
              <w:ind w:right="899"/>
              <w:spacing w:after="0"/>
              <w:rPr>
                <w:sz w:val="20"/>
                <w:szCs w:val="20"/>
                <w:color w:val="auto"/>
              </w:rPr>
            </w:pPr>
            <w:r>
              <w:rPr>
                <w:rFonts w:ascii="Arial" w:cs="Arial" w:eastAsia="Arial" w:hAnsi="Arial"/>
                <w:sz w:val="16"/>
                <w:szCs w:val="16"/>
                <w:b w:val="1"/>
                <w:bCs w:val="1"/>
                <w:color w:val="auto"/>
              </w:rPr>
              <w:t>46032</w:t>
            </w:r>
          </w:p>
        </w:tc>
      </w:tr>
      <w:tr>
        <w:trPr>
          <w:trHeight w:val="206"/>
        </w:trPr>
        <w:tc>
          <w:tcPr>
            <w:tcW w:w="3600" w:type="dxa"/>
            <w:vAlign w:val="bottom"/>
          </w:tcPr>
          <w:p>
            <w:pPr>
              <w:jc w:val="center"/>
              <w:ind w:right="939"/>
              <w:spacing w:after="0"/>
              <w:rPr>
                <w:sz w:val="20"/>
                <w:szCs w:val="20"/>
                <w:color w:val="auto"/>
              </w:rPr>
            </w:pPr>
            <w:r>
              <w:rPr>
                <w:rFonts w:ascii="Arial" w:cs="Arial" w:eastAsia="Arial" w:hAnsi="Arial"/>
                <w:sz w:val="16"/>
                <w:szCs w:val="16"/>
                <w:color w:val="auto"/>
                <w:w w:val="94"/>
              </w:rPr>
              <w:t>(Address of principal executive offices)</w:t>
            </w:r>
          </w:p>
        </w:tc>
        <w:tc>
          <w:tcPr>
            <w:tcW w:w="3400" w:type="dxa"/>
            <w:vAlign w:val="bottom"/>
          </w:tcPr>
          <w:p>
            <w:pPr>
              <w:jc w:val="center"/>
              <w:ind w:left="939"/>
              <w:spacing w:after="0"/>
              <w:rPr>
                <w:sz w:val="20"/>
                <w:szCs w:val="20"/>
                <w:color w:val="auto"/>
              </w:rPr>
            </w:pPr>
            <w:r>
              <w:rPr>
                <w:rFonts w:ascii="Arial" w:cs="Arial" w:eastAsia="Arial" w:hAnsi="Arial"/>
                <w:sz w:val="16"/>
                <w:szCs w:val="16"/>
                <w:color w:val="auto"/>
                <w:w w:val="93"/>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(833) 509-4583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30" w:type="dxa"/>
        <w:tblCellMar>
          <w:top w:w="0" w:type="dxa"/>
          <w:left w:w="0" w:type="dxa"/>
          <w:bottom w:w="0" w:type="dxa"/>
          <w:right w:w="0" w:type="dxa"/>
        </w:tblCellMar>
      </w:tblPr>
      <w:tr>
        <w:trPr>
          <w:trHeight w:val="254"/>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37"/>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ASMB</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r>
    </w:tbl>
    <w:p>
      <w:pPr>
        <w:spacing w:after="0" w:line="11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01"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0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360" w:type="dxa"/>
            <w:vAlign w:val="bottom"/>
          </w:tcPr>
          <w:p>
            <w:pPr>
              <w:ind w:left="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34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2360" w:type="dxa"/>
            <w:vAlign w:val="bottom"/>
          </w:tcPr>
          <w:p>
            <w:pPr>
              <w:ind w:left="6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434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4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1860" w:type="dxa"/>
            <w:vAlign w:val="bottom"/>
          </w:tcPr>
          <w:p>
            <w:pPr>
              <w:spacing w:after="0"/>
              <w:rPr>
                <w:sz w:val="20"/>
                <w:szCs w:val="20"/>
                <w:color w:val="auto"/>
              </w:rPr>
            </w:pPr>
            <w:r>
              <w:rPr>
                <w:rFonts w:ascii="Arial" w:cs="Arial" w:eastAsia="Arial" w:hAnsi="Arial"/>
                <w:sz w:val="16"/>
                <w:szCs w:val="16"/>
                <w:color w:val="auto"/>
                <w:w w:val="96"/>
              </w:rPr>
              <w:t>Emerging growth company</w:t>
            </w:r>
          </w:p>
        </w:tc>
        <w:tc>
          <w:tcPr>
            <w:tcW w:w="2360" w:type="dxa"/>
            <w:vAlign w:val="bottom"/>
          </w:tcPr>
          <w:p>
            <w:pPr>
              <w:ind w:left="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34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00" w:lineRule="exact"/>
        <w:rPr>
          <w:sz w:val="24"/>
          <w:szCs w:val="24"/>
          <w:color w:val="auto"/>
        </w:rPr>
      </w:pPr>
    </w:p>
    <w:p>
      <w:pPr>
        <w:jc w:val="both"/>
        <w:ind w:right="20"/>
        <w:spacing w:after="0" w:line="21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70" w:lineRule="exact"/>
        <w:rPr>
          <w:sz w:val="24"/>
          <w:szCs w:val="24"/>
          <w:color w:val="auto"/>
        </w:rPr>
      </w:pPr>
    </w:p>
    <w:p>
      <w:pPr>
        <w:ind w:right="720"/>
        <w:spacing w:after="0" w:line="280" w:lineRule="exact"/>
        <w:rPr>
          <w:sz w:val="20"/>
          <w:szCs w:val="20"/>
          <w:color w:val="auto"/>
        </w:rPr>
      </w:pPr>
      <w:r>
        <w:rPr>
          <w:rFonts w:ascii="Arial" w:cs="Arial" w:eastAsia="Arial" w:hAnsi="Arial"/>
          <w:sz w:val="16"/>
          <w:szCs w:val="16"/>
          <w:color w:val="auto"/>
        </w:rPr>
        <w:t xml:space="preserve">Indicate by check mark whether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of July 31, 2019, there were 25,711,781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579120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wp:posOffset>
            </wp:positionV>
            <wp:extent cx="575437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34290"/>
                    </a:xfrm>
                    <a:prstGeom prst="rect">
                      <a:avLst/>
                    </a:prstGeom>
                    <a:noFill/>
                  </pic:spPr>
                </pic:pic>
              </a:graphicData>
            </a:graphic>
          </wp:anchor>
        </w:drawing>
      </w:r>
    </w:p>
    <w:p>
      <w:pPr>
        <w:sectPr>
          <w:pgSz w:w="11900" w:h="16838" w:orient="portrait"/>
          <w:cols w:equalWidth="0" w:num="1">
            <w:col w:w="9060"/>
          </w:cols>
          <w:pgMar w:left="1420" w:top="665" w:right="14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20" w:type="dxa"/>
            <w:vAlign w:val="bottom"/>
            <w:gridSpan w:val="2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2019 (unaudited) and December 31, 2018</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 Three and Six Months</w:t>
              </w:r>
            </w:hyperlink>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June 30, 2019 and 2018 (unaudited)</w:t>
              </w:r>
            </w:hyperlink>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June 30, 2019 and 2018</w:t>
              </w:r>
            </w:hyperlink>
          </w:p>
        </w:tc>
        <w:tc>
          <w:tcPr>
            <w:tcW w:w="400" w:type="dxa"/>
            <w:vAlign w:val="bottom"/>
            <w:tcBorders>
              <w:bottom w:val="single" w:sz="8" w:color="CCEEFF"/>
            </w:tcBorders>
            <w:gridSpan w:val="3"/>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780" w:type="dxa"/>
            <w:vAlign w:val="bottom"/>
            <w:gridSpan w:val="21"/>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Changes in Stockholders’ Equity for the Three and Six Months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June 30, 2019 and 2018 (unaudited)</w:t>
              </w:r>
            </w:hyperlink>
          </w:p>
        </w:tc>
        <w:tc>
          <w:tcPr>
            <w:tcW w:w="38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2.</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3.</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Defaults Upon Senior Securities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4.</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5.</w:t>
              </w:r>
            </w:hyperlink>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6.</w:t>
              </w:r>
            </w:hyperlink>
          </w:p>
        </w:tc>
        <w:tc>
          <w:tcPr>
            <w:tcW w:w="24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Exhibits</w:t>
              </w:r>
            </w:hyperlink>
          </w:p>
        </w:tc>
        <w:tc>
          <w:tcPr>
            <w:tcW w:w="7180" w:type="dxa"/>
            <w:vAlign w:val="bottom"/>
            <w:tcBorders>
              <w:bottom w:val="single" w:sz="8" w:color="CCEEFF"/>
            </w:tcBorders>
            <w:gridSpan w:val="19"/>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20" w:type="dxa"/>
            <w:vAlign w:val="bottom"/>
            <w:gridSpan w:val="26"/>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57"/>
        </w:trPr>
        <w:tc>
          <w:tcPr>
            <w:tcW w:w="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for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r>
      <w:tr>
        <w:trPr>
          <w:trHeight w:val="142"/>
        </w:trPr>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w:t>
            </w: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139,553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176,609</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from collaboration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03"/>
        </w:trPr>
        <w:tc>
          <w:tcPr>
            <w:tcW w:w="6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r>
      <w:tr>
        <w:trPr>
          <w:trHeight w:val="196"/>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222,502</w:t>
            </w:r>
          </w:p>
        </w:tc>
      </w:tr>
      <w:tr>
        <w:trPr>
          <w:trHeight w:val="203"/>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w:t>
            </w: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Indefinite-lived intangible asset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29,000</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12,638</w:t>
            </w:r>
          </w:p>
        </w:tc>
      </w:tr>
      <w:tr>
        <w:trPr>
          <w:trHeight w:val="236"/>
        </w:trPr>
        <w:tc>
          <w:tcPr>
            <w:tcW w:w="69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241,511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268,045</w:t>
            </w:r>
          </w:p>
        </w:tc>
      </w:tr>
      <w:tr>
        <w:trPr>
          <w:trHeight w:val="183"/>
        </w:trPr>
        <w:tc>
          <w:tcPr>
            <w:tcW w:w="6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3,414</w:t>
            </w:r>
          </w:p>
        </w:tc>
        <w:tc>
          <w:tcPr>
            <w:tcW w:w="2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3,693</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w:t>
            </w: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Deferred revenue - short-term</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5,100</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 - short-term</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9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18,472</w:t>
            </w:r>
          </w:p>
        </w:tc>
      </w:tr>
      <w:tr>
        <w:trPr>
          <w:trHeight w:val="203"/>
        </w:trPr>
        <w:tc>
          <w:tcPr>
            <w:tcW w:w="6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Deferred rent</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Deferred revenue - long-term</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35,560</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 - long-term</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9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66,804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57,392</w:t>
            </w:r>
          </w:p>
        </w:tc>
      </w:tr>
      <w:tr>
        <w:trPr>
          <w:trHeight w:val="196"/>
        </w:trPr>
        <w:tc>
          <w:tcPr>
            <w:tcW w:w="6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Preferred stock, $0.001 par value; 5,000,000 shares authorized; no shares issued or outstanding</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940" w:type="dxa"/>
            <w:vAlign w:val="bottom"/>
          </w:tcPr>
          <w:p>
            <w:pPr>
              <w:ind w:left="120"/>
              <w:spacing w:after="0"/>
              <w:rPr>
                <w:sz w:val="20"/>
                <w:szCs w:val="20"/>
                <w:color w:val="auto"/>
              </w:rPr>
            </w:pPr>
            <w:r>
              <w:rPr>
                <w:rFonts w:ascii="Arial" w:cs="Arial" w:eastAsia="Arial" w:hAnsi="Arial"/>
                <w:sz w:val="16"/>
                <w:szCs w:val="16"/>
                <w:color w:val="auto"/>
              </w:rPr>
              <w:t>Common stock, $0.001 par value; 100,000,000 shares authorized as of June 30, 2019 and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w w:val="95"/>
              </w:rPr>
              <w:t>December 31, 2018; 25,646,783 and 25,495,425 shares issued and outstanding as of June 30, 2019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6940" w:type="dxa"/>
            <w:vAlign w:val="bottom"/>
          </w:tcPr>
          <w:p>
            <w:pPr>
              <w:ind w:left="120"/>
              <w:spacing w:after="0"/>
              <w:rPr>
                <w:sz w:val="20"/>
                <w:szCs w:val="20"/>
                <w:color w:val="auto"/>
              </w:rPr>
            </w:pPr>
            <w:r>
              <w:rPr>
                <w:rFonts w:ascii="Arial" w:cs="Arial" w:eastAsia="Arial" w:hAnsi="Arial"/>
                <w:sz w:val="16"/>
                <w:szCs w:val="16"/>
                <w:color w:val="auto"/>
              </w:rPr>
              <w:t>and December 31, 2018, respectively</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552,762</w:t>
            </w: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(187)</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(387,342)</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(341,787)</w:t>
            </w:r>
          </w:p>
        </w:tc>
      </w:tr>
      <w:tr>
        <w:trPr>
          <w:trHeight w:val="196"/>
        </w:trPr>
        <w:tc>
          <w:tcPr>
            <w:tcW w:w="6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174,707</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210,653</w:t>
            </w:r>
          </w:p>
        </w:tc>
      </w:tr>
      <w:tr>
        <w:trPr>
          <w:trHeight w:val="196"/>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241,511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268,045</w:t>
            </w:r>
          </w:p>
        </w:tc>
      </w:tr>
      <w:tr>
        <w:trPr>
          <w:trHeight w:val="20"/>
        </w:trPr>
        <w:tc>
          <w:tcPr>
            <w:tcW w:w="6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line="196" w:lineRule="auto"/>
        <w:framePr w:w="180" w:h="160" w:wrap="auto" w:vAnchor="page" w:hAnchor="page" w:x="5860" w:y="9960"/>
        <w:rPr>
          <w:rFonts w:ascii="Arial" w:cs="Arial" w:eastAsia="Arial" w:hAnsi="Arial"/>
          <w:sz w:val="17"/>
          <w:szCs w:val="17"/>
          <w:color w:val="auto"/>
        </w:rPr>
      </w:pPr>
      <w:r>
        <w:rPr>
          <w:rFonts w:ascii="Arial" w:cs="Arial" w:eastAsia="Arial" w:hAnsi="Arial"/>
          <w:sz w:val="17"/>
          <w:szCs w:val="17"/>
          <w:color w:val="auto"/>
        </w:rPr>
        <w:t>2</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 in thousands except for share and per share amounts)</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214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(27,166)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(48,036)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(26,806)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(45,555)</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marketable securities, net of tax</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(45,395)</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5"/>
              </w:rPr>
              <w:t>Weighted average common shares outstanding, basic and</w:t>
            </w: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25,740,500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20,541,549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25,690,617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20,387,532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1905</wp:posOffset>
            </wp:positionH>
            <wp:positionV relativeFrom="paragraph">
              <wp:posOffset>906780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(45,555)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rent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Deferred income tax benefit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Accounts receivable from collaboration</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(44,944)</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(93,667)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of marketable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marketable securities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proceeds from issuance of common stock through equity plans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34,258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9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ind w:right="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25,549,757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559,453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 (368,839)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190,401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29,875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Employee Stock Purchase Plan (ESPP)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shares of common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for settlement of restricted stock units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(RSUs)</w:t>
            </w:r>
          </w:p>
        </w:tc>
        <w:tc>
          <w:tcPr>
            <w:tcW w:w="920" w:type="dxa"/>
            <w:vAlign w:val="bottom"/>
          </w:tcPr>
          <w:p>
            <w:pPr>
              <w:jc w:val="right"/>
              <w:spacing w:after="0"/>
              <w:rPr>
                <w:sz w:val="20"/>
                <w:szCs w:val="20"/>
                <w:color w:val="auto"/>
              </w:rPr>
            </w:pPr>
            <w:r>
              <w:rPr>
                <w:rFonts w:ascii="Arial" w:cs="Arial" w:eastAsia="Arial" w:hAnsi="Arial"/>
                <w:sz w:val="18"/>
                <w:szCs w:val="18"/>
                <w:color w:val="auto"/>
              </w:rPr>
              <w:t>30,347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gain on marketable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(18,503)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10"/>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Balance as of June 30,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25,646,783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562,210</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1"/>
              </w:rPr>
              <w:t>$ (387,342)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174,707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2018</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20,386,736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370,105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(267,285)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102,381</w:t>
            </w:r>
          </w:p>
        </w:tc>
        <w:tc>
          <w:tcPr>
            <w:tcW w:w="0" w:type="dxa"/>
            <w:vAlign w:val="bottom"/>
          </w:tcPr>
          <w:p>
            <w:pPr>
              <w:spacing w:after="0"/>
              <w:rPr>
                <w:sz w:val="1"/>
                <w:szCs w:val="1"/>
                <w:color w:val="auto"/>
              </w:rPr>
            </w:pPr>
          </w:p>
        </w:tc>
      </w:tr>
      <w:tr>
        <w:trPr>
          <w:trHeight w:val="202"/>
        </w:trPr>
        <w:tc>
          <w:tcPr>
            <w:tcW w:w="302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227,762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2"/>
        </w:trPr>
        <w:tc>
          <w:tcPr>
            <w:tcW w:w="3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Unrealized gain on marketable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(26,806)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(26,806)</w:t>
            </w:r>
          </w:p>
        </w:tc>
        <w:tc>
          <w:tcPr>
            <w:tcW w:w="0" w:type="dxa"/>
            <w:vAlign w:val="bottom"/>
          </w:tcPr>
          <w:p>
            <w:pPr>
              <w:spacing w:after="0"/>
              <w:rPr>
                <w:sz w:val="1"/>
                <w:szCs w:val="1"/>
                <w:color w:val="auto"/>
              </w:rPr>
            </w:pPr>
          </w:p>
        </w:tc>
      </w:tr>
      <w:tr>
        <w:trPr>
          <w:trHeight w:val="21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2018</w:t>
            </w: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20,614,498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383,543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 (294,091)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9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ind w:right="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25,495,425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552,762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 (341,787)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210,653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50,875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Issuance of common stock under ESPP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shares of common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for settlement of RSUs</w:t>
            </w:r>
          </w:p>
        </w:tc>
        <w:tc>
          <w:tcPr>
            <w:tcW w:w="920" w:type="dxa"/>
            <w:vAlign w:val="bottom"/>
          </w:tcPr>
          <w:p>
            <w:pPr>
              <w:jc w:val="right"/>
              <w:spacing w:after="0"/>
              <w:rPr>
                <w:sz w:val="20"/>
                <w:szCs w:val="20"/>
                <w:color w:val="auto"/>
              </w:rPr>
            </w:pPr>
            <w:r>
              <w:rPr>
                <w:rFonts w:ascii="Arial" w:cs="Arial" w:eastAsia="Arial" w:hAnsi="Arial"/>
                <w:sz w:val="18"/>
                <w:szCs w:val="18"/>
                <w:color w:val="auto"/>
              </w:rPr>
              <w:t>63,679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Reclassification of stock-based awards</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equity to accrued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Unrealized gain on marketable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securities, net of tax</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(45,555)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25,646,783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562,210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 (387,342)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174,707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1"/>
          </w:tcPr>
          <w:p>
            <w:pPr>
              <w:jc w:val="right"/>
              <w:ind w:right="32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20,137,974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364,528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(251,036)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113,120</w:t>
            </w:r>
          </w:p>
        </w:tc>
        <w:tc>
          <w:tcPr>
            <w:tcW w:w="0" w:type="dxa"/>
            <w:vAlign w:val="bottom"/>
          </w:tcPr>
          <w:p>
            <w:pPr>
              <w:spacing w:after="0"/>
              <w:rPr>
                <w:sz w:val="1"/>
                <w:szCs w:val="1"/>
                <w:color w:val="auto"/>
              </w:rPr>
            </w:pPr>
          </w:p>
        </w:tc>
      </w:tr>
      <w:tr>
        <w:trPr>
          <w:trHeight w:val="202"/>
        </w:trPr>
        <w:tc>
          <w:tcPr>
            <w:tcW w:w="302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476,524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2"/>
        </w:trPr>
        <w:tc>
          <w:tcPr>
            <w:tcW w:w="3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Unrealized gain on marketable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15,672</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(43,055)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0" w:type="dxa"/>
            <w:vAlign w:val="bottom"/>
          </w:tcPr>
          <w:p>
            <w:pPr>
              <w:spacing w:after="0"/>
              <w:rPr>
                <w:sz w:val="1"/>
                <w:szCs w:val="1"/>
                <w:color w:val="auto"/>
              </w:rPr>
            </w:pPr>
          </w:p>
        </w:tc>
      </w:tr>
      <w:tr>
        <w:trPr>
          <w:trHeight w:val="21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2018</w:t>
            </w: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20,614,498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383,543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 (294,091)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developing innovative therapeutics targeting chronic hepatitis B virus (HBV) and diseases associated with the microbiome. The Company operates in one segment and is headquartered in Carmel, Indiana with operations in South San Francisco, California and Groton, Connecticut.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HBV-cure program is pursuing multiple drug candidates that inhibit the HBV lifecycle and block the generation of covalently closed circular DNA (cccDNA), with the aim of increasing the current low cure rates for patients with HBV. Assembly has discovered several novel core inhibitors, which are small molecules that directly target and allosterically modify the HBV core (HBc) protein.</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Microbiome program consists of a fully integrated platform that includes a strain isolation, identification, characterization and function-based selection process, methods for strain purification and growth under current Good Manufacturing Practice (cGMP) conditions, and a licensed patented delivery system, GEMICEL®, which is designed to allow for targeted oral delivery of live biologic and conventional therapies to the lower gastrointestinal (GI) tract. Using the Company’s microbiome platform capabilities, the Company is exploring product candidates for multiple disease indications, including ulcerative colitis (UC), Crohn’s disease and irritable bowel syndrome (IBS) with Allergan Pharmaceuticals International Limited (Allergan) in connection with the Research, Development, Collaboration and License Agreement (the Collaboration Agreement), as well as non-alcoholic steatohepatitis (NASH) and immuno-oncology, which indications the Company will pursue either internally or in collaboration with other parties.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an upfront payment related to the Collaboration Agreement.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unaudited condensed consolidated interim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is unable to generate enough revenue from the Collaboration Agreement when needed or to secure additional sources of funding and receive related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83" w:lineRule="exact"/>
        <w:rPr>
          <w:sz w:val="20"/>
          <w:szCs w:val="20"/>
          <w:color w:val="auto"/>
        </w:rPr>
      </w:pPr>
    </w:p>
    <w:p>
      <w:pPr>
        <w:ind w:right="1860"/>
        <w:spacing w:after="0" w:line="464" w:lineRule="auto"/>
        <w:rPr>
          <w:sz w:val="20"/>
          <w:szCs w:val="20"/>
          <w:color w:val="auto"/>
        </w:rPr>
      </w:pPr>
      <w:r>
        <w:rPr>
          <w:rFonts w:ascii="Arial" w:cs="Arial" w:eastAsia="Arial" w:hAnsi="Arial"/>
          <w:sz w:val="18"/>
          <w:szCs w:val="18"/>
          <w:b w:val="1"/>
          <w:bCs w:val="1"/>
          <w:color w:val="auto"/>
        </w:rPr>
        <w:t>Note 2 - Summary of Significant Accounting Policies and Recent Accounting Pronouncements Basis of Presentation</w:t>
      </w:r>
    </w:p>
    <w:p>
      <w:pPr>
        <w:jc w:val="both"/>
        <w:ind w:right="20"/>
        <w:spacing w:after="0" w:line="277" w:lineRule="auto"/>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subsidiaries. All intercompany balances and transactions have been eliminated in consolidation.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In management’s opinion, the unaudited interim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GAAP and should be read in conjunction with the Company’s audited consolidated financial statements and accompanying notes for the fiscal year ended December 31, 2018, which is contained in the Company’s Annual Report on Form 10-K as filed with the SEC on February 28, 2019. The results for the three and six months ended June 30, 2019 are not necessarily indicative of results to be expected for the entire year ending December 31, 2019 or future operating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Significant estimates inherent in the preparation of the accompanying unaudited condensed consolidated financial statements include revenue recognition, clinical trial accruals, recoverability and useful lives (indefinite or finite) of intangible assets, assessment of impairment of goodwill, provisions for income taxes, amounts receivable and recognized as revenue under the Collaboration Agreement, measurement of operating lease liabilities, and the fair value of stock options, stock appreciation rights, and restricted stock units (RSUs) granted to employees, directors and consultants.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to the Company’s significant accounting policies from those described in the Company’s Annual Report on Form 10-K for the year ended December 31, 2018, other than as set forth below.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expenses stock-based compensation to employees and Board members over the requisite service period based on the estimated grant-date fair value of the awards. Stock-based awards with graded-vesting schedules are recognized using the accelerated attribution method over the requisite service period for each separately vesting portion of the award.</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adoption of Accounting Standards Update (ASU) 2018-07 (ASU 2018-07) on January 1, 2019, the Company remeasured the fair value of the non-employee awards at each reporting period prior to vesting and finally at the vesting date of the award. Changes in the estimated fair value of these non-employee awards were recognized as compensation expense in the period of change. Subsequent to the adoption of ASU 2018-07, the Company recognizes non-employee compensation costs over the requisite service period based on a measurement of fair value for each stock award.</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Forfeitures are recognized when incurred.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restricted stock units is determined based on the number of shares granted and the quoted market price of the Company’s common stock on the date of grant. The fair value of restricted stock units with performance conditions deemed probable of being achieved and vesting are amortized to expense over the requisite service period using the accelerated attribution method of expense recognition.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Company’s leases are operating leases for facilities and equipment. Prior to January 1, 2019, the Company recognized related rent expense on a straight-line basis over the term of the lease. Incentives granted under the Company’s facilities lease, including allowances for leasehold improvements and rent holidays, were recognized as reductions to rental expense on a straight-line basis over the term of the lease. Deferred rent consisted of the difference between cash payments and the rent expense recognized.</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Subsequent to the adoption of the new leasing standard on January 1, 2019, the Company recognizes a lease asset for its right to use the underlying asset and a lease liability for the corresponding lease obligation. The Company determines whether an arrangement is or contains a lease at contract inception. Operating leases are included in operating lease right-of-use assets, operating lease liabilities - short-term, and operating lease liabilities - long-term in our condensed consolidated balance sheet at June 30, 2019. Operating lease right-of-use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lease right-of-use assets also include any lease payments made and exclude lease incentives. Lease expense is recognized on a straight-line basis over the expected lease term. Variable lease expenses are recorded when incurred. The Company has elected to not separate lease and non-lease components for its leased assets and account for all lease and non-lease components of its agreements as a single lease component.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 Securities that could potentially dilute loss per share in the future that were not included in the computation of diluted loss per share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74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5,203,935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4,740,674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subject to purchase under ESPP</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Unvested RSUs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489,857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350,059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5,715,064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5,106,029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00" w:type="dxa"/>
            <w:vAlign w:val="bottom"/>
            <w:vMerge w:val="restart"/>
          </w:tcPr>
          <w:p>
            <w:pPr>
              <w:jc w:val="right"/>
              <w:ind w:right="1650"/>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80" w:type="dxa"/>
            <w:vAlign w:val="bottom"/>
          </w:tcPr>
          <w:p>
            <w:pPr>
              <w:ind w:left="100"/>
              <w:spacing w:after="0"/>
              <w:rPr>
                <w:sz w:val="20"/>
                <w:szCs w:val="20"/>
                <w:color w:val="auto"/>
              </w:rPr>
            </w:pPr>
            <w:r>
              <w:rPr>
                <w:rFonts w:ascii="Arial" w:cs="Arial" w:eastAsia="Arial" w:hAnsi="Arial"/>
                <w:sz w:val="18"/>
                <w:szCs w:val="18"/>
                <w:color w:val="auto"/>
              </w:rPr>
              <w:t>Net loss (in thousands)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(18,503)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(26,806)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(45,555)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(43,055)</w:t>
            </w:r>
          </w:p>
        </w:tc>
        <w:tc>
          <w:tcPr>
            <w:tcW w:w="0" w:type="dxa"/>
            <w:vAlign w:val="bottom"/>
          </w:tcPr>
          <w:p>
            <w:pPr>
              <w:spacing w:after="0"/>
              <w:rPr>
                <w:sz w:val="1"/>
                <w:szCs w:val="1"/>
                <w:color w:val="auto"/>
              </w:rPr>
            </w:pPr>
          </w:p>
        </w:tc>
      </w:tr>
      <w:tr>
        <w:trPr>
          <w:trHeight w:val="197"/>
        </w:trPr>
        <w:tc>
          <w:tcPr>
            <w:tcW w:w="2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100"/>
              <w:spacing w:after="0" w:line="201" w:lineRule="exact"/>
              <w:rPr>
                <w:sz w:val="20"/>
                <w:szCs w:val="20"/>
                <w:color w:val="auto"/>
              </w:rPr>
            </w:pPr>
            <w:r>
              <w:rPr>
                <w:rFonts w:ascii="Arial" w:cs="Arial" w:eastAsia="Arial" w:hAnsi="Arial"/>
                <w:sz w:val="18"/>
                <w:szCs w:val="18"/>
                <w:color w:val="auto"/>
              </w:rPr>
              <w:t>Weighted average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w w:val="92"/>
              </w:rPr>
              <w:t>shares outstanding for diluted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25,740,500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6"/>
              </w:rPr>
              <w:t>20,541,549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25,690,617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20,387,532</w:t>
            </w: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per share</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Under this standard, which applies to both lessors and lessees, lessees will be required to recognize all leases (except for short-term leases) as a lease liability, which is a lessee’s obligation to make lease payments arising from a lease measured on a discounted basis, and as a right-of-use asset, which is an asset that represents the lessee’s right to use, or control the use of, a specified asset for the lease term. Leases will be classified as either financing or operating, with classification affecting the pattern of expense recognition in the income statement. In January, July and December 2018 and March 2019, the FASB issued additional amendments to the new lease guidance related to transition and clarification.</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adopted ASU 2016-02 on January 1, 2019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The Company did not elect the use-of-hindsight practical expedient, which would require the Company to reassess the lease term of its leases based on all facts and circumstances through the effective date, and the Company did not elect the practical expedient pertaining to land easements as this is not applicable to the Company’s current contract portfolio. The Company elected the post-transition practical expedient to not separate lease components from nonlease components for all existing lease classes. The Company also elected a policy of not recording leases on its condensed consolidated balance sheets when the leases have a term of 12 months or less and the Company is not reasonably certain to elect an option to purchase the leased asset.</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adoption of this standard resulted in the recognition of right of use (ROU) assets and lease liabilities of $13.8 million and $14.0 million, respectively, and the derecognition of the deferred rent balance of $0.1 million as of January 1, 2019. The adoption of the standard had no impact on the Company’s condensed consolidated statements of operations and comprehensive loss or to its cash flows from or used in operating, financing, or investing activities on its condensed consolidated statements of cash flows. No cumulative-effect adjustment within accumulated deficit was required to be recorded as a result of adopting this standard.</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2019, the Company adopted ASU 2018-02, </w:t>
      </w:r>
      <w:r>
        <w:rPr>
          <w:rFonts w:ascii="Arial" w:cs="Arial" w:eastAsia="Arial" w:hAnsi="Arial"/>
          <w:sz w:val="18"/>
          <w:szCs w:val="18"/>
          <w:i w:val="1"/>
          <w:iCs w:val="1"/>
          <w:color w:val="auto"/>
        </w:rPr>
        <w:t>Income Statement - Reporting Comprehensive Income,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220): Reclassification of Certain Tax Effects from Accumulated Other Comprehensive Income, </w:t>
      </w:r>
      <w:r>
        <w:rPr>
          <w:rFonts w:ascii="Arial" w:cs="Arial" w:eastAsia="Arial" w:hAnsi="Arial"/>
          <w:sz w:val="18"/>
          <w:szCs w:val="18"/>
          <w:color w:val="auto"/>
        </w:rPr>
        <w:t>which allows a</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from accumulated other comprehensive income to retained earnings for stranded tax effects resulting from the federal corporate income tax rate enacted under the Tax Cuts and Jobs Act (the Tax Act). The amount of the reclassification would be the difference between the historical corporate income tax rate and the Tax Act’s 21% corporate income tax rate. The Company’s adoption of this standard did not have a material impact on its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January 1, 2019, the Company adopted ASU 2018-15, </w:t>
      </w:r>
      <w:r>
        <w:rPr>
          <w:rFonts w:ascii="Arial" w:cs="Arial" w:eastAsia="Arial" w:hAnsi="Arial"/>
          <w:sz w:val="17"/>
          <w:szCs w:val="17"/>
          <w:i w:val="1"/>
          <w:iCs w:val="1"/>
          <w:color w:val="auto"/>
        </w:rPr>
        <w:t>Intangibles (Topic 350):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which aligns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capitalizing implementation costs incurred in a hosting arrangement that is a service contract with the requirements for capitalizing implementation costs incurred to develop or obtain internal-use software. This new standard also requires customers to expense the capitalized implementation costs of a hosting arrangement that is a service contract over the term of the hosting arrangement. This new standard can be applied either retrospectively or prospectively to all implementation costs incurred after the date of adoption. The Company is currently evaluating the effect that the updated standard will have on its condensed consolidated financial statements and related disclosures.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On January 1, 2019, the Company adopted ASU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Nonemployee Share-Based Payment Accounting </w:t>
      </w:r>
      <w:r>
        <w:rPr>
          <w:rFonts w:ascii="Arial" w:cs="Arial" w:eastAsia="Arial" w:hAnsi="Arial"/>
          <w:sz w:val="16"/>
          <w:szCs w:val="16"/>
          <w:color w:val="auto"/>
        </w:rPr>
        <w:t>(ASU 2018-07), which simplifies several aspects of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nonemployee share-based payment transactions resulting from expanding the scope of Topic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to include share-based payment transactions for acquiring goods and services from nonemployees.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adoption of this standard did not have a material impact on its condensed consolidated financial statements.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SEC adopted amendments to certain disclosure requirements in Securities Act Release No. 33-10532, </w:t>
      </w:r>
      <w:r>
        <w:rPr>
          <w:rFonts w:ascii="Arial" w:cs="Arial" w:eastAsia="Arial" w:hAnsi="Arial"/>
          <w:sz w:val="17"/>
          <w:szCs w:val="17"/>
          <w:i w:val="1"/>
          <w:iCs w:val="1"/>
          <w:color w:val="auto"/>
        </w:rPr>
        <w:t>Disclosure Update and Simplification</w:t>
      </w:r>
      <w:r>
        <w:rPr>
          <w:rFonts w:ascii="Arial" w:cs="Arial" w:eastAsia="Arial" w:hAnsi="Arial"/>
          <w:sz w:val="17"/>
          <w:szCs w:val="17"/>
          <w:color w:val="auto"/>
        </w:rPr>
        <w:t>. The amendments became effective on November 5, 2018 and impact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financial statements through, among other things, the addition of a requirement to present a statement of stockholders’ equity for interim periods. As a result of adopting this guidance, the Company is presenting comparative interim statements of stockholders’ equity in this Form 10-Q for the quarters ended June 30, 2019 and 2018. Additionally, the guidance also simplified certain non-material disclosures in its SEC filings.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 (Topic 808): Clarifying the Interaction</w:t>
      </w:r>
      <w:r>
        <w:rPr>
          <w:rFonts w:ascii="Arial" w:cs="Arial" w:eastAsia="Arial" w:hAnsi="Arial"/>
          <w:sz w:val="17"/>
          <w:szCs w:val="17"/>
          <w:color w:val="auto"/>
        </w:rPr>
        <w:t xml:space="preserve"> </w:t>
      </w:r>
      <w:r>
        <w:rPr>
          <w:rFonts w:ascii="Arial" w:cs="Arial" w:eastAsia="Arial" w:hAnsi="Arial"/>
          <w:sz w:val="17"/>
          <w:szCs w:val="17"/>
          <w:i w:val="1"/>
          <w:iCs w:val="1"/>
          <w:color w:val="auto"/>
        </w:rPr>
        <w:t>between Topic 808 and Topic 606</w:t>
      </w:r>
      <w:r>
        <w:rPr>
          <w:rFonts w:ascii="Arial" w:cs="Arial" w:eastAsia="Arial" w:hAnsi="Arial"/>
          <w:sz w:val="17"/>
          <w:szCs w:val="17"/>
          <w:color w:val="auto"/>
        </w:rPr>
        <w:t>, which clarifies that certain transactions between collaborative arrangement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currently assessing the impact of this standard on its condensed consolidated financial statements and related disclosures.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Disclosure Requirements for Fair Value Measurement, </w:t>
      </w:r>
      <w:r>
        <w:rPr>
          <w:rFonts w:ascii="Arial" w:cs="Arial" w:eastAsia="Arial" w:hAnsi="Arial"/>
          <w:sz w:val="18"/>
          <w:szCs w:val="18"/>
          <w:color w:val="auto"/>
        </w:rPr>
        <w:t>which makes a number of changes meant to add, modify or</w:t>
      </w:r>
      <w:r>
        <w:rPr>
          <w:rFonts w:ascii="Arial" w:cs="Arial" w:eastAsia="Arial" w:hAnsi="Arial"/>
          <w:sz w:val="18"/>
          <w:szCs w:val="18"/>
          <w:i w:val="1"/>
          <w:iCs w:val="1"/>
          <w:color w:val="auto"/>
        </w:rPr>
        <w:t xml:space="preserve"> </w:t>
      </w:r>
      <w:r>
        <w:rPr>
          <w:rFonts w:ascii="Arial" w:cs="Arial" w:eastAsia="Arial" w:hAnsi="Arial"/>
          <w:sz w:val="18"/>
          <w:szCs w:val="18"/>
          <w:color w:val="auto"/>
        </w:rPr>
        <w:t>remove certain disclosure requirements associated with the movement amongst or hierarchy associated with Level 1, Level 2 and Level 3 fair value measurements. This guidance is effective for fiscal years, and interim periods within those fiscal years, beginning after December 15, 2019. Early adoption is permitted upon issuance of the update. The Company does not expect the adoption of this guidance to have a material impact on its condensed consolidated financial statements and related 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(ASU 2017-04), which simplifies how an entity is required to test goodwill for impairment by</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eliminating Step 2 from the goodwill impairment test. Step 2 measures a goodwill impairment loss by comparing the implied fair value of a reporting unit's goodwill with the carrying amount of that goodwill. Under the amendments in ASU 2017-04, an entity should recognize an impairment charge for the amount by which the carrying amount of a reporting unit exceeds its fair value; however, the loss recognized should not exceed the total amount of goodwill allocated to that reporting unit. The updated guidance requires a prospective adoption. ASU 2017-04 is effective for fiscal years beginning after December 15, 2019, including interim periods within those fiscal years. Early adoption is permitted for goodwill impairment tests performed on testing dates after January 1, 2017. The Company is currently evaluating the timing and impact of adopting this new accounting standard on its condensed consolidated financial statements and related disclosures.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which requires that expected credit losses relating to financial assets measured on an amortized cost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2019, the FASB issued ASU 2014-04, </w:t>
      </w:r>
      <w:r>
        <w:rPr>
          <w:rFonts w:ascii="Arial" w:cs="Arial" w:eastAsia="Arial" w:hAnsi="Arial"/>
          <w:sz w:val="16"/>
          <w:szCs w:val="16"/>
          <w:i w:val="1"/>
          <w:iCs w:val="1"/>
          <w:color w:val="auto"/>
        </w:rPr>
        <w:t>Codification Improvements to Topic 326 Financial Instruments - Credit Losses, Topic 815,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and Topic 825, Financial Instruments</w:t>
      </w:r>
      <w:r>
        <w:rPr>
          <w:rFonts w:ascii="Arial" w:cs="Arial" w:eastAsia="Arial" w:hAnsi="Arial"/>
          <w:sz w:val="16"/>
          <w:szCs w:val="16"/>
          <w:color w:val="auto"/>
        </w:rPr>
        <w:t>, which clarifies certain aspects of the accounting for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hedging activities and financial instruments. In May 2019, the FASB issued ASU 2019-05,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Targeted Transition Relief</w:t>
      </w:r>
      <w:r>
        <w:rPr>
          <w:rFonts w:ascii="Arial" w:cs="Arial" w:eastAsia="Arial" w:hAnsi="Arial"/>
          <w:sz w:val="16"/>
          <w:szCs w:val="16"/>
          <w:color w:val="auto"/>
        </w:rPr>
        <w:t>, which provides transition relief for entities adopting the Board’s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Specifically, ASU 2019-05 amends ASU 2016-13 to allow companies to irrevocably elect, upon adoption of ASU 2016-13, the fair value option for financial instruments that (1) were previously recorded at amortized cost and (2) are within the scope of the credit losses guidance in Accounting Standards Codification (ASC) 326-20, (3) are eligible for the fair value option under ASC 825-10, and (4) are not held-to-maturity debt securities. The new standard will be effective on January 1, 2020. Early adoption is available. The Company is currently evaluating the effect that the updated standard will have on its condensed consolidated financial statements and related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2"/>
              </w:rPr>
              <w:t>June 30, 2019</w:t>
            </w: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2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55"/>
              <w:spacing w:after="0"/>
              <w:rPr>
                <w:sz w:val="20"/>
                <w:szCs w:val="20"/>
                <w:color w:val="auto"/>
              </w:rPr>
            </w:pPr>
            <w:r>
              <w:rPr>
                <w:rFonts w:ascii="Arial" w:cs="Arial" w:eastAsia="Arial" w:hAnsi="Arial"/>
                <w:sz w:val="14"/>
                <w:szCs w:val="14"/>
                <w:b w:val="1"/>
                <w:bCs w:val="1"/>
                <w:color w:val="auto"/>
              </w:rPr>
              <w:t xml:space="preserve">Gain </w:t>
            </w:r>
            <w:r>
              <w:rPr>
                <w:rFonts w:ascii="Arial" w:cs="Arial" w:eastAsia="Arial" w:hAnsi="Arial"/>
                <w:sz w:val="10"/>
                <w:szCs w:val="10"/>
                <w:b w:val="1"/>
                <w:bCs w:val="1"/>
                <w:color w:val="auto"/>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 xml:space="preserve">Loss </w:t>
            </w:r>
            <w:r>
              <w:rPr>
                <w:rFonts w:ascii="Arial" w:cs="Arial" w:eastAsia="Arial" w:hAnsi="Arial"/>
                <w:sz w:val="10"/>
                <w:szCs w:val="10"/>
                <w:b w:val="1"/>
                <w:bCs w:val="1"/>
                <w:color w:val="auto"/>
                <w:w w:val="90"/>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debt securities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U.S. and foreign corporate debt securities</w:t>
            </w:r>
          </w:p>
        </w:tc>
        <w:tc>
          <w:tcPr>
            <w:tcW w:w="36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43,279</w:t>
            </w:r>
          </w:p>
        </w:tc>
        <w:tc>
          <w:tcPr>
            <w:tcW w:w="38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4"/>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and foreign commercial paper</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37,147</w:t>
            </w:r>
          </w:p>
        </w:tc>
        <w:tc>
          <w:tcPr>
            <w:tcW w:w="0" w:type="dxa"/>
            <w:vAlign w:val="bottom"/>
          </w:tcPr>
          <w:p>
            <w:pPr>
              <w:spacing w:after="0"/>
              <w:rPr>
                <w:sz w:val="1"/>
                <w:szCs w:val="1"/>
                <w:color w:val="auto"/>
              </w:rPr>
            </w:pPr>
          </w:p>
        </w:tc>
      </w:tr>
      <w:tr>
        <w:trPr>
          <w:trHeight w:val="210"/>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139,553</w:t>
            </w: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gridSpan w:val="2"/>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280" w:type="dxa"/>
            <w:vAlign w:val="bottom"/>
            <w:gridSpan w:val="3"/>
          </w:tcPr>
          <w:p>
            <w:pPr>
              <w:spacing w:after="0"/>
              <w:rPr>
                <w:sz w:val="20"/>
                <w:szCs w:val="20"/>
                <w:color w:val="auto"/>
              </w:rPr>
            </w:pPr>
            <w:r>
              <w:rPr>
                <w:rFonts w:ascii="Arial" w:cs="Arial" w:eastAsia="Arial" w:hAnsi="Arial"/>
                <w:sz w:val="18"/>
                <w:szCs w:val="18"/>
                <w:color w:val="auto"/>
              </w:rPr>
              <w:t>(1) Gross unrealized gain (loss) is pre-tax.</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2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 xml:space="preserve">Gain </w:t>
            </w:r>
            <w:r>
              <w:rPr>
                <w:rFonts w:ascii="Arial" w:cs="Arial" w:eastAsia="Arial" w:hAnsi="Arial"/>
                <w:sz w:val="10"/>
                <w:szCs w:val="10"/>
                <w:b w:val="1"/>
                <w:bCs w:val="1"/>
                <w:color w:val="auto"/>
                <w:w w:val="97"/>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 xml:space="preserve">Loss </w:t>
            </w:r>
            <w:r>
              <w:rPr>
                <w:rFonts w:ascii="Arial" w:cs="Arial" w:eastAsia="Arial" w:hAnsi="Arial"/>
                <w:sz w:val="10"/>
                <w:szCs w:val="10"/>
                <w:b w:val="1"/>
                <w:bCs w:val="1"/>
                <w:color w:val="auto"/>
                <w:w w:val="90"/>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debt securities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U.S. and foreign corporate debt securities</w:t>
            </w:r>
          </w:p>
        </w:tc>
        <w:tc>
          <w:tcPr>
            <w:tcW w:w="3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73,251</w:t>
            </w:r>
          </w:p>
        </w:tc>
        <w:tc>
          <w:tcPr>
            <w:tcW w:w="3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Arial" w:cs="Arial" w:eastAsia="Arial" w:hAnsi="Arial"/>
                <w:sz w:val="18"/>
                <w:szCs w:val="18"/>
                <w:color w:val="auto"/>
                <w:w w:val="90"/>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and foreign commercial paper</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w:t>
            </w:r>
          </w:p>
        </w:tc>
        <w:tc>
          <w:tcPr>
            <w:tcW w:w="0" w:type="dxa"/>
            <w:vAlign w:val="bottom"/>
          </w:tcPr>
          <w:p>
            <w:pPr>
              <w:spacing w:after="0"/>
              <w:rPr>
                <w:sz w:val="1"/>
                <w:szCs w:val="1"/>
                <w:color w:val="auto"/>
              </w:rPr>
            </w:pPr>
          </w:p>
        </w:tc>
      </w:tr>
      <w:tr>
        <w:trPr>
          <w:trHeight w:val="210"/>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gridSpan w:val="2"/>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176,735</w:t>
            </w:r>
          </w:p>
        </w:tc>
        <w:tc>
          <w:tcPr>
            <w:tcW w:w="20" w:type="dxa"/>
            <w:vAlign w:val="bottom"/>
            <w:tcBorders>
              <w:top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280" w:type="dxa"/>
            <w:vAlign w:val="bottom"/>
            <w:tcBorders>
              <w:top w:val="single" w:sz="8" w:color="auto"/>
            </w:tcBorders>
          </w:tcPr>
          <w:p>
            <w:pPr>
              <w:jc w:val="right"/>
              <w:ind w:right="13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Gross unrealized gain (loss) is pre-tax.</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June 30, 2019 is less than one year. There were no long-term marketable securities held by the Company as of June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for the three and six months ended June 30, 2019 and 2018 were not significant.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fair value of the Company’s financial assets measured at fair value on a recurring basis: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00"/>
              <w:spacing w:after="0"/>
              <w:rPr>
                <w:sz w:val="20"/>
                <w:szCs w:val="20"/>
                <w:color w:val="auto"/>
              </w:rPr>
            </w:pPr>
            <w:r>
              <w:rPr>
                <w:rFonts w:ascii="Arial" w:cs="Arial" w:eastAsia="Arial" w:hAnsi="Arial"/>
                <w:sz w:val="18"/>
                <w:szCs w:val="18"/>
                <w:color w:val="auto"/>
              </w:rPr>
              <w:t>Money market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30,082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00"/>
              <w:spacing w:after="0"/>
              <w:rPr>
                <w:sz w:val="20"/>
                <w:szCs w:val="20"/>
                <w:color w:val="auto"/>
              </w:rPr>
            </w:pPr>
            <w:r>
              <w:rPr>
                <w:rFonts w:ascii="Arial" w:cs="Arial" w:eastAsia="Arial" w:hAnsi="Arial"/>
                <w:sz w:val="18"/>
                <w:szCs w:val="18"/>
                <w:color w:val="auto"/>
              </w:rPr>
              <w:t>U.S. and foreign corporate debt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43,331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Asset-backed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00"/>
              <w:spacing w:after="0"/>
              <w:rPr>
                <w:sz w:val="20"/>
                <w:szCs w:val="20"/>
                <w:color w:val="auto"/>
              </w:rPr>
            </w:pPr>
            <w:r>
              <w:rPr>
                <w:rFonts w:ascii="Arial" w:cs="Arial" w:eastAsia="Arial" w:hAnsi="Arial"/>
                <w:sz w:val="18"/>
                <w:szCs w:val="18"/>
                <w:color w:val="auto"/>
              </w:rPr>
              <w:t>U.S. treasury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and foreign commercial paper</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37,147</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short-term investments</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139,553</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139,553</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Short-term investments: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and foreign corporate debt securities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Asset-backed securities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28,419</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U.S. and foreign commercial paper</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55,136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short-term investments</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176,609</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176,609</w:t>
            </w:r>
          </w:p>
        </w:tc>
        <w:tc>
          <w:tcPr>
            <w:tcW w:w="0" w:type="dxa"/>
            <w:vAlign w:val="bottom"/>
          </w:tcPr>
          <w:p>
            <w:pPr>
              <w:spacing w:after="0"/>
              <w:rPr>
                <w:sz w:val="1"/>
                <w:szCs w:val="1"/>
                <w:color w:val="auto"/>
              </w:rPr>
            </w:pPr>
          </w:p>
        </w:tc>
      </w:tr>
      <w:tr>
        <w:trPr>
          <w:trHeight w:val="210"/>
        </w:trPr>
        <w:tc>
          <w:tcPr>
            <w:tcW w:w="386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7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39,345</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176,609</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fair value of its U.S. and foreign corporate debt securities, asset-backed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life (Years)</w:t>
            </w:r>
          </w:p>
        </w:tc>
        <w:tc>
          <w:tcPr>
            <w:tcW w:w="14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hardware and software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Lab equipment</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 to 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 equipment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Leasehold improvement</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1 to 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2,091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 in progress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expense was approximately $0.1 million and $0.3 million for the three and six months ended June 30, 2019, respectively and approximately $0.1 million and $0.3 million for the three and six months ended June 30, 2018, respectively and was recorded in both research and development expense and general and administrative expense in the unaudited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Accrued compensation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2,786</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clinical trial expenses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r>
      <w:tr>
        <w:trPr>
          <w:trHeight w:val="216"/>
        </w:trPr>
        <w:tc>
          <w:tcPr>
            <w:tcW w:w="4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professional fees and other</w:t>
            </w: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1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7,585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9,679</w:t>
            </w:r>
          </w:p>
        </w:tc>
      </w:tr>
      <w:tr>
        <w:trPr>
          <w:trHeight w:val="20"/>
        </w:trPr>
        <w:tc>
          <w:tcPr>
            <w:tcW w:w="4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2018, the Company’s stockholders approved the Assembly Biosciences, Inc. 2018 Stock Incentive Plan (the 2018 Plan) pursuant to which the Company reserved 1,900,000 shares of its common stock for issuance in connection with equity incentive awards, and in May 2019, the Company’s stockholders approved Amendment No. 1 (the Amendment) to the 2018 Plan to increase the number of shares reserved for issuance thereunder from 1,900,000 shares of common stock to 3,000,000. In May 2018, the Company’s stockholders also approved the Assembly Biosciences, Inc. Employee Stock Purchase Plan (the 2018 ESPP), pursuant to which eligible employees can purchase an aggregate of up to 400,000 shares of the Company’s common stock at the end of predetermined offering periods at 85% of the lower of the fair market value at the beginning or end of the offering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Company had awards outstanding under the following shareholder approved plans:</w:t>
      </w:r>
    </w:p>
    <w:p>
      <w:pPr>
        <w:spacing w:after="0" w:line="185" w:lineRule="exact"/>
        <w:rPr>
          <w:sz w:val="20"/>
          <w:szCs w:val="20"/>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2010 Equity Incentive Plan (the 2010 Plan), which has been frozen;</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2014 Stock Incentive Plan (the 2014 Plan); and</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common stock underlying awards that are forfeited under the 2010 Plan on or after June 2, 2016 will become available for issuance under the 2014 Plan. As of June 30, 2019, the Company also had awards outstanding under the Assembly Biosciences, Inc. 2017 Inducement Award Plan (the 2017 Plan).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issues new shares of common stock to settle options exercised and upon settlement of vested RSUs. The Company also issues new shares of common stock in connection with purchases of shares of common stock by eligible employees under the Company’s 2018 ESPP.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Company’s option activity and related information for the six-month period ended June 30, 2019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 Share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4,637,145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826,350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(208,685)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45.81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5,203,935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Options vested and exercisable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3,482,129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RSUs and related information for the six-month period ended June 30, 2019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8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w w:val="93"/>
              </w:rPr>
              <w:t>Number of RSUs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grant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568,005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235,928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settled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(121,822)</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June 30, 2019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618,191</w:t>
            </w:r>
          </w:p>
        </w:tc>
        <w:tc>
          <w:tcPr>
            <w:tcW w:w="200" w:type="dxa"/>
            <w:vAlign w:val="bottom"/>
            <w:tcBorders>
              <w:bottom w:val="single" w:sz="8" w:color="CCEEFF"/>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81"/>
              </w:rPr>
              <w:t>(1)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1"/>
        <w:spacing w:after="0"/>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Includes 128,334 RSUs that have vested but are subject to deferred settlement.</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2019, RSUs outstanding include 45,000 RSUs granted in December 2017 with performance-based conditions to an executive of the Company. The 45,000 RSUs with a grant date fair value of $1.9 million vest upon the performance conditions not yet deemed probable and accordingly, no compensation expense has been recognized as of June 30, 2019 for these awards. In the second quarter of 2019, 100,000 RSU’s granted to a former officer were forfeited due to his departure. The RSU’s had a grant date fair value of $2.4 million and were vesting over time but would have accelerated upon the achievement of certain performance conditions. The Company reversed the previously recognized expense of $0.4 million related to these forfeited awards upon the departure of the former officer.</w:t>
      </w:r>
    </w:p>
    <w:p>
      <w:pPr>
        <w:spacing w:after="0" w:line="1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2019, the Company had unrecognized stock-based compensation expense related to all unvested RSUs of $9.7 million, which is expected to be recognized over the remaining weighted average amortization period of 1.8 years.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May 2019 employees purchased 36,804 shares of common stock under the 2018 ESPP.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$15.22</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$57.33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$46.75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$15.22</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$57.33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$57.53</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66.2%</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- 83.0%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75.7%</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- 85.5%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66.2%</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- 83.2%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76.7%</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- 86.1%</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- 2.47%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- 2.93%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- 2.65%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- 2.93%</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term (years)</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ind w:left="20"/>
              <w:spacing w:after="0"/>
              <w:rPr>
                <w:sz w:val="20"/>
                <w:szCs w:val="20"/>
                <w:color w:val="auto"/>
              </w:rPr>
            </w:pPr>
            <w:r>
              <w:rPr>
                <w:rFonts w:ascii="Arial" w:cs="Arial" w:eastAsia="Arial" w:hAnsi="Arial"/>
                <w:sz w:val="18"/>
                <w:szCs w:val="18"/>
                <w:color w:val="auto"/>
              </w:rPr>
              <w:t>- 9.0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ind w:left="20"/>
              <w:spacing w:after="0"/>
              <w:rPr>
                <w:sz w:val="20"/>
                <w:szCs w:val="20"/>
                <w:color w:val="auto"/>
              </w:rPr>
            </w:pPr>
            <w:r>
              <w:rPr>
                <w:rFonts w:ascii="Arial" w:cs="Arial" w:eastAsia="Arial" w:hAnsi="Arial"/>
                <w:sz w:val="18"/>
                <w:szCs w:val="18"/>
                <w:color w:val="auto"/>
              </w:rPr>
              <w:t>- 7.0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ind w:left="20"/>
              <w:spacing w:after="0"/>
              <w:rPr>
                <w:sz w:val="20"/>
                <w:szCs w:val="20"/>
                <w:color w:val="auto"/>
              </w:rPr>
            </w:pPr>
            <w:r>
              <w:rPr>
                <w:rFonts w:ascii="Arial" w:cs="Arial" w:eastAsia="Arial" w:hAnsi="Arial"/>
                <w:sz w:val="18"/>
                <w:szCs w:val="18"/>
                <w:color w:val="auto"/>
              </w:rPr>
              <w:t>- 9.0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ind w:left="20"/>
              <w:spacing w:after="0"/>
              <w:rPr>
                <w:sz w:val="20"/>
                <w:szCs w:val="20"/>
                <w:color w:val="auto"/>
              </w:rPr>
            </w:pPr>
            <w:r>
              <w:rPr>
                <w:rFonts w:ascii="Arial" w:cs="Arial" w:eastAsia="Arial" w:hAnsi="Arial"/>
                <w:sz w:val="18"/>
                <w:szCs w:val="18"/>
                <w:color w:val="auto"/>
              </w:rPr>
              <w:t>- 7.0</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r>
    </w:tbl>
    <w:p>
      <w:pPr>
        <w:spacing w:after="0" w:line="188" w:lineRule="exact"/>
        <w:rPr>
          <w:sz w:val="20"/>
          <w:szCs w:val="20"/>
          <w:color w:val="auto"/>
        </w:rPr>
      </w:pPr>
    </w:p>
    <w:p>
      <w:pPr>
        <w:ind w:right="520"/>
        <w:spacing w:after="0" w:line="438" w:lineRule="auto"/>
        <w:rPr>
          <w:sz w:val="20"/>
          <w:szCs w:val="20"/>
          <w:color w:val="auto"/>
        </w:rPr>
      </w:pPr>
      <w:r>
        <w:rPr>
          <w:rFonts w:ascii="Arial" w:cs="Arial" w:eastAsia="Arial" w:hAnsi="Arial"/>
          <w:sz w:val="18"/>
          <w:szCs w:val="18"/>
          <w:color w:val="auto"/>
        </w:rPr>
        <w:t xml:space="preserve">The fair value of RSUs granted is determined based on the price of the Company’s common stock on the date of grant. </w:t>
      </w:r>
      <w:r>
        <w:rPr>
          <w:rFonts w:ascii="Arial" w:cs="Arial" w:eastAsia="Arial" w:hAnsi="Arial"/>
          <w:sz w:val="18"/>
          <w:szCs w:val="18"/>
          <w:b w:val="1"/>
          <w:bCs w:val="1"/>
          <w:color w:val="auto"/>
        </w:rPr>
        <w:t>Stock-Based Compensation Expense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gridSpan w:val="3"/>
            <w:vMerge w:val="restart"/>
          </w:tcPr>
          <w:p>
            <w:pPr>
              <w:ind w:left="9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4"/>
                <w:szCs w:val="14"/>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4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line="216" w:lineRule="exact"/>
              <w:rPr>
                <w:sz w:val="20"/>
                <w:szCs w:val="20"/>
                <w:color w:val="auto"/>
              </w:rPr>
            </w:pPr>
            <w:r>
              <w:rPr>
                <w:rFonts w:ascii="Arial" w:cs="Arial" w:eastAsia="Arial" w:hAnsi="Arial"/>
                <w:sz w:val="17"/>
                <w:szCs w:val="17"/>
                <w:color w:val="auto"/>
              </w:rPr>
              <w:t>(1,048)</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Total stock-based compensation expense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380" w:hanging="331"/>
        <w:spacing w:after="0" w:line="207" w:lineRule="auto"/>
        <w:tabs>
          <w:tab w:leader="none" w:pos="34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Includes the reversal of previously recognized expense of $3.6 million related to forfeited awards resulting from the departure of one of our former officers during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Company entered into the Collaboration Agreement with Allergan to develop and commercialize select microbiome gastrointestinal disease therapies. Pursuant to the Collaboration Agreement, the Company granted Allergan an exclusive worldwide license to certain of its intellectual property, including its intellectual property arising under the Collaboration Agreement, to develop and commercialize licensed compounds for UC, Crohn’s disease, and two compounds for IBS. Allergan and the Company also agreed to collaborate on research and development activities with respect to the licensed compounds in accordance with a mutually agreed upon research and development plan. Per the terms of the Collaboration Agreement, Allergan can select backups and additional target indications to add to the licenses granted for additional consideration and also has the ability to enter into a contract manufacturing agreement with the Company for compound supply at cost plus an agreed upon margin. In addition, the Company will participate on a Joint Development Committee (JDC) and Joint Patent Committee (JPC). The Company provided to Allergan standard indemnification and protection of licensed intellectual property, which is part of assurance that the license meets the contract’s specifications and is not an obligation to provide goods or services.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Allergan paid the Company an upfront non-refundable payment of $50.0 million, which was received in 2017. Additionally, the Company is eligible to receive variable consideration in the form of research and development cost reimbursements, up to approximately $631.0 million related to seven development milestones and up to approximately $2.14 billion related to 12 commercial development and sales milestones in connection with the successful development and commercialization of licensed compounds. In addition, the Company is eligible to receive tiered royalties at rates ranging from the mid-single digits to the mid-teens based on net sales.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Allergan and the Company have agreed to share research and development costs up to an aggregate of $75.0 million through proof-of-concept (POC) studies on a ⅔, ⅓ basis, respectively, and Allergan has agreed to assume all post-POC development costs. In the event any pre-POC development costs exceed $75.0 million in the aggregate, the Company may elect either</w:t>
      </w:r>
    </w:p>
    <w:p>
      <w:pPr>
        <w:spacing w:after="0" w:line="2" w:lineRule="exact"/>
        <w:rPr>
          <w:sz w:val="20"/>
          <w:szCs w:val="20"/>
          <w:color w:val="auto"/>
        </w:rPr>
      </w:pPr>
    </w:p>
    <w:p>
      <w:pPr>
        <w:jc w:val="both"/>
        <w:ind w:firstLine="9"/>
        <w:spacing w:after="0" w:line="255"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fund ⅓ of such costs in excess of $75.0 million or (b) to allow Allergan to deduct from future development milestone payments ⅓ of the development costs funded by Allergan in excess of $75.0 million plus a premium of 25%. The Company has an option to co-promote the licensed programs in the U.S. and China, subject to certain conditions set forth in the Collaboration Agreement.</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Allergan may terminate the Collaboration Agreement at any time upon 120 days’ advance written notice to the Company. Unless terminated early, the Collaboration Agreement has a term that ends on the earlier of the (i) the period when POC studies have been completed and no further licensed compounds or licensed products are in development, and (ii) expiration of the last to exist valid claim covering the manufacture, use and sale of the licensed products. The Collaboration Agreement also contains customary provisions for termination by either party, including in the event of breach of the Collaboration Agreement, subject to cure. Upon termination for convenience, the licenses granted by the Company and its know-how all revert to the Company.</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concluded that Allergan is a customer and that the Collaboration Agreement is not subject to accounting literature on collaborative arrangements. This is because the Company granted to Allergan licenses to its intellectual property, and research and development services, all of which are outputs of the Company’s ongoing activities, in exchange for consideration. The Company identified the following material promises under the Collaboration Agreement: (1) transfer of a licenses to intellectual property for the four initial indications, inclusive of the related technology know-how (Licenses) and (2) the obligation to perform research development services through POC (Development Services). The Company’s participation on the JDC and JPC were considered to be immaterial in the context of the contract. The Company’s co-promotion option was not considered to be a performance obligation. Allergan’s selection of backups or additional target indications to add to the licenses granted for additional consideration and ability to enter into a contract manufacturing agreement with the Company for compound supply at cost plus an agreed upon margin were not considered to be performance obligations as the Company concluded the options were not offered at a discount that exceeds discounts available to other customers, and therefore were not material rights. The grant of additional licensing rights upon option exercises and contract manufacturing agreements will be accounted for as separate contracts when they occur.</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concluded the Licenses each were considered to be functional as they have significant standalone functionality and were capable of being distinct. However, the Company determined that each of the Licenses individually were not distinct from the Development Services within the context of the agreement. This is because Allergan is dependent on the Company to execute the Development Services, that it is only uniquely able to perform, in order for Allergan to benefit from the Licenses. As such, the Company determined that it has four performance obligations under the Collaboration Agreement associated with the transfer of the four compound Licenses combined with the performance of the Development Services for each of the four compound indications. The Company determined that the four performance obligations will be performed over the duration of the contract, which began in February 2017 and ends upon completion of the Development Services. We originally estimated the completion of the Development Services to be in 2024. During the second quarter of 2019, the completion of the Development Services was extended to 2025 based on updated estimates of effort associated with our and Allergan’s development plans. This change in estimate did not have a material impact on our revenue recognition. The Company is using a cost-based input method to measure proportional performance and to calculate the corresponding amount of revenue to recognize. The Company believes this is the best measure of progress because other measures do not reflect how the Company transfers its performance obligation to Allergan. In applying the cost-based input method of revenue recognition, the Company measures costs incurred relative to budgeted costs to fulfill the four performance obligations. These costs consist primarily of third-party contract costs and internal labor costs. Revenue will be recognized based on actual costs incurred as a percentage of total budgeted costs as the Company completes its performance obligations.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allocate transaction price among the four performance obligations, the Company estimated their standalone selling price (SSP) using income-based valuation approach for the estimated value a licensor of the compounds would receive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considering the stage of the compounds’ development. The Company believes that a change in the assumptions used to determine its best estimate of selling price for the four performance obligations would not have a significant effect on the allocation of consideration received to the four performance obligations.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transaction price at the inception of the agreement and upon adoption of ASC 606 was limited to $50.0 million upfront payment. Of this amount, the Company allocated $12.5 million to each of the four performance obligations. Research and development cost reimbursement payments are included in the transaction price in the reporting period that the Company concludes that it is probable that recording revenue in the period will not result in a significant reversal in amounts recognized in future periods. The variable consideration related to the remaining development and commercialization milestone payments has not been included in the transaction price as these were fully constrained at June 30, 2019. As part of the Company’s evaluation of the development and commercialization milestones constraint, the Company determined that the achievement of such milestones is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 granted to Allergan. The Company will re-evaluate the transaction price in each reporting period and as uncertain events are resolved or other changes in circumstances occur.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incremental costs of obtaining the Allergan contract.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2019 and 2018, the Company recognized approximately $7.0 million and $6.8 million, respectively, in revenue associated with the Collaboration Agreement. Short-term and long-term deferred revenue contract liabilities related to the Collaboration Agreement were approximately $6.1 million and approximately $33.6 million at June 30, 2019 and approximately $5.1 million and approximately $35.6 million at December 31, 2018.</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unaudited condensed consolidated balance sheets, contract asset balances of approximately $2.9 million and approximately $2.4 million were recorded as accounts receivable from collaboration as of June 30, 2019 and December 31, 2018,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Beginning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restart"/>
          </w:tcPr>
          <w:p>
            <w:pPr>
              <w:jc w:val="right"/>
              <w:ind w:right="74"/>
              <w:spacing w:after="0"/>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9"/>
              </w:rPr>
              <w:t>Deductions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2019</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Contract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Beginning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restart"/>
          </w:tcPr>
          <w:p>
            <w:pPr>
              <w:jc w:val="right"/>
              <w:ind w:right="74"/>
              <w:spacing w:after="0"/>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9"/>
              </w:rPr>
              <w:t>Deductions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2018</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Contract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45,785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(2,195)</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43,590</w:t>
            </w:r>
          </w:p>
        </w:tc>
        <w:tc>
          <w:tcPr>
            <w:tcW w:w="0" w:type="dxa"/>
            <w:vAlign w:val="bottom"/>
          </w:tcPr>
          <w:p>
            <w:pPr>
              <w:spacing w:after="0"/>
              <w:rPr>
                <w:sz w:val="1"/>
                <w:szCs w:val="1"/>
                <w:color w:val="auto"/>
              </w:rPr>
            </w:pPr>
          </w:p>
        </w:tc>
      </w:tr>
      <w:tr>
        <w:trPr>
          <w:trHeight w:val="378"/>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11"/>
          </w:tcPr>
          <w:p>
            <w:pPr>
              <w:jc w:val="right"/>
              <w:ind w:right="10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24"/>
                <w:szCs w:val="24"/>
                <w:color w:val="auto"/>
              </w:rPr>
            </w:pPr>
          </w:p>
        </w:tc>
        <w:tc>
          <w:tcPr>
            <w:tcW w:w="1780" w:type="dxa"/>
            <w:vAlign w:val="bottom"/>
            <w:gridSpan w:val="7"/>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Collaboration revenue recognized in the period from:</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2"/>
              </w:rPr>
              <w:t>Amounts included in deferred revenue at the beginning of the period</w:t>
            </w:r>
          </w:p>
        </w:tc>
        <w:tc>
          <w:tcPr>
            <w:tcW w:w="6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137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996</w:t>
            </w:r>
          </w:p>
        </w:tc>
        <w:tc>
          <w:tcPr>
            <w:tcW w:w="34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Performance obligations satisfied in previous period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Milestones and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approximately $0.8 million, with a portion related to the first performance milestone having been paid. The Company also is obligated to pay IURTC royalty payments based on net sales of the licensed technology. The Company is also obligated to pay diligence maintenance fees each year to the extent that the royalty, sublicensing, and milestone payments to IURTC are less than the diligence maintenance fee for that year. Amounts paid in the six months ended June 30, 2019 and 2018 were insignificant.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The Company also must pay Therabiome lesser amounts for foreign regulatory milestones, which vary by country and region. The Company also must pay Therabiome royalties on annual net sales of a product in the low to mid-single digit percentages plus, once annual net sales exceed certain thresholds, a one-time cash payment upon reaching the thresholds.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Therabiome must pay the Company royalties on annual net sales of any product Therabiome is permitted to develop using the intellectual property in the low double to mid-double-digit percentages, depending on the level of development or involvement the Company had in the product.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regulatory milestones were determined to have occurred under this agreement, and approximately $0.3 million was accrued and included in accrued expenses as of and during the six months ended June 30, 2019. No amounts were accrued for this agreement as of and for the six months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leases office space for corporate and administrative functions in Carmel, Indiana under a lease agreement that expires in August 2023. The Company leases office and laboratory space in South San Francisco, California under a sub-sublease that expires in December 2023. Prior to moving into the South San Francisco office and laboratory space in February 2019, the Company leased office and laboratory space in San Francisco, California, under a sublease that expired on February 28, 2019. The Company also leases office and laboratory space in Groton, Connecticut under a lease that expires in March 2020. The Company’s China subsidiary leases office space in Shanghai that expires in May 2020 and rents lab space in Shanghai under a lease agreement that expires in December 2019. Additionally, the Company’s China subsidiary leases office space in Beijing under a lease agreement that expires in December 2019. Certain lease contracts contain renewal clauses that the Company assesses on a case by case basis. The Company also leases certain laboratory equipment accounted for as operating leases. These equipment leases began to expire in 2017, with the final lease expiring in 2021.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the Company had operating lease liabilities of $12.9 million and right-of-use assets of $12.7 million, which were included in the condensed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2019</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Lease cost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Operating lease cost</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2,208</w:t>
            </w:r>
          </w:p>
        </w:tc>
        <w:tc>
          <w:tcPr>
            <w:tcW w:w="40" w:type="dxa"/>
            <w:vAlign w:val="bottom"/>
          </w:tcPr>
          <w:p>
            <w:pPr>
              <w:spacing w:after="0"/>
              <w:rPr>
                <w:sz w:val="18"/>
                <w:szCs w:val="18"/>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lease cost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8"/>
                <w:szCs w:val="18"/>
                <w:color w:val="auto"/>
              </w:rPr>
            </w:pPr>
          </w:p>
        </w:tc>
      </w:tr>
      <w:tr>
        <w:trPr>
          <w:trHeight w:val="216"/>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Variable lease cost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40" w:type="dxa"/>
            <w:vAlign w:val="bottom"/>
            <w:tcBorders>
              <w:bottom w:val="single" w:sz="8" w:color="auto"/>
            </w:tcBorders>
          </w:tcPr>
          <w:p>
            <w:pPr>
              <w:spacing w:after="0"/>
              <w:rPr>
                <w:sz w:val="18"/>
                <w:szCs w:val="18"/>
                <w:color w:val="auto"/>
              </w:rPr>
            </w:pPr>
          </w:p>
        </w:tc>
      </w:tr>
      <w:tr>
        <w:trPr>
          <w:trHeight w:val="21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40" w:type="dxa"/>
            <w:vAlign w:val="bottom"/>
            <w:tcBorders>
              <w:bottom w:val="single" w:sz="8" w:color="auto"/>
            </w:tcBorders>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24"/>
                <w:szCs w:val="24"/>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4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2019</w:t>
            </w:r>
          </w:p>
        </w:tc>
      </w:tr>
      <w:tr>
        <w:trPr>
          <w:trHeight w:val="182"/>
        </w:trPr>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Cash paid for amounts included in the measurement of lease</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40" w:type="dxa"/>
            <w:vAlign w:val="bottom"/>
            <w:shd w:val="clear" w:color="auto" w:fill="CCEEFF"/>
          </w:tcPr>
          <w:p>
            <w:pPr>
              <w:spacing w:after="0"/>
              <w:rPr>
                <w:sz w:val="20"/>
                <w:szCs w:val="20"/>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Right-of-use assets exchanged for new operating lease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20"/>
                <w:szCs w:val="20"/>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2019, the weighted-average remaining lease term for operating leases was approximately 4.2 years and the weighted-average discount rate for operating leases was approximately 9.6%.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maturities of the Company’s operating lease liabilities were as follows (in thousands):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2019 (from July to December)</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Total undiscounted future minimum lease payments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15,846</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adjustment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12,889</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Operating lease costs were approximately $1.1 million and $2.2 million, for the three and six months ended June 30, 2019, respectively and $0.7 million and $1.5 million for the three and six months ended June 30, 2018,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both of which are contained in our Annual Report on Form 10-K for the fiscal year ended December 31, 2018 filed with the U.S. Securities and Exchange Commission on February 28, 2019 (2018 Annual Report). In addition to historical information, this discussion and analysis contains forward-looking statements within the meaning of Section 27A of the Securities Act of 1933, as amended and Section 21E of the Securities Exchange Act of 1934, as amended (the Exchange Act). These forward-looking statements are subject to risks and uncertainties, including those set forth under “Part I. Item 1A. Risk Factors” in our 2018 Annual Report, “Part II. Item 1A. Risk Factors” in this report, and elsewhere in this report, that could cause actual results to differ materially from historical results or anticipated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clinical-stage biotechnology company developing innovative therapeutics targeting chronic hepatitis B virus (HBV) infection and diseases associated with the microbiome.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HBV-cure Program</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Over 250 million people worldwide are chronically infected with HBV. Our HBV-cure program is pursuing multiple drug candidates that inhibit the HBV lifecycle and block the generation of covalently closed circular DNA (cccDNA), with the aim of increasing the current low cure rate for patients with HBV. We have discovered several novel core inhibitors, which are small molecules that directly target and allosterically modulate the HBV core (HBc) protein.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ABI-H0731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 product candidate from this program, ABI-H0731, is currently in an ongoing Phase 2a long-term open label combination study (Study 211) and has completed a Phase 1a/1b human clinical study in countries outside the United States. We have also completed an additional Phase 1a (ABI-H0731-102) pharmacokinetic (PK), safety and tolerability study of ABI-H0731 in healthy volunteers in the United States. In 2018, the U.S. Food and Drug Administration (FDA) granted Fast Track designation to ABI-H0731 for the treatment of patients with chronic HBV infection.</w:t>
      </w:r>
    </w:p>
    <w:p>
      <w:pPr>
        <w:spacing w:after="0" w:line="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2018 we commenced two Phase 2a combination studies for ABI-H0731, ABI-H0731-201 (Study 201) and ABI-H0731-202 (Study 202) at sites in the United States, Canada, Hong Kong, New Zealand and the United Kingdom. All subjects who completed treatment in Study 201 or Study 202 had the option to roll over into Study 211 and receive the combination of ABI-H0731 with ongoing standard of care Nuc therapy. We expect that subjects in Study 211 will be treated for up to an additional year from the time of completion of their participation in either Study 201 or Study 202. Subjects in Study 211 who achieve a complete response, defined as viral DNA and RNA below limits of quantification, will begin a six-month treatment consolidation period and then have the opportunity to stop all treatment (ABI-H0731 and standard of care Nuc therapy) and be monitored for six months off therapy to assess whether combination therapy improves the rate of sustained viral responses. Data from Study 211, including 48-week interim results, is expected in the fourth quarter of 2019</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201 enrolled HBV patients whose viral load had already been suppressed on a standard of care Nuc therapy. Seventy-three patients were randomized 3:2 to receive either 300 mg of ABI-H0731 daily or placebo in addition to their continued Nuc therapy for six months. Study 201 compares the safety and tolerability of combination therapy with ABI-H0731, as well as evaluates declines in HBV S antigen (HBsAg), HBV E antigen (HBeAg) and HBV DNA and RNA levels, to those seen in patients on Nuc monotherapy.</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202 enrolled 25 HBeAg positive HBV patients who are naïve to Nuc treatment and randomized 1:1 to receive either 300 mg of ABI-H0731 daily or placebo in combination with standard of care entecavir (0.5 mg) for six months. Study 202 assesses the relative antiviral potency of combination therapy compared with entecavir alone. Endpoints include the speed and depth of viral suppression, as well as changes in biomarkers (HBsAg and HBeAg) and HBV RNA levels, and the safety and tolerability of ABI-H0731.</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presented interim safety and efficacy data from both Study 201 and Study 202 during a late-breaker oral session at The International Liver Congress™ (ILC), the Annual Meeting of the European Association for the Study of the Liver (EASL) in April 2019. The late-breaker abstract was also selected for inclusion in the “Best of ILC” presentation. The initial safety data suggests that ABI-H0731 in combination with Nuc therapy was well tolerated. Adverse events (AEs) were mild, infrequent, and evaluated as generally unrelated to treatment. There were no treatment-related discontinuations, no serious adverse events and no clinical AEs greater than Grade 2 observed. Lab abnormalities were mostly Grade 1, transient, and not thought to be related to drug. The initial efficacy data suggests that combination therapy exhibits rapid and enhanced antiviral benefit in suppressing HBV DNA and RNA levels, with significant RNA reductions not observed with Nuc treatment alone. In treatment naïve patients enrolled in Study 202, accelerated and significant declines in HBV DNA were observed starting as early as Week 2 of treatment. Reduction in residual viral DNA levels that persist on extended Nuc therapy to undetectable levels (&lt;2-5 IU/mL) were only observed with combination therapy. We believe that complete suppression of viral replication will likely be required to cure HBV and that the initial efficacy data supports the use of core inhibitors in HBV treatment regimens. If complete suppression of viral replication can be sustainably achieved, it is anticipated that this may lead to higher rates of “cure” defined as a sustained antiviral suppression of treatment (potentially with loss or diminution of viral antigens).</w:t>
      </w:r>
    </w:p>
    <w:p>
      <w:pPr>
        <w:spacing w:after="0" w:line="156"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Final data from our completed Phase 1a (ABI-H0731-102) PK, safety and tolerability study and Phase 1b (ABI-H0731-101b) study showed antiviral activity across all patient cohorts. In the 300 mg dose cohort, the mean maximal declines from baseline were reported as ≥2.8* log</w:t>
      </w:r>
      <w:r>
        <w:rPr>
          <w:rFonts w:ascii="Arial" w:cs="Arial" w:eastAsia="Arial" w:hAnsi="Arial"/>
          <w:sz w:val="27"/>
          <w:szCs w:val="27"/>
          <w:color w:val="auto"/>
          <w:vertAlign w:val="subscript"/>
        </w:rPr>
        <w:t>10</w:t>
      </w:r>
      <w:r>
        <w:rPr>
          <w:rFonts w:ascii="Arial" w:cs="Arial" w:eastAsia="Arial" w:hAnsi="Arial"/>
          <w:sz w:val="18"/>
          <w:szCs w:val="18"/>
          <w:color w:val="auto"/>
        </w:rPr>
        <w:t xml:space="preserve"> IU/mL after 28 days, with ≥2.9 and 2.5* log</w:t>
      </w:r>
      <w:r>
        <w:rPr>
          <w:rFonts w:ascii="Arial" w:cs="Arial" w:eastAsia="Arial" w:hAnsi="Arial"/>
          <w:sz w:val="27"/>
          <w:szCs w:val="27"/>
          <w:color w:val="auto"/>
          <w:vertAlign w:val="subscript"/>
        </w:rPr>
        <w:t>10</w:t>
      </w:r>
      <w:r>
        <w:rPr>
          <w:rFonts w:ascii="Arial" w:cs="Arial" w:eastAsia="Arial" w:hAnsi="Arial"/>
          <w:sz w:val="18"/>
          <w:szCs w:val="18"/>
          <w:color w:val="auto"/>
        </w:rPr>
        <w:t xml:space="preserve"> IU/mL mean declines in HBeAg positive and negative patients, respectively. Maximal viral load declines of 3.6 to 4.0 log</w:t>
      </w:r>
      <w:r>
        <w:rPr>
          <w:rFonts w:ascii="Arial" w:cs="Arial" w:eastAsia="Arial" w:hAnsi="Arial"/>
          <w:sz w:val="27"/>
          <w:szCs w:val="27"/>
          <w:color w:val="auto"/>
          <w:vertAlign w:val="subscript"/>
        </w:rPr>
        <w:t>10</w:t>
      </w:r>
      <w:r>
        <w:rPr>
          <w:rFonts w:ascii="Arial" w:cs="Arial" w:eastAsia="Arial" w:hAnsi="Arial"/>
          <w:sz w:val="18"/>
          <w:szCs w:val="18"/>
          <w:color w:val="auto"/>
        </w:rPr>
        <w:t xml:space="preserve"> IU/mL were observed in HBeAg negative patients treated at all dose levels (100 mg to 400 mg). Mean RNA reductions observed in the 300 mg dose cohort were 2.3 log</w:t>
      </w:r>
      <w:r>
        <w:rPr>
          <w:rFonts w:ascii="Arial" w:cs="Arial" w:eastAsia="Arial" w:hAnsi="Arial"/>
          <w:sz w:val="27"/>
          <w:szCs w:val="27"/>
          <w:color w:val="auto"/>
          <w:vertAlign w:val="subscript"/>
        </w:rPr>
        <w:t>10</w:t>
      </w:r>
      <w:r>
        <w:rPr>
          <w:rFonts w:ascii="Arial" w:cs="Arial" w:eastAsia="Arial" w:hAnsi="Arial"/>
          <w:sz w:val="18"/>
          <w:szCs w:val="18"/>
          <w:color w:val="auto"/>
        </w:rPr>
        <w:t xml:space="preserve"> IU/mL over 28 days. The observed reductions in viral RNA levels are a distinguishing feature of this class of inhibitors compared to standard of care Nuc therapy.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Across all cohorts in the Phase 1a and Phase 1b studies, ABI-H0731 was generally well-tolerated. No serious adverse effects or dose-limiting toxicities were identified, and there was no pattern of treatment emergent clinical or laboratory abnormalities observed. With the exception of an isolated Grade 3 rash at the 400 mg dose that resolved with no intervention required other than treatment discontinuation, there were no other Grade 3 or Grade 4 AEs, and no other drug discontinuations have occurred in these studies.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ABI-H2158</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ABI-H2158, our second product candidate in the HBV-cure program, is an internally discovered and developed drug product candidate that is chemically distinct from ABI-H0731. In November 2018, we initiated a Phase 1a/1b dose-ranging clinical study of ABI-H2158 in New Zealand, to assess the safety, tolerability and PK of ABI-H2158 in healthy volunteers and then subsequently assess the safety, tolerability, PK and initial antiviral potency in non-cirrhotic patients with chronic HBV infection.</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We presented final data from the Phase 1a portion of the Phase 1a/1b dose-ranging clinical study at EASL in April 2019. The Phase 1a study assessed safety, tolerability and PK in 48 healthy volunteers. ABI-H2158 was well tolerated following single and multiple ascending doses. There were no dose dependent treatment-emergent AEs and no pattern of clinical safety or laboratory abnormalities observed within or across any cohorts. Once daily administration is projected to result in trough liver concentrations in excess of the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EC</w:t>
      </w:r>
      <w:r>
        <w:rPr>
          <w:rFonts w:ascii="Arial" w:cs="Arial" w:eastAsia="Arial" w:hAnsi="Arial"/>
          <w:sz w:val="24"/>
          <w:szCs w:val="24"/>
          <w:color w:val="auto"/>
          <w:vertAlign w:val="subscript"/>
        </w:rPr>
        <w:t>50</w:t>
      </w:r>
      <w:r>
        <w:rPr>
          <w:rFonts w:ascii="Arial" w:cs="Arial" w:eastAsia="Arial" w:hAnsi="Arial"/>
          <w:sz w:val="16"/>
          <w:szCs w:val="16"/>
          <w:color w:val="auto"/>
        </w:rPr>
        <w:t xml:space="preserve"> of 334 nM at which cccDNA establishment is inhibited. We initiated the Phase 1b dose-ranging portion of this study in April 2019 to assess the safety, PK and antiviral activity of ABI-H2158 in patients with chronic HBV infection. Data from this study is expected by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14408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440" w:right="2840" w:hanging="4431"/>
        <w:spacing w:after="0" w:line="778"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one subject found to have pre-existing resistance substitutions at baseline.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ABI-H3733</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ABI-H3733 is our third product candidate for the treatment of HBV and is currently undergoing Investigational New Drug (IND) enabling studies. ABI-H3733 exhibits a novel chemical scaffold separate from ABI-H0731 and ABI-H2158. We presented a preclinical profile of this candidate at EASL in April 2019. In preclinical studies, ABI-H3733 demonstrated potent inhibitory activity against multiple steps in the HBV infection cycle, particularly those relating to cccDNA generation. ABI-H3733 possesses promising physical properties, low drug-drug interaction potential and a favorable PK profile in multiple species. Mechanism of action studies suggest enhanced potency in blocking encapsidation of pgRNA and disruption of pre-formed capsids, leading to premature disassembly during trafficking of rcDNA containing capsids to the nucleus during infection. ABI-H3733 inhibited cccDNA formation with an EC</w:t>
      </w:r>
      <w:r>
        <w:rPr>
          <w:rFonts w:ascii="Arial" w:cs="Arial" w:eastAsia="Arial" w:hAnsi="Arial"/>
          <w:sz w:val="27"/>
          <w:szCs w:val="27"/>
          <w:color w:val="auto"/>
          <w:vertAlign w:val="subscript"/>
        </w:rPr>
        <w:t>50</w:t>
      </w:r>
      <w:r>
        <w:rPr>
          <w:rFonts w:ascii="Arial" w:cs="Arial" w:eastAsia="Arial" w:hAnsi="Arial"/>
          <w:sz w:val="18"/>
          <w:szCs w:val="18"/>
          <w:color w:val="auto"/>
        </w:rPr>
        <w:t xml:space="preserve"> of 125 nM. ABI-H3733’s enhanced potency and favorable preclinical profile support advancement into Phase 1a studies, which we expect to initiate in the first quarter of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plan to conduct additional research and development to identify additional product candidates for our HBV-cure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Program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Microbiome program consists of a fully integrated platform that includes a strain isolation, identification, characterization and function based selection process, methods for strain purification and growth under current Good Manufacturing Practice (cGMP) conditions, and a licensed patented delivery system that we call GEMICEL®, which is designed to allow for targeted oral delivery of live biologic and conventional therapies to the lower gastrointestinal (GI) tract. In connection with our Microbiome program, we filed an IND application in December 2018 for ABI-M201 (Ulcerative Colitis). In February 2019, we initiated a Phase 1b human clinical study for ABI-M201 in patients with mildly to moderately active ulcerative colitis to evaluate safety, efficacy and exploratory endpoints, and in June 2019, we initiated dosing of the first patient in this clinical study. Using our microbiome platform capabilities, we are also exploring additional product candidates for other disease indications, including Crohn’s disease and irritable bowel syndrome in connection with the Collaboration Agreement (as defined below), as well as non-alcoholic steatohepatitis (NASH) and immuno-oncology, which indications we will pursue either internally or in collaboration with other collaborators.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6, 2017, we entered into the Research, Development, Collaboration and License Agreement (the Collaboration Agreement) with Allergan to develop and commercialize select microbiome gastrointestinal programs. Pursuant to the terms of the Collaboration Agreement, in connection with the closing of the transaction in February 2017, Allergan paid us an upfront payment of $50.0 million. Additionally, we are eligible to receive up to approximately $631.0 million in payments related to seven development milestones and up to approximately $2.14 billion in payments related to 12 commercial development and sales milestones in connection with the successful development and commercialization of licensed compounds for up to six different indications. We have agreed with Allergan to share development costs up to an aggregate of $75.0 million through proof-of-concept (POC) studies on a ⅔, ⅓ basis, respectively, and Allergan has agreed to assume all post-POC development costs. Additionally, we have an option to co-promote the licensed programs in the United States and China, subject to certain conditions set forth in the Collaboration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corporate and administrative offices in Carmel, Indiana, administrative offices and research laboratory space in South San Francisco, California and research, development and small-scale manufacturing activities in Groton, Connecticut. We also currently have an administrative office and research laboratory space in Shanghai, China and a regulatory office in Beijing,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our inception, we have had no revenue from product sales and have funded our operations principally through debt financings prior to our initial public offering in 2010 and through equity financings and collaborations. Our operations to date have been primarily limited to organizing and staffing our company, licensing our product candidates, discovering and developing our product candidates, establishing small-scale manufacturing capabilities for certain of our product candidates, maintaining and improving our patent portfolio and raising capital. We have generated significant losses to date, and we expect to continue to generate losses as we continue to develop our product candidates. As of June 30, 2019, we had an accumulated deficit of approximately $387.3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critical accounting policies and significant estimates are detailed in our 2018 Annual Report. Our critical accounting policies and significant estimates have not changed from those previously disclosed in our 2018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June 30, 2019 and 2018, collaboration revenue was approximately $3.1 million and $3.2 million, respectively, which included the recognition of deferred revenue and reimbursements in each case incurred under the Collaboration Agreement. While reimbursement activities have continued to increase year over year, the decrease in revenue as compared to the same period in 2018 is a result of lower deferred revenue being recognized as a result of changes in our estimates of the performance period associated with our Development Activities under the Collaboration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Research and development expense, excluding stock-based compensation expense, was approximately $15.6 million for the three months ended June 30, 2019, an increase of approximately $1.4 million from approximately $14.2 million for the same period in 2018. The increase was primarily due to an increase of approximately $1.1 million in research expenses for our Microbiome program and an increase of approximately $0.3 million in research expenses for our HBV-cure program.</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$3.1 million for the three months ended June 30, 2019, a decrease of approximately $0.6 million from approximately $3.7 million for the same period in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 excluding stock-based compensation expense, was approximately $5.1 million for the three months ended June 30, 2019, an increase of approximately $0.5 million from approximately $4.6 million for the same period in 2018. The increase was primarily due to an increase of approximately $0.9 million of employee related expenses and $0.2 million of rent expenses for our new office in South San Francisco, partially offset by a decrease of approximately $0.6 million of professional fees.</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Stock-based compensation expense was approximately $(1.1) million for the three months ended June 30, 2019, a decrease of approximately $8.9 million from approximately $7.9 million for the same period in 2018. The change was primarily due to a $4.3 million one-time expense related to the departure and transition to consultant of one of our former officers in the second quarter of 2018 coupled with the reversal of previously recognized expense of $3.6 million related to forfeited awards from the departure of one of our former officers during the second quarter of 2019.</w:t>
      </w:r>
    </w:p>
    <w:p>
      <w:pPr>
        <w:spacing w:after="0" w:line="146" w:lineRule="exact"/>
        <w:rPr>
          <w:sz w:val="20"/>
          <w:szCs w:val="20"/>
          <w:color w:val="auto"/>
        </w:rPr>
      </w:pPr>
    </w:p>
    <w:p>
      <w:pPr>
        <w:ind w:right="4420"/>
        <w:spacing w:after="0" w:line="454" w:lineRule="auto"/>
        <w:rPr>
          <w:sz w:val="20"/>
          <w:szCs w:val="20"/>
          <w:color w:val="auto"/>
        </w:rPr>
      </w:pPr>
      <w:r>
        <w:rPr>
          <w:rFonts w:ascii="Arial" w:cs="Arial" w:eastAsia="Arial" w:hAnsi="Arial"/>
          <w:sz w:val="18"/>
          <w:szCs w:val="18"/>
          <w:b w:val="1"/>
          <w:bCs w:val="1"/>
          <w:i w:val="1"/>
          <w:iCs w:val="1"/>
          <w:color w:val="auto"/>
        </w:rPr>
        <w:t xml:space="preserve">Comparison of the Six Months Ended June 30, 2019 and 2018 </w:t>
      </w:r>
      <w:r>
        <w:rPr>
          <w:rFonts w:ascii="Arial" w:cs="Arial" w:eastAsia="Arial" w:hAnsi="Arial"/>
          <w:sz w:val="18"/>
          <w:szCs w:val="18"/>
          <w:i w:val="1"/>
          <w:iCs w:val="1"/>
          <w:color w:val="auto"/>
        </w:rPr>
        <w:t>Collaboration Revenue</w:t>
      </w:r>
    </w:p>
    <w:p>
      <w:pPr>
        <w:jc w:val="both"/>
        <w:spacing w:after="0" w:line="276" w:lineRule="auto"/>
        <w:rPr>
          <w:sz w:val="20"/>
          <w:szCs w:val="20"/>
          <w:color w:val="auto"/>
        </w:rPr>
      </w:pPr>
      <w:r>
        <w:rPr>
          <w:rFonts w:ascii="Arial" w:cs="Arial" w:eastAsia="Arial" w:hAnsi="Arial"/>
          <w:sz w:val="17"/>
          <w:szCs w:val="17"/>
          <w:color w:val="auto"/>
        </w:rPr>
        <w:t>For the six months ended June 30, 2019 and 2018, collaboration revenue was approximately $7.0 million and $6.8, respectively, which included the recognition of deferred revenue and reimbursements in each case incurred under the Collaboration Agreement. The increase in revenue as compared to the same period in 2018 is a result of increased reimbursement activities, partially offset by lower deferred revenue being recognized as a result of changes in our estimates of the performance period associated with our Development Activities under the Collaboration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expense, excluding stock-based compensation expense, was approximately $35.6 million for the six months ended June 30, 2019, an increase of approximately $9.4 million from approximately $26.2 million for the same period in 2018. The increase was primarily due to an increase of approximately $7.5 million in research expenses for our Microbiome program due to increased headcount and launching of Phase 1b human clinical study for ABI-M201 and an increase of approximately $1.9 million in research expenses for our HBV-cure program.</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$5.8 million for the six months ended June 30, 2019, a decrease of approximately $0.4 million from approximately $6.2 million for the same period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 excluding stock-based compensation expense, was approximately $10.8 million for the six months ended June 30, 2019, an increase of approximately $2.0 million from approximately $8.8 million for the same period in 2018. The increase was primarily due to an increase of approximately $0.1 million of professional fees, $1.3 million of employee related expenses, and $0.6 million of rent expenses for our new office in South San Francisco.</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Stock-based compensation expense was approximately $2.8 million for the six months ended June 30, 2019, a decrease of approximately $6.7 million from approximately $9.5 million for the same period in 2018. The decrease was primarily due to a $4.3 million one-time expense related to the departure and transition to consultant of one of our former officers in 2018 coupled with the reversal of previously recognized expense of $3.6 million related to forfeited awards resulting from the departure of one of our former officers during the period.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2019 principally through equity financing, raising an aggregate of approximately $412.8 million in net proceeds, and a strategic collaboration raising an aggregate of $50.0 million through an upfront payment.</w:t>
      </w:r>
    </w:p>
    <w:p>
      <w:pPr>
        <w:spacing w:after="0" w:line="161" w:lineRule="exact"/>
        <w:rPr>
          <w:sz w:val="20"/>
          <w:szCs w:val="20"/>
          <w:color w:val="auto"/>
        </w:rPr>
      </w:pPr>
    </w:p>
    <w:p>
      <w:pPr>
        <w:ind w:right="4380"/>
        <w:spacing w:after="0" w:line="414" w:lineRule="auto"/>
        <w:rPr>
          <w:sz w:val="20"/>
          <w:szCs w:val="20"/>
          <w:color w:val="auto"/>
        </w:rPr>
      </w:pPr>
      <w:r>
        <w:rPr>
          <w:rFonts w:ascii="Arial" w:cs="Arial" w:eastAsia="Arial" w:hAnsi="Arial"/>
          <w:sz w:val="18"/>
          <w:szCs w:val="18"/>
          <w:b w:val="1"/>
          <w:bCs w:val="1"/>
          <w:i w:val="1"/>
          <w:iCs w:val="1"/>
          <w:color w:val="auto"/>
        </w:rPr>
        <w:t xml:space="preserve">Cash Flows for the Six Months Ended June 30, 2019 and 2018 </w:t>
      </w:r>
      <w:r>
        <w:rPr>
          <w:rFonts w:ascii="Arial" w:cs="Arial" w:eastAsia="Arial" w:hAnsi="Arial"/>
          <w:sz w:val="18"/>
          <w:szCs w:val="18"/>
          <w:i w:val="1"/>
          <w:iCs w:val="1"/>
          <w:color w:val="auto"/>
        </w:rPr>
        <w:t>Net Cash from Operating Activities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approximately $44.9 million for the six months ended June 30, 2019. This was primarily due to a $45.6 million net loss, $1.1 million of accretion of discount of marketable securities and a decrease of $9.4 million of operating assets and liabilities and offset by a $8.6 million non-cash expense recorded for the stock-based compensation, $2.2 million of amortization of operating lease right-of-use assets and $0.3 million of depreciation and amortization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$31.5 million for the six months ended June 30, 2018. This was primarily due to a $43.1 million net loss and a decrease of $4.6 million of operating assets and liabilities and offset by a $15.7 million non-cash expense recorded for the stock-based compensation, $0.3 million of depreciation and amortization expense and approximately $0.2 million of realized loss from marketable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investing activities for the six months ended June 30, 2019 was $36.9 million due to $131.6 million redemption of marketable securities and $0.5 million of sale of marketable securities, which were partially offset by the purchase of approximately $93.7 million of marketable securities and $1.5 million of property and equipment.</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for the six months ended June 30, 2018 was approximately $0.4 million primarily due to the redemption of approximately $32.6 million of marketable securities, and offset by a purchase of approximately $32.2 million marketable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for the six months ended June 30, 2019 was $0.8 million resulting from the exercise of stock options to purchase 50,875 shares of common stock and the issuance of 36,804 shares of common stock under the Company’s ESPP.</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2018 was approximately $3.3 million resulting from the exercise of stock options to purchase 476,524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development and clinical studies of our product candidates and pursue our intellectual property strategy.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July 2018. We expect to continue to raise capital when and as needed and at the time and in the manner most advantageous to us.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14" w:lineRule="exact"/>
        <w:rPr>
          <w:sz w:val="20"/>
          <w:szCs w:val="20"/>
          <w:color w:val="auto"/>
        </w:rPr>
      </w:pPr>
    </w:p>
    <w:p>
      <w:pPr>
        <w:jc w:val="both"/>
        <w:ind w:left="340" w:right="20" w:hanging="331"/>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scope, progress, timing, results and costs of our ongoing drug discovery, nonclinical development, laboratory testing and clinical studies of our product candidates and any additional clinical studies we may conduct in the future;</w:t>
      </w:r>
    </w:p>
    <w:p>
      <w:pPr>
        <w:ind w:left="340" w:hanging="33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9"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ind w:left="340" w:hanging="33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ind w:left="340" w:hanging="331"/>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financings to achieve our business objectives. Adequate additional financings may not be available to us on acceptable terms, or at all.</w:t>
      </w:r>
    </w:p>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in our commitments under contractual obligations as disclosed in our 2018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2018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concluded that our disclosure controls and procedures as of the end of the period covered by this report were effective at the reasonable assurance level.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June 30, 2019 that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HBV-cure and Microbiome programs.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HBV-cure and Microbiome programs, we will be unable to generate revenues from the sale of products or build a sustainable or profitable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Phase 1a/1b and initial Phase 2a clinical data. We cannot predict when or if any one of our product candidates will prove safe and effective in humans or will receive regulatory approval. 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or other countries before we receive regulatory approval from the FDA or comparable foreign regulatory authorities, and we may never receive such regulatory approval for our current product candidates. We have not submitted a biologics license application (BLA) or new drug application (NDA) to the FDA or comparable applications to other regulatory authorities and do not expect to be in a position to do so in the foreseeable future.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studies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49" w:lineRule="exact"/>
        <w:rPr>
          <w:sz w:val="20"/>
          <w:szCs w:val="20"/>
          <w:color w:val="auto"/>
        </w:rPr>
      </w:pPr>
    </w:p>
    <w:p>
      <w:pPr>
        <w:ind w:left="340" w:hanging="331"/>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198" w:lineRule="exact"/>
        <w:rPr>
          <w:rFonts w:ascii="Arial" w:cs="Arial" w:eastAsia="Arial" w:hAnsi="Arial"/>
          <w:sz w:val="18"/>
          <w:szCs w:val="18"/>
          <w:color w:val="auto"/>
        </w:rPr>
      </w:pPr>
    </w:p>
    <w:p>
      <w:pPr>
        <w:ind w:left="340" w:right="380" w:hanging="331"/>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29" w:lineRule="exact"/>
        <w:rPr>
          <w:rFonts w:ascii="Arial" w:cs="Arial" w:eastAsia="Arial" w:hAnsi="Arial"/>
          <w:sz w:val="18"/>
          <w:szCs w:val="18"/>
          <w:color w:val="auto"/>
        </w:rPr>
      </w:pPr>
    </w:p>
    <w:p>
      <w:pPr>
        <w:ind w:left="340" w:right="620" w:hanging="331"/>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demonstrating through clinical studies that the product candidate is safe and effective in patients for the intended indication;</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demonstrating that the product candidate formulation will be stable for commercially reasonable time periods; and</w:t>
      </w:r>
    </w:p>
    <w:p>
      <w:pPr>
        <w:spacing w:after="0" w:line="196" w:lineRule="exact"/>
        <w:rPr>
          <w:rFonts w:ascii="Arial" w:cs="Arial" w:eastAsia="Arial" w:hAnsi="Arial"/>
          <w:sz w:val="17"/>
          <w:szCs w:val="17"/>
          <w:color w:val="auto"/>
        </w:rPr>
      </w:pPr>
    </w:p>
    <w:p>
      <w:pPr>
        <w:ind w:left="340" w:right="360" w:hanging="331"/>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completing the development and scale-up to permit manufacture of our product candidates in quantities sufficient to execute on our clinical development plans and, eventually, in commercial quantities and at acceptable prices.</w:t>
      </w:r>
    </w:p>
    <w:p>
      <w:pPr>
        <w:spacing w:after="0" w:line="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Nonclinical studies may not be representative of disease behavior in clinical studies. The outcomes of nonclinical testing and clinical studies are uncertain, and results of earlier nonclinical studies and clinical studies may not be predictive of future clinical study results.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results of nonclinical studies may not be representative of disease behavior in a clinical setting and thus may not be predictive of the outcomes of our clinical studies. In addition, the results of nonclinical studies and early clinical studies of product candidates may not be predictive of the results of later-stage clinical studies, and the results of any study or trial for any of our product candidates may not be as positive as the results for any prior studies or trials, if at all.</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Nonclinical studies and clinical testing are expensive, can take many years to complete and their outcomes are highly uncertain. Failure can occur at any time during the nonclinical study and clinical study processes due to inadequate performance of a drug candidate or inadequate adherence by patients or investigators to clinical study protocols. Further, clinical studies might not provide statistically significant data supporting a product candidate’s safety and effectiveness to obtain the requisite regulatory approvals. In addition, there is a high failure rate for drugs and biologics proceeding through clinical studies. Our failure to replicate earlier positive results in later-stage clinical studies or otherwise demonstrate the required characteristics to support marketing approval for any of our product candidates would substantially harm our business, prospects,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initial data may not accurately reflect the complete results of a particular study or trial.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publicly disclose top-line or initial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analyses of data, and we may not have received or had the opportunity to evaluate fully and carefully all data. As a result, the top-line or initial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initial or preliminary data we previously published. As a result, top-line and initial data should be viewed with caution until the final data are available.</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nonclinical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initial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result in delays or may fail to demonstrate safety and efficacy for desired indications. Such delays or failures could delay or prevent our receipt of licensing, sales and/or milestone revenue.</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Before we or any commercial partners can obtain FDA approval (or other foreign approvals) necessary to sell any of our product candidates, we must show through nonclinical studies and human testing in clinical studies that each potential product is safe and effective in humans. To meet these requirements, we must conduct extensive nonclinical testing and sufficient adequate and well-controlled clinical studies. Conducting clinical studies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studies might cause us to incur additional operating expenses. The commencement and rate of completion of clinical studies might be delayed by many factors, including, for example:</w:t>
      </w:r>
    </w:p>
    <w:p>
      <w:pPr>
        <w:spacing w:after="0" w:line="99" w:lineRule="exact"/>
        <w:rPr>
          <w:sz w:val="20"/>
          <w:szCs w:val="20"/>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144" w:lineRule="exact"/>
        <w:rPr>
          <w:rFonts w:ascii="Arial" w:cs="Arial" w:eastAsia="Arial" w:hAnsi="Arial"/>
          <w:sz w:val="18"/>
          <w:szCs w:val="18"/>
          <w:color w:val="auto"/>
        </w:rPr>
      </w:pPr>
    </w:p>
    <w:p>
      <w:pPr>
        <w:ind w:left="340" w:right="140" w:hanging="331"/>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study sites;</w:t>
      </w:r>
    </w:p>
    <w:p>
      <w:pPr>
        <w:spacing w:after="0" w:line="102"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efficacy during clinical studies;</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144"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studies;</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57" w:lineRule="exact"/>
        <w:rPr>
          <w:rFonts w:ascii="Arial" w:cs="Arial" w:eastAsia="Arial" w:hAnsi="Arial"/>
          <w:sz w:val="18"/>
          <w:szCs w:val="18"/>
          <w:color w:val="auto"/>
        </w:rPr>
      </w:pPr>
    </w:p>
    <w:p>
      <w:pPr>
        <w:ind w:left="340" w:right="80" w:hanging="331"/>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00"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caused by patients dropping out of a trial due to product side effects, disease progression or other reasons;</w:t>
      </w:r>
    </w:p>
    <w:p>
      <w:pPr>
        <w:spacing w:after="0" w:line="169" w:lineRule="exact"/>
        <w:rPr>
          <w:rFonts w:ascii="Arial" w:cs="Arial" w:eastAsia="Arial" w:hAnsi="Arial"/>
          <w:sz w:val="17"/>
          <w:szCs w:val="17"/>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44"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study materials;</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occurrence of adverse events associated with the product candidate that are viewed to outweigh its potential benefits;</w:t>
      </w:r>
    </w:p>
    <w:p>
      <w:pPr>
        <w:spacing w:after="0" w:line="167" w:lineRule="exact"/>
        <w:rPr>
          <w:rFonts w:ascii="Arial" w:cs="Arial" w:eastAsia="Arial" w:hAnsi="Arial"/>
          <w:sz w:val="16"/>
          <w:szCs w:val="16"/>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57" w:lineRule="exact"/>
        <w:rPr>
          <w:rFonts w:ascii="Arial" w:cs="Arial" w:eastAsia="Arial" w:hAnsi="Arial"/>
          <w:sz w:val="18"/>
          <w:szCs w:val="18"/>
          <w:color w:val="auto"/>
        </w:rPr>
      </w:pPr>
    </w:p>
    <w:p>
      <w:pPr>
        <w:ind w:left="340" w:right="240" w:hanging="331"/>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02" w:lineRule="exact"/>
        <w:rPr>
          <w:rFonts w:ascii="Arial" w:cs="Arial" w:eastAsia="Arial" w:hAnsi="Arial"/>
          <w:sz w:val="18"/>
          <w:szCs w:val="18"/>
          <w:color w:val="auto"/>
        </w:rPr>
      </w:pPr>
    </w:p>
    <w:p>
      <w:pPr>
        <w:ind w:left="340" w:right="760" w:hanging="331"/>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institutional review board, ethics committee, or other regulatory delays or clinical holds requiring suspension or termination of the trials.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studies.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studies and may fail to obtain regulatory approval for any of our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failure of nonclinical studies and clinical studies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studies would delay the filing of our NDAs or BLAs with the FDA and, ultimately, our ability to commercialize our product candidates and generate product revenues. Any change in, or termination of, our clinical studies could materially harm our business, financial condition, and results of operations.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studies or in the future, could cause us or regulatory authorities to interrupt, restrict, delay, or halt clinical studies.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54" w:lineRule="exact"/>
        <w:rPr>
          <w:sz w:val="20"/>
          <w:szCs w:val="20"/>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them off the market;</w:t>
      </w:r>
    </w:p>
    <w:p>
      <w:pPr>
        <w:spacing w:after="0" w:line="184"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29" w:lineRule="exact"/>
        <w:rPr>
          <w:rFonts w:ascii="Arial" w:cs="Arial" w:eastAsia="Arial" w:hAnsi="Arial"/>
          <w:sz w:val="18"/>
          <w:szCs w:val="18"/>
          <w:color w:val="auto"/>
        </w:rPr>
      </w:pPr>
    </w:p>
    <w:p>
      <w:pPr>
        <w:ind w:left="340" w:right="120" w:hanging="331"/>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Strategies (REMS) plan to ensure that the benefits of the product outweigh its risks;</w:t>
      </w:r>
    </w:p>
    <w:p>
      <w:pPr>
        <w:spacing w:after="0" w:line="154" w:lineRule="exact"/>
        <w:rPr>
          <w:rFonts w:ascii="Arial" w:cs="Arial" w:eastAsia="Arial" w:hAnsi="Arial"/>
          <w:sz w:val="18"/>
          <w:szCs w:val="18"/>
          <w:color w:val="auto"/>
        </w:rPr>
      </w:pPr>
    </w:p>
    <w:p>
      <w:pPr>
        <w:ind w:left="340" w:right="540" w:hanging="331"/>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conduct additional clinical studies or change the labeling of a product;</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a history of operating losses and expect to incur significant additional operating losses.</w:t>
      </w:r>
    </w:p>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merged with Assembly Pharmaceuticals, Inc. (Assembly Pharmaceuticals), a private company, in July 2014. We have only a limited operating history since the merger.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and Assembly Pharmaceuticals prior to our merger, have generated losses since we began operations and as of June 30, 2019 and December 31, 2018, the combined company had an accumulated deficit of approximately $387.3 million and $341.8 million, respectively, and net losses of approximately $90.8 million, $42.8 million, and $44.3 million for the years ended December 31, 2018, 2017 and 2016, respectively. These net losses have had, and will continue to have, an adverse effect on our stockholders’ equity and working capital. We expect to incur substantial additional losses over the next several years as we continue to pursue our research, development, nonclinical studies and clinical study activities. Further, since our initial public offering, we have incurred and will continue to incur as a public company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The amount of future losses and when, if ever, we will achieve profitability are uncertain and will depend, in part, on the rate of increase in our expenses, our ability to generate revenues from the sale of products and our ability to raise additional capital. We have no products that have generated any commercial revenue, do not expect to generate revenues from the commercial sale of products unless and until our HBV or microbiome therapies or any other product candidate is approved by the FDA for sale, and we might never generate revenues from the sale of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HBV-cure or Microbiome programs. We might never achieve or maintain profitability. We anticipate that our expenses will continue to be substantial in the foreseeable future as we:</w:t>
      </w:r>
    </w:p>
    <w:p>
      <w:pPr>
        <w:spacing w:after="0" w:line="144" w:lineRule="exact"/>
        <w:rPr>
          <w:sz w:val="20"/>
          <w:szCs w:val="20"/>
          <w:color w:val="auto"/>
        </w:rPr>
      </w:pPr>
    </w:p>
    <w:p>
      <w:pPr>
        <w:ind w:left="340" w:right="540" w:hanging="331"/>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advance ABI-H0731 and ABI-H2158, our first and second HBV product candidate, respectively, through clinical development and conduct nonclinical studies and clinical studies with H3733, our third HBV product candidate;</w:t>
      </w:r>
    </w:p>
    <w:p>
      <w:pPr>
        <w:spacing w:after="0" w:line="83" w:lineRule="exact"/>
        <w:rPr>
          <w:rFonts w:ascii="Arial" w:cs="Arial" w:eastAsia="Arial" w:hAnsi="Arial"/>
          <w:sz w:val="16"/>
          <w:szCs w:val="16"/>
          <w:color w:val="auto"/>
        </w:rPr>
      </w:pPr>
    </w:p>
    <w:p>
      <w:pPr>
        <w:ind w:left="340" w:right="960" w:hanging="331"/>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ABI-M201 (Ulcerative Colitis), our first candidate from our Microbiome program, through clinical development;</w:t>
      </w:r>
    </w:p>
    <w:p>
      <w:pPr>
        <w:spacing w:after="0" w:line="129" w:lineRule="exact"/>
        <w:rPr>
          <w:rFonts w:ascii="Arial" w:cs="Arial" w:eastAsia="Arial" w:hAnsi="Arial"/>
          <w:sz w:val="18"/>
          <w:szCs w:val="18"/>
          <w:color w:val="auto"/>
        </w:rPr>
      </w:pPr>
    </w:p>
    <w:p>
      <w:pPr>
        <w:ind w:left="340" w:right="320" w:hanging="331"/>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undertake research and development to identify potential additional product candidates in both our HBV-cure and Microbiome programs;</w:t>
      </w:r>
    </w:p>
    <w:p>
      <w:pPr>
        <w:spacing w:after="0" w:line="143" w:lineRule="exact"/>
        <w:rPr>
          <w:rFonts w:ascii="Arial" w:cs="Arial" w:eastAsia="Arial" w:hAnsi="Arial"/>
          <w:sz w:val="18"/>
          <w:szCs w:val="18"/>
          <w:color w:val="auto"/>
        </w:rPr>
      </w:pPr>
    </w:p>
    <w:p>
      <w:pPr>
        <w:ind w:left="340" w:hanging="331"/>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studies or the development of any of our product candidates.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30" w:lineRule="exact"/>
        <w:rPr>
          <w:sz w:val="20"/>
          <w:szCs w:val="20"/>
          <w:color w:val="auto"/>
        </w:rPr>
      </w:pPr>
    </w:p>
    <w:p>
      <w:pPr>
        <w:ind w:left="4440" w:right="1440" w:hanging="4431"/>
        <w:spacing w:after="0" w:line="778" w:lineRule="auto"/>
        <w:tabs>
          <w:tab w:leader="none" w:pos="3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studies for our product candidates;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220" w:hanging="331"/>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143" w:lineRule="exact"/>
        <w:rPr>
          <w:rFonts w:ascii="Arial" w:cs="Arial" w:eastAsia="Arial" w:hAnsi="Arial"/>
          <w:sz w:val="18"/>
          <w:szCs w:val="18"/>
          <w:color w:val="auto"/>
        </w:rPr>
      </w:pPr>
    </w:p>
    <w:p>
      <w:pPr>
        <w:ind w:left="340" w:right="640" w:hanging="331"/>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 and/or obtaining regulatory exclusivity;</w:t>
      </w:r>
    </w:p>
    <w:p>
      <w:pPr>
        <w:spacing w:after="0" w:line="129" w:lineRule="exact"/>
        <w:rPr>
          <w:rFonts w:ascii="Arial" w:cs="Arial" w:eastAsia="Arial" w:hAnsi="Arial"/>
          <w:sz w:val="18"/>
          <w:szCs w:val="18"/>
          <w:color w:val="auto"/>
        </w:rPr>
      </w:pPr>
    </w:p>
    <w:p>
      <w:pPr>
        <w:ind w:left="340" w:right="400" w:hanging="331"/>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54" w:lineRule="exact"/>
        <w:rPr>
          <w:sz w:val="20"/>
          <w:szCs w:val="20"/>
          <w:color w:val="auto"/>
        </w:rPr>
      </w:pPr>
    </w:p>
    <w:p>
      <w:pPr>
        <w:ind w:left="340" w:hanging="331"/>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studies;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commercialize successfully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product candidates is subject to risks and delays.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development of our product candidates is subject to the risks of failure and delay inherent in the development of new pharmaceutical products and products based on new technologies, including:</w:t>
      </w:r>
    </w:p>
    <w:p>
      <w:pPr>
        <w:spacing w:after="0" w:line="130" w:lineRule="exact"/>
        <w:rPr>
          <w:sz w:val="20"/>
          <w:szCs w:val="20"/>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product development, nonclinical and clinical testing;</w:t>
      </w:r>
    </w:p>
    <w:p>
      <w:pPr>
        <w:spacing w:after="0" w:line="198" w:lineRule="exact"/>
        <w:rPr>
          <w:rFonts w:ascii="Arial" w:cs="Arial" w:eastAsia="Arial" w:hAnsi="Arial"/>
          <w:sz w:val="18"/>
          <w:szCs w:val="18"/>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unplanned expenditures in product development, nonclinical and clinical testing;</w:t>
      </w:r>
    </w:p>
    <w:p>
      <w:pPr>
        <w:spacing w:after="0" w:line="184" w:lineRule="exact"/>
        <w:rPr>
          <w:rFonts w:ascii="Arial" w:cs="Arial" w:eastAsia="Arial" w:hAnsi="Arial"/>
          <w:sz w:val="18"/>
          <w:szCs w:val="18"/>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 product candidate to demonstrate acceptable safety and efficacy;</w:t>
      </w:r>
    </w:p>
    <w:p>
      <w:pPr>
        <w:spacing w:after="0" w:line="184" w:lineRule="exact"/>
        <w:rPr>
          <w:rFonts w:ascii="Arial" w:cs="Arial" w:eastAsia="Arial" w:hAnsi="Arial"/>
          <w:sz w:val="18"/>
          <w:szCs w:val="18"/>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receive regulatory approvals;</w:t>
      </w:r>
    </w:p>
    <w:p>
      <w:pPr>
        <w:spacing w:after="0" w:line="198" w:lineRule="exact"/>
        <w:rPr>
          <w:rFonts w:ascii="Arial" w:cs="Arial" w:eastAsia="Arial" w:hAnsi="Arial"/>
          <w:sz w:val="18"/>
          <w:szCs w:val="18"/>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emergence of superior or equivalent products;</w:t>
      </w:r>
    </w:p>
    <w:p>
      <w:pPr>
        <w:spacing w:after="0" w:line="184" w:lineRule="exact"/>
        <w:rPr>
          <w:rFonts w:ascii="Arial" w:cs="Arial" w:eastAsia="Arial" w:hAnsi="Arial"/>
          <w:sz w:val="18"/>
          <w:szCs w:val="18"/>
          <w:color w:val="auto"/>
        </w:rPr>
      </w:pPr>
    </w:p>
    <w:p>
      <w:pPr>
        <w:ind w:left="260" w:right="680" w:hanging="251"/>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manufacture and sell on our own, or through others, product candidates on a commercial scale or at a financially viable cost; and</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achieve market acceptance.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these risks, our research and development efforts might not result in any commercially viable products. If we do not successfully complete a significant portion of these development efforts, obtain required regulatory approvals, and have commercial success with any approved products, our business, financial condition and results of operations will be materially harmed.</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develop successfully products for commercial use.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viable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the theory that treatment with core inhibitors may result in more rapid loss of covalently closed circular DNA (cccDNA) compared to conventional (standard of care) therapies is unproven. It is also unknown if the biomarkers assumed to be indicators of active cccDNA (such as serum surface antigen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viable drug if there is not a corresponding medical benefit related to the underlying HBV infection.</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Our microbiome therapy candidates are in nonclinical and early clinical development, and our GEMICEL® dual-targeted release capsule formulation is novel and has not yet shown to deliver successfully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develop successfully commercial products, we will be unable to generate revenue from the sale of products or build a sustainable or profitable business.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In 2018, the FDA granted Fast Track designation to ABI-H0731 for the treatment of patients with chronic HBV infection. Even though we received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seek a breakthrough therapy designation for our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For drugs that have been designated as breakthrough therapies, interaction and communication between the FDA and the sponsor can help to identify the most efficient path for clinical development. Drugs designated as breakthrough therapies by the FDA may also be eligible for accelerated approval.</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conventional FDA procedures and does not assure ultimate approval by the FDA. In addition, even if one or more of our product candidates qualify as breakthrough therapies, the FDA may later decide that the products no longer meet the conditions for qualification and rescind the designation.</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anticipate that we will incur operating losses for the next several years as we continue to develop our HBV product candidates and our microbiome platform as well as initiate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or if clinical study timelines are accelerated. If that happens, we may need additional financing to continue the development of our HBV and Microbiome product candidates, which we might seek and receive from the public financial markets, third-party commercial partners, private placements, debt financings and/or other sources. There is no assurance that we will be able to generate sufficient revenue from our Collaboration Agreement with Allergan or that we will be successful in raising any necessary additional capital on terms that are acceptable to us, or at all. If such events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drugs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another prolonged government shutdown occurs, it could significantly impact the ability of the FDA to timely review and process our regulatory submissions or our ability to raise capital through the public financial markets, either of which could have a material adverse effect on our business.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are substantially dependent on our Collaboration Agreement with Allergan, which may be terminated or may not be successful due to a number of factors, which could have a material adverse effect on our business and operating results.</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we entered into the Collaboration Agreement for the development and commercialization of select microbiome gastrointestinal programs in ulcerative colitis, Crohn’s disease and irritable bowel syndromes. Our collaboration with Allergan may be terminated, or may not be successful, due to a number of factors. In particular, Allergan may terminate the Collaboration Agreement for convenience at any time upon 120 days’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Any of the foregoing could result in a material adverse effect on our business, results of operations and prospects and would likely cause our stock price to decline.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a license relationship for each of our HBV-cure program and our Microbiome program.</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license agreement with Indiana University Research and Technology Corporation (IURTC) from whom we have licensed ABI-H0731 and certain other HBV therapies, requires us to make milestone payments based upon the successful accomplishment of clinical and regulatory milestones related to ABI-H0731 and certain other HBV therapies. The aggregate amount of all performance milestone payments under the IURTC License Agreement, should all performance milestones through development be met, is $825,000, with a portion related to the first performance milestone having been paid. We also are obligated to pay IURTC royalty payments based on net sales of the licensed technology. We are also obligated to pay diligence maintenance fees ($75,000 to $100,000) each year to the extent that the royalty, sublicensing, and milestone payments to IURTC are less than the diligence maintenance fee for that year. Our license with Therabiome, LLC (Therabiome), from whom we have licensed our delivery platform of our Microbiome program, also requires us to pay regulatory and clinical milestones as well as royalty payments to Therabiome. If we breach any of these obligations, we could lose our rights to the targeted delivery mechanism of our Microbiome program. If we fail to comply with similar obligations to any other licensor, then that licensor would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data provided by our collaborators and others that has not been independently verified and could prove to be false, misleading, or incomplete.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lack suitable facilities for certain nonclinical and clinical testing and expect to rely on third parties to conduct some of our research and nonclinical testing and our clinical studies, and those third parties may not perform satisfactorily, including failing to meet deadlines for the completion of such research, testing or trials.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will be reliant on the services of third parties to conduct studies on our behalf. If we are unable to retain or continue with third parties for these purposes on acceptable terms, we may be unable to develop successfully our product candidates. In addition, any failures by third parties to perform adequately their responsibilities may delay the submission of our product candidates for regulatory approval, which would impair our financial condition and business prospects.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and our reliance on third parties does not relieve us of our regulatory responsibilities. Furthermore, these third parties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We will need to either establish our own clinical and commercial manufacturing capabilities or rely on third parties to formulate and manufacture our product candidates, and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rely on third-party manufacturers to supply the quantities of ABI-H0731, ABI-H2158 and ABI-H3733 used in our clinical and nonclinical studies and the drug substance for our Microbiome program. We currently manufacture our microbiome drug product for use in our planned nonclinical studies and early-stage clinical studies; however, we may require third-party manufacturers for subsequent clinical studies or other microbiome drug products.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studies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cGMPs and applicable non-U.S. regulatory requirements. The cGMP requirements govern compliance and documentation policies and procedures. Complying with cGMP and non-U.S. regulatory requirements will require that we expend time, money, and effort in production, recordkeeping, and compliance to assure that the product meets applicable specifications and other requirements. Any manufacturing facility must also pass a pre-approval inspection prior to FDA approval. Failure to pass a pre-approval inspection might significantly delay FDA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98" w:lineRule="exact"/>
        <w:rPr>
          <w:sz w:val="20"/>
          <w:szCs w:val="20"/>
          <w:color w:val="auto"/>
        </w:rPr>
      </w:pPr>
    </w:p>
    <w:p>
      <w:pPr>
        <w:jc w:val="both"/>
        <w:ind w:left="340" w:hanging="331"/>
        <w:spacing w:after="0" w:line="276"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approve any new or replacement contractor. This approval would generally require compliance inspections. In addition, a new manufacturer would have to be educated in, or develop substantially equivalent processes for, production of our products after receipt of FDA approval, if any.</w:t>
      </w:r>
    </w:p>
    <w:p>
      <w:pPr>
        <w:spacing w:after="0" w:line="132" w:lineRule="exact"/>
        <w:rPr>
          <w:rFonts w:ascii="Arial" w:cs="Arial" w:eastAsia="Arial" w:hAnsi="Arial"/>
          <w:sz w:val="17"/>
          <w:szCs w:val="17"/>
          <w:color w:val="auto"/>
        </w:rPr>
      </w:pPr>
    </w:p>
    <w:p>
      <w:pPr>
        <w:jc w:val="both"/>
        <w:ind w:left="340" w:hanging="331"/>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40" w:lineRule="exact"/>
        <w:rPr>
          <w:rFonts w:ascii="Arial" w:cs="Arial" w:eastAsia="Arial" w:hAnsi="Arial"/>
          <w:sz w:val="18"/>
          <w:szCs w:val="18"/>
          <w:color w:val="auto"/>
        </w:rPr>
      </w:pPr>
    </w:p>
    <w:p>
      <w:pPr>
        <w:jc w:val="both"/>
        <w:ind w:left="340" w:right="20" w:hanging="331"/>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studies or to produce, store and successfully distribute our products.</w:t>
      </w:r>
    </w:p>
    <w:p>
      <w:pPr>
        <w:spacing w:after="0" w:line="154"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40" w:right="20" w:hanging="331"/>
        <w:spacing w:after="0" w:line="279"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44" w:lineRule="exact"/>
        <w:rPr>
          <w:rFonts w:ascii="Arial" w:cs="Arial" w:eastAsia="Arial" w:hAnsi="Arial"/>
          <w:sz w:val="17"/>
          <w:szCs w:val="17"/>
          <w:color w:val="auto"/>
        </w:rPr>
      </w:pPr>
    </w:p>
    <w:p>
      <w:pPr>
        <w:jc w:val="both"/>
        <w:ind w:left="340" w:hanging="331"/>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46"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29" w:lineRule="exact"/>
        <w:rPr>
          <w:rFonts w:ascii="Arial" w:cs="Arial" w:eastAsia="Arial" w:hAnsi="Arial"/>
          <w:sz w:val="18"/>
          <w:szCs w:val="18"/>
          <w:color w:val="auto"/>
        </w:rPr>
      </w:pPr>
    </w:p>
    <w:p>
      <w:pPr>
        <w:jc w:val="both"/>
        <w:ind w:left="340" w:hanging="331"/>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collaborators cannot compete successfully for market share against other companies, we might not achieve sufficient product revenues and our business will suffer.</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our product candidates receive approval from the FDA or applicable non-U.S. regulatory authorities, they will compete with a number of existing and future drugs and biologics developed, manufactured and marketed by others. Existing or future competing drugs might provide greater therapeutic convenience or clinical or other benefits for a specific indication than our product candidates or might offer comparable performance at a lower cost. If our product candidates fail to capture and maintain market share, we might not achieve sufficient product revenues and our business will suffer.</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might compete against fully integrated pharmaceutical or biotechnology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48" w:lineRule="exact"/>
        <w:rPr>
          <w:sz w:val="20"/>
          <w:szCs w:val="20"/>
          <w:color w:val="auto"/>
        </w:rPr>
      </w:pPr>
    </w:p>
    <w:p>
      <w:pPr>
        <w:ind w:left="340" w:hanging="331"/>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undertaking nonclinical testing and human clinical studies;</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have or be able to obtain the same resources and experience as our competitors. If we are unable to perform these tasks effectively and efficiently, our results of operations might be materially adversely affected.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Developments by competitors might render our product candidates or technologies obsolete or non-competitive.</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ulcerative colitis (UC), inflammatory bowel disease (IBD), including Crohn’s disease, irritable bowel syndrome (IBS), nonalcoholic steatohepatitis disease (NASH) and immuno-oncology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NASH and immuno-oncology or any other indication or field we might pursue, and successfully commercialize those treatments, our business and prospects might be materially harmed, due to intense competition in these markets.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Companies with microbiome products or core inhibitor products may produce negative clinical data which will adversely affect public perception of our product candidates, and may negatively impact regulatory approval of, or demand for, our potential products.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Negative data from clinical trials using microbiome-based therapies (e.g., fecal transplant) or core inhibitors could negatively impact the perception of the therapeutic use of our microbiome or HBV-cure product candidates. This could negatively impact our ability to enroll patients in clinical trials. The clinical and commercial success of our potential products will depend in part on the public and clinical communities’ acceptance of the use of oral live microbial biotherapeutic products (LBPs) and core inhibitor product candidates. Moreover, our success depends upon physicians prescribing, and their patients being willing to receive, treatments that involve the use of LBPs or core inhibitor product candidates we may develop in lieu of, or in addition to, existing treatments with which they are already familiar and for which greater clinical data may be available. Adverse events in our preclinical studies or clinical trials or those of our competitors or of academic researchers utilizing microbiome therapies or core inhibitor therapies,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our product candidates that are approved, if any, and a decrease in demand for any such products.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product candidates under development in our Microbiome program will be subject to regulation as biologics. These candidates, and any other future product candidates for which we or our collaborators intend to seek approval as biologic products, may face competition sooner than anticipated.</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studies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if product candidates from our Microbiome program are approved as biological products under a BLA, they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collaborators are not able to develop collaborative marketing relationships with licensees or partners, or create effective internal sales, marketing, and distribution capability, we might be unable to market our products successfully.</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market our product candidates, if approved,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 candidates.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payors and others in the medical community.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commercial success of our products, if approved for marketing, will depend in part on the medical community, patients and third-party payors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144" w:lineRule="exact"/>
        <w:rPr>
          <w:sz w:val="20"/>
          <w:szCs w:val="20"/>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actual or perceived safety and efficacy of the products, and advantages over alternative treatments;</w:t>
      </w:r>
    </w:p>
    <w:p>
      <w:pPr>
        <w:spacing w:after="0" w:line="184"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relative to competing products or therapies, including generic drugs or biosimilars, if available;</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198"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 and</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or governmental reimbursement.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a potential product displays a favorable efficacy and safety profile in nonclinical studies and clinical studies, market acceptance of the product will not be known until after it is launched. Any failure to achieve market acceptance for our product candidates will harm our business, results and financial condition.</w:t>
      </w:r>
    </w:p>
    <w:p>
      <w:pPr>
        <w:spacing w:after="0" w:line="1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lose key management or scientific personnel, cannot recruit qualified employees, directors, officers, or other significant personnel or experience increases in our compensation costs, our business might materially suffer.</w:t>
      </w:r>
    </w:p>
    <w:p>
      <w:pPr>
        <w:spacing w:after="0" w:line="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highly dependent on the services of our executive officers and senior management team. Our employment agreements with our executive officers and senior management team members do not ensure their retention.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and our ability to replace our management team members in the event any leave us for any reason.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failure by us to retain, attract and motivate executives and other key employees could have a material adverse impact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additional qualified personnel, our ability to grow our business might be harmed.</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2019, we had 107 employees and contracts with a number of temporary contractors, consultants and contract research organizations.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adversely affect our business, results of operations and financial condition.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this data from being compromised, and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study data from completed or ongoing or planned clinical studies could result in delays in our regulatory approval efforts and significantly increase our costs to recover or reproduce the data.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41" w:lineRule="exact"/>
        <w:rPr>
          <w:sz w:val="20"/>
          <w:szCs w:val="20"/>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assimilating the purchased technologies, products or business operations;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ability to develop successfully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Regulatory and Legal Environment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3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Government regulation substantially increases the cost and risk of researching, developing, manufacturing, and selling our product candidates. The regulatory review and approval process, which includes nonclinical testing and clinical studies of each product candidate, is lengthy, expensive, and uncertain. We or our collaborators must obtain and maintain regulatory authorization to conduct clinical studies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43" w:lineRule="exact"/>
        <w:rPr>
          <w:sz w:val="20"/>
          <w:szCs w:val="20"/>
          <w:color w:val="auto"/>
        </w:rPr>
      </w:pPr>
    </w:p>
    <w:p>
      <w:pPr>
        <w:ind w:left="340" w:hanging="331"/>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Once a product candidate is approved, numerous post-approval requirements apply. Among other things, we and our collaborators will be subject to requirements regarding testing, manufacturing, quality control, clinical studies,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studies. The FDA also has the authority to require changes in the labeling of approved drug products and to require post-marketing studies. The FDA can also impose distribution and use restrictions under a REMS.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or refusal to allow us to enter into supply contracts, including government contracts. In addition, even if we comply with FDA and other requirements, new information regarding the safety or effectiveness of a product could lead the FDA to modify or withdraw product approval.</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current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an Executive Order was issued directing all executive agencies, including the FDA, that, for each notice of proposed rulemaking or final regulation to be issued in fiscal years 2018 and beyond, the agencies must identify regulations to offset any incremental cost of a new regulation.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commercialize successfully any product candidate for which we obtain marketing approval.</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Affordable Care Act and its amendment, the Health Care and Education Reconciliation Act (the ACA).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98" w:lineRule="exact"/>
        <w:rPr>
          <w:sz w:val="20"/>
          <w:szCs w:val="20"/>
          <w:color w:val="auto"/>
        </w:rPr>
      </w:pPr>
    </w:p>
    <w:p>
      <w:pPr>
        <w:ind w:left="340" w:right="20" w:hanging="331"/>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w:t>
      </w:r>
    </w:p>
    <w:p>
      <w:pPr>
        <w:spacing w:after="0" w:line="196" w:lineRule="exact"/>
        <w:rPr>
          <w:rFonts w:ascii="Arial" w:cs="Arial" w:eastAsia="Arial" w:hAnsi="Arial"/>
          <w:sz w:val="17"/>
          <w:szCs w:val="17"/>
          <w:color w:val="auto"/>
        </w:rPr>
      </w:pPr>
    </w:p>
    <w:p>
      <w:pPr>
        <w:ind w:left="340" w:hanging="331"/>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43" w:lineRule="exact"/>
        <w:rPr>
          <w:rFonts w:ascii="Arial" w:cs="Arial" w:eastAsia="Arial" w:hAnsi="Arial"/>
          <w:sz w:val="18"/>
          <w:szCs w:val="18"/>
          <w:color w:val="auto"/>
        </w:rPr>
      </w:pPr>
    </w:p>
    <w:p>
      <w:pPr>
        <w:jc w:val="both"/>
        <w:ind w:left="340" w:hanging="331"/>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40"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Act pharmaceutical pricing program;</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1"/>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57" w:lineRule="exact"/>
        <w:rPr>
          <w:rFonts w:ascii="Arial" w:cs="Arial" w:eastAsia="Arial" w:hAnsi="Arial"/>
          <w:sz w:val="18"/>
          <w:szCs w:val="18"/>
          <w:color w:val="auto"/>
        </w:rPr>
      </w:pPr>
    </w:p>
    <w:p>
      <w:pPr>
        <w:ind w:left="340" w:hanging="331"/>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 and</w:t>
      </w:r>
    </w:p>
    <w:p>
      <w:pPr>
        <w:spacing w:after="0" w:line="169" w:lineRule="exact"/>
        <w:rPr>
          <w:rFonts w:ascii="Arial" w:cs="Arial" w:eastAsia="Arial" w:hAnsi="Arial"/>
          <w:sz w:val="17"/>
          <w:szCs w:val="17"/>
          <w:color w:val="auto"/>
        </w:rPr>
      </w:pPr>
    </w:p>
    <w:p>
      <w:pPr>
        <w:ind w:left="340" w:right="20" w:hanging="33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its enactment, there have been many judicial, Presidential, and Congressional challenges to numerous aspects of the ACA. In 2012, the U.S. Supreme Court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as a result of tax reform legislation passed in late December 2017, the individual mandate has been eliminated. The long ranging effects of the elimination of the individual mandate on the viability of the ACA are unknown at this time.</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Affordable Care Act, and therefore, because it was repealed as part of the Tax Act, the remaining provisions of the ACA are invalid as well. The Texas District Court Judge, as well as the Trump Administration and the Centers for Medicare &amp; Medicaid Services (CMS), have stated that the ruling will have no immediate effect, and on December 30, 2018, the Texas District Court Judge issued an order staying the judgment pending appeal. It is unclear what effects this decision, subsequent appeals of this decision, and other efforts to repeal and replace the ACA will have. Additionally, on January 22, 2018, President Trump signed a continuing resolution on appropriations for fiscal year 2018 that delayed the implementation of certain ACA mandated fees, including the so 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BBA, among other things, amends the ACA, effective January 1, 2019, to reduce the coverage gap in most Medicare drug plans, commonly referred to as the “donut hole.” In July 2018, CMS announced that it is suspending further collections and payments to and from certain ACA-qualified health plans and health insurance issuers under the ACA risk adjustment program pending the outcome of federal district court litigation regarding the method CMS uses to determine this risk adjustment. The full impact of the ACA, any law repealing and/or replacing elements of it, and the political uncertainty surrounding any repeal or replacement legislation on our business remains unclear.</w:t>
      </w:r>
    </w:p>
    <w:p>
      <w:pPr>
        <w:spacing w:after="0" w:line="3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starting in 2013.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and foreign jurisdictions in which we conduct our business. The laws that may affect our ability to operate include:</w:t>
      </w:r>
    </w:p>
    <w:p>
      <w:pPr>
        <w:spacing w:after="0" w:line="127" w:lineRule="exact"/>
        <w:rPr>
          <w:sz w:val="20"/>
          <w:szCs w:val="20"/>
          <w:color w:val="auto"/>
        </w:rPr>
      </w:pPr>
    </w:p>
    <w:p>
      <w:pPr>
        <w:jc w:val="both"/>
        <w:ind w:left="340" w:hanging="331"/>
        <w:spacing w:after="0" w:line="25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w:t>
      </w:r>
    </w:p>
    <w:p>
      <w:pPr>
        <w:spacing w:after="0" w:line="147" w:lineRule="exact"/>
        <w:rPr>
          <w:rFonts w:ascii="Arial" w:cs="Arial" w:eastAsia="Arial" w:hAnsi="Arial"/>
          <w:sz w:val="18"/>
          <w:szCs w:val="18"/>
          <w:color w:val="auto"/>
        </w:rPr>
      </w:pPr>
    </w:p>
    <w:p>
      <w:pPr>
        <w:jc w:val="both"/>
        <w:ind w:left="340" w:hanging="331"/>
        <w:spacing w:after="0" w:line="271"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51" w:lineRule="exact"/>
        <w:rPr>
          <w:rFonts w:ascii="Arial" w:cs="Arial" w:eastAsia="Arial" w:hAnsi="Arial"/>
          <w:sz w:val="17"/>
          <w:szCs w:val="17"/>
          <w:color w:val="auto"/>
        </w:rPr>
      </w:pPr>
    </w:p>
    <w:p>
      <w:pPr>
        <w:jc w:val="both"/>
        <w:ind w:left="340" w:hanging="331"/>
        <w:spacing w:after="0" w:line="27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37" w:lineRule="exact"/>
        <w:rPr>
          <w:rFonts w:ascii="Arial" w:cs="Arial" w:eastAsia="Arial" w:hAnsi="Arial"/>
          <w:sz w:val="17"/>
          <w:szCs w:val="17"/>
          <w:color w:val="auto"/>
        </w:rPr>
      </w:pPr>
    </w:p>
    <w:p>
      <w:pPr>
        <w:jc w:val="both"/>
        <w:ind w:left="340" w:hanging="331"/>
        <w:spacing w:after="0" w:line="279"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30" w:lineRule="exact"/>
        <w:rPr>
          <w:rFonts w:ascii="Arial" w:cs="Arial" w:eastAsia="Arial" w:hAnsi="Arial"/>
          <w:sz w:val="17"/>
          <w:szCs w:val="17"/>
          <w:color w:val="auto"/>
        </w:rPr>
      </w:pPr>
    </w:p>
    <w:p>
      <w:pPr>
        <w:jc w:val="both"/>
        <w:ind w:left="340" w:hanging="331"/>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54"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 and the Public Health Service Act (PHSA), which prohibits, among other things, the introduction into interstate commerce of a biological product unless a biologics license is in effect for that product;</w:t>
      </w:r>
    </w:p>
    <w:p>
      <w:pPr>
        <w:spacing w:after="0" w:line="146" w:lineRule="exact"/>
        <w:rPr>
          <w:rFonts w:ascii="Arial" w:cs="Arial" w:eastAsia="Arial" w:hAnsi="Arial"/>
          <w:sz w:val="18"/>
          <w:szCs w:val="18"/>
          <w:color w:val="auto"/>
        </w:rPr>
      </w:pPr>
    </w:p>
    <w:p>
      <w:pPr>
        <w:jc w:val="both"/>
        <w:ind w:left="340" w:hanging="331"/>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1"/>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regulators globally are also imposing greater monetary fines for privacy violations. The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Compliance with the GDPR and other changes in laws or regulations associated with the enhanced protection of certain types of personal data, such as healthcare data or other sensitive information, could greatly increase our cost of developing our products and services or even prevent us from offering certain products in jurisdictions that we may operate in.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185" w:lineRule="exact"/>
        <w:rPr>
          <w:sz w:val="20"/>
          <w:szCs w:val="20"/>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98"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studies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be subject to a number of risks related with our international operations, many of which may be beyond our control. These risks include:</w:t>
      </w:r>
    </w:p>
    <w:p>
      <w:pPr>
        <w:spacing w:after="0" w:line="143" w:lineRule="exact"/>
        <w:rPr>
          <w:sz w:val="20"/>
          <w:szCs w:val="20"/>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different standards of care in various countries that could complicate the evaluation of our product candidates;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1"/>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98"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98" w:lineRule="exact"/>
        <w:rPr>
          <w:rFonts w:ascii="Arial" w:cs="Arial" w:eastAsia="Arial" w:hAnsi="Arial"/>
          <w:sz w:val="18"/>
          <w:szCs w:val="18"/>
          <w:color w:val="auto"/>
        </w:rPr>
      </w:pPr>
    </w:p>
    <w:p>
      <w:pPr>
        <w:ind w:left="340" w:right="20" w:hanging="331"/>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06" w:lineRule="exact"/>
        <w:rPr>
          <w:rFonts w:ascii="Arial" w:cs="Arial" w:eastAsia="Arial" w:hAnsi="Arial"/>
          <w:sz w:val="17"/>
          <w:szCs w:val="17"/>
          <w:color w:val="auto"/>
        </w:rPr>
      </w:pPr>
    </w:p>
    <w:p>
      <w:pPr>
        <w:ind w:left="340" w:hanging="331"/>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tariffs, war and terrorism, or natural disasters.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 may have a negative effect on global economic conditions, financial markets and our business.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United Kingdom (UK) held a referendum in which voters approved an exit from the EU, commonly referred to as “Brexit.” This referendum has created political and economic uncertainty, particularly in the UK and the EU, and this uncertainty may persist for years. A withdrawal could, among other outcomes, disrupt the free movement of goods, services and people between the UK and the EU, and result in increased legal and regulatory complexities, as well as potential higher costs of conducting business in Europe. The UK’s vote to exit the EU could also result in similar referendums or votes in other European countries in which we do business. Given the lack of comparable precedent, it is unclear what financial, trade and legal implications the withdrawal of the UK from the EU would have and how such withdrawal would affect us.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example, Brexit could result in the UK or the EU significantly altering its regulations affecting the clearance or approval of our product candidates that are developed in the UK. Any new regulations could add time and expense to the conduct of our business, as well as the process by which our products receive regulatory approval in the UK, the EU and elsewhere. In addition, the announcement of Brexit and the withdrawal of the UK from the EU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we and our licensors have filed patent applications intended to cover our products candidates and their methods of use. Although we have an issued patent in the U.S. directed to compositions of matter that includes ABI-H0731, which is expected to expire in 2035, and we have an in-licensed issued U.S. patent related to delivery technology for our Microbiome program, which is expected to expire in 2034, we do not own or have any rights to any issued patents that cover any of our other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83" w:lineRule="exact"/>
        <w:rPr>
          <w:sz w:val="20"/>
          <w:szCs w:val="20"/>
          <w:color w:val="auto"/>
        </w:rPr>
      </w:pPr>
    </w:p>
    <w:p>
      <w:pPr>
        <w:ind w:left="340" w:right="20" w:hanging="331"/>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 rights, if obtained, might be challenged, invalidated, or circumvented, or otherwise might not provide any competitive advantage;</w:t>
      </w:r>
    </w:p>
    <w:p>
      <w:pPr>
        <w:spacing w:after="0" w:line="129"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59" w:lineRule="exact"/>
        <w:rPr>
          <w:rFonts w:ascii="Arial" w:cs="Arial" w:eastAsia="Arial" w:hAnsi="Arial"/>
          <w:sz w:val="18"/>
          <w:szCs w:val="18"/>
          <w:color w:val="auto"/>
        </w:rPr>
      </w:pPr>
    </w:p>
    <w:p>
      <w:pPr>
        <w:jc w:val="both"/>
        <w:ind w:left="340" w:hanging="331"/>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40" w:lineRule="exact"/>
        <w:rPr>
          <w:rFonts w:ascii="Arial" w:cs="Arial" w:eastAsia="Arial" w:hAnsi="Arial"/>
          <w:sz w:val="18"/>
          <w:szCs w:val="18"/>
          <w:color w:val="auto"/>
        </w:rPr>
      </w:pPr>
    </w:p>
    <w:p>
      <w:pPr>
        <w:ind w:left="340" w:hanging="331"/>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license agreements, we could lose rights to our product candidates or key technologies.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4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maintain effectively our intellectual property position throughout the major markets of the world.</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certain countries.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enforce effectively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address all potential threats to any competitive advantage we may have.</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54" w:lineRule="exact"/>
        <w:rPr>
          <w:sz w:val="20"/>
          <w:szCs w:val="20"/>
          <w:color w:val="auto"/>
        </w:rPr>
      </w:pPr>
    </w:p>
    <w:p>
      <w:pPr>
        <w:ind w:left="340" w:hanging="331"/>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file patent applications covering certain of our inventions.</w:t>
      </w:r>
    </w:p>
    <w:p>
      <w:pPr>
        <w:spacing w:after="0" w:line="143"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43"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Global Select Market.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is listed on the Nasdaq Global Select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Global Select Market. A delisting of our common stock from the Nasdaq Global Select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might fluctuate significantly, and you could lose all or part of your investment.</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our merger with Assembly Pharmaceuticals on July 11, 2014 through June 30, 2019, the closing price of our common stock has fluctuated between $4.54 and $64.16.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14" w:lineRule="exact"/>
        <w:rPr>
          <w:sz w:val="20"/>
          <w:szCs w:val="20"/>
          <w:color w:val="auto"/>
        </w:rPr>
      </w:pPr>
    </w:p>
    <w:p>
      <w:pPr>
        <w:ind w:left="340" w:right="20" w:hanging="331"/>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results and timing of our clinical studies and nonclinical studies and other studies involving our product candidates;</w:t>
      </w:r>
    </w:p>
    <w:p>
      <w:pPr>
        <w:spacing w:after="0" w:line="143" w:lineRule="exact"/>
        <w:rPr>
          <w:rFonts w:ascii="Arial" w:cs="Arial" w:eastAsia="Arial" w:hAnsi="Arial"/>
          <w:sz w:val="18"/>
          <w:szCs w:val="18"/>
          <w:color w:val="auto"/>
        </w:rPr>
      </w:pPr>
    </w:p>
    <w:p>
      <w:pPr>
        <w:ind w:left="340" w:hanging="331"/>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capital;</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198"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or the announcement of any changes to our credit rating;</w:t>
      </w:r>
    </w:p>
    <w:p>
      <w:pPr>
        <w:spacing w:after="0" w:line="129"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129"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2019, our executive officers and directors owned approximately 3.9% of our outstanding voting common stock, and this group together with other stockholders holding beneficially 5% of more of our outstanding voting common stock, owned approximately 38.0% of our outstanding voting common stock. Therefore, these stockholders, if acting together, may have the ability to influence us through their ownership position. These stockholders may be able to determine the outcome of certain significant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credit carryforwards to offset future taxable income may be subject to certain limitations.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2018, we had potentially utilizable gross Federal net operating loss carryforwards of approximately $209.2 million, State net operating loss carryforwards of approximately $209.0 million, Federal and California research and development credit carryforwards of approximately $3.6 million and $2.4 million, respectively, all of which expire between 2027 and 2038.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approximately $40.0 million of our approximately $153.2 million of net operating losses will not be available to us to offset future taxable income.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under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There is a risk that due to ownership changes, changes in law or other unforeseen reasons, our existing NOLs could expire or otherwise be unavailable to offset future income tax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add to our operating costs and might strain our resources and distract our management.</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public company, we face increased legal, accounting, administrative and other costs and expenses not faced by private companies.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Global Select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0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54" w:lineRule="exact"/>
        <w:rPr>
          <w:sz w:val="20"/>
          <w:szCs w:val="20"/>
          <w:color w:val="auto"/>
        </w:rPr>
      </w:pPr>
    </w:p>
    <w:p>
      <w:pPr>
        <w:ind w:left="340" w:hanging="331"/>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29" w:lineRule="exact"/>
        <w:rPr>
          <w:rFonts w:ascii="Arial" w:cs="Arial" w:eastAsia="Arial" w:hAnsi="Arial"/>
          <w:sz w:val="18"/>
          <w:szCs w:val="18"/>
          <w:color w:val="auto"/>
        </w:rPr>
      </w:pPr>
    </w:p>
    <w:p>
      <w:pPr>
        <w:ind w:left="340" w:hanging="331"/>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83" w:lineRule="exact"/>
        <w:rPr>
          <w:rFonts w:ascii="Arial" w:cs="Arial" w:eastAsia="Arial" w:hAnsi="Arial"/>
          <w:sz w:val="16"/>
          <w:szCs w:val="16"/>
          <w:color w:val="auto"/>
        </w:rPr>
      </w:pPr>
    </w:p>
    <w:p>
      <w:pPr>
        <w:ind w:left="340" w:hanging="331"/>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98" w:lineRule="exact"/>
        <w:rPr>
          <w:rFonts w:ascii="Arial" w:cs="Arial" w:eastAsia="Arial" w:hAnsi="Arial"/>
          <w:sz w:val="18"/>
          <w:szCs w:val="18"/>
          <w:color w:val="auto"/>
        </w:rPr>
      </w:pPr>
    </w:p>
    <w:p>
      <w:pPr>
        <w:ind w:left="340" w:hanging="331"/>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184" w:lineRule="exact"/>
        <w:rPr>
          <w:rFonts w:ascii="Arial" w:cs="Arial" w:eastAsia="Arial" w:hAnsi="Arial"/>
          <w:sz w:val="18"/>
          <w:szCs w:val="18"/>
          <w:color w:val="auto"/>
        </w:rPr>
      </w:pPr>
    </w:p>
    <w:p>
      <w:pPr>
        <w:ind w:left="340" w:hanging="331"/>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84"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would likely decline rapidly. If one or more analysts cease coverage of our company, we could lose visibility in the market, which in turn could cause our stock price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Description of Document</w:t>
            </w:r>
          </w:p>
        </w:tc>
        <w:tc>
          <w:tcPr>
            <w:tcW w:w="88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86"/>
        </w:trPr>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gridSpan w:val="5"/>
            <w:vMerge w:val="continue"/>
          </w:tcPr>
          <w:p>
            <w:pPr>
              <w:spacing w:after="0"/>
              <w:rPr>
                <w:sz w:val="16"/>
                <w:szCs w:val="16"/>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Herewith</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from</w:t>
            </w:r>
          </w:p>
        </w:tc>
        <w:tc>
          <w:tcPr>
            <w:tcW w:w="9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4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Separation Agreement dated May 6, 2019 between Assembly</w:t>
              </w:r>
            </w:hyperlink>
          </w:p>
        </w:tc>
        <w:tc>
          <w:tcPr>
            <w:tcW w:w="240" w:type="dxa"/>
            <w:vAlign w:val="bottom"/>
            <w:gridSpan w:val="2"/>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X</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Biosciences, Inc. and Uri A. Lopatin, M.D.</w:t>
              </w:r>
            </w:hyperlink>
          </w:p>
        </w:tc>
        <w:tc>
          <w:tcPr>
            <w:tcW w:w="156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46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Consulting Agreement effective May 7, 2019 between Assembly</w:t>
              </w:r>
            </w:hyperlink>
          </w:p>
        </w:tc>
        <w:tc>
          <w:tcPr>
            <w:tcW w:w="880" w:type="dxa"/>
            <w:vAlign w:val="bottom"/>
          </w:tcPr>
          <w:p>
            <w:pPr>
              <w:ind w:left="140"/>
              <w:spacing w:after="0" w:line="196" w:lineRule="exact"/>
              <w:rPr>
                <w:sz w:val="20"/>
                <w:szCs w:val="20"/>
                <w:color w:val="auto"/>
              </w:rPr>
            </w:pPr>
            <w:r>
              <w:rPr>
                <w:rFonts w:ascii="Arial" w:cs="Arial" w:eastAsia="Arial" w:hAnsi="Arial"/>
                <w:sz w:val="18"/>
                <w:szCs w:val="18"/>
                <w:color w:val="auto"/>
              </w:rPr>
              <w:t>X</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Biosciences, Inc. and Uri A. Lopatin, M.D.</w:t>
              </w:r>
            </w:hyperlink>
          </w:p>
        </w:tc>
        <w:tc>
          <w:tcPr>
            <w:tcW w:w="156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4680" w:type="dxa"/>
            <w:vAlign w:val="bottom"/>
            <w:gridSpan w:val="7"/>
          </w:tcPr>
          <w:p>
            <w:pPr>
              <w:spacing w:after="0" w:line="196" w:lineRule="exact"/>
              <w:rPr>
                <w:rFonts w:ascii="Arial" w:cs="Arial" w:eastAsia="Arial" w:hAnsi="Arial"/>
                <w:sz w:val="18"/>
                <w:szCs w:val="18"/>
                <w:color w:val="0000EE"/>
                <w:w w:val="96"/>
              </w:rPr>
            </w:pPr>
            <w:hyperlink r:id="rId74">
              <w:r>
                <w:rPr>
                  <w:rFonts w:ascii="Arial" w:cs="Arial" w:eastAsia="Arial" w:hAnsi="Arial"/>
                  <w:sz w:val="18"/>
                  <w:szCs w:val="18"/>
                  <w:color w:val="0000EE"/>
                  <w:w w:val="96"/>
                </w:rPr>
                <w:t>Amendment No. 1 to Assembly Biosciences, Inc. 2018 Stock</w:t>
              </w:r>
            </w:hyperlink>
          </w:p>
        </w:tc>
        <w:tc>
          <w:tcPr>
            <w:tcW w:w="8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w w:val="99"/>
              </w:rPr>
              <w:t>05/21/2019</w:t>
            </w:r>
          </w:p>
        </w:tc>
        <w:tc>
          <w:tcPr>
            <w:tcW w:w="600" w:type="dxa"/>
            <w:vAlign w:val="bottom"/>
          </w:tcPr>
          <w:p>
            <w:pPr>
              <w:jc w:val="right"/>
              <w:ind w:right="19"/>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Incentive Plan.</w:t>
              </w:r>
            </w:hyperlink>
          </w:p>
        </w:tc>
        <w:tc>
          <w:tcPr>
            <w:tcW w:w="2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6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Certification of Chief Executive Officer and Principal Financial</w:t>
              </w:r>
            </w:hyperlink>
          </w:p>
        </w:tc>
        <w:tc>
          <w:tcPr>
            <w:tcW w:w="80" w:type="dxa"/>
            <w:vAlign w:val="bottom"/>
          </w:tcPr>
          <w:p>
            <w:pPr>
              <w:spacing w:after="0"/>
              <w:rPr>
                <w:sz w:val="17"/>
                <w:szCs w:val="17"/>
                <w:color w:val="auto"/>
              </w:rPr>
            </w:pPr>
          </w:p>
        </w:tc>
        <w:tc>
          <w:tcPr>
            <w:tcW w:w="880" w:type="dxa"/>
            <w:vAlign w:val="bottom"/>
          </w:tcPr>
          <w:p>
            <w:pPr>
              <w:ind w:left="140"/>
              <w:spacing w:after="0" w:line="196" w:lineRule="exact"/>
              <w:rPr>
                <w:sz w:val="20"/>
                <w:szCs w:val="20"/>
                <w:color w:val="auto"/>
              </w:rPr>
            </w:pPr>
            <w:r>
              <w:rPr>
                <w:rFonts w:ascii="Arial" w:cs="Arial" w:eastAsia="Arial" w:hAnsi="Arial"/>
                <w:sz w:val="18"/>
                <w:szCs w:val="18"/>
                <w:color w:val="auto"/>
              </w:rPr>
              <w:t>X</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680" w:type="dxa"/>
            <w:vAlign w:val="bottom"/>
            <w:gridSpan w:val="7"/>
          </w:tcPr>
          <w:p>
            <w:pPr>
              <w:spacing w:after="0" w:line="196"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Officer Pursuant to Section 302 of the Sarbanes-Oxley Act of</w:t>
              </w:r>
            </w:hyperlink>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2002.</w:t>
              </w:r>
            </w:hyperlink>
          </w:p>
        </w:tc>
        <w:tc>
          <w:tcPr>
            <w:tcW w:w="66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46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Certification of Chief Executive Officer and Principal Financial</w:t>
              </w:r>
            </w:hyperlink>
          </w:p>
        </w:tc>
        <w:tc>
          <w:tcPr>
            <w:tcW w:w="80" w:type="dxa"/>
            <w:vAlign w:val="bottom"/>
          </w:tcPr>
          <w:p>
            <w:pPr>
              <w:spacing w:after="0"/>
              <w:rPr>
                <w:sz w:val="17"/>
                <w:szCs w:val="17"/>
                <w:color w:val="auto"/>
              </w:rPr>
            </w:pPr>
          </w:p>
        </w:tc>
        <w:tc>
          <w:tcPr>
            <w:tcW w:w="880" w:type="dxa"/>
            <w:vAlign w:val="bottom"/>
          </w:tcPr>
          <w:p>
            <w:pPr>
              <w:ind w:left="140"/>
              <w:spacing w:after="0" w:line="196" w:lineRule="exact"/>
              <w:rPr>
                <w:sz w:val="20"/>
                <w:szCs w:val="20"/>
                <w:color w:val="auto"/>
              </w:rPr>
            </w:pPr>
            <w:r>
              <w:rPr>
                <w:rFonts w:ascii="Arial" w:cs="Arial" w:eastAsia="Arial" w:hAnsi="Arial"/>
                <w:sz w:val="18"/>
                <w:szCs w:val="18"/>
                <w:color w:val="auto"/>
              </w:rPr>
              <w:t>X</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680" w:type="dxa"/>
            <w:vAlign w:val="bottom"/>
            <w:gridSpan w:val="7"/>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Officer Pursuant to Section 906 of the Sarbanes-Oxley Act of</w:t>
              </w:r>
            </w:hyperlink>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2002.</w:t>
              </w:r>
            </w:hyperlink>
          </w:p>
        </w:tc>
        <w:tc>
          <w:tcPr>
            <w:tcW w:w="66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tcPr>
          <w:p>
            <w:pPr>
              <w:jc w:val="center"/>
              <w:ind w:right="73"/>
              <w:spacing w:after="0"/>
              <w:rPr>
                <w:sz w:val="20"/>
                <w:szCs w:val="20"/>
                <w:color w:val="auto"/>
              </w:rPr>
            </w:pPr>
            <w:r>
              <w:rPr>
                <w:rFonts w:ascii="Arial" w:cs="Arial" w:eastAsia="Arial" w:hAnsi="Arial"/>
                <w:sz w:val="18"/>
                <w:szCs w:val="18"/>
                <w:color w:val="auto"/>
                <w:w w:val="93"/>
              </w:rPr>
              <w:t>101.SCH</w:t>
            </w:r>
          </w:p>
        </w:tc>
        <w:tc>
          <w:tcPr>
            <w:tcW w:w="46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880" w:type="dxa"/>
            <w:vAlign w:val="bottom"/>
          </w:tcPr>
          <w:p>
            <w:pPr>
              <w:ind w:left="140"/>
              <w:spacing w:after="0"/>
              <w:rPr>
                <w:sz w:val="20"/>
                <w:szCs w:val="20"/>
                <w:color w:val="auto"/>
              </w:rPr>
            </w:pPr>
            <w:r>
              <w:rPr>
                <w:rFonts w:ascii="Arial" w:cs="Arial" w:eastAsia="Arial" w:hAnsi="Arial"/>
                <w:sz w:val="18"/>
                <w:szCs w:val="18"/>
                <w:color w:val="auto"/>
              </w:rPr>
              <w:t>X</w:t>
            </w: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right="73"/>
              <w:spacing w:after="0"/>
              <w:rPr>
                <w:sz w:val="20"/>
                <w:szCs w:val="20"/>
                <w:color w:val="auto"/>
              </w:rPr>
            </w:pPr>
            <w:r>
              <w:rPr>
                <w:rFonts w:ascii="Arial" w:cs="Arial" w:eastAsia="Arial" w:hAnsi="Arial"/>
                <w:sz w:val="18"/>
                <w:szCs w:val="18"/>
                <w:color w:val="auto"/>
                <w:w w:val="97"/>
              </w:rPr>
              <w:t>101.CAL</w:t>
            </w:r>
          </w:p>
        </w:tc>
        <w:tc>
          <w:tcPr>
            <w:tcW w:w="46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80" w:type="dxa"/>
            <w:vAlign w:val="bottom"/>
          </w:tcPr>
          <w:p>
            <w:pPr>
              <w:ind w:left="140"/>
              <w:spacing w:after="0"/>
              <w:rPr>
                <w:sz w:val="20"/>
                <w:szCs w:val="20"/>
                <w:color w:val="auto"/>
              </w:rPr>
            </w:pPr>
            <w:r>
              <w:rPr>
                <w:rFonts w:ascii="Arial" w:cs="Arial" w:eastAsia="Arial" w:hAnsi="Arial"/>
                <w:sz w:val="18"/>
                <w:szCs w:val="18"/>
                <w:color w:val="auto"/>
              </w:rPr>
              <w:t>X</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6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right="73"/>
              <w:spacing w:after="0"/>
              <w:rPr>
                <w:sz w:val="20"/>
                <w:szCs w:val="20"/>
                <w:color w:val="auto"/>
              </w:rPr>
            </w:pPr>
            <w:r>
              <w:rPr>
                <w:rFonts w:ascii="Arial" w:cs="Arial" w:eastAsia="Arial" w:hAnsi="Arial"/>
                <w:sz w:val="18"/>
                <w:szCs w:val="18"/>
                <w:color w:val="auto"/>
                <w:w w:val="98"/>
              </w:rPr>
              <w:t>101.LAB</w:t>
            </w:r>
          </w:p>
        </w:tc>
        <w:tc>
          <w:tcPr>
            <w:tcW w:w="4680" w:type="dxa"/>
            <w:vAlign w:val="bottom"/>
            <w:gridSpan w:val="7"/>
          </w:tcPr>
          <w:p>
            <w:pPr>
              <w:spacing w:after="0"/>
              <w:rPr>
                <w:sz w:val="20"/>
                <w:szCs w:val="20"/>
                <w:color w:val="auto"/>
              </w:rPr>
            </w:pPr>
            <w:r>
              <w:rPr>
                <w:rFonts w:ascii="Arial" w:cs="Arial" w:eastAsia="Arial" w:hAnsi="Arial"/>
                <w:sz w:val="18"/>
                <w:szCs w:val="18"/>
                <w:color w:val="auto"/>
                <w:w w:val="96"/>
              </w:rPr>
              <w:t>Inline XBRL Taxonomy Extension Label Linkbase Document</w:t>
            </w:r>
          </w:p>
        </w:tc>
        <w:tc>
          <w:tcPr>
            <w:tcW w:w="880" w:type="dxa"/>
            <w:vAlign w:val="bottom"/>
          </w:tcPr>
          <w:p>
            <w:pPr>
              <w:ind w:left="140"/>
              <w:spacing w:after="0"/>
              <w:rPr>
                <w:sz w:val="20"/>
                <w:szCs w:val="20"/>
                <w:color w:val="auto"/>
              </w:rPr>
            </w:pPr>
            <w:r>
              <w:rPr>
                <w:rFonts w:ascii="Arial" w:cs="Arial" w:eastAsia="Arial" w:hAnsi="Arial"/>
                <w:sz w:val="18"/>
                <w:szCs w:val="18"/>
                <w:color w:val="auto"/>
              </w:rPr>
              <w:t>X</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80" w:type="dxa"/>
            <w:vAlign w:val="bottom"/>
          </w:tcPr>
          <w:p>
            <w:pPr>
              <w:ind w:left="140"/>
              <w:spacing w:after="0"/>
              <w:rPr>
                <w:sz w:val="20"/>
                <w:szCs w:val="20"/>
                <w:color w:val="auto"/>
              </w:rPr>
            </w:pPr>
            <w:r>
              <w:rPr>
                <w:rFonts w:ascii="Arial" w:cs="Arial" w:eastAsia="Arial" w:hAnsi="Arial"/>
                <w:sz w:val="18"/>
                <w:szCs w:val="18"/>
                <w:color w:val="auto"/>
              </w:rPr>
              <w:t>X</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6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right="93"/>
              <w:spacing w:after="0"/>
              <w:rPr>
                <w:sz w:val="20"/>
                <w:szCs w:val="20"/>
                <w:color w:val="auto"/>
              </w:rPr>
            </w:pPr>
            <w:r>
              <w:rPr>
                <w:rFonts w:ascii="Arial" w:cs="Arial" w:eastAsia="Arial" w:hAnsi="Arial"/>
                <w:sz w:val="18"/>
                <w:szCs w:val="18"/>
                <w:color w:val="auto"/>
                <w:w w:val="92"/>
              </w:rPr>
              <w:t>101.DEF</w:t>
            </w:r>
          </w:p>
        </w:tc>
        <w:tc>
          <w:tcPr>
            <w:tcW w:w="46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w:t>
            </w:r>
          </w:p>
        </w:tc>
        <w:tc>
          <w:tcPr>
            <w:tcW w:w="880" w:type="dxa"/>
            <w:vAlign w:val="bottom"/>
          </w:tcPr>
          <w:p>
            <w:pPr>
              <w:ind w:left="140"/>
              <w:spacing w:after="0"/>
              <w:rPr>
                <w:sz w:val="20"/>
                <w:szCs w:val="20"/>
                <w:color w:val="auto"/>
              </w:rPr>
            </w:pPr>
            <w:r>
              <w:rPr>
                <w:rFonts w:ascii="Arial" w:cs="Arial" w:eastAsia="Arial" w:hAnsi="Arial"/>
                <w:sz w:val="18"/>
                <w:szCs w:val="18"/>
                <w:color w:val="auto"/>
              </w:rPr>
              <w:t>X</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6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40" w:right="3280" w:hanging="830"/>
        <w:spacing w:after="0" w:line="255" w:lineRule="auto"/>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X applicable taxonomy extension information contained in Exhibits 101.)</w:t>
      </w:r>
    </w:p>
    <w:p>
      <w:pPr>
        <w:spacing w:after="0" w:line="190" w:lineRule="exact"/>
        <w:rPr>
          <w:rFonts w:ascii="Arial" w:cs="Arial" w:eastAsia="Arial" w:hAnsi="Arial"/>
          <w:sz w:val="18"/>
          <w:szCs w:val="18"/>
          <w:color w:val="auto"/>
        </w:rPr>
      </w:pPr>
    </w:p>
    <w:p>
      <w:pPr>
        <w:ind w:left="180" w:hanging="171"/>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ind w:left="320" w:hanging="311"/>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the rules of the Securities and</w:t>
      </w:r>
    </w:p>
    <w:p>
      <w:pPr>
        <w:spacing w:after="0" w:line="222" w:lineRule="exact"/>
        <w:rPr>
          <w:sz w:val="20"/>
          <w:szCs w:val="20"/>
          <w:color w:val="auto"/>
        </w:rPr>
      </w:pPr>
    </w:p>
    <w:p>
      <w:pPr>
        <w:jc w:val="both"/>
        <w:ind w:left="260" w:hanging="251"/>
        <w:spacing w:after="0" w:line="302" w:lineRule="auto"/>
        <w:tabs>
          <w:tab w:leader="none" w:pos="24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Quarterly Report on Form 10-Q is not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060" w:type="dxa"/>
            <w:vAlign w:val="bottom"/>
            <w:gridSpan w:val="2"/>
          </w:tcPr>
          <w:p>
            <w:pPr>
              <w:ind w:left="154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August 5, 2019</w:t>
            </w:r>
          </w:p>
        </w:tc>
        <w:tc>
          <w:tcPr>
            <w:tcW w:w="6060" w:type="dxa"/>
            <w:vAlign w:val="bottom"/>
            <w:gridSpan w:val="2"/>
          </w:tcPr>
          <w:p>
            <w:pPr>
              <w:ind w:left="1540"/>
              <w:spacing w:after="0"/>
              <w:rPr>
                <w:sz w:val="20"/>
                <w:szCs w:val="20"/>
                <w:color w:val="auto"/>
              </w:rPr>
            </w:pPr>
            <w:r>
              <w:rPr>
                <w:rFonts w:ascii="Arial" w:cs="Arial" w:eastAsia="Arial" w:hAnsi="Arial"/>
                <w:sz w:val="18"/>
                <w:szCs w:val="18"/>
                <w:color w:val="auto"/>
              </w:rPr>
              <w:t>By: /s/ Derek A. Small</w:t>
            </w:r>
          </w:p>
        </w:tc>
      </w:tr>
      <w:tr>
        <w:trPr>
          <w:trHeight w:val="195"/>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 and Principal Financial</w:t>
            </w:r>
          </w:p>
        </w:tc>
      </w:tr>
      <w:tr>
        <w:trPr>
          <w:trHeight w:val="230"/>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August 5, 2019</w:t>
            </w:r>
          </w:p>
        </w:tc>
        <w:tc>
          <w:tcPr>
            <w:tcW w:w="6060" w:type="dxa"/>
            <w:vAlign w:val="bottom"/>
            <w:gridSpan w:val="2"/>
          </w:tcPr>
          <w:p>
            <w:pPr>
              <w:ind w:left="1540"/>
              <w:spacing w:after="0"/>
              <w:rPr>
                <w:sz w:val="20"/>
                <w:szCs w:val="20"/>
                <w:color w:val="auto"/>
              </w:rPr>
            </w:pPr>
            <w:r>
              <w:rPr>
                <w:rFonts w:ascii="Arial" w:cs="Arial" w:eastAsia="Arial" w:hAnsi="Arial"/>
                <w:sz w:val="18"/>
                <w:szCs w:val="18"/>
                <w:color w:val="auto"/>
              </w:rPr>
              <w:t>By: /s/ Michael P. Samar</w:t>
            </w:r>
          </w:p>
        </w:tc>
      </w:tr>
      <w:tr>
        <w:trPr>
          <w:trHeight w:val="195"/>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P. Samar</w:t>
            </w:r>
          </w:p>
        </w:tc>
      </w:tr>
      <w:tr>
        <w:trPr>
          <w:trHeight w:val="216"/>
        </w:trPr>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1"/>
              </w:rPr>
              <w:t>Senior Vice President, Finance and Business Operations</w:t>
            </w:r>
          </w:p>
        </w:tc>
      </w:tr>
      <w:tr>
        <w:trPr>
          <w:trHeight w:val="230"/>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878"/>
        </w:trPr>
        <w:tc>
          <w:tcPr>
            <w:tcW w:w="3000" w:type="dxa"/>
            <w:vAlign w:val="bottom"/>
          </w:tcPr>
          <w:p>
            <w:pPr>
              <w:spacing w:after="0"/>
              <w:rPr>
                <w:sz w:val="24"/>
                <w:szCs w:val="24"/>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4160" w:type="dxa"/>
            <w:vAlign w:val="bottom"/>
          </w:tcPr>
          <w:p>
            <w:pPr>
              <w:spacing w:after="0"/>
              <w:rPr>
                <w:sz w:val="24"/>
                <w:szCs w:val="24"/>
                <w:color w:val="auto"/>
              </w:rPr>
            </w:pPr>
          </w:p>
        </w:tc>
      </w:tr>
      <w:tr>
        <w:trPr>
          <w:trHeight w:val="547"/>
        </w:trPr>
        <w:tc>
          <w:tcPr>
            <w:tcW w:w="30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6397625" cy="523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397625" cy="5232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00" w:right="60" w:hanging="320"/>
        <w:spacing w:after="0" w:line="250" w:lineRule="auto"/>
        <w:tabs>
          <w:tab w:leader="none" w:pos="433" w:val="left"/>
        </w:tabs>
        <w:numPr>
          <w:ilvl w:val="0"/>
          <w:numId w:val="38"/>
        </w:numPr>
        <w:rPr>
          <w:rFonts w:ascii="Arial" w:cs="Arial" w:eastAsia="Arial" w:hAnsi="Arial"/>
          <w:sz w:val="20"/>
          <w:szCs w:val="20"/>
          <w:color w:val="auto"/>
        </w:rPr>
      </w:pPr>
      <w:r>
        <w:rPr>
          <w:rFonts w:ascii="Arial" w:cs="Arial" w:eastAsia="Arial" w:hAnsi="Arial"/>
          <w:sz w:val="20"/>
          <w:szCs w:val="20"/>
          <w:color w:val="auto"/>
        </w:rPr>
        <w:t>Certain information in this exhibit has been excluded because it either (1) is both (a) not material and (b) would likely cause competitive harm if publicly disclosed or (2) constitutes personal information which, if disclosed, would constitute a clearly unwarranted invasion of privacy.</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Assembly Biosciences, Inc.</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May 6, 2019</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PERSONAL AND 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Uri A. Lopatin, M.D.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u w:val="single" w:color="auto"/>
          <w:color w:val="auto"/>
        </w:rPr>
        <w:t>Separation Agreement and General Release of Claims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Uri:</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letter (this “</w:t>
      </w:r>
      <w:r>
        <w:rPr>
          <w:rFonts w:ascii="Arial" w:cs="Arial" w:eastAsia="Arial" w:hAnsi="Arial"/>
          <w:sz w:val="20"/>
          <w:szCs w:val="20"/>
          <w:u w:val="single" w:color="auto"/>
          <w:color w:val="auto"/>
        </w:rPr>
        <w:t>Agreement</w:t>
      </w:r>
      <w:r>
        <w:rPr>
          <w:rFonts w:ascii="Arial" w:cs="Arial" w:eastAsia="Arial" w:hAnsi="Arial"/>
          <w:sz w:val="20"/>
          <w:szCs w:val="20"/>
          <w:color w:val="auto"/>
        </w:rPr>
        <w:t>”) provides notice to you that effective today, May 6, 2019 (the “</w:t>
      </w:r>
      <w:r>
        <w:rPr>
          <w:rFonts w:ascii="Arial" w:cs="Arial" w:eastAsia="Arial" w:hAnsi="Arial"/>
          <w:sz w:val="20"/>
          <w:szCs w:val="20"/>
          <w:u w:val="single" w:color="auto"/>
          <w:color w:val="auto"/>
        </w:rPr>
        <w:t>Separation Date</w:t>
      </w:r>
      <w:r>
        <w:rPr>
          <w:rFonts w:ascii="Arial" w:cs="Arial" w:eastAsia="Arial" w:hAnsi="Arial"/>
          <w:sz w:val="20"/>
          <w:szCs w:val="20"/>
          <w:color w:val="auto"/>
        </w:rPr>
        <w:t>”), your employment with Assembly Biosciences, Inc. (the “</w:t>
      </w:r>
      <w:r>
        <w:rPr>
          <w:rFonts w:ascii="Arial" w:cs="Arial" w:eastAsia="Arial" w:hAnsi="Arial"/>
          <w:sz w:val="20"/>
          <w:szCs w:val="20"/>
          <w:u w:val="single" w:color="auto"/>
          <w:color w:val="auto"/>
        </w:rPr>
        <w:t>Company</w:t>
      </w:r>
      <w:r>
        <w:rPr>
          <w:rFonts w:ascii="Arial" w:cs="Arial" w:eastAsia="Arial" w:hAnsi="Arial"/>
          <w:sz w:val="20"/>
          <w:szCs w:val="20"/>
          <w:color w:val="auto"/>
        </w:rPr>
        <w:t>”) is being terminated without Cause pursuant to Section 8(e) of that certain Amended and Restated Employment Agreement by and between you and the Company entered into as of October 10, 2018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Each capitalized term used herein and not otherwise defined shall have the meaning assigned to such term in the Employment Agreement. The Company thanks you for your contributions and wishes you well in your future endeavors.</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Agreement also sets forth the terms of the Release referenced in Section 9(c) of the Employment Agreement and you acknowledge that this Agreement becoming effective is a condition of your right to receive the Base Separation Benefits defined in such Section 9(c). Finally, you are eligible to receive additional compensation in return for you providing consulting services to the Company, as described in more detail below.</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Regardless of whether you enter into this Agreement, you shall be entitled to the Accrued Benefits as defined in Section 9(a) of the Employment Agreement. Also regardless of whether you enter into this Agreement, you will remain bound by your continuing obligations to the Company under Section 5 [Confidential Information and Inventions] of your Employment Agreement, your June 12, 2015 Proprietary Information and Inventions Agreement (as modified by your Employment Agreement) (“</w:t>
      </w:r>
      <w:r>
        <w:rPr>
          <w:rFonts w:ascii="Arial" w:cs="Arial" w:eastAsia="Arial" w:hAnsi="Arial"/>
          <w:sz w:val="19"/>
          <w:szCs w:val="19"/>
          <w:u w:val="single" w:color="auto"/>
          <w:color w:val="auto"/>
        </w:rPr>
        <w:t>PIIA</w:t>
      </w:r>
      <w:r>
        <w:rPr>
          <w:rFonts w:ascii="Arial" w:cs="Arial" w:eastAsia="Arial" w:hAnsi="Arial"/>
          <w:sz w:val="19"/>
          <w:szCs w:val="19"/>
          <w:color w:val="auto"/>
        </w:rPr>
        <w:t>”), and Section 6 [Non-Solicitation] of your Employment Agreement, and the other provisions of the Employment Agreement which by their terms or by the nature of the obligation survive the termination of your employment (the “</w:t>
      </w:r>
      <w:r>
        <w:rPr>
          <w:rFonts w:ascii="Arial" w:cs="Arial" w:eastAsia="Arial" w:hAnsi="Arial"/>
          <w:sz w:val="19"/>
          <w:szCs w:val="19"/>
          <w:u w:val="single" w:color="auto"/>
          <w:color w:val="auto"/>
        </w:rPr>
        <w:t>Continuing Obligations</w:t>
      </w:r>
      <w:r>
        <w:rPr>
          <w:rFonts w:ascii="Arial" w:cs="Arial" w:eastAsia="Arial" w:hAnsi="Arial"/>
          <w:sz w:val="19"/>
          <w:szCs w:val="19"/>
          <w:color w:val="auto"/>
        </w:rPr>
        <w:t>”). Such Continuing Obligations include, without limitation, your confidentiality obligations, return of property obligations, and non-solicitation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this Agreement sets forth the terms of the Agreement.  You acknowledge that you are entering into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 knowingly and voluntarily. With those understandings, you and the Company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892175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9" w:name="page70"/>
    <w:bookmarkEnd w:id="69"/>
    <w:p>
      <w:pPr>
        <w:ind w:left="1"/>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26" w:lineRule="exact"/>
        <w:rPr>
          <w:sz w:val="20"/>
          <w:szCs w:val="20"/>
          <w:color w:val="auto"/>
        </w:rPr>
      </w:pPr>
    </w:p>
    <w:p>
      <w:pPr>
        <w:ind w:left="641" w:hanging="641"/>
        <w:spacing w:after="0"/>
        <w:tabs>
          <w:tab w:leader="none" w:pos="641"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Separation from Employment</w:t>
      </w:r>
    </w:p>
    <w:p>
      <w:pPr>
        <w:spacing w:after="0" w:line="222"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This confirms that your employment with the Company shall terminate on the Separation Date. As of such date you shall be deemed to have resigned as an officer of the Company and each subsidiary effective as of the Separation Date. Accordingly, your right to participate in the employee benefit plans of the Company shall cease on the Separation Date, except you will continue under the Company’s health insurance benefit through the last day of the month in which the Separation Date occurs and as noted in Section 2(d) below, if applicable.</w:t>
      </w:r>
    </w:p>
    <w:p>
      <w:pPr>
        <w:spacing w:after="0" w:line="189" w:lineRule="exact"/>
        <w:rPr>
          <w:sz w:val="20"/>
          <w:szCs w:val="20"/>
          <w:color w:val="auto"/>
        </w:rPr>
      </w:pPr>
    </w:p>
    <w:p>
      <w:pPr>
        <w:ind w:left="641" w:hanging="641"/>
        <w:spacing w:after="0"/>
        <w:tabs>
          <w:tab w:leader="none" w:pos="641"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Separation Benefits</w:t>
      </w:r>
    </w:p>
    <w:p>
      <w:pPr>
        <w:spacing w:after="0" w:line="22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Subject to this Agreement becoming effective and your compliance with this Agreement and the Continuing Obligations, the Company shall provide you with the following “</w:t>
      </w:r>
      <w:r>
        <w:rPr>
          <w:rFonts w:ascii="Arial" w:cs="Arial" w:eastAsia="Arial" w:hAnsi="Arial"/>
          <w:sz w:val="20"/>
          <w:szCs w:val="20"/>
          <w:u w:val="single" w:color="auto"/>
          <w:color w:val="auto"/>
        </w:rPr>
        <w:t>Separation Benefits</w:t>
      </w:r>
      <w:r>
        <w:rPr>
          <w:rFonts w:ascii="Arial" w:cs="Arial" w:eastAsia="Arial" w:hAnsi="Arial"/>
          <w:sz w:val="20"/>
          <w:szCs w:val="20"/>
          <w:color w:val="auto"/>
        </w:rPr>
        <w:t>” as set forth in Section 9(c) of the Employment Agreement except as modified by this Agreement:</w:t>
      </w:r>
    </w:p>
    <w:p>
      <w:pPr>
        <w:spacing w:after="0" w:line="186" w:lineRule="exact"/>
        <w:rPr>
          <w:sz w:val="20"/>
          <w:szCs w:val="20"/>
          <w:color w:val="auto"/>
        </w:rPr>
      </w:pPr>
    </w:p>
    <w:p>
      <w:pPr>
        <w:jc w:val="both"/>
        <w:ind w:left="641" w:firstLine="8"/>
        <w:spacing w:after="0" w:line="244" w:lineRule="auto"/>
        <w:tabs>
          <w:tab w:leader="none" w:pos="130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Separation Pay</w:t>
      </w:r>
      <w:r>
        <w:rPr>
          <w:rFonts w:ascii="Arial" w:cs="Arial" w:eastAsia="Arial" w:hAnsi="Arial"/>
          <w:sz w:val="20"/>
          <w:szCs w:val="20"/>
          <w:color w:val="auto"/>
        </w:rPr>
        <w:t>. The Company shall provide you with lump sum payment equal to twelve (12) months of your final Base Salary (which is at the annualized rate of $410,000) (such payment being the “</w:t>
      </w:r>
      <w:r>
        <w:rPr>
          <w:rFonts w:ascii="Arial" w:cs="Arial" w:eastAsia="Arial" w:hAnsi="Arial"/>
          <w:sz w:val="20"/>
          <w:szCs w:val="20"/>
          <w:u w:val="single" w:color="auto"/>
          <w:color w:val="auto"/>
        </w:rPr>
        <w:t>Separation Pay</w:t>
      </w:r>
      <w:r>
        <w:rPr>
          <w:rFonts w:ascii="Arial" w:cs="Arial" w:eastAsia="Arial" w:hAnsi="Arial"/>
          <w:sz w:val="20"/>
          <w:szCs w:val="20"/>
          <w:color w:val="auto"/>
        </w:rPr>
        <w:t>”). The Separation Pay will be paid on the Company’s first regular payday occurring after the Effective Date of this Agreement in an amount equal to the Separation Pay, less applicable taxes and withholdings, in accordance with the Company’s normal payroll practices for its employees.</w:t>
      </w:r>
    </w:p>
    <w:p>
      <w:pPr>
        <w:spacing w:after="0" w:line="194" w:lineRule="exact"/>
        <w:rPr>
          <w:rFonts w:ascii="Arial" w:cs="Arial" w:eastAsia="Arial" w:hAnsi="Arial"/>
          <w:sz w:val="20"/>
          <w:szCs w:val="20"/>
          <w:color w:val="auto"/>
        </w:rPr>
      </w:pPr>
    </w:p>
    <w:p>
      <w:pPr>
        <w:jc w:val="both"/>
        <w:ind w:left="641" w:firstLine="8"/>
        <w:spacing w:after="0" w:line="255" w:lineRule="auto"/>
        <w:tabs>
          <w:tab w:leader="none" w:pos="147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Acceleration of Equity Awards</w:t>
      </w:r>
      <w:r>
        <w:rPr>
          <w:rFonts w:ascii="Arial" w:cs="Arial" w:eastAsia="Arial" w:hAnsi="Arial"/>
          <w:sz w:val="19"/>
          <w:szCs w:val="19"/>
          <w:color w:val="auto"/>
        </w:rPr>
        <w:t xml:space="preserve">. The table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sets forth all of your outstanding Equity Awards (as defined in the Employment Agreement) as of the date hereof. As provided in your Employment Agreement, all Equity Awards which would have vested during the six (6) months following the Separation Date shall accelerate and vest on the Separation Date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For avoidance of doubt, any acceleration of vesting set forth in an equity award that provides for acceleration in connection with a termination of employment by the Company shall have no further effect following the cessation of your employment. Upon the effective date of your Consulting Agreement, each of your outstanding Equity Awards to the extent unvested as of the effective date of your Consulting Agreement shall be hereby modified to provide that upon the termination of your Continuous Service by the Company for any reason other than for Cause within 6 months following the occurrence of a Corporate Transaction (as defined in the applicable stock incentive plan), all unvested Options or RSUs, as applicable, shall immediately vest.</w:t>
      </w:r>
    </w:p>
    <w:p>
      <w:pPr>
        <w:spacing w:after="0" w:line="187" w:lineRule="exact"/>
        <w:rPr>
          <w:rFonts w:ascii="Arial" w:cs="Arial" w:eastAsia="Arial" w:hAnsi="Arial"/>
          <w:sz w:val="19"/>
          <w:szCs w:val="19"/>
          <w:color w:val="auto"/>
        </w:rPr>
      </w:pPr>
    </w:p>
    <w:p>
      <w:pPr>
        <w:jc w:val="both"/>
        <w:ind w:left="641" w:firstLine="8"/>
        <w:spacing w:after="0" w:line="276" w:lineRule="auto"/>
        <w:tabs>
          <w:tab w:leader="none" w:pos="131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Extension of Exercise Period</w:t>
      </w:r>
      <w:r>
        <w:rPr>
          <w:rFonts w:ascii="Arial" w:cs="Arial" w:eastAsia="Arial" w:hAnsi="Arial"/>
          <w:sz w:val="18"/>
          <w:szCs w:val="18"/>
          <w:color w:val="auto"/>
        </w:rPr>
        <w:t xml:space="preserve">. The post-termination exercise period for all Stock Options that are vested as of the Separation Date shall be extended as provided in your Employment Agreement and Equity Awards to the date noted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Unvested options under your 2018 stock option award grants that vest during the term of the Consulting Agreement, shall have the same post-termination exercise period as those 2018 stock options that were vested as of Separation Date as noted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post-termination exercise period for all stock options under your 2019 stock option award grants that vest during your provision of Continuous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596265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70" w:name="page71"/>
    <w:bookmarkEnd w:id="70"/>
    <w:p>
      <w:pPr>
        <w:ind w:left="1"/>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332" w:lineRule="exact"/>
        <w:rPr>
          <w:sz w:val="20"/>
          <w:szCs w:val="20"/>
          <w:color w:val="auto"/>
        </w:rPr>
      </w:pPr>
    </w:p>
    <w:p>
      <w:pPr>
        <w:ind w:left="641"/>
        <w:spacing w:after="0" w:line="260" w:lineRule="auto"/>
        <w:rPr>
          <w:sz w:val="20"/>
          <w:szCs w:val="20"/>
          <w:color w:val="auto"/>
        </w:rPr>
      </w:pPr>
      <w:r>
        <w:rPr>
          <w:rFonts w:ascii="Arial" w:cs="Arial" w:eastAsia="Arial" w:hAnsi="Arial"/>
          <w:sz w:val="20"/>
          <w:szCs w:val="20"/>
          <w:color w:val="auto"/>
        </w:rPr>
        <w:t xml:space="preserve">under your Consulting Agreement shall be as set forth in such Equity Awards and as noted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177" w:lineRule="exact"/>
        <w:rPr>
          <w:sz w:val="20"/>
          <w:szCs w:val="20"/>
          <w:color w:val="auto"/>
        </w:rPr>
      </w:pPr>
    </w:p>
    <w:p>
      <w:pPr>
        <w:jc w:val="both"/>
        <w:ind w:left="641" w:firstLine="8"/>
        <w:spacing w:after="0" w:line="243" w:lineRule="auto"/>
        <w:tabs>
          <w:tab w:leader="none" w:pos="1384"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Health Benefit</w:t>
      </w:r>
      <w:r>
        <w:rPr>
          <w:rFonts w:ascii="Arial" w:cs="Arial" w:eastAsia="Arial" w:hAnsi="Arial"/>
          <w:sz w:val="20"/>
          <w:szCs w:val="20"/>
          <w:color w:val="auto"/>
        </w:rPr>
        <w:t>. Notwithstanding anything in the contrary in the Employment Agreement, provided that you properly and timely elect to continue your health insurance benefits (including health, dental and/or vision) and remain eligible under COBRA after the Separation Date, the Company shall pay your applicable COBRA premiums, directly to the applicable plan administrator/insurance company, for the eighteen (18) months following your Separation Date or until you become eligible under another employer’s health insurance, whichever is earlier (the “</w:t>
      </w:r>
      <w:r>
        <w:rPr>
          <w:rFonts w:ascii="Arial" w:cs="Arial" w:eastAsia="Arial" w:hAnsi="Arial"/>
          <w:sz w:val="20"/>
          <w:szCs w:val="20"/>
          <w:u w:val="single" w:color="auto"/>
          <w:color w:val="auto"/>
        </w:rPr>
        <w:t>Health</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41" w:hanging="641"/>
        <w:spacing w:after="0"/>
        <w:tabs>
          <w:tab w:leader="none" w:pos="641"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Consulting Agreement</w:t>
      </w:r>
    </w:p>
    <w:p>
      <w:pPr>
        <w:spacing w:after="0" w:line="221" w:lineRule="exact"/>
        <w:rPr>
          <w:rFonts w:ascii="Arial" w:cs="Arial" w:eastAsia="Arial" w:hAnsi="Arial"/>
          <w:sz w:val="20"/>
          <w:szCs w:val="20"/>
          <w:b w:val="1"/>
          <w:bCs w:val="1"/>
          <w:color w:val="auto"/>
        </w:rPr>
      </w:pPr>
    </w:p>
    <w:p>
      <w:pPr>
        <w:jc w:val="both"/>
        <w:ind w:left="1" w:firstLine="648"/>
        <w:spacing w:after="0" w:line="255" w:lineRule="auto"/>
        <w:tabs>
          <w:tab w:leader="none" w:pos="1449"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Upon signing this Agreement, the Company will enter into the consulting agreement with you set forth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Consulting Agreement</w:t>
      </w:r>
      <w:r>
        <w:rPr>
          <w:rFonts w:ascii="Arial" w:cs="Arial" w:eastAsia="Arial" w:hAnsi="Arial"/>
          <w:sz w:val="19"/>
          <w:szCs w:val="19"/>
          <w:color w:val="auto"/>
        </w:rPr>
        <w:t>”), to be effective as of May 7, 2019. Your service as a Consultant pursuant to the Consulting Agreement will constitute “Continuous Service” (as defined in the Company’s Amended and Restated 2014 Stock Incentive Plan and 2018 Stock Incentive Plan) and any portion of the Equity Awards that remain unvested as of the Separation Date will continue to vest during the term of the Consulting Agreement in accordance with the terms of the applicable stock incentive plan and equity award grant agreement. For avoidance of doubt, any acceleration of vesting associated with a termination of employment by the Company shall not be applicable to a termination of services under the Consulting Agreement. Your sole rights to any acceleration of equity awards following the termination of your employment shall be as provided under your equity awards (as modified in Section 2(b) above) and the applicable stock incentive plan. No modification to any of your outstanding equity awards is intended to occur as a result of the change in your status to a consultant except those changes that occur by operation of law and those expressly set forth in Sections 2(b) and 2(c) of this Agreement.</w:t>
      </w:r>
    </w:p>
    <w:p>
      <w:pPr>
        <w:spacing w:after="0" w:line="185" w:lineRule="exact"/>
        <w:rPr>
          <w:rFonts w:ascii="Arial" w:cs="Arial" w:eastAsia="Arial" w:hAnsi="Arial"/>
          <w:sz w:val="19"/>
          <w:szCs w:val="19"/>
          <w:color w:val="auto"/>
        </w:rPr>
      </w:pPr>
    </w:p>
    <w:p>
      <w:pPr>
        <w:jc w:val="both"/>
        <w:ind w:left="1" w:firstLine="648"/>
        <w:spacing w:after="0" w:line="243" w:lineRule="auto"/>
        <w:tabs>
          <w:tab w:leader="none" w:pos="1528" w:val="left"/>
        </w:tabs>
        <w:numPr>
          <w:ilvl w:val="1"/>
          <w:numId w:val="43"/>
        </w:numPr>
        <w:rPr>
          <w:rFonts w:ascii="Arial" w:cs="Arial" w:eastAsia="Arial" w:hAnsi="Arial"/>
          <w:sz w:val="20"/>
          <w:szCs w:val="20"/>
          <w:color w:val="auto"/>
        </w:rPr>
      </w:pPr>
      <w:r>
        <w:rPr>
          <w:rFonts w:ascii="Arial" w:cs="Arial" w:eastAsia="Arial" w:hAnsi="Arial"/>
          <w:sz w:val="20"/>
          <w:szCs w:val="20"/>
          <w:color w:val="auto"/>
        </w:rPr>
        <w:t>During the term of the Consulting Agreement, your Company email address and telephone number will remain active, the Company will provide you with access to its email, telephone and computer systems to the extent necessary to perform the services under the Consulting Agreement, and you will retain possession of the Lenovo X1 laptop computer previously provided to you by the Company. You agree to work with the Company to remove Company information from your Lenovo X1 laptop computer that is not necessary for you to retain in connection with the provision of your consulting services under the Consulting Agreement and subject to your retention of contact information as provided in Section 7(a) below.</w:t>
      </w:r>
    </w:p>
    <w:p>
      <w:pPr>
        <w:spacing w:after="0" w:line="187" w:lineRule="exact"/>
        <w:rPr>
          <w:rFonts w:ascii="Arial" w:cs="Arial" w:eastAsia="Arial" w:hAnsi="Arial"/>
          <w:sz w:val="20"/>
          <w:szCs w:val="20"/>
          <w:color w:val="auto"/>
        </w:rPr>
      </w:pPr>
    </w:p>
    <w:p>
      <w:pPr>
        <w:ind w:left="641" w:hanging="641"/>
        <w:spacing w:after="0"/>
        <w:tabs>
          <w:tab w:leader="none" w:pos="641"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Release of Claims</w:t>
      </w:r>
    </w:p>
    <w:p>
      <w:pPr>
        <w:spacing w:after="0" w:line="222" w:lineRule="exact"/>
        <w:rPr>
          <w:sz w:val="20"/>
          <w:szCs w:val="20"/>
          <w:color w:val="auto"/>
        </w:rPr>
      </w:pPr>
    </w:p>
    <w:p>
      <w:pPr>
        <w:jc w:val="both"/>
        <w:ind w:left="1" w:firstLine="648"/>
        <w:spacing w:after="0" w:line="263" w:lineRule="auto"/>
        <w:rPr>
          <w:sz w:val="20"/>
          <w:szCs w:val="20"/>
          <w:color w:val="auto"/>
        </w:rPr>
      </w:pPr>
      <w:r>
        <w:rPr>
          <w:rFonts w:ascii="Arial" w:cs="Arial" w:eastAsia="Arial" w:hAnsi="Arial"/>
          <w:sz w:val="19"/>
          <w:szCs w:val="19"/>
          <w:color w:val="auto"/>
        </w:rPr>
        <w:t>In consideration for, among other terms, the Base Separation Benefits and Health Benefits, to which you acknowledge you would otherwise not be entitled, you, on behalf of yourself and your heirs, executors, representatives, agents, insurers, administrators,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voluntarily release and forever discharge the Company, its affiliated and related entities, its and their respective predecessors,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33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assigns, its and their respective employee benefit plans and fiduciaries of such plans, the Company’s former affiliated professional employer organization, Insperity PEO Services, L.P., and the current and former officers, directors, shareholders, employees, attorneys, insurers, accountants and agents of each of the foregoing in their official and personal capacities (collectively referred to as the “</w:t>
      </w:r>
      <w:r>
        <w:rPr>
          <w:rFonts w:ascii="Arial" w:cs="Arial" w:eastAsia="Arial" w:hAnsi="Arial"/>
          <w:sz w:val="18"/>
          <w:szCs w:val="18"/>
          <w:u w:val="single" w:color="auto"/>
          <w:color w:val="auto"/>
        </w:rPr>
        <w:t>Releasees</w:t>
      </w:r>
      <w:r>
        <w:rPr>
          <w:rFonts w:ascii="Arial" w:cs="Arial" w:eastAsia="Arial" w:hAnsi="Arial"/>
          <w:sz w:val="18"/>
          <w:szCs w:val="18"/>
          <w:color w:val="auto"/>
        </w:rPr>
        <w:t>”) generally from all claims, demands, debts, damages and liabilities of every name and nature, known or unknown (“</w:t>
      </w:r>
      <w:r>
        <w:rPr>
          <w:rFonts w:ascii="Arial" w:cs="Arial" w:eastAsia="Arial" w:hAnsi="Arial"/>
          <w:sz w:val="18"/>
          <w:szCs w:val="18"/>
          <w:u w:val="single" w:color="auto"/>
          <w:color w:val="auto"/>
        </w:rPr>
        <w:t>Claims</w:t>
      </w:r>
      <w:r>
        <w:rPr>
          <w:rFonts w:ascii="Arial" w:cs="Arial" w:eastAsia="Arial" w:hAnsi="Arial"/>
          <w:sz w:val="18"/>
          <w:szCs w:val="18"/>
          <w:color w:val="auto"/>
        </w:rPr>
        <w:t>”) that, as of the date when you sign this Agreement, you and the other Releasors have, ever had, now claim to have or ever claimed to have had against any or all of the Releasees. This release includes, without limitation, all Claims: relating to your employment by the Company and the termination of your employment;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the California Fair Employment and Housing Act, and the Indiana Civil Rights Law); under any other federal or state statute (including, without limitation, Claims under the Fair Labor Standards Act, the California Family Rights Act and the Family and Medical Leave Act); for wages, bonuses, incentive compensation, commissions, stock, stock options, vacation pay or any other compensation or benefits, either under the California Labor Code, or otherwise; and for damages or other remedies of any sort, including, without limitation, compensatory damages, punitive damages, injunctive relief and attorney’s fees; provided, however, that this release shall not waive any rights to worker’s compensation, state disability or unemployment insurance benefits or any other claims that cannot be waived as a matter of law. Furthermore, this release shall not affect your rights to claims under state workers' compensation or unemployment laws and your right to file an administrative charge or complaint with or participate in a charge by the Equal Employment Opportunity Commission (the "EEOC"), or any other local, state, or federal administrative body or government agency that is authorized to enforce or administer laws related to employment, against the Company (with the understanding that any such filing or participation does not give you the right to recover any monetary damages against the Company; your release of claims herein bars you from recovering such monetary relief from the Company). This release will not waive any of your rights, or obligations of the Company, regarding: (a) any right to indemnification and/or contribution, advancement or payment of related expenses that you may have pursuant to the Company’s Bylaws, Articles of Incorporation or other organizing documents, under any written indemnification or other agreement between the parties, and/or under applicable law; (b) any rights that you may have to insurance coverage under any directors and officers liability insurance, other insurance policies of the Company, COBRA or any similar state law; (c) rights to any vested benefits under any equity, compensation or other employee benefit plan or agreement with the Company, including the Company’s Section 401(k) plan and the Equity Awards; (d) rights to any applicable severance benefits under this Agreement; (e) your rights as a shareholder of the Company, if applicable, and (f) any claims arising after the date you sign this Agreement.</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587375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2" w:name="page73"/>
    <w:bookmarkEnd w:id="72"/>
    <w:p>
      <w:pPr>
        <w:ind w:left="1"/>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332" w:lineRule="exact"/>
        <w:rPr>
          <w:sz w:val="20"/>
          <w:szCs w:val="20"/>
          <w:color w:val="auto"/>
        </w:rPr>
      </w:pPr>
    </w:p>
    <w:p>
      <w:pPr>
        <w:jc w:val="both"/>
        <w:ind w:left="1"/>
        <w:spacing w:after="0" w:line="242" w:lineRule="auto"/>
        <w:rPr>
          <w:sz w:val="20"/>
          <w:szCs w:val="20"/>
          <w:color w:val="auto"/>
        </w:rPr>
      </w:pPr>
      <w:r>
        <w:rPr>
          <w:rFonts w:ascii="Arial" w:cs="Arial" w:eastAsia="Arial" w:hAnsi="Arial"/>
          <w:sz w:val="20"/>
          <w:szCs w:val="20"/>
          <w:color w:val="auto"/>
        </w:rPr>
        <w:t xml:space="preserve">In granting the release herein, you understand that this Agreement includes a release of all claims known or unknown. In giving this release, which includes claims which may be unknown to you at present, you acknowledge that you have read and understand Section 1542 of the California Civil Code which reads as follows: </w:t>
      </w:r>
      <w:r>
        <w:rPr>
          <w:rFonts w:ascii="Arial" w:cs="Arial" w:eastAsia="Arial" w:hAnsi="Arial"/>
          <w:sz w:val="20"/>
          <w:szCs w:val="20"/>
          <w:b w:val="1"/>
          <w:bCs w:val="1"/>
          <w:color w:val="auto"/>
        </w:rPr>
        <w:t>"A general release does not extend to claims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which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20"/>
          <w:szCs w:val="20"/>
          <w:color w:val="auto"/>
        </w:rPr>
        <w:t>You hereby expressly waive and relinquish all rights and benefits under that section and any law of any</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of similar effect with respect to the release of any unknown or unsuspected claims you may have against the Company.</w:t>
      </w:r>
    </w:p>
    <w:p>
      <w:pPr>
        <w:spacing w:after="0" w:line="192" w:lineRule="exact"/>
        <w:rPr>
          <w:sz w:val="20"/>
          <w:szCs w:val="20"/>
          <w:color w:val="auto"/>
        </w:rPr>
      </w:pPr>
    </w:p>
    <w:p>
      <w:pPr>
        <w:ind w:left="641" w:hanging="641"/>
        <w:spacing w:after="0"/>
        <w:tabs>
          <w:tab w:leader="none" w:pos="641"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Non-Disparagement</w:t>
      </w:r>
    </w:p>
    <w:p>
      <w:pPr>
        <w:spacing w:after="0" w:line="222"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You agree not to make any disparaging statements concerning the Company, or any of its affiliates, or its or their current or former officers, directors, shareholders, employees or agents, or any of the Company’s or its respective affiliates’ products or services. These non-disparagement obligations shall not in any way affect your obligation to testify truthfully in any legal proceeding or your rights under Section 7(c).</w:t>
      </w:r>
    </w:p>
    <w:p>
      <w:pPr>
        <w:spacing w:after="0" w:line="192" w:lineRule="exact"/>
        <w:rPr>
          <w:sz w:val="20"/>
          <w:szCs w:val="20"/>
          <w:color w:val="auto"/>
        </w:rPr>
      </w:pPr>
    </w:p>
    <w:p>
      <w:pPr>
        <w:jc w:val="both"/>
        <w:ind w:left="1"/>
        <w:spacing w:after="0" w:line="259" w:lineRule="auto"/>
        <w:rPr>
          <w:sz w:val="20"/>
          <w:szCs w:val="20"/>
          <w:color w:val="auto"/>
        </w:rPr>
      </w:pPr>
      <w:r>
        <w:rPr>
          <w:rFonts w:ascii="Arial" w:cs="Arial" w:eastAsia="Arial" w:hAnsi="Arial"/>
          <w:sz w:val="19"/>
          <w:szCs w:val="19"/>
          <w:color w:val="auto"/>
        </w:rPr>
        <w:t>The Company will not issue any official statements or press releases disparaging you. The Company will instruct each of the Company’s executive officers not to make any disparaging statements concerning you. These non-disparagement obligations shall not in any way affect the Company’s obligation to (i) testify truthfully in any legal proceeding, (ii) disclose your name, position and dates of employment in response to any reference inquiries, (iii) provide truthful information about the reasons for your termination in response to inquiries from any state unemployment insurance agency, in pubic filings, as required by law and in any legal or administrative proceeding.</w:t>
      </w:r>
    </w:p>
    <w:p>
      <w:pPr>
        <w:spacing w:after="0" w:line="173" w:lineRule="exact"/>
        <w:rPr>
          <w:sz w:val="20"/>
          <w:szCs w:val="20"/>
          <w:color w:val="auto"/>
        </w:rPr>
      </w:pPr>
    </w:p>
    <w:p>
      <w:pPr>
        <w:ind w:left="641" w:hanging="641"/>
        <w:spacing w:after="0"/>
        <w:tabs>
          <w:tab w:leader="none" w:pos="641"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of Agreement-Related Information</w:t>
      </w:r>
    </w:p>
    <w:p>
      <w:pPr>
        <w:spacing w:after="0" w:line="222" w:lineRule="exact"/>
        <w:rPr>
          <w:sz w:val="20"/>
          <w:szCs w:val="20"/>
          <w:color w:val="auto"/>
        </w:rPr>
      </w:pPr>
    </w:p>
    <w:p>
      <w:pPr>
        <w:jc w:val="both"/>
        <w:ind w:left="1"/>
        <w:spacing w:after="0" w:line="255" w:lineRule="auto"/>
        <w:rPr>
          <w:sz w:val="20"/>
          <w:szCs w:val="20"/>
          <w:color w:val="auto"/>
        </w:rPr>
      </w:pPr>
      <w:r>
        <w:rPr>
          <w:rFonts w:ascii="Arial" w:cs="Arial" w:eastAsia="Arial" w:hAnsi="Arial"/>
          <w:sz w:val="19"/>
          <w:szCs w:val="19"/>
          <w:color w:val="auto"/>
        </w:rPr>
        <w:t>You agree, to the fullest extent permitted by law, to keep all Agreement-Related Information completely confidential. "</w:t>
      </w:r>
      <w:r>
        <w:rPr>
          <w:rFonts w:ascii="Arial" w:cs="Arial" w:eastAsia="Arial" w:hAnsi="Arial"/>
          <w:sz w:val="19"/>
          <w:szCs w:val="19"/>
          <w:u w:val="single" w:color="auto"/>
          <w:color w:val="auto"/>
        </w:rPr>
        <w:t>Agreement-Related Information</w:t>
      </w:r>
      <w:r>
        <w:rPr>
          <w:rFonts w:ascii="Arial" w:cs="Arial" w:eastAsia="Arial" w:hAnsi="Arial"/>
          <w:sz w:val="19"/>
          <w:szCs w:val="19"/>
          <w:color w:val="auto"/>
        </w:rPr>
        <w:t xml:space="preserve">" means the negotiations leading to this Agreement. Notwithstanding the foregoing, you may disclose Agreement-Related Information to your spouse, your attorney and your financial and tax advisors, and to them only provided that they first agree for the benefit of the Company to keep Agreement-Related Information confidential. Nothing in this Agreement or any other agreement between you and the Company shall be construed to prevent you from disclosing Agreement-Related Information or any other information or documents to the extent required by applicable law, a lawfully issued subpoena or duly issued court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where otherwise prohibited by law, you provide the Company with advance written notice and a reasonable opportunity to contest such subpoena or court order. In addition, nothing in this Agreement or any other agreement between you and the Company prohibits you from disclosing any information or documents in any action for enforcement of this Agreement, but solely to the extent relevant and necessary for such enforcement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610235</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73" w:name="page74"/>
    <w:bookmarkEnd w:id="73"/>
    <w:p>
      <w:pPr>
        <w:ind w:left="1"/>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326" w:lineRule="exact"/>
        <w:rPr>
          <w:sz w:val="20"/>
          <w:szCs w:val="20"/>
          <w:color w:val="auto"/>
        </w:rPr>
      </w:pPr>
    </w:p>
    <w:p>
      <w:pPr>
        <w:ind w:left="641" w:hanging="641"/>
        <w:spacing w:after="0"/>
        <w:tabs>
          <w:tab w:leader="none" w:pos="641"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Other Provisions</w:t>
      </w:r>
    </w:p>
    <w:p>
      <w:pPr>
        <w:spacing w:after="0" w:line="221" w:lineRule="exact"/>
        <w:rPr>
          <w:rFonts w:ascii="Arial" w:cs="Arial" w:eastAsia="Arial" w:hAnsi="Arial"/>
          <w:sz w:val="20"/>
          <w:szCs w:val="20"/>
          <w:b w:val="1"/>
          <w:bCs w:val="1"/>
          <w:color w:val="auto"/>
        </w:rPr>
      </w:pPr>
    </w:p>
    <w:p>
      <w:pPr>
        <w:jc w:val="both"/>
        <w:ind w:left="1" w:firstLine="648"/>
        <w:spacing w:after="0" w:line="313" w:lineRule="auto"/>
        <w:tabs>
          <w:tab w:leader="none" w:pos="142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Maintenance of Information</w:t>
      </w:r>
      <w:r>
        <w:rPr>
          <w:rFonts w:ascii="Arial" w:cs="Arial" w:eastAsia="Arial" w:hAnsi="Arial"/>
          <w:sz w:val="16"/>
          <w:szCs w:val="16"/>
          <w:color w:val="auto"/>
        </w:rPr>
        <w:t>. Notwithstanding anything to the contrary in the PIIA or any other agreement between you and the Company, following the Separation Date, you may retain and use, in hardcopy and/or electronic format, the contact information in your Microsoft Outlook Contacts and similar contact information maintained by you as of the Separation Date, and, at your expense, may also continue to maintain and use any personal or professional profile, accounts or contacts contained on any LinkedIn, Facebook or other social media site or system existing as of the Separation Date. It being agreed and understood that such social media sites will be updated appropriately to reflect your change in status and nothing in the foregoing is intended to include any Company social media site or impose any obligations or expenses on the Company.</w:t>
      </w:r>
    </w:p>
    <w:p>
      <w:pPr>
        <w:spacing w:after="0" w:line="143" w:lineRule="exact"/>
        <w:rPr>
          <w:rFonts w:ascii="Arial" w:cs="Arial" w:eastAsia="Arial" w:hAnsi="Arial"/>
          <w:sz w:val="16"/>
          <w:szCs w:val="16"/>
          <w:color w:val="auto"/>
        </w:rPr>
      </w:pPr>
    </w:p>
    <w:p>
      <w:pPr>
        <w:jc w:val="both"/>
        <w:ind w:left="1" w:firstLine="648"/>
        <w:spacing w:after="0" w:line="278" w:lineRule="auto"/>
        <w:tabs>
          <w:tab w:leader="none" w:pos="1433"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of Payments</w:t>
      </w:r>
      <w:r>
        <w:rPr>
          <w:rFonts w:ascii="Arial" w:cs="Arial" w:eastAsia="Arial" w:hAnsi="Arial"/>
          <w:sz w:val="18"/>
          <w:szCs w:val="18"/>
          <w:color w:val="auto"/>
        </w:rPr>
        <w:t>. If you breach any of your obligations under this Agreement or your Continuing Obligations, in addition to any other legal or equitable remedies the Company may have for such breach, the Company shall have the right to terminate future payments under this Agreement and if the breach is material and willful the Company may seek recovery of the payments by the Company to you or for your benefit under this Agreement. The termination of such payments in the event of such breach will not affect your obligations under this Agreement or your Continuing Obligations.</w:t>
      </w:r>
    </w:p>
    <w:p>
      <w:pPr>
        <w:spacing w:after="0" w:line="165" w:lineRule="exact"/>
        <w:rPr>
          <w:rFonts w:ascii="Arial" w:cs="Arial" w:eastAsia="Arial" w:hAnsi="Arial"/>
          <w:sz w:val="18"/>
          <w:szCs w:val="18"/>
          <w:color w:val="auto"/>
        </w:rPr>
      </w:pPr>
    </w:p>
    <w:p>
      <w:pPr>
        <w:jc w:val="both"/>
        <w:ind w:left="1" w:firstLine="648"/>
        <w:spacing w:after="0" w:line="271" w:lineRule="auto"/>
        <w:tabs>
          <w:tab w:leader="none" w:pos="1625"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Protected Disclosures and Other Protected Actions</w:t>
      </w:r>
      <w:r>
        <w:rPr>
          <w:rFonts w:ascii="Arial" w:cs="Arial" w:eastAsia="Arial" w:hAnsi="Arial"/>
          <w:sz w:val="18"/>
          <w:szCs w:val="18"/>
          <w:color w:val="auto"/>
        </w:rPr>
        <w:t>. Nothing contained in this Agreement or in your Continuing Obligations limits your ability to file a charge or complaint with any federal, state or local governmental agency or commission (a “</w:t>
      </w:r>
      <w:r>
        <w:rPr>
          <w:rFonts w:ascii="Arial" w:cs="Arial" w:eastAsia="Arial" w:hAnsi="Arial"/>
          <w:sz w:val="18"/>
          <w:szCs w:val="18"/>
          <w:u w:val="single" w:color="auto"/>
          <w:color w:val="auto"/>
        </w:rPr>
        <w:t>Government Agency</w:t>
      </w:r>
      <w:r>
        <w:rPr>
          <w:rFonts w:ascii="Arial" w:cs="Arial" w:eastAsia="Arial" w:hAnsi="Arial"/>
          <w:sz w:val="18"/>
          <w:szCs w:val="18"/>
          <w:color w:val="auto"/>
        </w:rPr>
        <w:t xml:space="preserve">”). In addition, nothing contained in this Agreement or your Continuing Obligations limits your ability to communicate with or respond accurately and fully to any question, inquiry or request for information from any Government Agency or otherwise participate in any civil, criminal or regulatory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in this Agreement limits any right you may have to receive a whistleblower award or bounty for information provided to the Securities and Exchange Commission.</w:t>
      </w:r>
    </w:p>
    <w:p>
      <w:pPr>
        <w:spacing w:after="0" w:line="170" w:lineRule="exact"/>
        <w:rPr>
          <w:rFonts w:ascii="Arial" w:cs="Arial" w:eastAsia="Arial" w:hAnsi="Arial"/>
          <w:sz w:val="18"/>
          <w:szCs w:val="18"/>
          <w:color w:val="auto"/>
        </w:rPr>
      </w:pPr>
    </w:p>
    <w:p>
      <w:pPr>
        <w:ind w:left="1" w:firstLine="648"/>
        <w:spacing w:after="0" w:line="260" w:lineRule="auto"/>
        <w:tabs>
          <w:tab w:leader="none" w:pos="1420"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Absence of Reliance</w:t>
      </w:r>
      <w:r>
        <w:rPr>
          <w:rFonts w:ascii="Arial" w:cs="Arial" w:eastAsia="Arial" w:hAnsi="Arial"/>
          <w:sz w:val="20"/>
          <w:szCs w:val="20"/>
          <w:color w:val="auto"/>
        </w:rPr>
        <w:t>. In signing this Agreement, you are not relying upon any promises or representations made by anyone at or on behalf of the Company.</w:t>
      </w:r>
    </w:p>
    <w:p>
      <w:pPr>
        <w:spacing w:after="0" w:line="176" w:lineRule="exact"/>
        <w:rPr>
          <w:rFonts w:ascii="Arial" w:cs="Arial" w:eastAsia="Arial" w:hAnsi="Arial"/>
          <w:sz w:val="20"/>
          <w:szCs w:val="20"/>
          <w:color w:val="auto"/>
        </w:rPr>
      </w:pPr>
    </w:p>
    <w:p>
      <w:pPr>
        <w:jc w:val="both"/>
        <w:ind w:left="1" w:firstLine="648"/>
        <w:spacing w:after="0" w:line="282" w:lineRule="auto"/>
        <w:tabs>
          <w:tab w:leader="none" w:pos="142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593725</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and provision of this Agreement shall be valid and enforceable to the fullest extent permitted by law.</w:t>
      </w:r>
    </w:p>
    <w:p>
      <w:pPr>
        <w:spacing w:after="0" w:line="216" w:lineRule="exact"/>
        <w:rPr>
          <w:sz w:val="20"/>
          <w:szCs w:val="20"/>
          <w:color w:val="auto"/>
        </w:rPr>
      </w:pPr>
    </w:p>
    <w:p>
      <w:pPr>
        <w:jc w:val="both"/>
        <w:ind w:firstLine="648"/>
        <w:spacing w:after="0" w:line="244" w:lineRule="auto"/>
        <w:tabs>
          <w:tab w:leader="none" w:pos="1291"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Waiver; Modification</w:t>
      </w:r>
      <w:r>
        <w:rPr>
          <w:rFonts w:ascii="Arial" w:cs="Arial" w:eastAsia="Arial" w:hAnsi="Arial"/>
          <w:sz w:val="20"/>
          <w:szCs w:val="20"/>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 The terms of this Agreement may only be amended with the prior written consent of both parties.</w:t>
      </w:r>
    </w:p>
    <w:p>
      <w:pPr>
        <w:spacing w:after="0" w:line="194" w:lineRule="exact"/>
        <w:rPr>
          <w:rFonts w:ascii="Arial" w:cs="Arial" w:eastAsia="Arial" w:hAnsi="Arial"/>
          <w:sz w:val="20"/>
          <w:szCs w:val="20"/>
          <w:color w:val="auto"/>
        </w:rPr>
      </w:pPr>
    </w:p>
    <w:p>
      <w:pPr>
        <w:jc w:val="both"/>
        <w:ind w:firstLine="648"/>
        <w:spacing w:after="0" w:line="243" w:lineRule="auto"/>
        <w:tabs>
          <w:tab w:leader="none" w:pos="140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Jurisdiction</w:t>
      </w:r>
      <w:r>
        <w:rPr>
          <w:rFonts w:ascii="Arial" w:cs="Arial" w:eastAsia="Arial" w:hAnsi="Arial"/>
          <w:sz w:val="20"/>
          <w:szCs w:val="20"/>
          <w:color w:val="auto"/>
        </w:rPr>
        <w:t>. You and the Company hereby agree that the state and federal courts situated in San Francisco, California shall have the exclusive jurisdiction to consider any matters related to this Agreement, including without limitation any claim of a violation of this Agreement. With respect to any such court action, you and the Company agree to submit to the jurisdiction of such courts and consent that venue in such courts is proper. In the event of any dispute arising out of, or relating to, this Agreement, the parties agree to submit any differences to nonbinding mediation prior to pursuing resolution through the courts.</w:t>
      </w:r>
    </w:p>
    <w:p>
      <w:pPr>
        <w:spacing w:after="0" w:line="196" w:lineRule="exact"/>
        <w:rPr>
          <w:rFonts w:ascii="Arial" w:cs="Arial" w:eastAsia="Arial" w:hAnsi="Arial"/>
          <w:sz w:val="20"/>
          <w:szCs w:val="20"/>
          <w:color w:val="auto"/>
        </w:rPr>
      </w:pPr>
    </w:p>
    <w:p>
      <w:pPr>
        <w:jc w:val="both"/>
        <w:ind w:firstLine="648"/>
        <w:spacing w:after="0" w:line="243" w:lineRule="auto"/>
        <w:tabs>
          <w:tab w:leader="none" w:pos="144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Relief</w:t>
      </w:r>
      <w:r>
        <w:rPr>
          <w:rFonts w:ascii="Arial" w:cs="Arial" w:eastAsia="Arial" w:hAnsi="Arial"/>
          <w:sz w:val="20"/>
          <w:szCs w:val="20"/>
          <w:color w:val="auto"/>
        </w:rPr>
        <w:t>. You agree that it would be difficult to measure any harm caused to the Company that might result from any breach by you of your Continuing Obligations or the promises set forth in Section 4 of this Agreement. You further agree that money damages would be an inadequate remedy for any breach of Sections 4, Section 5 or Section 6. Accordingly, you agree that if you breach, or propose to breach, any of your Continuing Obligations, Section 4, Section 5 or Section 6,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93" w:lineRule="exact"/>
        <w:rPr>
          <w:rFonts w:ascii="Arial" w:cs="Arial" w:eastAsia="Arial" w:hAnsi="Arial"/>
          <w:sz w:val="20"/>
          <w:szCs w:val="20"/>
          <w:color w:val="auto"/>
        </w:rPr>
      </w:pPr>
    </w:p>
    <w:p>
      <w:pPr>
        <w:jc w:val="both"/>
        <w:ind w:firstLine="648"/>
        <w:spacing w:after="0" w:line="263" w:lineRule="auto"/>
        <w:tabs>
          <w:tab w:leader="none" w:pos="135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Governing Law; Interpretation</w:t>
      </w:r>
      <w:r>
        <w:rPr>
          <w:rFonts w:ascii="Arial" w:cs="Arial" w:eastAsia="Arial" w:hAnsi="Arial"/>
          <w:sz w:val="19"/>
          <w:szCs w:val="19"/>
          <w:color w:val="auto"/>
        </w:rPr>
        <w:t>. This Agreement shall be interpreted and enforced under the laws of the State of California,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76" w:lineRule="exact"/>
        <w:rPr>
          <w:rFonts w:ascii="Arial" w:cs="Arial" w:eastAsia="Arial" w:hAnsi="Arial"/>
          <w:sz w:val="19"/>
          <w:szCs w:val="19"/>
          <w:color w:val="auto"/>
        </w:rPr>
      </w:pPr>
    </w:p>
    <w:p>
      <w:pPr>
        <w:jc w:val="both"/>
        <w:ind w:firstLine="648"/>
        <w:spacing w:after="0" w:line="244" w:lineRule="auto"/>
        <w:tabs>
          <w:tab w:leader="none" w:pos="138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exhibits attached hereto constitute the entire agreement between you and the Company. This Agreement supersedes any previous agreements or understandings between you and the Company, except the Continuing Obligations, the Company’s applicable stock incentive plans and your Equity Award agreements (as such documents may be amended by Sections 2(b) and 2(c) above), and any other obligations specifically preserved in this Agreement.</w:t>
      </w:r>
    </w:p>
    <w:p>
      <w:pPr>
        <w:spacing w:after="0" w:line="194" w:lineRule="exact"/>
        <w:rPr>
          <w:rFonts w:ascii="Arial" w:cs="Arial" w:eastAsia="Arial" w:hAnsi="Arial"/>
          <w:sz w:val="20"/>
          <w:szCs w:val="20"/>
          <w:color w:val="auto"/>
        </w:rPr>
      </w:pPr>
    </w:p>
    <w:p>
      <w:pPr>
        <w:jc w:val="both"/>
        <w:ind w:firstLine="648"/>
        <w:spacing w:after="0" w:line="263" w:lineRule="auto"/>
        <w:tabs>
          <w:tab w:leader="none" w:pos="139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Time for Consideration; Effective Date</w:t>
      </w:r>
      <w:r>
        <w:rPr>
          <w:rFonts w:ascii="Arial" w:cs="Arial" w:eastAsia="Arial" w:hAnsi="Arial"/>
          <w:sz w:val="19"/>
          <w:szCs w:val="19"/>
          <w:color w:val="auto"/>
        </w:rPr>
        <w:t>. You acknowledge that you have knowingly and voluntarily entered into this Agreement and that the Company advises you to consult with an attorney before signing this Agreement. You understand and acknowledge that you have been given the opportunity to consider this Agreement for twenty-one (21) days from your receipt of this Agreement before signing it (the “</w:t>
      </w:r>
      <w:r>
        <w:rPr>
          <w:rFonts w:ascii="Arial" w:cs="Arial" w:eastAsia="Arial" w:hAnsi="Arial"/>
          <w:sz w:val="19"/>
          <w:szCs w:val="19"/>
          <w:u w:val="single" w:color="auto"/>
          <w:color w:val="auto"/>
        </w:rPr>
        <w:t>Consideration Period</w:t>
      </w:r>
      <w:r>
        <w:rPr>
          <w:rFonts w:ascii="Arial" w:cs="Arial" w:eastAsia="Arial" w:hAnsi="Arial"/>
          <w:sz w:val="19"/>
          <w:szCs w:val="19"/>
          <w:color w:val="auto"/>
        </w:rPr>
        <w:t>”). To accept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5" w:name="page76"/>
    <w:bookmarkEnd w:id="75"/>
    <w:p>
      <w:pPr>
        <w:ind w:left="1"/>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332" w:lineRule="exact"/>
        <w:rPr>
          <w:sz w:val="20"/>
          <w:szCs w:val="20"/>
          <w:color w:val="auto"/>
        </w:rPr>
      </w:pPr>
    </w:p>
    <w:p>
      <w:pPr>
        <w:jc w:val="both"/>
        <w:ind w:left="1"/>
        <w:spacing w:after="0" w:line="302" w:lineRule="auto"/>
        <w:rPr>
          <w:sz w:val="20"/>
          <w:szCs w:val="20"/>
          <w:color w:val="auto"/>
        </w:rPr>
      </w:pPr>
      <w:r>
        <w:rPr>
          <w:rFonts w:ascii="Arial" w:cs="Arial" w:eastAsia="Arial" w:hAnsi="Arial"/>
          <w:sz w:val="16"/>
          <w:szCs w:val="16"/>
          <w:color w:val="auto"/>
        </w:rPr>
        <w:t>Agreement, you must return a signed original, DocuSign or a signed PDF copy of this Agreement so that it is received by Elizabeth Lacy (</w:t>
      </w:r>
      <w:r>
        <w:rPr>
          <w:rFonts w:ascii="Arial" w:cs="Arial" w:eastAsia="Arial" w:hAnsi="Arial"/>
          <w:sz w:val="16"/>
          <w:szCs w:val="16"/>
          <w:u w:val="single" w:color="auto"/>
          <w:color w:val="auto"/>
        </w:rPr>
        <w:t>elizabeth@assemblybio.com</w:t>
      </w:r>
      <w:r>
        <w:rPr>
          <w:rFonts w:ascii="Arial" w:cs="Arial" w:eastAsia="Arial" w:hAnsi="Arial"/>
          <w:sz w:val="16"/>
          <w:szCs w:val="16"/>
          <w:color w:val="auto"/>
        </w:rPr>
        <w:t>)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days from the date when the Company receives the signed Agreement as provided above, you have the right to revoke this Agreement by written notice to Ms. Lacy, provided that such notice is delivered so that it is received at or before the expiration of the seven</w:t>
      </w:r>
    </w:p>
    <w:p>
      <w:pPr>
        <w:spacing w:after="0" w:line="4" w:lineRule="exact"/>
        <w:rPr>
          <w:sz w:val="20"/>
          <w:szCs w:val="20"/>
          <w:color w:val="auto"/>
        </w:rPr>
      </w:pPr>
    </w:p>
    <w:p>
      <w:pPr>
        <w:jc w:val="both"/>
        <w:ind w:left="1" w:hanging="1"/>
        <w:spacing w:after="0" w:line="241" w:lineRule="auto"/>
        <w:tabs>
          <w:tab w:leader="none" w:pos="31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day revocation period. This Agreement shall not become effective or enforceable during the revocation period. This Agreement shall become effective on the first business day following the expiration of the revocation period (the “</w:t>
      </w:r>
      <w:r>
        <w:rPr>
          <w:rFonts w:ascii="Arial" w:cs="Arial" w:eastAsia="Arial" w:hAnsi="Arial"/>
          <w:sz w:val="20"/>
          <w:szCs w:val="20"/>
          <w:u w:val="single" w:color="auto"/>
          <w:color w:val="auto"/>
        </w:rPr>
        <w:t>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left="1" w:firstLine="648"/>
        <w:spacing w:after="0" w:line="263" w:lineRule="auto"/>
        <w:tabs>
          <w:tab w:leader="none" w:pos="1371"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628015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Uri A. Lopatin,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3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Please indicate your agreement to the terms of this Agreement by signing and returning to the Company’s General Counsel the original or a PDF copy of this letter within the time period set forth above.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ASSEMBLY BIOSCIENCES,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80" w:type="dxa"/>
            <w:vAlign w:val="bottom"/>
            <w:gridSpan w:val="3"/>
          </w:tcPr>
          <w:p>
            <w:pPr>
              <w:spacing w:after="0"/>
              <w:rPr>
                <w:sz w:val="20"/>
                <w:szCs w:val="20"/>
                <w:color w:val="auto"/>
              </w:rPr>
            </w:pPr>
            <w:r>
              <w:rPr>
                <w:rFonts w:ascii="Arial" w:cs="Arial" w:eastAsia="Arial" w:hAnsi="Arial"/>
                <w:sz w:val="20"/>
                <w:szCs w:val="20"/>
                <w:color w:val="auto"/>
              </w:rPr>
              <w:t>By:  /s/ Derek A. Small</w:t>
            </w:r>
          </w:p>
        </w:tc>
        <w:tc>
          <w:tcPr>
            <w:tcW w:w="4880" w:type="dxa"/>
            <w:vAlign w:val="bottom"/>
          </w:tcPr>
          <w:p>
            <w:pPr>
              <w:spacing w:after="0"/>
              <w:rPr>
                <w:sz w:val="20"/>
                <w:szCs w:val="20"/>
                <w:color w:val="auto"/>
              </w:rPr>
            </w:pPr>
            <w:r>
              <w:rPr>
                <w:rFonts w:ascii="Arial" w:cs="Arial" w:eastAsia="Arial" w:hAnsi="Arial"/>
                <w:sz w:val="20"/>
                <w:szCs w:val="20"/>
                <w:color w:val="auto"/>
              </w:rPr>
              <w:t>May 6, 2019</w:t>
            </w:r>
          </w:p>
        </w:tc>
      </w:tr>
      <w:tr>
        <w:trPr>
          <w:trHeight w:val="206"/>
        </w:trPr>
        <w:tc>
          <w:tcPr>
            <w:tcW w:w="440" w:type="dxa"/>
            <w:vAlign w:val="bottom"/>
          </w:tcPr>
          <w:p>
            <w:pPr>
              <w:spacing w:after="0"/>
              <w:rPr>
                <w:sz w:val="17"/>
                <w:szCs w:val="17"/>
                <w:color w:val="auto"/>
              </w:rPr>
            </w:pPr>
          </w:p>
        </w:tc>
        <w:tc>
          <w:tcPr>
            <w:tcW w:w="41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Derek A. Small</w:t>
            </w:r>
          </w:p>
        </w:tc>
        <w:tc>
          <w:tcPr>
            <w:tcW w:w="580" w:type="dxa"/>
            <w:vAlign w:val="bottom"/>
          </w:tcPr>
          <w:p>
            <w:pPr>
              <w:spacing w:after="0"/>
              <w:rPr>
                <w:sz w:val="17"/>
                <w:szCs w:val="17"/>
                <w:color w:val="auto"/>
              </w:rPr>
            </w:pPr>
          </w:p>
        </w:tc>
        <w:tc>
          <w:tcPr>
            <w:tcW w:w="48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Date</w:t>
            </w:r>
          </w:p>
        </w:tc>
      </w:tr>
      <w:tr>
        <w:trPr>
          <w:trHeight w:val="250"/>
        </w:trPr>
        <w:tc>
          <w:tcPr>
            <w:tcW w:w="5180" w:type="dxa"/>
            <w:vAlign w:val="bottom"/>
            <w:gridSpan w:val="3"/>
          </w:tcPr>
          <w:p>
            <w:pPr>
              <w:ind w:left="440"/>
              <w:spacing w:after="0"/>
              <w:rPr>
                <w:sz w:val="20"/>
                <w:szCs w:val="20"/>
                <w:color w:val="auto"/>
              </w:rPr>
            </w:pPr>
            <w:r>
              <w:rPr>
                <w:rFonts w:ascii="Arial" w:cs="Arial" w:eastAsia="Arial" w:hAnsi="Arial"/>
                <w:sz w:val="20"/>
                <w:szCs w:val="20"/>
                <w:color w:val="auto"/>
              </w:rPr>
              <w:t>Chief Executive Officer and President</w:t>
            </w:r>
          </w:p>
        </w:tc>
        <w:tc>
          <w:tcPr>
            <w:tcW w:w="4880" w:type="dxa"/>
            <w:vAlign w:val="bottom"/>
          </w:tcPr>
          <w:p>
            <w:pPr>
              <w:spacing w:after="0"/>
              <w:rPr>
                <w:sz w:val="21"/>
                <w:szCs w:val="21"/>
                <w:color w:val="auto"/>
              </w:rPr>
            </w:pPr>
          </w:p>
        </w:tc>
      </w:tr>
    </w:tbl>
    <w:p>
      <w:pPr>
        <w:spacing w:after="0" w:line="31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80" w:type="dxa"/>
            <w:vAlign w:val="bottom"/>
            <w:gridSpan w:val="2"/>
          </w:tcPr>
          <w:p>
            <w:pPr>
              <w:spacing w:after="0"/>
              <w:rPr>
                <w:sz w:val="20"/>
                <w:szCs w:val="20"/>
                <w:color w:val="auto"/>
              </w:rPr>
            </w:pPr>
            <w:r>
              <w:rPr>
                <w:rFonts w:ascii="Arial" w:cs="Arial" w:eastAsia="Arial" w:hAnsi="Arial"/>
                <w:sz w:val="20"/>
                <w:szCs w:val="20"/>
                <w:color w:val="auto"/>
              </w:rPr>
              <w:t>/s/ Uri A. Lopatin, M.D.</w:t>
            </w:r>
          </w:p>
        </w:tc>
        <w:tc>
          <w:tcPr>
            <w:tcW w:w="4880" w:type="dxa"/>
            <w:vAlign w:val="bottom"/>
          </w:tcPr>
          <w:p>
            <w:pPr>
              <w:spacing w:after="0"/>
              <w:rPr>
                <w:sz w:val="20"/>
                <w:szCs w:val="20"/>
                <w:color w:val="auto"/>
              </w:rPr>
            </w:pPr>
            <w:r>
              <w:rPr>
                <w:rFonts w:ascii="Arial" w:cs="Arial" w:eastAsia="Arial" w:hAnsi="Arial"/>
                <w:sz w:val="20"/>
                <w:szCs w:val="20"/>
                <w:color w:val="auto"/>
              </w:rPr>
              <w:t>May 6, 2019</w:t>
            </w:r>
          </w:p>
        </w:tc>
      </w:tr>
      <w:tr>
        <w:trPr>
          <w:trHeight w:val="244"/>
        </w:trPr>
        <w:tc>
          <w:tcPr>
            <w:tcW w:w="48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Uri A. Lopatin, M.D.</w:t>
            </w:r>
          </w:p>
        </w:tc>
        <w:tc>
          <w:tcPr>
            <w:tcW w:w="300" w:type="dxa"/>
            <w:vAlign w:val="bottom"/>
          </w:tcPr>
          <w:p>
            <w:pPr>
              <w:spacing w:after="0"/>
              <w:rPr>
                <w:sz w:val="21"/>
                <w:szCs w:val="21"/>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Date</w:t>
            </w:r>
          </w:p>
        </w:tc>
      </w:tr>
      <w:tr>
        <w:trPr>
          <w:trHeight w:val="1404"/>
        </w:trPr>
        <w:tc>
          <w:tcPr>
            <w:tcW w:w="4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5" w:right="919" w:bottom="1440" w:gutter="0" w:footer="0" w:header="0"/>
        </w:sectPr>
      </w:pPr>
    </w:p>
    <w:bookmarkStart w:id="77" w:name="page78"/>
    <w:bookmarkEnd w:id="77"/>
    <w:p>
      <w:pPr>
        <w:jc w:val="right"/>
        <w:ind w:right="3139"/>
        <w:spacing w:after="0"/>
        <w:rPr>
          <w:sz w:val="20"/>
          <w:szCs w:val="20"/>
          <w:color w:val="auto"/>
        </w:rPr>
      </w:pPr>
      <w:r>
        <w:rPr>
          <w:rFonts w:ascii="Arial" w:cs="Arial" w:eastAsia="Arial" w:hAnsi="Arial"/>
          <w:sz w:val="20"/>
          <w:szCs w:val="20"/>
          <w:color w:val="auto"/>
        </w:rPr>
        <w:t>EXHIBIT A –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773430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39"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229235</wp:posOffset>
            </wp:positionV>
            <wp:extent cx="6397625"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397625" cy="377190"/>
                    </a:xfrm>
                    <a:prstGeom prst="rect">
                      <a:avLst/>
                    </a:prstGeom>
                    <a:noFill/>
                  </pic:spPr>
                </pic:pic>
              </a:graphicData>
            </a:graphic>
          </wp:anchor>
        </w:drawing>
      </w:r>
    </w:p>
    <w:p>
      <w:pPr>
        <w:spacing w:after="0" w:line="392" w:lineRule="exact"/>
        <w:rPr>
          <w:sz w:val="20"/>
          <w:szCs w:val="20"/>
          <w:color w:val="auto"/>
        </w:rPr>
      </w:pPr>
    </w:p>
    <w:p>
      <w:pPr>
        <w:ind w:left="401" w:right="60" w:hanging="320"/>
        <w:spacing w:after="0" w:line="260" w:lineRule="auto"/>
        <w:tabs>
          <w:tab w:leader="none" w:pos="436"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Certain information in this exhibit has been excluded because it constitutes personal information which, if disclosed, would constitute a clearly unwarranted invasion of privacy.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216"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color w:val="auto"/>
        </w:rPr>
        <w:t>Consulting Agreement</w:t>
      </w:r>
      <w:r>
        <w:rPr>
          <w:rFonts w:ascii="Arial" w:cs="Arial" w:eastAsia="Arial" w:hAnsi="Arial"/>
          <w:sz w:val="18"/>
          <w:szCs w:val="18"/>
          <w:color w:val="auto"/>
        </w:rPr>
        <w:t>”) is executed as of May 6, 2019 to be effective as of May 7,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Assembly Biosciences, Inc., a Delaware corporation with its principal place of business at 11711 N. Meridian Street, Suite 301, Carmel, IN 46032 (the “</w:t>
      </w:r>
      <w:r>
        <w:rPr>
          <w:rFonts w:ascii="Arial" w:cs="Arial" w:eastAsia="Arial" w:hAnsi="Arial"/>
          <w:sz w:val="18"/>
          <w:szCs w:val="18"/>
          <w:b w:val="1"/>
          <w:bCs w:val="1"/>
          <w:color w:val="auto"/>
        </w:rPr>
        <w:t>Company</w:t>
      </w:r>
      <w:r>
        <w:rPr>
          <w:rFonts w:ascii="Arial" w:cs="Arial" w:eastAsia="Arial" w:hAnsi="Arial"/>
          <w:sz w:val="18"/>
          <w:szCs w:val="18"/>
          <w:color w:val="auto"/>
        </w:rPr>
        <w:t>”), and Uri A. Lopatin residing at</w:t>
      </w:r>
    </w:p>
    <w:p>
      <w:pPr>
        <w:spacing w:after="0" w:line="2" w:lineRule="exact"/>
        <w:rPr>
          <w:sz w:val="20"/>
          <w:szCs w:val="20"/>
          <w:color w:val="auto"/>
        </w:rPr>
      </w:pPr>
    </w:p>
    <w:p>
      <w:pPr>
        <w:jc w:val="both"/>
        <w:ind w:left="1" w:hanging="1"/>
        <w:spacing w:after="0" w:line="241" w:lineRule="auto"/>
        <w:tabs>
          <w:tab w:leader="none" w:pos="486"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Consultant</w:t>
      </w:r>
      <w:r>
        <w:rPr>
          <w:rFonts w:ascii="Arial" w:cs="Arial" w:eastAsia="Arial" w:hAnsi="Arial"/>
          <w:sz w:val="20"/>
          <w:szCs w:val="20"/>
          <w:color w:val="auto"/>
        </w:rPr>
        <w:t>”). This Consulting Agreement is being entered into by the parties pursuant to that certain Separation Agreement and General Release of Claims dated 6, 2019 (the “</w:t>
      </w:r>
      <w:r>
        <w:rPr>
          <w:rFonts w:ascii="Arial" w:cs="Arial" w:eastAsia="Arial" w:hAnsi="Arial"/>
          <w:sz w:val="20"/>
          <w:szCs w:val="20"/>
          <w:b w:val="1"/>
          <w:bCs w:val="1"/>
          <w:color w:val="auto"/>
        </w:rPr>
        <w:t>Separation Agreement</w:t>
      </w:r>
      <w:r>
        <w:rPr>
          <w:rFonts w:ascii="Arial" w:cs="Arial" w:eastAsia="Arial" w:hAnsi="Arial"/>
          <w:sz w:val="20"/>
          <w:szCs w:val="20"/>
          <w:color w:val="auto"/>
        </w:rPr>
        <w:t>”) and is Exhibit B to such Separation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21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WHEREAS, Company desires to engage Consultant to serve as interim acting chief medical officer for the Company, clinical and scientific support for the Company’s on-going hepatitis B virus clinical trials and provide clinical and scientific advisory services on an independent contractor basis as outlined below, and Consultant wishes to provide such services to Company; and</w:t>
      </w:r>
    </w:p>
    <w:p>
      <w:pPr>
        <w:spacing w:after="0" w:line="192"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WHEREAS, Company and Consultant desire to establish and document the terms and conditions of such consulting relationship between them.</w:t>
      </w:r>
    </w:p>
    <w:p>
      <w:pPr>
        <w:spacing w:after="0" w:line="17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NOW, THEREFORE, in consideration of the mutual promises and obligations of the parties set forth herein and for other good and valuable consideration, the receipt and legal sufficiency of which are hereby acknowledged, the parties agree as follows:</w:t>
      </w:r>
    </w:p>
    <w:p>
      <w:pPr>
        <w:spacing w:after="0" w:line="180" w:lineRule="exact"/>
        <w:rPr>
          <w:sz w:val="20"/>
          <w:szCs w:val="20"/>
          <w:color w:val="auto"/>
        </w:rPr>
      </w:pPr>
    </w:p>
    <w:p>
      <w:pPr>
        <w:jc w:val="both"/>
        <w:ind w:left="1" w:hanging="1"/>
        <w:spacing w:after="0" w:line="270" w:lineRule="auto"/>
        <w:tabs>
          <w:tab w:leader="none" w:pos="67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Consultant; Services. </w:t>
      </w:r>
      <w:r>
        <w:rPr>
          <w:rFonts w:ascii="Arial" w:cs="Arial" w:eastAsia="Arial" w:hAnsi="Arial"/>
          <w:sz w:val="18"/>
          <w:szCs w:val="18"/>
          <w:color w:val="auto"/>
        </w:rPr>
        <w:t>Company appoints Consultant and Consultant hereby accepts appointment as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to the Company. In this capacity, (a) during the Initial Consulting Period (defined below) Consultant shall serve as interim acting chief medical officer for the Company and perform such duties as are consistent with such a position, including oversight for the Company’s medical personnel and contractors working on the Company’s hepatitis B virus clinical trials, and other projects as may be requested from time to time by the Chief Executive Officer of the Company, and agreed to by Consultant, including providing an orderly transition of Consultant’s clinical operations to appropriate personnel of the Company and, (b) following the Initial Consulting Period Consultant shall provide scientific advisory services as requested by the Chief Executive Officer of the Company, and agreed to by Consultant and continue to provide orderly transition of Consultant’s clinical operations to appropriate personnel of the Company, as requested (the “</w:t>
      </w:r>
      <w:r>
        <w:rPr>
          <w:rFonts w:ascii="Arial" w:cs="Arial" w:eastAsia="Arial" w:hAnsi="Arial"/>
          <w:sz w:val="18"/>
          <w:szCs w:val="18"/>
          <w:b w:val="1"/>
          <w:bCs w:val="1"/>
          <w:color w:val="auto"/>
        </w:rPr>
        <w:t>Services</w:t>
      </w:r>
      <w:r>
        <w:rPr>
          <w:rFonts w:ascii="Arial" w:cs="Arial" w:eastAsia="Arial" w:hAnsi="Arial"/>
          <w:sz w:val="18"/>
          <w:szCs w:val="18"/>
          <w:color w:val="auto"/>
        </w:rPr>
        <w:t>”). Consultant and Company shall work together to delineate the scope of each project and the timeline and deliverables related thereto. From the Effective Date through July 31, 2019 (the “</w:t>
      </w:r>
      <w:r>
        <w:rPr>
          <w:rFonts w:ascii="Arial" w:cs="Arial" w:eastAsia="Arial" w:hAnsi="Arial"/>
          <w:sz w:val="18"/>
          <w:szCs w:val="18"/>
          <w:b w:val="1"/>
          <w:bCs w:val="1"/>
          <w:color w:val="auto"/>
        </w:rPr>
        <w:t>Initial Consulting Period”)</w:t>
      </w:r>
      <w:r>
        <w:rPr>
          <w:rFonts w:ascii="Arial" w:cs="Arial" w:eastAsia="Arial" w:hAnsi="Arial"/>
          <w:sz w:val="18"/>
          <w:szCs w:val="18"/>
          <w:color w:val="auto"/>
        </w:rPr>
        <w:t>, Consultant is expected to work up to 30 hours per week in the performance of the Services, and after the Initial Consulting Period, it is anticipated that Consultant will work no more than 10 hours per week for the Company. Consultant and Company acknowledge that Service hours may vary from month to month. In the event Consultant anticipates that in the reasonable performance of his Services to Company in a given month Consultant will exceed the anticipated monthly Service level, Consultant shall notify the Chief Executive Officer of the Company in writing and obtain written authorization to exceed the anticipated Serve level.</w:t>
      </w:r>
    </w:p>
    <w:p>
      <w:pPr>
        <w:spacing w:after="0" w:line="163" w:lineRule="exact"/>
        <w:rPr>
          <w:rFonts w:ascii="Arial" w:cs="Arial" w:eastAsia="Arial" w:hAnsi="Arial"/>
          <w:sz w:val="18"/>
          <w:szCs w:val="18"/>
          <w:b w:val="1"/>
          <w:bCs w:val="1"/>
          <w:color w:val="auto"/>
        </w:rPr>
      </w:pPr>
    </w:p>
    <w:p>
      <w:pPr>
        <w:jc w:val="both"/>
        <w:ind w:left="1" w:hanging="1"/>
        <w:spacing w:after="0" w:line="260" w:lineRule="auto"/>
        <w:tabs>
          <w:tab w:leader="none" w:pos="641"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Termination. </w:t>
      </w:r>
      <w:r>
        <w:rPr>
          <w:rFonts w:ascii="Arial" w:cs="Arial" w:eastAsia="Arial" w:hAnsi="Arial"/>
          <w:sz w:val="19"/>
          <w:szCs w:val="19"/>
          <w:color w:val="auto"/>
        </w:rPr>
        <w:t>Upon the Separation Agreement becoming effective, this Consulting Agreement will be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Effective Date and will continue in effect until and through December 31, 2020 (the “</w:t>
      </w:r>
      <w:r>
        <w:rPr>
          <w:rFonts w:ascii="Arial" w:cs="Arial" w:eastAsia="Arial" w:hAnsi="Arial"/>
          <w:sz w:val="19"/>
          <w:szCs w:val="19"/>
          <w:b w:val="1"/>
          <w:bCs w:val="1"/>
          <w:color w:val="auto"/>
        </w:rPr>
        <w:t>Term</w:t>
      </w:r>
      <w:r>
        <w:rPr>
          <w:rFonts w:ascii="Arial" w:cs="Arial" w:eastAsia="Arial" w:hAnsi="Arial"/>
          <w:sz w:val="19"/>
          <w:szCs w:val="19"/>
          <w:color w:val="auto"/>
        </w:rPr>
        <w:t>”). This Consulting Agreement may be terminated at any time by either party, with or without Cause (as defined below), and without prejudice to any right or remedy a party may have due to any failure of the other party to perform their obligations under this Consulting Agreement, upon ninety (90) days written notice to the other party. The Company may, in addition to any other rights it may have at law or in equity, terminate this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879475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5" w:right="919" w:bottom="1440" w:gutter="0" w:footer="0" w:header="0"/>
        </w:sectPr>
      </w:pPr>
    </w:p>
    <w:bookmarkStart w:id="79" w:name="page80"/>
    <w:bookmarkEnd w:id="79"/>
    <w:p>
      <w:pPr>
        <w:jc w:val="both"/>
        <w:ind w:left="1"/>
        <w:spacing w:after="0" w:line="245" w:lineRule="auto"/>
        <w:rPr>
          <w:sz w:val="20"/>
          <w:szCs w:val="20"/>
          <w:color w:val="auto"/>
        </w:rPr>
      </w:pPr>
      <w:r>
        <w:rPr>
          <w:rFonts w:ascii="Arial" w:cs="Arial" w:eastAsia="Arial" w:hAnsi="Arial"/>
          <w:sz w:val="20"/>
          <w:szCs w:val="20"/>
          <w:color w:val="auto"/>
        </w:rPr>
        <w:t>immediately and without prior notice for Cause or if Consultant refuses to or is unable to perform the Services, including by reason of death or disability (as determined reasonably and in good faith by the Company’s Chief Executive Officer) or if Consultant is in breach of any material provision of this Consulting Agreement or the Separation Agreement and fails to cure such breach (to the extent capable of being cured) within thirty (30) days after receipt of written notice describing in detail Consultant’s claimed breach.</w:t>
      </w:r>
    </w:p>
    <w:p>
      <w:pPr>
        <w:spacing w:after="0" w:line="185" w:lineRule="exact"/>
        <w:rPr>
          <w:sz w:val="20"/>
          <w:szCs w:val="20"/>
          <w:color w:val="auto"/>
        </w:rPr>
      </w:pPr>
    </w:p>
    <w:p>
      <w:pPr>
        <w:jc w:val="both"/>
        <w:ind w:left="1" w:hanging="1"/>
        <w:spacing w:after="0" w:line="258" w:lineRule="auto"/>
        <w:tabs>
          <w:tab w:leader="none" w:pos="655"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Duties of Consultant</w:t>
      </w:r>
      <w:r>
        <w:rPr>
          <w:rFonts w:ascii="Arial" w:cs="Arial" w:eastAsia="Arial" w:hAnsi="Arial"/>
          <w:sz w:val="19"/>
          <w:szCs w:val="19"/>
          <w:color w:val="auto"/>
        </w:rPr>
        <w:t>. Consultant will at all times retain sole and absolute discretion and judgment in the manner and</w:t>
      </w:r>
      <w:r>
        <w:rPr>
          <w:rFonts w:ascii="Arial" w:cs="Arial" w:eastAsia="Arial" w:hAnsi="Arial"/>
          <w:sz w:val="19"/>
          <w:szCs w:val="19"/>
          <w:b w:val="1"/>
          <w:bCs w:val="1"/>
          <w:color w:val="auto"/>
        </w:rPr>
        <w:t xml:space="preserve"> </w:t>
      </w:r>
      <w:r>
        <w:rPr>
          <w:rFonts w:ascii="Arial" w:cs="Arial" w:eastAsia="Arial" w:hAnsi="Arial"/>
          <w:sz w:val="19"/>
          <w:szCs w:val="19"/>
          <w:color w:val="auto"/>
        </w:rPr>
        <w:t>means of carrying out the Services. Consultant shall perform his Services under this Agreement in good faith and in a professional, diligent, competent and timely manner, but Consultant makes no additional warranties, whether express or implied, including any warranty of merchantability, fitness for a particular purpose, suitability, or otherwise. Without limiting the foregoing, Consultant shall provide Services to Company in accordance with generally accepted professional standards as applied to similar projects performed under similar conditions prevailing in the industry at the time such Services are rendered to the Company. Consultant shall not subcontract any portion of Consultant’s duties or obligations under this Consulting Agreement without the prior written consent of the Company.</w:t>
      </w:r>
    </w:p>
    <w:p>
      <w:pPr>
        <w:spacing w:after="0" w:line="173" w:lineRule="exact"/>
        <w:rPr>
          <w:rFonts w:ascii="Arial" w:cs="Arial" w:eastAsia="Arial" w:hAnsi="Arial"/>
          <w:sz w:val="19"/>
          <w:szCs w:val="19"/>
          <w:b w:val="1"/>
          <w:bCs w:val="1"/>
          <w:color w:val="auto"/>
        </w:rPr>
      </w:pPr>
    </w:p>
    <w:p>
      <w:pPr>
        <w:jc w:val="both"/>
        <w:ind w:left="1" w:hanging="1"/>
        <w:spacing w:after="0" w:line="246" w:lineRule="auto"/>
        <w:tabs>
          <w:tab w:leader="none" w:pos="721"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Services for Others. </w:t>
      </w:r>
      <w:r>
        <w:rPr>
          <w:rFonts w:ascii="Arial" w:cs="Arial" w:eastAsia="Arial" w:hAnsi="Arial"/>
          <w:sz w:val="20"/>
          <w:szCs w:val="20"/>
          <w:color w:val="auto"/>
        </w:rPr>
        <w:t>Consultant will be free to perform consulting services for, and enter into employment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relationships with, other persons and entities during the Term. The Services required of Consultant under this Consulting Agreement will not interfere with any other consulting, employment, business or personal obligations of Consultant during the Term. Consultant shall promptly (an in any event within 5 business days) advise Company at such time as Consultant becomes an employee of another Company.</w:t>
      </w:r>
    </w:p>
    <w:p>
      <w:pPr>
        <w:spacing w:after="0" w:line="185" w:lineRule="exact"/>
        <w:rPr>
          <w:rFonts w:ascii="Arial" w:cs="Arial" w:eastAsia="Arial" w:hAnsi="Arial"/>
          <w:sz w:val="20"/>
          <w:szCs w:val="20"/>
          <w:b w:val="1"/>
          <w:bCs w:val="1"/>
          <w:color w:val="auto"/>
        </w:rPr>
      </w:pPr>
    </w:p>
    <w:p>
      <w:pPr>
        <w:jc w:val="both"/>
        <w:ind w:left="1" w:hanging="1"/>
        <w:spacing w:after="0" w:line="269" w:lineRule="auto"/>
        <w:tabs>
          <w:tab w:leader="none" w:pos="98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of Consultant. </w:t>
      </w:r>
      <w:r>
        <w:rPr>
          <w:rFonts w:ascii="Arial" w:cs="Arial" w:eastAsia="Arial" w:hAnsi="Arial"/>
          <w:sz w:val="18"/>
          <w:szCs w:val="18"/>
          <w:color w:val="auto"/>
        </w:rPr>
        <w:t>As compensation for the performance of the Services, the Company will pay</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during the Term a monthly consulting fee as follows: (a) during the Initial Consulting Period, in the amount of Twenty-Six Thousand Dollars and 00/100 ($26,000) per month (pro-rated for portions thereof); and (b) for the remainder of the Term following the Initial Consulting Period, in the amount of Eight Thousand Six Hundred Dollars and xx/100 ($8,600) per month (pro-rated for portion thereof) is owed for Services. In the event Consultants Service hours exceed a month’s aggregate anticipated Service level by more than 10%, then Consultant may assess an additional fee for that month equal to $220/hour for each hour above the anticipated Service level for that month. Travel within the San Francisco Bay Area shall not be deemed consulting time. Requested travel outside of the San Francisco Bay Area will be subject to Consultant approval and be included in time spent on Services and, if resulting in more than a 10% overage, will be subject to a $110 per travel hour fee for actual transit time (not to exceed 8 hours in any one day). Such cash compensation is to be paid to Consultant within thirty (30) days after the completion of a given calendar month or upon receipt of an invoice from Consultant, whichever is later. The invoice shall summarize the work performed and if additional compensation has been earned, the invoice shall set forth the amount of the overage. Overages should be allocated first to travel time and second to Services. As provided in the Separation Agreement, Services under this Agreement shall constitute Continuous Service (as defined in the applicable equity award) under Consultant’s existing equity awards. During the Term of this Agreement, such equity awards shall continue to vest until the cessation of Continuous Service and be subject to forfeiture/expiration in each case in accordance with their terms and the applicable stock incentive plan.</w:t>
      </w:r>
    </w:p>
    <w:p>
      <w:pPr>
        <w:spacing w:after="0" w:line="175" w:lineRule="exact"/>
        <w:rPr>
          <w:rFonts w:ascii="Arial" w:cs="Arial" w:eastAsia="Arial" w:hAnsi="Arial"/>
          <w:sz w:val="18"/>
          <w:szCs w:val="18"/>
          <w:b w:val="1"/>
          <w:bCs w:val="1"/>
          <w:color w:val="auto"/>
        </w:rPr>
      </w:pPr>
    </w:p>
    <w:p>
      <w:pPr>
        <w:jc w:val="both"/>
        <w:ind w:left="1" w:hanging="1"/>
        <w:spacing w:after="0" w:line="262" w:lineRule="auto"/>
        <w:tabs>
          <w:tab w:leader="none" w:pos="685"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Expenses</w:t>
      </w:r>
      <w:r>
        <w:rPr>
          <w:rFonts w:ascii="Arial" w:cs="Arial" w:eastAsia="Arial" w:hAnsi="Arial"/>
          <w:sz w:val="19"/>
          <w:szCs w:val="19"/>
          <w:color w:val="auto"/>
        </w:rPr>
        <w:t>. Consultant shall be reimbursed for any reasonable expenses incurred while performing Services on behalf</w:t>
      </w:r>
      <w:r>
        <w:rPr>
          <w:rFonts w:ascii="Arial" w:cs="Arial" w:eastAsia="Arial" w:hAnsi="Arial"/>
          <w:sz w:val="19"/>
          <w:szCs w:val="19"/>
          <w:b w:val="1"/>
          <w:bCs w:val="1"/>
          <w:color w:val="auto"/>
        </w:rPr>
        <w:t xml:space="preserve"> </w:t>
      </w:r>
      <w:r>
        <w:rPr>
          <w:rFonts w:ascii="Arial" w:cs="Arial" w:eastAsia="Arial" w:hAnsi="Arial"/>
          <w:sz w:val="19"/>
          <w:szCs w:val="19"/>
          <w:color w:val="auto"/>
        </w:rPr>
        <w:t>of Company, including travel (i.e., airfare, meals and lodging), provided such expenses are approved by Company in advance. All air travel on behalf of Company shall be coach class (except for international travel which may be business class in accordance with the Company’s travel policy) unless otherwise mutually agreed by the parties. As a condition to receipt of reimbursement, Consultant shall be required to submit to Company reasonable supporting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80" w:name="page81"/>
    <w:bookmarkEnd w:id="80"/>
    <w:p>
      <w:pPr>
        <w:ind w:left="1"/>
        <w:spacing w:after="0"/>
        <w:rPr>
          <w:sz w:val="20"/>
          <w:szCs w:val="20"/>
          <w:color w:val="auto"/>
        </w:rPr>
      </w:pPr>
      <w:r>
        <w:rPr>
          <w:rFonts w:ascii="Arial" w:cs="Arial" w:eastAsia="Arial" w:hAnsi="Arial"/>
          <w:sz w:val="20"/>
          <w:szCs w:val="20"/>
          <w:color w:val="auto"/>
        </w:rPr>
        <w:t>documentation, consistent with the Company’s ordinary expense reimbursement policies.</w:t>
      </w:r>
    </w:p>
    <w:p>
      <w:pPr>
        <w:spacing w:after="0" w:line="210" w:lineRule="exact"/>
        <w:rPr>
          <w:sz w:val="20"/>
          <w:szCs w:val="20"/>
          <w:color w:val="auto"/>
        </w:rPr>
      </w:pPr>
    </w:p>
    <w:p>
      <w:pPr>
        <w:ind w:left="641" w:hanging="641"/>
        <w:spacing w:after="0"/>
        <w:tabs>
          <w:tab w:leader="none" w:pos="641"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Independent Contractor Status of Consultant.</w:t>
      </w:r>
    </w:p>
    <w:p>
      <w:pPr>
        <w:spacing w:after="0" w:line="221" w:lineRule="exact"/>
        <w:rPr>
          <w:rFonts w:ascii="Arial" w:cs="Arial" w:eastAsia="Arial" w:hAnsi="Arial"/>
          <w:sz w:val="20"/>
          <w:szCs w:val="20"/>
          <w:b w:val="1"/>
          <w:bCs w:val="1"/>
          <w:color w:val="auto"/>
        </w:rPr>
      </w:pPr>
    </w:p>
    <w:p>
      <w:pPr>
        <w:jc w:val="both"/>
        <w:ind w:left="1" w:firstLine="648"/>
        <w:spacing w:after="0" w:line="246" w:lineRule="auto"/>
        <w:tabs>
          <w:tab w:leader="none" w:pos="1411" w:val="left"/>
        </w:tabs>
        <w:numPr>
          <w:ilvl w:val="2"/>
          <w:numId w:val="53"/>
        </w:numPr>
        <w:rPr>
          <w:rFonts w:ascii="Arial" w:cs="Arial" w:eastAsia="Arial" w:hAnsi="Arial"/>
          <w:sz w:val="20"/>
          <w:szCs w:val="20"/>
          <w:b w:val="1"/>
          <w:bCs w:val="1"/>
          <w:color w:val="auto"/>
        </w:rPr>
      </w:pPr>
      <w:r>
        <w:rPr>
          <w:rFonts w:ascii="Arial" w:cs="Arial" w:eastAsia="Arial" w:hAnsi="Arial"/>
          <w:sz w:val="20"/>
          <w:szCs w:val="20"/>
          <w:color w:val="auto"/>
        </w:rPr>
        <w:t>Consultant's legal status is an independent contractor of Company. Nothing in this Consulting Agreement makes Consultant the agent, partner, joint venturer, employee or legal representative of Company for any purpose whatsoever; nor shall Consultant hold himself out as such. Consultant will have no authority to bind Company in any manner or for any purpose.</w:t>
      </w:r>
    </w:p>
    <w:p>
      <w:pPr>
        <w:spacing w:after="0" w:line="191" w:lineRule="exact"/>
        <w:rPr>
          <w:rFonts w:ascii="Arial" w:cs="Arial" w:eastAsia="Arial" w:hAnsi="Arial"/>
          <w:sz w:val="20"/>
          <w:szCs w:val="20"/>
          <w:b w:val="1"/>
          <w:bCs w:val="1"/>
          <w:color w:val="auto"/>
        </w:rPr>
      </w:pPr>
    </w:p>
    <w:p>
      <w:pPr>
        <w:jc w:val="both"/>
        <w:ind w:left="1" w:firstLine="648"/>
        <w:spacing w:after="0" w:line="243" w:lineRule="auto"/>
        <w:tabs>
          <w:tab w:leader="none" w:pos="1395" w:val="left"/>
        </w:tabs>
        <w:numPr>
          <w:ilvl w:val="2"/>
          <w:numId w:val="53"/>
        </w:numPr>
        <w:rPr>
          <w:rFonts w:ascii="Arial" w:cs="Arial" w:eastAsia="Arial" w:hAnsi="Arial"/>
          <w:sz w:val="20"/>
          <w:szCs w:val="20"/>
          <w:b w:val="1"/>
          <w:bCs w:val="1"/>
          <w:color w:val="auto"/>
        </w:rPr>
      </w:pPr>
      <w:r>
        <w:rPr>
          <w:rFonts w:ascii="Arial" w:cs="Arial" w:eastAsia="Arial" w:hAnsi="Arial"/>
          <w:sz w:val="20"/>
          <w:szCs w:val="20"/>
          <w:color w:val="auto"/>
        </w:rPr>
        <w:t>Consultant will not be an employee of Company for any purpose, including for purposes of the Fair Labor Standards Act's minimum wage and overtime provisions, nor any other provision of federal, state, or local law applicable to employees. Further, except for the Health Benefit provided in the Separation Agreement, Consultant understands and agrees that he will not be entitled to any employee benefits that may be made available by the Company to its employees, including but not limited to vacation pay, sick leave, retirement benefits, social security, workers' compensation, health or disability benefits.</w:t>
      </w:r>
    </w:p>
    <w:p>
      <w:pPr>
        <w:spacing w:after="0" w:line="196" w:lineRule="exact"/>
        <w:rPr>
          <w:rFonts w:ascii="Arial" w:cs="Arial" w:eastAsia="Arial" w:hAnsi="Arial"/>
          <w:sz w:val="20"/>
          <w:szCs w:val="20"/>
          <w:b w:val="1"/>
          <w:bCs w:val="1"/>
          <w:color w:val="auto"/>
        </w:rPr>
      </w:pPr>
    </w:p>
    <w:p>
      <w:pPr>
        <w:jc w:val="both"/>
        <w:ind w:left="1" w:firstLine="648"/>
        <w:spacing w:after="0" w:line="244" w:lineRule="auto"/>
        <w:tabs>
          <w:tab w:leader="none" w:pos="1373" w:val="left"/>
        </w:tabs>
        <w:numPr>
          <w:ilvl w:val="2"/>
          <w:numId w:val="53"/>
        </w:numPr>
        <w:rPr>
          <w:rFonts w:ascii="Arial" w:cs="Arial" w:eastAsia="Arial" w:hAnsi="Arial"/>
          <w:sz w:val="20"/>
          <w:szCs w:val="20"/>
          <w:b w:val="1"/>
          <w:bCs w:val="1"/>
          <w:color w:val="auto"/>
        </w:rPr>
      </w:pPr>
      <w:r>
        <w:rPr>
          <w:rFonts w:ascii="Arial" w:cs="Arial" w:eastAsia="Arial" w:hAnsi="Arial"/>
          <w:sz w:val="20"/>
          <w:szCs w:val="20"/>
          <w:color w:val="auto"/>
        </w:rPr>
        <w:t>Consultant acknowledges that he has not relied on any statements or representations by the Company or its attorneys with respect to the tax treatment of any compensation due under this Consulting Agreement. Consultant understands that the Company will not be responsible for withholding or paying any federal or state income, social security or other taxes in connection with any compensation paid under this Consulting Agreement, and Consultant agrees that he is solely responsible for any such tax payments.</w:t>
      </w:r>
    </w:p>
    <w:p>
      <w:pPr>
        <w:spacing w:after="0" w:line="188" w:lineRule="exact"/>
        <w:rPr>
          <w:rFonts w:ascii="Arial" w:cs="Arial" w:eastAsia="Arial" w:hAnsi="Arial"/>
          <w:sz w:val="20"/>
          <w:szCs w:val="20"/>
          <w:b w:val="1"/>
          <w:bCs w:val="1"/>
          <w:color w:val="auto"/>
        </w:rPr>
      </w:pPr>
    </w:p>
    <w:p>
      <w:pPr>
        <w:jc w:val="both"/>
        <w:ind w:left="1" w:firstLine="11"/>
        <w:spacing w:after="0" w:line="243" w:lineRule="auto"/>
        <w:tabs>
          <w:tab w:leader="none" w:pos="655" w:val="left"/>
        </w:tabs>
        <w:numPr>
          <w:ilvl w:val="1"/>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w:t>
      </w:r>
      <w:r>
        <w:rPr>
          <w:rFonts w:ascii="Arial" w:cs="Arial" w:eastAsia="Arial" w:hAnsi="Arial"/>
          <w:sz w:val="20"/>
          <w:szCs w:val="20"/>
          <w:color w:val="auto"/>
        </w:rPr>
        <w:t>Consultant hereby represents and warrants to Company that (a) Consultant is free to enter into this</w:t>
      </w:r>
      <w:r>
        <w:rPr>
          <w:rFonts w:ascii="Arial" w:cs="Arial" w:eastAsia="Arial" w:hAnsi="Arial"/>
          <w:sz w:val="20"/>
          <w:szCs w:val="20"/>
          <w:b w:val="1"/>
          <w:bCs w:val="1"/>
          <w:color w:val="auto"/>
        </w:rPr>
        <w:t xml:space="preserve"> </w:t>
      </w:r>
      <w:r>
        <w:rPr>
          <w:rFonts w:ascii="Arial" w:cs="Arial" w:eastAsia="Arial" w:hAnsi="Arial"/>
          <w:sz w:val="20"/>
          <w:szCs w:val="20"/>
          <w:color w:val="auto"/>
        </w:rPr>
        <w:t>Consulting Agreement with Company and to perform the Services described herein; (b) the execution of this Consulting Agreement and the performance of the Services by Consultant will not result in the breach of any express or implied, oral or written, contract or agreement, to which Consultant is bound (including, without limitation, any non-competition agreement with a current or prior employer); and (c) the execution of this Consulting Agreement and the performance of the Services will not at any time interfere with or violate any third party rights (including, without limitation, the use, disclosure, misappropriation, or infringement of any confidential information, proprietary rights or intellectual property belonging to any other person or entity).</w:t>
      </w:r>
    </w:p>
    <w:p>
      <w:pPr>
        <w:spacing w:after="0" w:line="190" w:lineRule="exact"/>
        <w:rPr>
          <w:sz w:val="20"/>
          <w:szCs w:val="20"/>
          <w:color w:val="auto"/>
        </w:rPr>
      </w:pPr>
    </w:p>
    <w:p>
      <w:pPr>
        <w:ind w:left="601" w:hanging="601"/>
        <w:spacing w:after="0"/>
        <w:tabs>
          <w:tab w:leader="none" w:pos="601"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21" w:lineRule="exact"/>
        <w:rPr>
          <w:rFonts w:ascii="Arial" w:cs="Arial" w:eastAsia="Arial" w:hAnsi="Arial"/>
          <w:sz w:val="20"/>
          <w:szCs w:val="20"/>
          <w:b w:val="1"/>
          <w:bCs w:val="1"/>
          <w:color w:val="auto"/>
        </w:rPr>
      </w:pPr>
    </w:p>
    <w:p>
      <w:pPr>
        <w:jc w:val="both"/>
        <w:ind w:left="1" w:firstLine="648"/>
        <w:spacing w:after="0" w:line="243" w:lineRule="auto"/>
        <w:tabs>
          <w:tab w:leader="none" w:pos="1303" w:val="left"/>
        </w:tabs>
        <w:numPr>
          <w:ilvl w:val="1"/>
          <w:numId w:val="54"/>
        </w:numPr>
        <w:rPr>
          <w:rFonts w:ascii="Arial" w:cs="Arial" w:eastAsia="Arial" w:hAnsi="Arial"/>
          <w:sz w:val="20"/>
          <w:szCs w:val="20"/>
          <w:b w:val="1"/>
          <w:bCs w:val="1"/>
          <w:color w:val="auto"/>
        </w:rPr>
      </w:pPr>
      <w:r>
        <w:rPr>
          <w:rFonts w:ascii="Arial" w:cs="Arial" w:eastAsia="Arial" w:hAnsi="Arial"/>
          <w:sz w:val="20"/>
          <w:szCs w:val="20"/>
          <w:color w:val="auto"/>
        </w:rPr>
        <w:t>Consultant shall indemnify and hold Company, its affiliates and their respective directors, officers, agents and employees harmless from and against all claims, demands, losses, damages and judgments, including court costs and attorneys’ fees (collectively “Losses”) arising out of or based upon (i) Consultant’s gross negligence or willful misconduct; and (ii) any breach or alleged breach by Consultant of any representation, warranty, certification, covenant, obligation or other agreement set forth in this Consulting Agreement, except in each case for those Losses as to which Company has an obligation to indemnify Consultant pursuant to Section 9(b), as to which Losses each party will indemnify the other to the extent of their respective liability.</w:t>
      </w:r>
    </w:p>
    <w:p>
      <w:pPr>
        <w:spacing w:after="0" w:line="193" w:lineRule="exact"/>
        <w:rPr>
          <w:rFonts w:ascii="Arial" w:cs="Arial" w:eastAsia="Arial" w:hAnsi="Arial"/>
          <w:sz w:val="20"/>
          <w:szCs w:val="20"/>
          <w:b w:val="1"/>
          <w:bCs w:val="1"/>
          <w:color w:val="auto"/>
        </w:rPr>
      </w:pPr>
    </w:p>
    <w:p>
      <w:pPr>
        <w:ind w:left="1" w:firstLine="648"/>
        <w:spacing w:after="0" w:line="259" w:lineRule="auto"/>
        <w:tabs>
          <w:tab w:leader="none" w:pos="1422"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The Company shall indemnify and hold Consultant harmless from and against all Losses arising out of or based upon (i) Company’s gross negligence or willful misconduct, (ii) any breach or alleged breach by Company of any representation, warranty, certification, covenant, obligation or other agreement set forth in this Consulting Agreement, and (iii) the Company’s use of Consultant’s Services performed in compliance with this Agreement, except in each case for those Losses as to which Consultant has an obligation to indemnify a Company indemnitee pursuant to Section 9(a), as to which Losses each party will indemnify the other to the extent of their respective liability.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66" w:right="919" w:bottom="1440" w:gutter="0" w:footer="0" w:header="0"/>
        </w:sectPr>
      </w:pPr>
    </w:p>
    <w:bookmarkStart w:id="81" w:name="page82"/>
    <w:bookmarkEnd w:id="81"/>
    <w:p>
      <w:pPr>
        <w:ind w:left="601" w:hanging="601"/>
        <w:spacing w:after="0"/>
        <w:tabs>
          <w:tab w:leader="none" w:pos="601"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Ownership of Intellectual Property</w:t>
      </w:r>
    </w:p>
    <w:p>
      <w:pPr>
        <w:spacing w:after="0" w:line="222" w:lineRule="exact"/>
        <w:rPr>
          <w:sz w:val="20"/>
          <w:szCs w:val="20"/>
          <w:color w:val="auto"/>
        </w:rPr>
      </w:pPr>
    </w:p>
    <w:p>
      <w:pPr>
        <w:ind w:left="1361" w:hanging="712"/>
        <w:spacing w:after="0"/>
        <w:tabs>
          <w:tab w:leader="none" w:pos="1361"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Consultant will immediately and fully disclose in writing to the Company all intellectual property and other</w:t>
      </w:r>
    </w:p>
    <w:p>
      <w:pPr>
        <w:spacing w:after="0" w:line="39" w:lineRule="exact"/>
        <w:rPr>
          <w:sz w:val="20"/>
          <w:szCs w:val="20"/>
          <w:color w:val="auto"/>
        </w:rPr>
      </w:pPr>
    </w:p>
    <w:p>
      <w:pPr>
        <w:jc w:val="both"/>
        <w:ind w:left="1"/>
        <w:spacing w:after="0" w:line="270" w:lineRule="auto"/>
        <w:rPr>
          <w:sz w:val="20"/>
          <w:szCs w:val="20"/>
          <w:color w:val="auto"/>
        </w:rPr>
      </w:pPr>
      <w:r>
        <w:rPr>
          <w:rFonts w:ascii="Arial" w:cs="Arial" w:eastAsia="Arial" w:hAnsi="Arial"/>
          <w:sz w:val="18"/>
          <w:szCs w:val="18"/>
          <w:color w:val="auto"/>
        </w:rPr>
        <w:t>proprietary information, including without limitation, all inventions, methods, processes, innovations, discoveries, developments, ideas, technologies, computer code and programs, macros, trade secrets, know-how, formulae, designs, patterns, marks, names, improvements, industrial designs, mask works, works of authorship, technical materials relating to the business of the Company conceived or developed by the Consultant in providing the Services under this Consulting Agreement during the Term (collectively, “</w:t>
      </w:r>
      <w:r>
        <w:rPr>
          <w:rFonts w:ascii="Arial" w:cs="Arial" w:eastAsia="Arial" w:hAnsi="Arial"/>
          <w:sz w:val="18"/>
          <w:szCs w:val="18"/>
          <w:b w:val="1"/>
          <w:bCs w:val="1"/>
          <w:color w:val="auto"/>
        </w:rPr>
        <w:t>Intellectual Property</w:t>
      </w:r>
      <w:r>
        <w:rPr>
          <w:rFonts w:ascii="Arial" w:cs="Arial" w:eastAsia="Arial" w:hAnsi="Arial"/>
          <w:sz w:val="18"/>
          <w:szCs w:val="18"/>
          <w:color w:val="auto"/>
        </w:rPr>
        <w:t>”) whether or not any such Intellectual Property is patentable, copyrightable, or otherwise protectable. Notwithstanding the foregoing, this Consulting Agreement shall not be construed to apply to and shall not create any assignment of any Intellectual Property of Consultant that Consultant developed entirely on his own time without using the Company's equipment, facilities, confidential or trade secret information, except for Intellectual Property that results from any work performed by the Consultant for the Company.</w:t>
      </w:r>
    </w:p>
    <w:p>
      <w:pPr>
        <w:spacing w:after="0" w:line="171" w:lineRule="exact"/>
        <w:rPr>
          <w:sz w:val="20"/>
          <w:szCs w:val="20"/>
          <w:color w:val="auto"/>
        </w:rPr>
      </w:pPr>
    </w:p>
    <w:p>
      <w:pPr>
        <w:jc w:val="both"/>
        <w:ind w:left="1" w:firstLine="648"/>
        <w:spacing w:after="0" w:line="282" w:lineRule="auto"/>
        <w:tabs>
          <w:tab w:leader="none" w:pos="139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Consultant does hereby, and will from time to time immediately upon the conception or development of any Intellectual Properly in the course of Consultant's engagement with the Company under this Consulting Agreement assign to the Company all of his right, title and interest in and to all such Intellectual Property (whether or not patentable, registrable, recordable or protectable by copyright and regardless of whether the Company pursues any of the foregoing).</w:t>
      </w:r>
    </w:p>
    <w:p>
      <w:pPr>
        <w:spacing w:after="0" w:line="161" w:lineRule="exact"/>
        <w:rPr>
          <w:rFonts w:ascii="Arial" w:cs="Arial" w:eastAsia="Arial" w:hAnsi="Arial"/>
          <w:sz w:val="18"/>
          <w:szCs w:val="18"/>
          <w:b w:val="1"/>
          <w:bCs w:val="1"/>
          <w:color w:val="auto"/>
        </w:rPr>
      </w:pPr>
    </w:p>
    <w:p>
      <w:pPr>
        <w:jc w:val="both"/>
        <w:ind w:left="1" w:firstLine="648"/>
        <w:spacing w:after="0" w:line="270" w:lineRule="auto"/>
        <w:tabs>
          <w:tab w:leader="none" w:pos="1368"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Consultant will execute and deliver any assignment instruments and do all other things reasonably requested by the Company (both during and after Consultant's engagement with the Company) in order to more fully vest in the Company sole and exclusive right, title, and interest in and to all Intellectual Property. Consultant agrees to cooperate with and provide reasonable assistance to the Company in the preparation of applications for letters patent, copyright, and other forms of protection for Intellectual Property, including but not limited to the execution and delivery of any instruments reasonably requested by the Company (both during and after Consultant's engagement with the Company), in order to protect the Company’s interest in and to all Intellectual Property. If the Company is unable for any reason to secure Consultant's signature on any lawful and necessary document required to apply for or execute any patent, trademark, copyright or other applications with respect to any Intellectual Property (including renewals, extensions, continuations, divisions or continuations in part thereof), Consultant hereby irrevocably designates and appoints the Company and its Chief Executive Officer or General Counsel as Consultant's agent and attorney-in-fact to act for and in behalf and instead of Consultant, to execute and file any such application and to do all other lawfully permitted acts to further the prosecution and issuance of patents, trademarks, copyrights or other rights thereon with the same legal force and effect as if executed by Consultant.</w:t>
      </w:r>
    </w:p>
    <w:p>
      <w:pPr>
        <w:spacing w:after="0" w:line="167" w:lineRule="exact"/>
        <w:rPr>
          <w:rFonts w:ascii="Arial" w:cs="Arial" w:eastAsia="Arial" w:hAnsi="Arial"/>
          <w:sz w:val="18"/>
          <w:szCs w:val="18"/>
          <w:b w:val="1"/>
          <w:bCs w:val="1"/>
          <w:color w:val="auto"/>
        </w:rPr>
      </w:pPr>
    </w:p>
    <w:p>
      <w:pPr>
        <w:ind w:left="581" w:hanging="581"/>
        <w:spacing w:after="0"/>
        <w:tabs>
          <w:tab w:leader="none" w:pos="581"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221" w:lineRule="exact"/>
        <w:rPr>
          <w:rFonts w:ascii="Arial" w:cs="Arial" w:eastAsia="Arial" w:hAnsi="Arial"/>
          <w:sz w:val="20"/>
          <w:szCs w:val="20"/>
          <w:b w:val="1"/>
          <w:bCs w:val="1"/>
          <w:color w:val="auto"/>
        </w:rPr>
      </w:pPr>
    </w:p>
    <w:p>
      <w:pPr>
        <w:jc w:val="both"/>
        <w:ind w:left="1" w:firstLine="648"/>
        <w:spacing w:after="0" w:line="256" w:lineRule="auto"/>
        <w:tabs>
          <w:tab w:leader="none" w:pos="1406" w:val="left"/>
        </w:tabs>
        <w:numPr>
          <w:ilvl w:val="1"/>
          <w:numId w:val="58"/>
        </w:numPr>
        <w:rPr>
          <w:rFonts w:ascii="Arial" w:cs="Arial" w:eastAsia="Arial" w:hAnsi="Arial"/>
          <w:sz w:val="19"/>
          <w:szCs w:val="19"/>
          <w:b w:val="1"/>
          <w:bCs w:val="1"/>
          <w:color w:val="auto"/>
        </w:rPr>
      </w:pPr>
      <w:r>
        <w:rPr>
          <w:rFonts w:ascii="Arial" w:cs="Arial" w:eastAsia="Arial" w:hAnsi="Arial"/>
          <w:sz w:val="19"/>
          <w:szCs w:val="19"/>
          <w:color w:val="auto"/>
        </w:rPr>
        <w:t>Consultant acknowledges that during the Term of this Consulting Agreement, he will have access to certain highly-sensitive, confidential, and proprietary information belonging to the Company or third parties who may have furnished such information under obligations of confidentiality, relating to and used in the Company's business (collectively,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Consultant acknowledges that, unless otherwise available to the public, Confidential Information includes, but is not limited to, the following categories of information and material, including all copies, notes, or other reproductions or replicas thereof: clinical trial strategies, clinical outcomes, patient data, clinical trial results, financial statements and information; budgets, forecasts, and projections; business and strategic plans; marketing, sales, and distribution strategies; research and development projects; records relating to any intellectual property developed by, owned by, controlled, licensed, or maintained by the Company; information related to the Company's inventions, research, products, designs, methods, know-how, formulae, techniques, systems,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82" w:name="page83"/>
    <w:bookmarkEnd w:id="82"/>
    <w:p>
      <w:pPr>
        <w:jc w:val="both"/>
        <w:ind w:left="1"/>
        <w:spacing w:after="0" w:line="258" w:lineRule="auto"/>
        <w:rPr>
          <w:sz w:val="20"/>
          <w:szCs w:val="20"/>
          <w:color w:val="auto"/>
        </w:rPr>
      </w:pPr>
      <w:r>
        <w:rPr>
          <w:rFonts w:ascii="Arial" w:cs="Arial" w:eastAsia="Arial" w:hAnsi="Arial"/>
          <w:sz w:val="19"/>
          <w:szCs w:val="19"/>
          <w:color w:val="auto"/>
        </w:rPr>
        <w:t>processes; non-public information relating to the Company's clinical trials, suppliers, employees, distributors, or investors; the specific terms of the Company's agreements or arrangements, whether oral or written, with any supplier, vendor, collaborator or contractor with which the Company may be associated from time to time; and any and all information relating to the operation of the Company's business which the Company may from time to time designate as confidential or proprietary or that Consultant reasonably knows should be, or has been, treated by the Company as confidential or proprietary. Confidential Information encompasses all formats in which information is preserved, whether electronic, print, or any other form, including all originals, copies, notes, or other reproductions or replicas thereof.</w:t>
      </w:r>
    </w:p>
    <w:p>
      <w:pPr>
        <w:spacing w:after="0" w:line="179" w:lineRule="exact"/>
        <w:rPr>
          <w:sz w:val="20"/>
          <w:szCs w:val="20"/>
          <w:color w:val="auto"/>
        </w:rPr>
      </w:pPr>
    </w:p>
    <w:p>
      <w:pPr>
        <w:jc w:val="both"/>
        <w:ind w:left="1" w:firstLine="605"/>
        <w:spacing w:after="0" w:line="244" w:lineRule="auto"/>
        <w:tabs>
          <w:tab w:leader="none" w:pos="1271" w:val="left"/>
        </w:tabs>
        <w:numPr>
          <w:ilvl w:val="1"/>
          <w:numId w:val="59"/>
        </w:numPr>
        <w:rPr>
          <w:rFonts w:ascii="Arial" w:cs="Arial" w:eastAsia="Arial" w:hAnsi="Arial"/>
          <w:sz w:val="20"/>
          <w:szCs w:val="20"/>
          <w:b w:val="1"/>
          <w:bCs w:val="1"/>
          <w:color w:val="auto"/>
        </w:rPr>
      </w:pPr>
      <w:r>
        <w:rPr>
          <w:rFonts w:ascii="Arial" w:cs="Arial" w:eastAsia="Arial" w:hAnsi="Arial"/>
          <w:sz w:val="20"/>
          <w:szCs w:val="20"/>
          <w:color w:val="auto"/>
        </w:rPr>
        <w:t>Consultant agrees that he will maintain the confidentiality of the Confidential Information at all times and will not, directly or indirectly, use or disclose any Confidential Information for any purpose other than to the extent necessary to perform the Services. Consultant may disclose that he is a consultant of the Company and, subject to Consultant’s confidentiality obligations disclose the general nature of the Services Consultant provides to Company under this Consulting Agreement.</w:t>
      </w:r>
    </w:p>
    <w:p>
      <w:pPr>
        <w:spacing w:after="0" w:line="194" w:lineRule="exact"/>
        <w:rPr>
          <w:rFonts w:ascii="Arial" w:cs="Arial" w:eastAsia="Arial" w:hAnsi="Arial"/>
          <w:sz w:val="20"/>
          <w:szCs w:val="20"/>
          <w:b w:val="1"/>
          <w:bCs w:val="1"/>
          <w:color w:val="auto"/>
        </w:rPr>
      </w:pPr>
    </w:p>
    <w:p>
      <w:pPr>
        <w:jc w:val="both"/>
        <w:ind w:left="1" w:firstLine="605"/>
        <w:spacing w:after="0" w:line="274" w:lineRule="auto"/>
        <w:tabs>
          <w:tab w:leader="none" w:pos="1420"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Consultant's obligations under this Section 11 will not apply to any information that (i) becomes generally known to the public without any breach of this Consulting Agreement by Consultant or of any similar agreement by any other employee or contractor of the Company, (ii) is disclosed to Consultant by a third party under no obligation of confidentiality to the Company and/or any service provider of the Company, or (iii) the Consultant is required to disclose by subpoena, court order or law, provided that, unless otherwise prohibited by law, Consultant first notifies Company of the existence and terms of such requirement, gives Company a reasonable opportunity to seek a protective order or similar relief to prevent or limit such disclosure, and only discloses that information actually required to be disclosed.</w:t>
      </w:r>
    </w:p>
    <w:p>
      <w:pPr>
        <w:spacing w:after="0" w:line="169" w:lineRule="exact"/>
        <w:rPr>
          <w:rFonts w:ascii="Arial" w:cs="Arial" w:eastAsia="Arial" w:hAnsi="Arial"/>
          <w:sz w:val="18"/>
          <w:szCs w:val="18"/>
          <w:b w:val="1"/>
          <w:bCs w:val="1"/>
          <w:color w:val="auto"/>
        </w:rPr>
      </w:pPr>
    </w:p>
    <w:p>
      <w:pPr>
        <w:jc w:val="both"/>
        <w:ind w:left="1" w:firstLine="605"/>
        <w:spacing w:after="0" w:line="256" w:lineRule="auto"/>
        <w:tabs>
          <w:tab w:leader="none" w:pos="1258" w:val="left"/>
        </w:tabs>
        <w:numPr>
          <w:ilvl w:val="1"/>
          <w:numId w:val="59"/>
        </w:numPr>
        <w:rPr>
          <w:rFonts w:ascii="Arial" w:cs="Arial" w:eastAsia="Arial" w:hAnsi="Arial"/>
          <w:sz w:val="19"/>
          <w:szCs w:val="19"/>
          <w:b w:val="1"/>
          <w:bCs w:val="1"/>
          <w:color w:val="auto"/>
        </w:rPr>
      </w:pPr>
      <w:r>
        <w:rPr>
          <w:rFonts w:ascii="Arial" w:cs="Arial" w:eastAsia="Arial" w:hAnsi="Arial"/>
          <w:sz w:val="19"/>
          <w:szCs w:val="19"/>
          <w:color w:val="auto"/>
        </w:rPr>
        <w:t>The foregoing notwithstanding, pursuant to the federal Defend Trade Secrets Act of 2016, Consultant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Nothing in this Consulting Agreement shall limit Consultant’s right to report possible violations of law or regulation with any federal, state or local government agency or to discuss the terms and conditions of Consultant’s engagement by the Company to the extent that such disclosure is protected under applicable provisions of law or regulation, including but not limited to “whistleblower” statutes or other similar provisions that protect such disclosure.</w:t>
      </w:r>
    </w:p>
    <w:p>
      <w:pPr>
        <w:spacing w:after="0" w:line="178" w:lineRule="exact"/>
        <w:rPr>
          <w:rFonts w:ascii="Arial" w:cs="Arial" w:eastAsia="Arial" w:hAnsi="Arial"/>
          <w:sz w:val="19"/>
          <w:szCs w:val="19"/>
          <w:b w:val="1"/>
          <w:bCs w:val="1"/>
          <w:color w:val="auto"/>
        </w:rPr>
      </w:pPr>
    </w:p>
    <w:p>
      <w:pPr>
        <w:jc w:val="both"/>
        <w:ind w:left="1" w:hanging="1"/>
        <w:spacing w:after="0" w:line="273" w:lineRule="auto"/>
        <w:tabs>
          <w:tab w:leader="none" w:pos="703"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Property. </w:t>
      </w:r>
      <w:r>
        <w:rPr>
          <w:rFonts w:ascii="Arial" w:cs="Arial" w:eastAsia="Arial" w:hAnsi="Arial"/>
          <w:sz w:val="18"/>
          <w:szCs w:val="18"/>
          <w:color w:val="auto"/>
        </w:rPr>
        <w:t>Except as provided in the Separation Agreement, upon termination of Consultant's engagement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for any reason, or at any time upon request of the Company, Consultant will promptly deliver to the Company all Confidential Information in any form along with all personal property belonging to the Company that is in Consultant's possession, custody, or control, including, without limitation, all files, memoranda, designs, correspondence, manuals, programs, data, records, notes, notebooks, reports, papers, equipment, computer software, proposals, or any other files, material, document or possession (whether in hard copy or any electronic format), however obtained, along with any reproductions or copies. Consultant will use reasonable efforts to delete emails that contain Company Confidential Information; it being understood that any Company Confidential Information retained in any email that has not been permanently deleted continues to be subject to the confidentiality provisions of this Agreement even following termination.</w:t>
      </w:r>
    </w:p>
    <w:p>
      <w:pPr>
        <w:spacing w:after="0" w:line="163" w:lineRule="exact"/>
        <w:rPr>
          <w:rFonts w:ascii="Arial" w:cs="Arial" w:eastAsia="Arial" w:hAnsi="Arial"/>
          <w:sz w:val="18"/>
          <w:szCs w:val="18"/>
          <w:b w:val="1"/>
          <w:bCs w:val="1"/>
          <w:color w:val="auto"/>
        </w:rPr>
      </w:pPr>
    </w:p>
    <w:p>
      <w:pPr>
        <w:ind w:left="641" w:hanging="641"/>
        <w:spacing w:after="0"/>
        <w:tabs>
          <w:tab w:leader="none" w:pos="641"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Remedies. </w:t>
      </w:r>
      <w:r>
        <w:rPr>
          <w:rFonts w:ascii="Arial" w:cs="Arial" w:eastAsia="Arial" w:hAnsi="Arial"/>
          <w:sz w:val="20"/>
          <w:szCs w:val="20"/>
          <w:color w:val="auto"/>
        </w:rPr>
        <w:t>Consultant acknowledges and agrees that the breach or threatened breach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83" w:name="page84"/>
    <w:bookmarkEnd w:id="83"/>
    <w:p>
      <w:pPr>
        <w:jc w:val="both"/>
        <w:ind w:left="1"/>
        <w:spacing w:after="0" w:line="243" w:lineRule="auto"/>
        <w:rPr>
          <w:sz w:val="20"/>
          <w:szCs w:val="20"/>
          <w:color w:val="auto"/>
        </w:rPr>
      </w:pPr>
      <w:r>
        <w:rPr>
          <w:rFonts w:ascii="Arial" w:cs="Arial" w:eastAsia="Arial" w:hAnsi="Arial"/>
          <w:sz w:val="20"/>
          <w:szCs w:val="20"/>
          <w:color w:val="auto"/>
        </w:rPr>
        <w:t>Sections 10, 11 and/or 12 of this Consulting Agreement may result in immediate and irreparable injury to Company, which injury may not be subject to redress by monetary damages. Accordingly, Consultant agrees that Company is entitled to enforce this Consulting Agreement by seeking a temporary restraining order, preliminary and permanent injunction and/or any other appropriate equitable relief, and without the necessity of posting any bond. Nothing in this Section prohibits the Company from pursuing any other remedies available to it in law or equity, including but not limited to the recovery of monetary damages.</w:t>
      </w:r>
    </w:p>
    <w:p>
      <w:pPr>
        <w:spacing w:after="0" w:line="190" w:lineRule="exact"/>
        <w:rPr>
          <w:sz w:val="20"/>
          <w:szCs w:val="20"/>
          <w:color w:val="auto"/>
        </w:rPr>
      </w:pPr>
    </w:p>
    <w:p>
      <w:pPr>
        <w:jc w:val="both"/>
        <w:ind w:left="1" w:firstLine="11"/>
        <w:spacing w:after="0" w:line="248" w:lineRule="auto"/>
        <w:tabs>
          <w:tab w:leader="none" w:pos="749"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Assignment. </w:t>
      </w:r>
      <w:r>
        <w:rPr>
          <w:rFonts w:ascii="Arial" w:cs="Arial" w:eastAsia="Arial" w:hAnsi="Arial"/>
          <w:sz w:val="20"/>
          <w:szCs w:val="20"/>
          <w:color w:val="auto"/>
        </w:rPr>
        <w:t>Due to the personal nature of the Services to be rendered hereunder, Consultant may not assign this</w:t>
      </w:r>
      <w:r>
        <w:rPr>
          <w:rFonts w:ascii="Arial" w:cs="Arial" w:eastAsia="Arial" w:hAnsi="Arial"/>
          <w:sz w:val="20"/>
          <w:szCs w:val="20"/>
          <w:b w:val="1"/>
          <w:bCs w:val="1"/>
          <w:color w:val="auto"/>
        </w:rPr>
        <w:t xml:space="preserve"> </w:t>
      </w:r>
      <w:r>
        <w:rPr>
          <w:rFonts w:ascii="Arial" w:cs="Arial" w:eastAsia="Arial" w:hAnsi="Arial"/>
          <w:sz w:val="20"/>
          <w:szCs w:val="20"/>
          <w:color w:val="auto"/>
        </w:rPr>
        <w:t>Consulting Agreement. The Company may assign this Consulting Agreement without the consent of Consultant. Subject to the foregoing, this Consulting Agreement will inure to the benefit of and be binding upon each of the heirs, assigns and successors of the respective parties.</w:t>
      </w:r>
    </w:p>
    <w:p>
      <w:pPr>
        <w:spacing w:after="0" w:line="183" w:lineRule="exact"/>
        <w:rPr>
          <w:rFonts w:ascii="Arial" w:cs="Arial" w:eastAsia="Arial" w:hAnsi="Arial"/>
          <w:sz w:val="20"/>
          <w:szCs w:val="20"/>
          <w:b w:val="1"/>
          <w:bCs w:val="1"/>
          <w:color w:val="auto"/>
        </w:rPr>
      </w:pPr>
    </w:p>
    <w:p>
      <w:pPr>
        <w:jc w:val="both"/>
        <w:ind w:left="1" w:firstLine="11"/>
        <w:spacing w:after="0" w:line="245" w:lineRule="auto"/>
        <w:tabs>
          <w:tab w:leader="none" w:pos="654"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Venue. </w:t>
      </w:r>
      <w:r>
        <w:rPr>
          <w:rFonts w:ascii="Arial" w:cs="Arial" w:eastAsia="Arial" w:hAnsi="Arial"/>
          <w:sz w:val="20"/>
          <w:szCs w:val="20"/>
          <w:color w:val="auto"/>
        </w:rPr>
        <w:t>This Consulting Agreement will be governed by and construed in accordance with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California, without regard to conflict of law principles. Any litigation arising out of or related to this Consulting Agreement will be brought exclusively in any state or federal court in San Francisco, California. Each party (i) consents to the personal jurisdiction of said courts, (ii) waives any venue or inconvenient forum defense to any proceeding maintained in such courts, and (iii) agrees not to bring any proceeding arising out of or relating to this Consulting Agreement in any other court or jurisdiction.</w:t>
      </w:r>
    </w:p>
    <w:p>
      <w:pPr>
        <w:spacing w:after="0" w:line="185" w:lineRule="exact"/>
        <w:rPr>
          <w:rFonts w:ascii="Arial" w:cs="Arial" w:eastAsia="Arial" w:hAnsi="Arial"/>
          <w:sz w:val="20"/>
          <w:szCs w:val="20"/>
          <w:b w:val="1"/>
          <w:bCs w:val="1"/>
          <w:color w:val="auto"/>
        </w:rPr>
      </w:pPr>
    </w:p>
    <w:p>
      <w:pPr>
        <w:ind w:left="601" w:hanging="589"/>
        <w:spacing w:after="0"/>
        <w:tabs>
          <w:tab w:leader="none" w:pos="601"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w:t>
      </w:r>
    </w:p>
    <w:p>
      <w:pPr>
        <w:spacing w:after="0" w:line="221" w:lineRule="exact"/>
        <w:rPr>
          <w:rFonts w:ascii="Arial" w:cs="Arial" w:eastAsia="Arial" w:hAnsi="Arial"/>
          <w:sz w:val="20"/>
          <w:szCs w:val="20"/>
          <w:b w:val="1"/>
          <w:bCs w:val="1"/>
          <w:color w:val="auto"/>
        </w:rPr>
      </w:pPr>
    </w:p>
    <w:p>
      <w:pPr>
        <w:jc w:val="both"/>
        <w:ind w:left="1" w:firstLine="648"/>
        <w:spacing w:after="0" w:line="244" w:lineRule="auto"/>
        <w:tabs>
          <w:tab w:leader="none" w:pos="1130" w:val="left"/>
        </w:tabs>
        <w:numPr>
          <w:ilvl w:val="2"/>
          <w:numId w:val="61"/>
        </w:numPr>
        <w:rPr>
          <w:rFonts w:ascii="Arial" w:cs="Arial" w:eastAsia="Arial" w:hAnsi="Arial"/>
          <w:sz w:val="20"/>
          <w:szCs w:val="20"/>
          <w:color w:val="auto"/>
        </w:rPr>
      </w:pPr>
      <w:r>
        <w:rPr>
          <w:rFonts w:ascii="Arial" w:cs="Arial" w:eastAsia="Arial" w:hAnsi="Arial"/>
          <w:sz w:val="20"/>
          <w:szCs w:val="20"/>
          <w:u w:val="single" w:color="auto"/>
          <w:color w:val="auto"/>
        </w:rPr>
        <w:t>Absence of Debarment/Exclusion</w:t>
      </w:r>
      <w:r>
        <w:rPr>
          <w:rFonts w:ascii="Arial" w:cs="Arial" w:eastAsia="Arial" w:hAnsi="Arial"/>
          <w:sz w:val="20"/>
          <w:szCs w:val="20"/>
          <w:color w:val="auto"/>
        </w:rPr>
        <w:t>. Consultant has not been debarred, and to the best of Consultant’s knowledge, is not under consideration to be debarred, by the U.S. Food and Drug Administration or comparable foreign equivalent from working in or providing services to any pharmaceutical or biotechnology company under the Generic Drug Enforcement Act of 1992 or comparable foreign law or regulation. Consultant will immediately notify Company if it becomes aware of any such action being taken or threatened to be taken against Consultant.</w:t>
      </w:r>
    </w:p>
    <w:p>
      <w:pPr>
        <w:spacing w:after="0" w:line="194" w:lineRule="exact"/>
        <w:rPr>
          <w:rFonts w:ascii="Arial" w:cs="Arial" w:eastAsia="Arial" w:hAnsi="Arial"/>
          <w:sz w:val="20"/>
          <w:szCs w:val="20"/>
          <w:color w:val="auto"/>
        </w:rPr>
      </w:pPr>
    </w:p>
    <w:p>
      <w:pPr>
        <w:jc w:val="both"/>
        <w:ind w:left="1" w:firstLine="648"/>
        <w:spacing w:after="0" w:line="268" w:lineRule="auto"/>
        <w:tabs>
          <w:tab w:leader="none" w:pos="1289"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Anti-Bribery and Corruption Covenant.</w:t>
      </w:r>
      <w:r>
        <w:rPr>
          <w:rFonts w:ascii="Arial" w:cs="Arial" w:eastAsia="Arial" w:hAnsi="Arial"/>
          <w:sz w:val="18"/>
          <w:szCs w:val="18"/>
          <w:color w:val="auto"/>
        </w:rPr>
        <w:t xml:space="preserve"> Consultant shall not violate any applicable anti-bribery and anti-corruption laws or regulations, including the US Foreign Corrupt Practices Act, the UK Bribery Act 2010, the China anti-bribery and corruptions laws or other local laws applicable to your Services (collectively, the “</w:t>
      </w:r>
      <w:r>
        <w:rPr>
          <w:rFonts w:ascii="Arial" w:cs="Arial" w:eastAsia="Arial" w:hAnsi="Arial"/>
          <w:sz w:val="18"/>
          <w:szCs w:val="18"/>
          <w:b w:val="1"/>
          <w:bCs w:val="1"/>
          <w:color w:val="auto"/>
        </w:rPr>
        <w:t>Anti-Bribery Laws</w:t>
      </w:r>
      <w:r>
        <w:rPr>
          <w:rFonts w:ascii="Arial" w:cs="Arial" w:eastAsia="Arial" w:hAnsi="Arial"/>
          <w:sz w:val="18"/>
          <w:szCs w:val="18"/>
          <w:color w:val="auto"/>
        </w:rPr>
        <w:t>”). Consultant shall not make, directly or indirectly, in connection with this Consulting Agreement or any Services or in connection with any other business transaction related to Company, a payment or gift of, or an offer, promise or authorization to give money or anything of value to any (a) (i) director, officer, employee, agent or representative (including anyone elected, nominated, or appointed to be a director, officer, employee, agent or representative) of any Government Entity (as defined below), or anyone otherwise acting in an official capacity on behalf of a Government Entity; (ii) political party, political party official or political party employee; (iii) candidate for public or political office; (iv) any royal or ruling family member; or (v) agent or representative of any of those persons listed in subcategories (i) through (iv) (collectively, “</w:t>
      </w:r>
      <w:r>
        <w:rPr>
          <w:rFonts w:ascii="Arial" w:cs="Arial" w:eastAsia="Arial" w:hAnsi="Arial"/>
          <w:sz w:val="18"/>
          <w:szCs w:val="18"/>
          <w:b w:val="1"/>
          <w:bCs w:val="1"/>
          <w:color w:val="auto"/>
        </w:rPr>
        <w:t>Government Official</w:t>
      </w:r>
      <w:r>
        <w:rPr>
          <w:rFonts w:ascii="Arial" w:cs="Arial" w:eastAsia="Arial" w:hAnsi="Arial"/>
          <w:sz w:val="18"/>
          <w:szCs w:val="18"/>
          <w:color w:val="auto"/>
        </w:rPr>
        <w:t>”);</w:t>
      </w:r>
    </w:p>
    <w:p>
      <w:pPr>
        <w:jc w:val="both"/>
        <w:ind w:left="1" w:hanging="1"/>
        <w:spacing w:after="0" w:line="254" w:lineRule="auto"/>
        <w:tabs>
          <w:tab w:leader="none" w:pos="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person or entity; or (c) other person or entity while knowing or having reason to believe that some portion or all of the payment or thing of value will be offered, given or promised, directly or indirectly, to a Government Official or another person or entity; for the purpose of: influencing any act or decision of such Government Official or such person or entity in his/her or its official capacity, including a decision to do or omit to do any act in violation of his/her or its lawful duties or proper performance of functions; or inducing such Government Official or such person or entity to use his/her or its influence or position with any Government Entity or other person or entity to influence any act or decision; in order to obtain or retain business for, direct business to, or secure an improper advantage for Company. “</w:t>
      </w:r>
      <w:r>
        <w:rPr>
          <w:rFonts w:ascii="Arial" w:cs="Arial" w:eastAsia="Arial" w:hAnsi="Arial"/>
          <w:sz w:val="19"/>
          <w:szCs w:val="19"/>
          <w:b w:val="1"/>
          <w:bCs w:val="1"/>
          <w:color w:val="auto"/>
        </w:rPr>
        <w:t>Government Entity</w:t>
      </w:r>
      <w:r>
        <w:rPr>
          <w:rFonts w:ascii="Arial" w:cs="Arial" w:eastAsia="Arial" w:hAnsi="Arial"/>
          <w:sz w:val="19"/>
          <w:szCs w:val="19"/>
          <w:color w:val="auto"/>
        </w:rPr>
        <w:t>” means (i) any national, state, regional or local government (including, in each case, any agency, department or subdivision of such government), and any government agency or department; (ii) any political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84" w:name="page85"/>
    <w:bookmarkEnd w:id="84"/>
    <w:p>
      <w:pPr>
        <w:jc w:val="both"/>
        <w:ind w:left="1" w:hanging="1"/>
        <w:spacing w:after="0" w:line="244" w:lineRule="auto"/>
        <w:tabs>
          <w:tab w:leader="none" w:pos="374"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entity or business that is owned or controlled by any of those bodies listed in subcategory (i) or (ii); or (iv) any international organization, such as the United Nations or the World Bank. Consultant shall when requested by Company from time to time, provide a certification in form and substance satisfactory to Company, signed by Consultant, certifying that Consultant is in compliance with this Section 16(b). A violation of this Section 16(b) shall constitute a material breach of this Consulting Agreement by Consultant.</w:t>
      </w:r>
    </w:p>
    <w:p>
      <w:pPr>
        <w:spacing w:after="0" w:line="194" w:lineRule="exact"/>
        <w:rPr>
          <w:rFonts w:ascii="Arial" w:cs="Arial" w:eastAsia="Arial" w:hAnsi="Arial"/>
          <w:sz w:val="20"/>
          <w:szCs w:val="20"/>
          <w:color w:val="auto"/>
        </w:rPr>
      </w:pPr>
    </w:p>
    <w:p>
      <w:pPr>
        <w:jc w:val="both"/>
        <w:ind w:left="1" w:firstLine="648"/>
        <w:spacing w:after="0" w:line="244" w:lineRule="auto"/>
        <w:tabs>
          <w:tab w:leader="none" w:pos="1143"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Insider Trading</w:t>
      </w:r>
      <w:r>
        <w:rPr>
          <w:rFonts w:ascii="Arial" w:cs="Arial" w:eastAsia="Arial" w:hAnsi="Arial"/>
          <w:sz w:val="20"/>
          <w:szCs w:val="20"/>
          <w:color w:val="auto"/>
        </w:rPr>
        <w:t>. Consultant acknowledges that the Company is an issuer with securities registered pursuant to U.S. Securities Act of 1933, as amended and that the disclosure of non-public information regarding the Company or any of its subsidiaries by Consultant or trading in the securities of the Company while in the possession of material nonpublic information is a material breach of the terms of this Consulting Agreement and may subject the Company and/or Consultant to liability.</w:t>
      </w:r>
    </w:p>
    <w:p>
      <w:pPr>
        <w:spacing w:after="0" w:line="189" w:lineRule="exact"/>
        <w:rPr>
          <w:sz w:val="20"/>
          <w:szCs w:val="20"/>
          <w:color w:val="auto"/>
        </w:rPr>
      </w:pPr>
    </w:p>
    <w:p>
      <w:pPr>
        <w:ind w:left="601" w:hanging="589"/>
        <w:spacing w:after="0"/>
        <w:tabs>
          <w:tab w:leader="none" w:pos="601"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b w:val="1"/>
          <w:bCs w:val="1"/>
          <w:color w:val="auto"/>
        </w:rPr>
      </w:pPr>
    </w:p>
    <w:p>
      <w:pPr>
        <w:ind w:left="1441" w:hanging="792"/>
        <w:spacing w:after="0"/>
        <w:tabs>
          <w:tab w:leader="none" w:pos="1441"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The provisions of Sections 2 and 6-17 will survive the termination of this Consulting Agreement for any</w:t>
      </w:r>
    </w:p>
    <w:p>
      <w:pPr>
        <w:spacing w:after="0" w:line="27" w:lineRule="exact"/>
        <w:rPr>
          <w:rFonts w:ascii="Arial" w:cs="Arial" w:eastAsia="Arial" w:hAnsi="Arial"/>
          <w:sz w:val="19"/>
          <w:szCs w:val="19"/>
          <w:b w:val="1"/>
          <w:bCs w:val="1"/>
          <w:color w:val="auto"/>
        </w:rPr>
      </w:pPr>
    </w:p>
    <w:p>
      <w:pPr>
        <w:ind w:left="1"/>
        <w:spacing w:after="0"/>
        <w:rPr>
          <w:rFonts w:ascii="Arial" w:cs="Arial" w:eastAsia="Arial" w:hAnsi="Arial"/>
          <w:sz w:val="19"/>
          <w:szCs w:val="19"/>
          <w:b w:val="1"/>
          <w:bCs w:val="1"/>
          <w:color w:val="auto"/>
        </w:rPr>
      </w:pPr>
      <w:r>
        <w:rPr>
          <w:rFonts w:ascii="Arial" w:cs="Arial" w:eastAsia="Arial" w:hAnsi="Arial"/>
          <w:sz w:val="20"/>
          <w:szCs w:val="20"/>
          <w:color w:val="auto"/>
        </w:rPr>
        <w:t>reason.</w:t>
      </w:r>
    </w:p>
    <w:p>
      <w:pPr>
        <w:spacing w:after="0" w:line="199" w:lineRule="exact"/>
        <w:rPr>
          <w:rFonts w:ascii="Arial" w:cs="Arial" w:eastAsia="Arial" w:hAnsi="Arial"/>
          <w:sz w:val="19"/>
          <w:szCs w:val="19"/>
          <w:b w:val="1"/>
          <w:bCs w:val="1"/>
          <w:color w:val="auto"/>
        </w:rPr>
      </w:pPr>
    </w:p>
    <w:p>
      <w:pPr>
        <w:jc w:val="both"/>
        <w:ind w:left="1" w:firstLine="648"/>
        <w:spacing w:after="0" w:line="246" w:lineRule="auto"/>
        <w:tabs>
          <w:tab w:leader="none" w:pos="1251"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Should any provision of this Consulting Agreement or the application thereof, to any extent, be held invalid or unenforceable, the remainder of this Consulting Agreement and the application thereof other than those provisions held invalid or unenforceable, shall not be affected thereby and shall continue valid and enforceable to the fullest extent permitted by law or equity.</w:t>
      </w:r>
    </w:p>
    <w:p>
      <w:pPr>
        <w:spacing w:after="0" w:line="191" w:lineRule="exact"/>
        <w:rPr>
          <w:rFonts w:ascii="Arial" w:cs="Arial" w:eastAsia="Arial" w:hAnsi="Arial"/>
          <w:sz w:val="20"/>
          <w:szCs w:val="20"/>
          <w:b w:val="1"/>
          <w:bCs w:val="1"/>
          <w:color w:val="auto"/>
        </w:rPr>
      </w:pPr>
    </w:p>
    <w:p>
      <w:pPr>
        <w:ind w:left="1" w:firstLine="648"/>
        <w:spacing w:after="0" w:line="260" w:lineRule="auto"/>
        <w:tabs>
          <w:tab w:leader="none" w:pos="1346"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No waiver by either party of any breach of this Consulting Agreement shall be construed as a waiver of any succeeding breach of this Consulting Agreement.</w:t>
      </w:r>
    </w:p>
    <w:p>
      <w:pPr>
        <w:spacing w:after="0" w:line="176" w:lineRule="exact"/>
        <w:rPr>
          <w:rFonts w:ascii="Arial" w:cs="Arial" w:eastAsia="Arial" w:hAnsi="Arial"/>
          <w:sz w:val="20"/>
          <w:szCs w:val="20"/>
          <w:b w:val="1"/>
          <w:bCs w:val="1"/>
          <w:color w:val="auto"/>
        </w:rPr>
      </w:pPr>
    </w:p>
    <w:p>
      <w:pPr>
        <w:jc w:val="both"/>
        <w:ind w:left="1" w:firstLine="648"/>
        <w:spacing w:after="0" w:line="246" w:lineRule="auto"/>
        <w:tabs>
          <w:tab w:leader="none" w:pos="1305"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This Consulting Agreement may be executed in one or more counterparts, each of which shall be deemed an original and all of which together shall constitute one and the same agreement. Any facsimile, PDF reproduction of original signatures or other electronic transmission of a signed counterpart shall be deemed to be an original counterpart and any signature appearing thereon shall be deemed to be an original signature.</w:t>
      </w:r>
    </w:p>
    <w:p>
      <w:pPr>
        <w:spacing w:after="0" w:line="191" w:lineRule="exact"/>
        <w:rPr>
          <w:rFonts w:ascii="Arial" w:cs="Arial" w:eastAsia="Arial" w:hAnsi="Arial"/>
          <w:sz w:val="20"/>
          <w:szCs w:val="20"/>
          <w:b w:val="1"/>
          <w:bCs w:val="1"/>
          <w:color w:val="auto"/>
        </w:rPr>
      </w:pPr>
    </w:p>
    <w:p>
      <w:pPr>
        <w:jc w:val="both"/>
        <w:ind w:left="1" w:firstLine="648"/>
        <w:spacing w:after="0" w:line="250" w:lineRule="auto"/>
        <w:tabs>
          <w:tab w:leader="none" w:pos="1373"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This Consulting Agreement, together with the Separation Agreement and the documents referenced therein, represents the entire and integrated agreement between the parties and supersedes all prior negotiations, representations or agreements, either written or oral regarding the subject matter thereof.</w:t>
      </w:r>
    </w:p>
    <w:p>
      <w:pPr>
        <w:spacing w:after="0" w:line="186" w:lineRule="exact"/>
        <w:rPr>
          <w:rFonts w:ascii="Arial" w:cs="Arial" w:eastAsia="Arial" w:hAnsi="Arial"/>
          <w:sz w:val="20"/>
          <w:szCs w:val="20"/>
          <w:b w:val="1"/>
          <w:bCs w:val="1"/>
          <w:color w:val="auto"/>
        </w:rPr>
      </w:pPr>
    </w:p>
    <w:p>
      <w:pPr>
        <w:jc w:val="both"/>
        <w:ind w:left="1" w:firstLine="648"/>
        <w:spacing w:after="0" w:line="271" w:lineRule="auto"/>
        <w:tabs>
          <w:tab w:leader="none" w:pos="1405"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For purposes of this Consulting Agreement, the term “Cause” means (i) any act of willful or intentional misconduct, or fraudulent act by the Consultant having the effect of injuring, in a material way (as determined in good-faith by the Company), the business or reputation of the Company, including but not limited to, any officer, director, or executive of the Company; (ii) any intentional misappropriation of the property of the Company, or embezzlement of its funds or assets (whether or not a misdemeanor or felony); and (iii) willful breach by the Consultant of any of the provisions of Sections 8, 10, 11, 12 or 16 of this Consulting Agreement, and (iv) Consultant entering the employ of, or rendering any services to, any person engaged in any business that directly competes with the Business of Company as determined reasonably and in good faith by the Company. For purposes of this Section 17(f), “Business” shall mean any business directly related to design or development of hepatitis B virus treatments or hepatitis B curative therapeutic products and any other product or services that the Company can establish with contemporaneous documents it is providing, designing or developing during the Term of this Consulting Agreement and on which Consultant provides substantive Services during the Term of this Consulting Agreement.</w:t>
      </w:r>
    </w:p>
    <w:p>
      <w:pPr>
        <w:spacing w:after="0" w:line="170" w:lineRule="exact"/>
        <w:rPr>
          <w:rFonts w:ascii="Arial" w:cs="Arial" w:eastAsia="Arial" w:hAnsi="Arial"/>
          <w:sz w:val="18"/>
          <w:szCs w:val="18"/>
          <w:b w:val="1"/>
          <w:bCs w:val="1"/>
          <w:color w:val="auto"/>
        </w:rPr>
      </w:pPr>
    </w:p>
    <w:p>
      <w:pPr>
        <w:ind w:left="1281" w:hanging="632"/>
        <w:spacing w:after="0"/>
        <w:tabs>
          <w:tab w:leader="none" w:pos="1281"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This Consulting Agreement may be amended only by a written instrument signed by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2" w:right="91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both Company and Consultant.</w:t>
      </w:r>
    </w:p>
    <w:p>
      <w:pPr>
        <w:spacing w:after="0" w:line="216" w:lineRule="exact"/>
        <w:rPr>
          <w:sz w:val="20"/>
          <w:szCs w:val="20"/>
          <w:color w:val="auto"/>
        </w:rPr>
      </w:pPr>
    </w:p>
    <w:p>
      <w:pPr>
        <w:ind w:firstLine="648"/>
        <w:spacing w:after="0" w:line="260" w:lineRule="auto"/>
        <w:tabs>
          <w:tab w:leader="none" w:pos="1372"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The Consultant shall be listed as an additional insured under the Company’s clinical trials/product liability insurance with respect to policies covering trials upon which Consultant provides Services.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86" w:name="page87"/>
    <w:bookmarkEnd w:id="86"/>
    <w:p>
      <w:pPr>
        <w:ind w:right="520" w:firstLine="648"/>
        <w:spacing w:after="0" w:line="260" w:lineRule="auto"/>
        <w:rPr>
          <w:sz w:val="20"/>
          <w:szCs w:val="20"/>
          <w:color w:val="auto"/>
        </w:rPr>
      </w:pPr>
      <w:r>
        <w:rPr>
          <w:rFonts w:ascii="Arial" w:cs="Arial" w:eastAsia="Arial" w:hAnsi="Arial"/>
          <w:sz w:val="20"/>
          <w:szCs w:val="20"/>
          <w:color w:val="auto"/>
        </w:rPr>
        <w:t>IN WITINESS WHEREOF, the parties hereto have executed this Consulting Agreement to be effective as of the Effective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40" w:type="dxa"/>
            <w:vAlign w:val="bottom"/>
          </w:tcPr>
          <w:p>
            <w:pPr>
              <w:spacing w:after="0"/>
              <w:rPr>
                <w:sz w:val="20"/>
                <w:szCs w:val="20"/>
                <w:color w:val="auto"/>
              </w:rPr>
            </w:pPr>
            <w:r>
              <w:rPr>
                <w:rFonts w:ascii="Arial" w:cs="Arial" w:eastAsia="Arial" w:hAnsi="Arial"/>
                <w:sz w:val="20"/>
                <w:szCs w:val="20"/>
                <w:b w:val="1"/>
                <w:bCs w:val="1"/>
                <w:color w:val="auto"/>
              </w:rPr>
              <w:t>CONSULTANT:</w:t>
            </w:r>
          </w:p>
        </w:tc>
        <w:tc>
          <w:tcPr>
            <w:tcW w:w="5320" w:type="dxa"/>
            <w:vAlign w:val="bottom"/>
            <w:gridSpan w:val="2"/>
          </w:tcPr>
          <w:p>
            <w:pPr>
              <w:ind w:left="240"/>
              <w:spacing w:after="0"/>
              <w:rPr>
                <w:sz w:val="20"/>
                <w:szCs w:val="20"/>
                <w:color w:val="auto"/>
              </w:rPr>
            </w:pPr>
            <w:r>
              <w:rPr>
                <w:rFonts w:ascii="Arial" w:cs="Arial" w:eastAsia="Arial" w:hAnsi="Arial"/>
                <w:sz w:val="20"/>
                <w:szCs w:val="20"/>
                <w:b w:val="1"/>
                <w:bCs w:val="1"/>
                <w:color w:val="auto"/>
              </w:rPr>
              <w:t>COMPANY:</w:t>
            </w:r>
          </w:p>
        </w:tc>
      </w:tr>
      <w:tr>
        <w:trPr>
          <w:trHeight w:val="459"/>
        </w:trPr>
        <w:tc>
          <w:tcPr>
            <w:tcW w:w="4740" w:type="dxa"/>
            <w:vAlign w:val="bottom"/>
          </w:tcPr>
          <w:p>
            <w:pPr>
              <w:spacing w:after="0"/>
              <w:rPr>
                <w:sz w:val="24"/>
                <w:szCs w:val="24"/>
                <w:color w:val="auto"/>
              </w:rPr>
            </w:pPr>
          </w:p>
        </w:tc>
        <w:tc>
          <w:tcPr>
            <w:tcW w:w="5320" w:type="dxa"/>
            <w:vAlign w:val="bottom"/>
            <w:gridSpan w:val="2"/>
          </w:tcPr>
          <w:p>
            <w:pPr>
              <w:ind w:left="240"/>
              <w:spacing w:after="0"/>
              <w:rPr>
                <w:sz w:val="20"/>
                <w:szCs w:val="20"/>
                <w:color w:val="auto"/>
              </w:rPr>
            </w:pPr>
            <w:r>
              <w:rPr>
                <w:rFonts w:ascii="Arial" w:cs="Arial" w:eastAsia="Arial" w:hAnsi="Arial"/>
                <w:sz w:val="20"/>
                <w:szCs w:val="20"/>
                <w:color w:val="auto"/>
              </w:rPr>
              <w:t>ASSEMBLY BIOSCIENCES, INC.</w:t>
            </w:r>
          </w:p>
        </w:tc>
      </w:tr>
      <w:tr>
        <w:trPr>
          <w:trHeight w:val="685"/>
        </w:trPr>
        <w:tc>
          <w:tcPr>
            <w:tcW w:w="4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Uri A. Lopatin, M.D.</w:t>
            </w:r>
          </w:p>
        </w:tc>
        <w:tc>
          <w:tcPr>
            <w:tcW w:w="1040" w:type="dxa"/>
            <w:vAlign w:val="bottom"/>
          </w:tcPr>
          <w:p>
            <w:pPr>
              <w:ind w:left="240"/>
              <w:spacing w:after="0"/>
              <w:rPr>
                <w:sz w:val="20"/>
                <w:szCs w:val="20"/>
                <w:color w:val="auto"/>
              </w:rPr>
            </w:pPr>
            <w:r>
              <w:rPr>
                <w:rFonts w:ascii="Arial" w:cs="Arial" w:eastAsia="Arial" w:hAnsi="Arial"/>
                <w:sz w:val="20"/>
                <w:szCs w:val="20"/>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Derek A. Small</w:t>
            </w:r>
          </w:p>
        </w:tc>
      </w:tr>
      <w:tr>
        <w:trPr>
          <w:trHeight w:val="206"/>
        </w:trPr>
        <w:tc>
          <w:tcPr>
            <w:tcW w:w="4740" w:type="dxa"/>
            <w:vAlign w:val="bottom"/>
          </w:tcPr>
          <w:p>
            <w:pPr>
              <w:spacing w:after="0" w:line="207" w:lineRule="exact"/>
              <w:rPr>
                <w:sz w:val="20"/>
                <w:szCs w:val="20"/>
                <w:color w:val="auto"/>
              </w:rPr>
            </w:pPr>
            <w:r>
              <w:rPr>
                <w:rFonts w:ascii="Arial" w:cs="Arial" w:eastAsia="Arial" w:hAnsi="Arial"/>
                <w:sz w:val="20"/>
                <w:szCs w:val="20"/>
                <w:color w:val="auto"/>
              </w:rPr>
              <w:t>Uri A. Lopatin, M.D.</w:t>
            </w:r>
          </w:p>
        </w:tc>
        <w:tc>
          <w:tcPr>
            <w:tcW w:w="1040" w:type="dxa"/>
            <w:vAlign w:val="bottom"/>
          </w:tcPr>
          <w:p>
            <w:pPr>
              <w:spacing w:after="0"/>
              <w:rPr>
                <w:sz w:val="17"/>
                <w:szCs w:val="17"/>
                <w:color w:val="auto"/>
              </w:rPr>
            </w:pPr>
          </w:p>
        </w:tc>
        <w:tc>
          <w:tcPr>
            <w:tcW w:w="4280" w:type="dxa"/>
            <w:vAlign w:val="bottom"/>
          </w:tcPr>
          <w:p>
            <w:pPr>
              <w:ind w:left="260"/>
              <w:spacing w:after="0" w:line="207" w:lineRule="exact"/>
              <w:rPr>
                <w:sz w:val="20"/>
                <w:szCs w:val="20"/>
                <w:color w:val="auto"/>
              </w:rPr>
            </w:pPr>
            <w:r>
              <w:rPr>
                <w:rFonts w:ascii="Arial" w:cs="Arial" w:eastAsia="Arial" w:hAnsi="Arial"/>
                <w:sz w:val="20"/>
                <w:szCs w:val="20"/>
                <w:color w:val="auto"/>
              </w:rPr>
              <w:t>Derek A. Small</w:t>
            </w:r>
          </w:p>
        </w:tc>
      </w:tr>
      <w:tr>
        <w:trPr>
          <w:trHeight w:val="250"/>
        </w:trPr>
        <w:tc>
          <w:tcPr>
            <w:tcW w:w="4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80" w:type="dxa"/>
            <w:vAlign w:val="bottom"/>
          </w:tcPr>
          <w:p>
            <w:pPr>
              <w:ind w:left="260"/>
              <w:spacing w:after="0"/>
              <w:rPr>
                <w:sz w:val="20"/>
                <w:szCs w:val="20"/>
                <w:color w:val="auto"/>
              </w:rPr>
            </w:pPr>
            <w:r>
              <w:rPr>
                <w:rFonts w:ascii="Arial" w:cs="Arial" w:eastAsia="Arial" w:hAnsi="Arial"/>
                <w:sz w:val="20"/>
                <w:szCs w:val="20"/>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Consulting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Derek A. Small, certify that:</w:t>
      </w:r>
    </w:p>
    <w:p>
      <w:pPr>
        <w:spacing w:after="0" w:line="144" w:lineRule="exact"/>
        <w:rPr>
          <w:sz w:val="20"/>
          <w:szCs w:val="20"/>
          <w:color w:val="auto"/>
        </w:rPr>
      </w:pPr>
    </w:p>
    <w:p>
      <w:pPr>
        <w:ind w:left="261" w:hanging="261"/>
        <w:spacing w:after="0" w:line="207" w:lineRule="exact"/>
        <w:tabs>
          <w:tab w:leader="none" w:pos="2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57" w:lineRule="exact"/>
        <w:rPr>
          <w:rFonts w:ascii="Arial" w:cs="Arial" w:eastAsia="Arial" w:hAnsi="Arial"/>
          <w:sz w:val="18"/>
          <w:szCs w:val="18"/>
          <w:color w:val="auto"/>
        </w:rPr>
      </w:pPr>
    </w:p>
    <w:p>
      <w:pPr>
        <w:jc w:val="both"/>
        <w:ind w:left="1" w:hanging="1"/>
        <w:spacing w:after="0" w:line="224" w:lineRule="auto"/>
        <w:tabs>
          <w:tab w:leader="none" w:pos="2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 w:hanging="1"/>
        <w:spacing w:after="0" w:line="289" w:lineRule="auto"/>
        <w:tabs>
          <w:tab w:leader="none" w:pos="2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 w:hanging="1"/>
        <w:spacing w:after="0" w:line="194" w:lineRule="exact"/>
        <w:tabs>
          <w:tab w:leader="none" w:pos="3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36" w:lineRule="exact"/>
        <w:rPr>
          <w:rFonts w:ascii="Arial" w:cs="Arial" w:eastAsia="Arial" w:hAnsi="Arial"/>
          <w:sz w:val="18"/>
          <w:szCs w:val="18"/>
          <w:color w:val="auto"/>
        </w:rPr>
      </w:pPr>
    </w:p>
    <w:p>
      <w:pPr>
        <w:jc w:val="both"/>
        <w:ind w:left="941" w:firstLine="6"/>
        <w:spacing w:after="0" w:line="259" w:lineRule="auto"/>
        <w:tabs>
          <w:tab w:leader="none" w:pos="1207"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941" w:firstLine="6"/>
        <w:spacing w:after="0" w:line="238" w:lineRule="auto"/>
        <w:tabs>
          <w:tab w:leader="none" w:pos="1283"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7"/>
          <w:szCs w:val="17"/>
          <w:color w:val="auto"/>
        </w:rPr>
      </w:pPr>
    </w:p>
    <w:p>
      <w:pPr>
        <w:jc w:val="both"/>
        <w:ind w:left="941" w:firstLine="6"/>
        <w:spacing w:after="0" w:line="224" w:lineRule="auto"/>
        <w:tabs>
          <w:tab w:leader="none" w:pos="1327"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41" w:firstLine="6"/>
        <w:spacing w:after="0" w:line="238" w:lineRule="auto"/>
        <w:tabs>
          <w:tab w:leader="none" w:pos="1263"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jc w:val="both"/>
        <w:ind w:left="1" w:hanging="1"/>
        <w:spacing w:after="0" w:line="224" w:lineRule="auto"/>
        <w:tabs>
          <w:tab w:leader="none" w:pos="3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41" w:firstLine="6"/>
        <w:spacing w:after="0" w:line="224" w:lineRule="auto"/>
        <w:tabs>
          <w:tab w:leader="none" w:pos="121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41" w:firstLine="6"/>
        <w:spacing w:after="0" w:line="235" w:lineRule="auto"/>
        <w:tabs>
          <w:tab w:leader="none" w:pos="12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5, 2019</w:t>
      </w:r>
    </w:p>
    <w:p>
      <w:pPr>
        <w:spacing w:after="0" w:line="142" w:lineRule="exact"/>
        <w:rPr>
          <w:sz w:val="20"/>
          <w:szCs w:val="20"/>
          <w:color w:val="auto"/>
        </w:rPr>
      </w:pPr>
    </w:p>
    <w:p>
      <w:pPr>
        <w:ind w:left="5141"/>
        <w:spacing w:after="0"/>
        <w:tabs>
          <w:tab w:leader="none" w:pos="5620" w:val="left"/>
        </w:tabs>
        <w:rPr>
          <w:sz w:val="20"/>
          <w:szCs w:val="20"/>
          <w:color w:val="auto"/>
        </w:rPr>
      </w:pPr>
      <w:r>
        <w:rPr>
          <w:rFonts w:ascii="Arial" w:cs="Arial" w:eastAsia="Arial" w:hAnsi="Arial"/>
          <w:sz w:val="18"/>
          <w:szCs w:val="18"/>
          <w:color w:val="auto"/>
        </w:rPr>
        <w:t>By:</w:t>
        <w:tab/>
        <w:t>/s/ 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-635</wp:posOffset>
            </wp:positionV>
            <wp:extent cx="2804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ind w:left="5641"/>
        <w:spacing w:after="0" w:line="203" w:lineRule="auto"/>
        <w:rPr>
          <w:sz w:val="20"/>
          <w:szCs w:val="20"/>
          <w:color w:val="auto"/>
        </w:rPr>
      </w:pPr>
      <w:r>
        <w:rPr>
          <w:rFonts w:ascii="Arial" w:cs="Arial" w:eastAsia="Arial" w:hAnsi="Arial"/>
          <w:sz w:val="18"/>
          <w:szCs w:val="18"/>
          <w:color w:val="auto"/>
        </w:rPr>
        <w:t>Derek A. Small</w:t>
      </w:r>
    </w:p>
    <w:p>
      <w:pPr>
        <w:ind w:left="5641"/>
        <w:spacing w:after="0" w:line="204" w:lineRule="auto"/>
        <w:rPr>
          <w:sz w:val="20"/>
          <w:szCs w:val="20"/>
          <w:color w:val="auto"/>
        </w:rPr>
      </w:pPr>
      <w:r>
        <w:rPr>
          <w:rFonts w:ascii="Arial" w:cs="Arial" w:eastAsia="Arial" w:hAnsi="Arial"/>
          <w:sz w:val="18"/>
          <w:szCs w:val="18"/>
          <w:color w:val="auto"/>
        </w:rPr>
        <w:t>President and Chief Executive Officer</w:t>
      </w:r>
    </w:p>
    <w:p>
      <w:pPr>
        <w:ind w:left="5641"/>
        <w:spacing w:after="0"/>
        <w:rPr>
          <w:sz w:val="20"/>
          <w:szCs w:val="20"/>
          <w:color w:val="auto"/>
        </w:rPr>
      </w:pPr>
      <w:r>
        <w:rPr>
          <w:rFonts w:ascii="Arial" w:cs="Arial" w:eastAsia="Arial" w:hAnsi="Arial"/>
          <w:sz w:val="17"/>
          <w:szCs w:val="17"/>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449580</wp:posOffset>
            </wp:positionV>
            <wp:extent cx="6388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96" w:right="9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28" w:lineRule="exact"/>
        <w:rPr>
          <w:sz w:val="20"/>
          <w:szCs w:val="20"/>
          <w:color w:val="auto"/>
        </w:rPr>
      </w:pPr>
    </w:p>
    <w:p>
      <w:pPr>
        <w:jc w:val="both"/>
        <w:spacing w:after="0" w:line="189" w:lineRule="exact"/>
        <w:rPr>
          <w:sz w:val="20"/>
          <w:szCs w:val="20"/>
          <w:color w:val="auto"/>
        </w:rPr>
      </w:pPr>
      <w:r>
        <w:rPr>
          <w:rFonts w:ascii="Arial" w:cs="Arial" w:eastAsia="Arial" w:hAnsi="Arial"/>
          <w:sz w:val="18"/>
          <w:szCs w:val="18"/>
          <w:color w:val="auto"/>
        </w:rPr>
        <w:t>In connection with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 (the Company) for the period ended June 30, 2019 as filed with the Securities and Exchange Commission on or about the date hereof (the Report), I, Derek A. Small, Chief Executive Officer, hereby certify, pursuant to 18 U.S.C. Section 1350, as adopted pursuant to Section 906 of the Sarbanes-Oxley Act of 2002, that, to my knowledge:</w:t>
      </w:r>
    </w:p>
    <w:p>
      <w:pPr>
        <w:spacing w:after="0" w:line="136" w:lineRule="exact"/>
        <w:rPr>
          <w:sz w:val="20"/>
          <w:szCs w:val="20"/>
          <w:color w:val="auto"/>
        </w:rPr>
      </w:pPr>
    </w:p>
    <w:p>
      <w:pPr>
        <w:ind w:left="1320" w:hanging="375"/>
        <w:spacing w:after="0"/>
        <w:tabs>
          <w:tab w:leader="none" w:pos="1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1320" w:hanging="375"/>
        <w:spacing w:after="0" w:line="235" w:lineRule="auto"/>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-635</wp:posOffset>
            </wp:positionV>
            <wp:extent cx="31902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Derek A. Small</w:t>
      </w:r>
    </w:p>
    <w:p>
      <w:pPr>
        <w:ind w:left="5040"/>
        <w:spacing w:after="0" w:line="204" w:lineRule="auto"/>
        <w:rPr>
          <w:sz w:val="20"/>
          <w:szCs w:val="20"/>
          <w:color w:val="auto"/>
        </w:rPr>
      </w:pPr>
      <w:r>
        <w:rPr>
          <w:rFonts w:ascii="Arial" w:cs="Arial" w:eastAsia="Arial" w:hAnsi="Arial"/>
          <w:sz w:val="18"/>
          <w:szCs w:val="18"/>
          <w:color w:val="auto"/>
        </w:rPr>
        <w:t>President and Chief Executive Officer</w:t>
      </w:r>
    </w:p>
    <w:p>
      <w:pPr>
        <w:ind w:left="50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12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August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452120</wp:posOffset>
            </wp:positionV>
            <wp:extent cx="63887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sectPr>
      <w:pgSz w:w="11900" w:h="16838" w:orient="portrait"/>
      <w:cols w:equalWidth="0" w:num="1">
        <w:col w:w="10060"/>
      </w:cols>
      <w:pgMar w:left="920" w:top="10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lvl w:ilvl="1">
      <w:lvlJc w:val="left"/>
      <w:lvlText w:val="%2"/>
      <w:numFmt w:val="decimal"/>
      <w:start w:val="104"/>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2"/>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decimal"/>
      <w:start w:val="1"/>
    </w:lvl>
    <w:lvl w:ilvl="1">
      <w:lvlJc w:val="left"/>
      <w:lvlText w:val="(%2)"/>
      <w:numFmt w:val="lowerLetter"/>
      <w:start w:val="4"/>
    </w:lvl>
  </w:abstractNum>
  <w:abstractNum w:abstractNumId="42">
    <w:nsid w:val="23F9C13C"/>
    <w:multiLevelType w:val="hybridMultilevel"/>
    <w:lvl w:ilvl="0">
      <w:lvlJc w:val="left"/>
      <w:lvlText w:val="%1."/>
      <w:numFmt w:val="decimal"/>
      <w:start w:val="3"/>
    </w:lvl>
    <w:lvl w:ilvl="1">
      <w:lvlJc w:val="left"/>
      <w:lvlText w:val="(%2)"/>
      <w:numFmt w:val="lowerLetter"/>
      <w:start w:val="1"/>
    </w:lvl>
  </w:abstractNum>
  <w:abstractNum w:abstractNumId="43">
    <w:nsid w:val="649BB77C"/>
    <w:multiLevelType w:val="hybridMultilevel"/>
    <w:lvl w:ilvl="0">
      <w:lvlJc w:val="left"/>
      <w:lvlText w:val="%1."/>
      <w:numFmt w:val="decimal"/>
      <w:start w:val="5"/>
    </w:lvl>
  </w:abstractNum>
  <w:abstractNum w:abstractNumId="44">
    <w:nsid w:val="275AC794"/>
    <w:multiLevelType w:val="hybridMultilevel"/>
    <w:lvl w:ilvl="0">
      <w:lvlJc w:val="left"/>
      <w:lvlText w:val="%1."/>
      <w:numFmt w:val="decimal"/>
      <w:start w:val="6"/>
    </w:lvl>
  </w:abstractNum>
  <w:abstractNum w:abstractNumId="45">
    <w:nsid w:val="39386575"/>
    <w:multiLevelType w:val="hybridMultilevel"/>
    <w:lvl w:ilvl="0">
      <w:lvlJc w:val="left"/>
      <w:lvlText w:val="%1."/>
      <w:numFmt w:val="decimal"/>
      <w:start w:val="7"/>
    </w:lvl>
    <w:lvl w:ilvl="1">
      <w:lvlJc w:val="left"/>
      <w:lvlText w:val="(%2)"/>
      <w:numFmt w:val="lowerLetter"/>
      <w:start w:val="1"/>
    </w:lvl>
  </w:abstractNum>
  <w:abstractNum w:abstractNumId="46">
    <w:nsid w:val="1CF10FD8"/>
    <w:multiLevelType w:val="hybridMultilevel"/>
    <w:lvl w:ilvl="0">
      <w:lvlJc w:val="left"/>
      <w:lvlText w:val="(%1)"/>
      <w:numFmt w:val="lowerLetter"/>
      <w:start w:val="6"/>
    </w:lvl>
  </w:abstractNum>
  <w:abstractNum w:abstractNumId="47">
    <w:nsid w:val="180115BE"/>
    <w:multiLevelType w:val="hybridMultilevel"/>
    <w:lvl w:ilvl="0">
      <w:lvlJc w:val="left"/>
      <w:lvlText w:val="(%1)"/>
      <w:numFmt w:val="decimal"/>
      <w:start w:val="7"/>
    </w:lvl>
    <w:lvl w:ilvl="1">
      <w:lvlJc w:val="left"/>
      <w:lvlText w:val="(%2)"/>
      <w:numFmt w:val="lowerLetter"/>
      <w:start w:val="12"/>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3"/>
    </w:lvl>
  </w:abstractNum>
  <w:abstractNum w:abstractNumId="52">
    <w:nsid w:val="741226BB"/>
    <w:multiLevelType w:val="hybridMultilevel"/>
    <w:lvl w:ilvl="0">
      <w:lvlJc w:val="left"/>
      <w:lvlText w:val="%1."/>
      <w:numFmt w:val="decimal"/>
      <w:start w:val="7"/>
    </w:lvl>
    <w:lvl w:ilvl="1">
      <w:lvlJc w:val="left"/>
      <w:lvlText w:val="%2."/>
      <w:numFmt w:val="decimal"/>
      <w:start w:val="7"/>
    </w:lvl>
    <w:lvl w:ilvl="2">
      <w:lvlJc w:val="left"/>
      <w:lvlText w:val="(%3)"/>
      <w:numFmt w:val="lowerLetter"/>
      <w:start w:val="1"/>
    </w:lvl>
  </w:abstractNum>
  <w:abstractNum w:abstractNumId="53">
    <w:nsid w:val="D34B6A8"/>
    <w:multiLevelType w:val="hybridMultilevel"/>
    <w:lvl w:ilvl="0">
      <w:lvlJc w:val="left"/>
      <w:lvlText w:val="%1."/>
      <w:numFmt w:val="decimal"/>
      <w:start w:val="9"/>
    </w:lvl>
    <w:lvl w:ilvl="1">
      <w:lvlJc w:val="left"/>
      <w:lvlText w:val="(%2)"/>
      <w:numFmt w:val="lowerLetter"/>
      <w:start w:val="1"/>
    </w:lvl>
  </w:abstractNum>
  <w:abstractNum w:abstractNumId="54">
    <w:nsid w:val="10233C99"/>
    <w:multiLevelType w:val="hybridMultilevel"/>
    <w:lvl w:ilvl="0">
      <w:lvlJc w:val="left"/>
      <w:lvlText w:val="%1."/>
      <w:numFmt w:val="decimal"/>
      <w:start w:val="10"/>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decimal"/>
      <w:start w:val="1"/>
    </w:lvl>
    <w:lvl w:ilvl="1">
      <w:lvlJc w:val="left"/>
      <w:lvlText w:val="(%2)"/>
      <w:numFmt w:val="lowerLetter"/>
      <w:start w:val="2"/>
    </w:lvl>
  </w:abstractNum>
  <w:abstractNum w:abstractNumId="57">
    <w:nsid w:val="7E0C57B1"/>
    <w:multiLevelType w:val="hybridMultilevel"/>
    <w:lvl w:ilvl="0">
      <w:lvlJc w:val="left"/>
      <w:lvlText w:val="%1."/>
      <w:numFmt w:val="decimal"/>
      <w:start w:val="11"/>
    </w:lvl>
    <w:lvl w:ilvl="1">
      <w:lvlJc w:val="left"/>
      <w:lvlText w:val="(%2)"/>
      <w:numFmt w:val="lowerLetter"/>
      <w:start w:val="1"/>
    </w:lvl>
  </w:abstractNum>
  <w:abstractNum w:abstractNumId="58">
    <w:nsid w:val="77AE35EB"/>
    <w:multiLevelType w:val="hybridMultilevel"/>
    <w:lvl w:ilvl="0">
      <w:lvlJc w:val="left"/>
      <w:lvlText w:val="%1"/>
      <w:numFmt w:val="decimal"/>
      <w:start w:val="1"/>
    </w:lvl>
    <w:lvl w:ilvl="1">
      <w:lvlJc w:val="left"/>
      <w:lvlText w:val="(%2)"/>
      <w:numFmt w:val="lowerLetter"/>
      <w:start w:val="2"/>
    </w:lvl>
  </w:abstractNum>
  <w:abstractNum w:abstractNumId="59">
    <w:nsid w:val="579BE4F1"/>
    <w:multiLevelType w:val="hybridMultilevel"/>
    <w:lvl w:ilvl="0">
      <w:lvlJc w:val="left"/>
      <w:lvlText w:val="%1."/>
      <w:numFmt w:val="decimal"/>
      <w:start w:val="12"/>
    </w:lvl>
    <w:lvl w:ilvl="1">
      <w:lvlJc w:val="left"/>
      <w:lvlText w:val="%2"/>
      <w:numFmt w:val="lowerLetter"/>
      <w:start w:val="1"/>
    </w:lvl>
  </w:abstractNum>
  <w:abstractNum w:abstractNumId="60">
    <w:nsid w:val="310C50B3"/>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61">
    <w:nsid w:val="5FF87E0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62">
    <w:nsid w:val="2F305DEF"/>
    <w:multiLevelType w:val="hybridMultilevel"/>
    <w:lvl w:ilvl="0">
      <w:lvlJc w:val="left"/>
      <w:lvlText w:val="(%1)"/>
      <w:numFmt w:val="lowerLetter"/>
      <w:start w:val="61"/>
    </w:lvl>
    <w:lvl w:ilvl="1">
      <w:lvlJc w:val="left"/>
      <w:lvlText w:val="(%2)"/>
      <w:numFmt w:val="lowerLetter"/>
      <w:start w:val="3"/>
    </w:lvl>
  </w:abstractNum>
  <w:abstractNum w:abstractNumId="63">
    <w:nsid w:val="25A70BF7"/>
    <w:multiLevelType w:val="hybridMultilevel"/>
    <w:lvl w:ilvl="0">
      <w:lvlJc w:val="left"/>
      <w:lvlText w:val="%1."/>
      <w:numFmt w:val="decimal"/>
      <w:start w:val="17"/>
    </w:lvl>
    <w:lvl w:ilvl="1">
      <w:lvlJc w:val="left"/>
      <w:lvlText w:val="(%2)"/>
      <w:numFmt w:val="lowerLetter"/>
      <w:start w:val="1"/>
    </w:lvl>
  </w:abstractNum>
  <w:abstractNum w:abstractNumId="64">
    <w:nsid w:val="1DBABF00"/>
    <w:multiLevelType w:val="hybridMultilevel"/>
    <w:lvl w:ilvl="0">
      <w:lvlJc w:val="left"/>
      <w:lvlText w:val="(%1)"/>
      <w:numFmt w:val="lowerLetter"/>
      <w:start w:val="8"/>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74" Type="http://schemas.openxmlformats.org/officeDocument/2006/relationships/hyperlink" Target="http://www.sec.gov/Archives/edgar/data/1426800/000114420419027502/tv52212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2019-12-28T08:18:48Z</dcterms:created>
  <dcterms:modified xsi:type="dcterms:W3CDTF">2019-12-28T08:18:48Z</dcterms:modified>
</cp:coreProperties>
</file>